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C571B" w14:textId="77777777" w:rsidR="00D041A2" w:rsidRDefault="00D041A2">
      <w:pPr>
        <w:pStyle w:val="Normal0"/>
        <w:sectPr w:rsidR="00D041A2">
          <w:headerReference w:type="even" r:id="rId6"/>
          <w:headerReference w:type="default" r:id="rId7"/>
          <w:footerReference w:type="even" r:id="rId8"/>
          <w:footerReference w:type="default" r:id="rId9"/>
          <w:headerReference w:type="first" r:id="rId10"/>
          <w:footerReference w:type="first" r:id="rId11"/>
          <w:pgSz w:w="12240" w:h="15840"/>
          <w:pgMar w:top="840" w:right="1000" w:bottom="840" w:left="1000" w:header="400" w:footer="400" w:gutter="0"/>
          <w:cols w:space="720"/>
          <w:titlePg/>
        </w:sectPr>
      </w:pPr>
    </w:p>
    <w:p w14:paraId="3EE68E36" w14:textId="77777777" w:rsidR="00D041A2" w:rsidRDefault="00D041A2">
      <w:pPr>
        <w:pStyle w:val="Normal0"/>
      </w:pPr>
    </w:p>
    <w:p w14:paraId="2DEA7A92" w14:textId="77777777" w:rsidR="00D041A2" w:rsidRDefault="00000000">
      <w:pPr>
        <w:pStyle w:val="Heading1"/>
        <w:keepNext w:val="0"/>
        <w:widowControl w:val="0"/>
        <w:spacing w:after="200" w:line="340" w:lineRule="atLeast"/>
        <w:jc w:val="center"/>
      </w:pPr>
      <w:r>
        <w:rPr>
          <w:rFonts w:eastAsia="Arial"/>
          <w:color w:val="000000"/>
          <w:sz w:val="28"/>
        </w:rPr>
        <w:t>E.R.K. v. State Dep't of Educ.</w:t>
      </w:r>
    </w:p>
    <w:p w14:paraId="176CFB6C" w14:textId="77777777" w:rsidR="00D041A2" w:rsidRDefault="00000000">
      <w:pPr>
        <w:pStyle w:val="Normal0"/>
        <w:widowControl w:val="0"/>
        <w:spacing w:before="120" w:line="260" w:lineRule="atLeast"/>
        <w:jc w:val="center"/>
      </w:pPr>
      <w:r>
        <w:rPr>
          <w:rFonts w:ascii="Arial" w:eastAsia="Arial" w:hAnsi="Arial" w:cs="Arial"/>
          <w:color w:val="000000"/>
          <w:sz w:val="20"/>
        </w:rPr>
        <w:t>United States Court of Appeals for the Ninth Circuit</w:t>
      </w:r>
    </w:p>
    <w:p w14:paraId="4AF6238B" w14:textId="77777777" w:rsidR="00D041A2" w:rsidRDefault="00000000">
      <w:pPr>
        <w:pStyle w:val="Normal0"/>
        <w:widowControl w:val="0"/>
        <w:spacing w:before="120" w:line="260" w:lineRule="atLeast"/>
        <w:jc w:val="center"/>
      </w:pPr>
      <w:r>
        <w:rPr>
          <w:rFonts w:ascii="Arial" w:eastAsia="Arial" w:hAnsi="Arial" w:cs="Arial"/>
          <w:color w:val="000000"/>
          <w:sz w:val="20"/>
        </w:rPr>
        <w:t>June 12, 2013, Argued and Submitted, Honolulu, Hawaii; August 28, 2013, Filed</w:t>
      </w:r>
    </w:p>
    <w:p w14:paraId="5FBE6602" w14:textId="77777777" w:rsidR="00D041A2" w:rsidRDefault="00000000">
      <w:pPr>
        <w:pStyle w:val="Normal0"/>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12-16063</w:t>
      </w:r>
    </w:p>
    <w:p w14:paraId="265C44C1" w14:textId="77777777" w:rsidR="00D041A2" w:rsidRDefault="00D041A2">
      <w:pPr>
        <w:pStyle w:val="Normal0"/>
        <w:widowControl w:val="0"/>
        <w:spacing w:line="240" w:lineRule="atLeast"/>
        <w:jc w:val="both"/>
      </w:pPr>
      <w:bookmarkStart w:id="0" w:name="Bookmark_1"/>
      <w:bookmarkEnd w:id="0"/>
    </w:p>
    <w:p w14:paraId="3CC6546A" w14:textId="77777777" w:rsidR="00D041A2" w:rsidRDefault="00000000">
      <w:pPr>
        <w:pStyle w:val="Normal0"/>
        <w:widowControl w:val="0"/>
        <w:spacing w:before="200" w:line="240" w:lineRule="atLeast"/>
      </w:pPr>
      <w:bookmarkStart w:id="1" w:name="Reporter"/>
      <w:bookmarkEnd w:id="1"/>
      <w:r>
        <w:rPr>
          <w:rFonts w:ascii="Arial" w:eastAsia="Arial" w:hAnsi="Arial" w:cs="Arial"/>
          <w:b/>
          <w:color w:val="000000"/>
          <w:sz w:val="18"/>
        </w:rPr>
        <w:t>Reporter</w:t>
      </w:r>
    </w:p>
    <w:p w14:paraId="1FA1381B" w14:textId="77777777" w:rsidR="00D041A2" w:rsidRDefault="00000000">
      <w:pPr>
        <w:pStyle w:val="Normal0"/>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728 F.3d 982 *; 2013 U.S. App. LEXIS 17950 **; 2013 WL 4530914</w:t>
      </w:r>
    </w:p>
    <w:p w14:paraId="06F2363C" w14:textId="77777777" w:rsidR="00D041A2" w:rsidRDefault="00000000">
      <w:pPr>
        <w:pStyle w:val="Normal0"/>
        <w:widowControl w:val="0"/>
        <w:spacing w:before="120" w:line="260" w:lineRule="atLeast"/>
      </w:pPr>
      <w:r>
        <w:rPr>
          <w:rFonts w:ascii="Arial" w:eastAsia="Arial" w:hAnsi="Arial" w:cs="Arial"/>
          <w:color w:val="000000"/>
          <w:sz w:val="20"/>
        </w:rPr>
        <w:t>E.R.K., by his legal guardian R.K.; R.T.D., through his parents R.D. and M.D.; HAWAI'I DISABILITY RIGHTS CENTER, in a representative capacity on behalf of its clients and all others similarly situated, Plaintiffs-Appellants, v. STATE OF HAWAII DEPARTMENT OF EDUCATION, Defendant-Appellee.</w:t>
      </w:r>
    </w:p>
    <w:p w14:paraId="151747C8" w14:textId="77777777" w:rsidR="00D041A2" w:rsidRDefault="00000000">
      <w:pPr>
        <w:pStyle w:val="Normal0"/>
        <w:widowControl w:val="0"/>
        <w:spacing w:before="240" w:line="260" w:lineRule="atLeast"/>
        <w:jc w:val="both"/>
      </w:pPr>
      <w:bookmarkStart w:id="2" w:name="Subsequent_History"/>
      <w:bookmarkEnd w:id="2"/>
      <w:r>
        <w:rPr>
          <w:rFonts w:ascii="Arial" w:eastAsia="Arial" w:hAnsi="Arial" w:cs="Arial"/>
          <w:b/>
          <w:color w:val="000000"/>
          <w:sz w:val="20"/>
        </w:rPr>
        <w:t>Subsequent History:</w:t>
      </w:r>
      <w:r>
        <w:rPr>
          <w:rFonts w:ascii="Arial" w:eastAsia="Arial" w:hAnsi="Arial" w:cs="Arial"/>
          <w:color w:val="000000"/>
          <w:sz w:val="20"/>
        </w:rPr>
        <w:t> </w:t>
      </w:r>
      <w:bookmarkStart w:id="3" w:name="Bookmark_para_1"/>
      <w:bookmarkEnd w:id="3"/>
      <w:r>
        <w:rPr>
          <w:rFonts w:ascii="Arial" w:eastAsia="Arial" w:hAnsi="Arial" w:cs="Arial"/>
          <w:color w:val="000000"/>
          <w:sz w:val="20"/>
        </w:rPr>
        <w:t>As Corrected September 19, 2013.</w:t>
      </w:r>
    </w:p>
    <w:p w14:paraId="39298F09" w14:textId="77777777" w:rsidR="00D041A2" w:rsidRDefault="00000000">
      <w:pPr>
        <w:pStyle w:val="Normal0"/>
        <w:widowControl w:val="0"/>
        <w:spacing w:before="120" w:line="260" w:lineRule="atLeast"/>
      </w:pPr>
      <w:r>
        <w:rPr>
          <w:rFonts w:ascii="Arial" w:eastAsia="Arial" w:hAnsi="Arial" w:cs="Arial"/>
          <w:color w:val="000000"/>
          <w:sz w:val="20"/>
        </w:rPr>
        <w:t>Motion granted by, in part, Motion denied by, in part, Motion denied by R.P.-K v. Dep't of Educ., 2014 U.S. Dist. LEXIS 117136 (D. Haw., Aug. 22, 2014)</w:t>
      </w:r>
    </w:p>
    <w:p w14:paraId="0A611BC6" w14:textId="77777777" w:rsidR="00D041A2" w:rsidRDefault="00000000">
      <w:pPr>
        <w:pStyle w:val="Normal0"/>
        <w:widowControl w:val="0"/>
        <w:spacing w:before="240" w:line="260" w:lineRule="atLeast"/>
        <w:jc w:val="both"/>
      </w:pPr>
      <w:bookmarkStart w:id="4" w:name="Prior_History"/>
      <w:bookmarkEnd w:id="4"/>
      <w:r>
        <w:rPr>
          <w:rFonts w:ascii="Arial" w:eastAsia="Arial" w:hAnsi="Arial" w:cs="Arial"/>
          <w:b/>
          <w:color w:val="000000"/>
          <w:sz w:val="20"/>
        </w:rPr>
        <w:t>Prior History:</w:t>
      </w:r>
      <w:r>
        <w:rPr>
          <w:rFonts w:ascii="Arial" w:eastAsia="Arial" w:hAnsi="Arial" w:cs="Arial"/>
          <w:color w:val="000000"/>
          <w:sz w:val="20"/>
        </w:rPr>
        <w:t>  [**1] </w:t>
      </w:r>
      <w:bookmarkStart w:id="5" w:name="Bookmark_para_2"/>
      <w:bookmarkEnd w:id="5"/>
      <w:r>
        <w:rPr>
          <w:rFonts w:ascii="Arial" w:eastAsia="Arial" w:hAnsi="Arial" w:cs="Arial"/>
          <w:color w:val="000000"/>
          <w:sz w:val="20"/>
        </w:rPr>
        <w:t>Appeal from the United States District Court for the District of Hawaii. D.C. No. 1:10-CV-00436-DAE-KSC. David A. Ezra, District Judge, Presiding.</w:t>
      </w:r>
    </w:p>
    <w:p w14:paraId="4A7323B1" w14:textId="77777777" w:rsidR="00D041A2" w:rsidRDefault="00000000">
      <w:pPr>
        <w:pStyle w:val="Normal0"/>
        <w:widowControl w:val="0"/>
        <w:spacing w:before="120" w:line="260" w:lineRule="atLeast"/>
      </w:pPr>
      <w:r>
        <w:rPr>
          <w:rFonts w:ascii="Arial" w:eastAsia="Arial" w:hAnsi="Arial" w:cs="Arial"/>
          <w:color w:val="000000"/>
          <w:sz w:val="20"/>
        </w:rPr>
        <w:t>R.P.-K. v. Dep't of Educ., 2012 U.S. Dist. LEXIS 45287 (D. Haw., Mar. 30, 2012)</w:t>
      </w:r>
    </w:p>
    <w:p w14:paraId="3E2D0FF2" w14:textId="77777777" w:rsidR="00D041A2" w:rsidRDefault="00000000">
      <w:pPr>
        <w:pStyle w:val="Normal0"/>
        <w:widowControl w:val="0"/>
        <w:spacing w:before="240" w:line="260" w:lineRule="atLeast"/>
        <w:jc w:val="both"/>
      </w:pPr>
      <w:bookmarkStart w:id="6" w:name="Disposition"/>
      <w:bookmarkEnd w:id="6"/>
      <w:r>
        <w:rPr>
          <w:rFonts w:ascii="Arial" w:eastAsia="Arial" w:hAnsi="Arial" w:cs="Arial"/>
          <w:b/>
          <w:color w:val="000000"/>
          <w:sz w:val="20"/>
        </w:rPr>
        <w:t>Disposition:</w:t>
      </w:r>
      <w:r>
        <w:rPr>
          <w:rFonts w:ascii="Arial" w:eastAsia="Arial" w:hAnsi="Arial" w:cs="Arial"/>
          <w:color w:val="000000"/>
          <w:sz w:val="20"/>
        </w:rPr>
        <w:t> </w:t>
      </w:r>
      <w:bookmarkStart w:id="7" w:name="Bookmark_clspara_4"/>
      <w:bookmarkEnd w:id="7"/>
      <w:r>
        <w:rPr>
          <w:rFonts w:ascii="Arial" w:eastAsia="Arial" w:hAnsi="Arial" w:cs="Arial"/>
          <w:color w:val="000000"/>
          <w:sz w:val="20"/>
        </w:rPr>
        <w:t>AFFIRMED in part, REVERSED in part, and REMANDED.</w:t>
      </w:r>
    </w:p>
    <w:p w14:paraId="61C99E2A" w14:textId="77777777" w:rsidR="00D041A2" w:rsidRDefault="00000000">
      <w:pPr>
        <w:pStyle w:val="Normal0"/>
        <w:widowControl w:val="0"/>
        <w:spacing w:before="240" w:line="260" w:lineRule="atLeast"/>
      </w:pPr>
      <w:bookmarkStart w:id="8" w:name="Counsel"/>
      <w:bookmarkEnd w:id="8"/>
      <w:r>
        <w:rPr>
          <w:rFonts w:ascii="Arial" w:eastAsia="Arial" w:hAnsi="Arial" w:cs="Arial"/>
          <w:b/>
          <w:color w:val="000000"/>
          <w:sz w:val="20"/>
        </w:rPr>
        <w:t>Counsel:</w:t>
      </w:r>
      <w:r>
        <w:rPr>
          <w:rFonts w:ascii="Arial" w:eastAsia="Arial" w:hAnsi="Arial" w:cs="Arial"/>
          <w:color w:val="000000"/>
          <w:sz w:val="20"/>
        </w:rPr>
        <w:t> Paul Alston, Alston Hunt Floyd &amp; Ing, Honolulu, Hawaii; Jason H. Kim (argued), Schneider Wallace Cottrell Brayton Konecky, LLP, San Francisco, California; Matthew C. Bassett &amp; Jennifer V. Patricio, Hawai'i Disability Rights Center, Honolulu, Hawaii, for Plaintiffs-Appellants.</w:t>
      </w:r>
    </w:p>
    <w:p w14:paraId="0EC596A4" w14:textId="77777777" w:rsidR="00D041A2" w:rsidRDefault="00000000">
      <w:pPr>
        <w:pStyle w:val="Normal0"/>
        <w:widowControl w:val="0"/>
        <w:spacing w:before="120" w:line="260" w:lineRule="atLeast"/>
      </w:pPr>
      <w:r>
        <w:rPr>
          <w:rFonts w:ascii="Arial" w:eastAsia="Arial" w:hAnsi="Arial" w:cs="Arial"/>
          <w:color w:val="000000"/>
          <w:sz w:val="20"/>
        </w:rPr>
        <w:t>David M. Louie, Carter K. Siu (argued), and Holly T. Shikada, Department of the Attorney General, Honolulu, Hawaii, for Defendant-Appellee.</w:t>
      </w:r>
    </w:p>
    <w:p w14:paraId="4D30BBD6" w14:textId="77777777" w:rsidR="00D041A2" w:rsidRDefault="00000000">
      <w:pPr>
        <w:pStyle w:val="Normal0"/>
        <w:widowControl w:val="0"/>
        <w:spacing w:before="240" w:line="260" w:lineRule="atLeast"/>
      </w:pPr>
      <w:bookmarkStart w:id="9" w:name="Judges"/>
      <w:bookmarkEnd w:id="9"/>
      <w:r>
        <w:rPr>
          <w:rFonts w:ascii="Arial" w:eastAsia="Arial" w:hAnsi="Arial" w:cs="Arial"/>
          <w:b/>
          <w:color w:val="000000"/>
          <w:sz w:val="20"/>
        </w:rPr>
        <w:t>Judges:</w:t>
      </w:r>
      <w:r>
        <w:rPr>
          <w:rFonts w:ascii="Arial" w:eastAsia="Arial" w:hAnsi="Arial" w:cs="Arial"/>
          <w:color w:val="000000"/>
          <w:sz w:val="20"/>
        </w:rPr>
        <w:t> Before: Jerome Farris, Dorothy W. Nelson, and Jacqueline H. Nguyen, Circuit Judges. Opinion by Judge D.W. Nelson.</w:t>
      </w:r>
    </w:p>
    <w:p w14:paraId="61A2EBAA" w14:textId="77777777" w:rsidR="00D041A2" w:rsidRDefault="00000000">
      <w:pPr>
        <w:pStyle w:val="Normal0"/>
        <w:widowControl w:val="0"/>
        <w:spacing w:before="240" w:line="260" w:lineRule="atLeast"/>
      </w:pPr>
      <w:bookmarkStart w:id="10" w:name="Opinion_by"/>
      <w:bookmarkEnd w:id="10"/>
      <w:r>
        <w:rPr>
          <w:rFonts w:ascii="Arial" w:eastAsia="Arial" w:hAnsi="Arial" w:cs="Arial"/>
          <w:b/>
          <w:color w:val="000000"/>
          <w:sz w:val="20"/>
        </w:rPr>
        <w:t>Opinion by:</w:t>
      </w:r>
      <w:r>
        <w:rPr>
          <w:rFonts w:ascii="Arial" w:eastAsia="Arial" w:hAnsi="Arial" w:cs="Arial"/>
          <w:color w:val="000000"/>
          <w:sz w:val="20"/>
        </w:rPr>
        <w:t> Dorothy W. Nelson</w:t>
      </w:r>
    </w:p>
    <w:p w14:paraId="4237BA51" w14:textId="77777777" w:rsidR="00D041A2" w:rsidRDefault="00000000">
      <w:pPr>
        <w:pStyle w:val="Normal0"/>
        <w:keepNext/>
        <w:widowControl w:val="0"/>
        <w:spacing w:before="240" w:line="340" w:lineRule="atLeast"/>
      </w:pPr>
      <w:bookmarkStart w:id="11" w:name="Opinion"/>
      <w:bookmarkEnd w:id="11"/>
      <w:r>
        <w:rPr>
          <w:rFonts w:ascii="Arial" w:eastAsia="Arial" w:hAnsi="Arial" w:cs="Arial"/>
          <w:b/>
          <w:color w:val="000000"/>
          <w:sz w:val="28"/>
        </w:rPr>
        <w:t>Opinion</w:t>
      </w:r>
    </w:p>
    <w:p w14:paraId="6EF37BEE" w14:textId="33040CC5" w:rsidR="00D041A2" w:rsidRDefault="004D4403">
      <w:pPr>
        <w:pStyle w:val="Normal0"/>
        <w:spacing w:line="60" w:lineRule="exact"/>
      </w:pPr>
      <w:r>
        <w:rPr>
          <w:noProof/>
        </w:rPr>
        <mc:AlternateContent>
          <mc:Choice Requires="wps">
            <w:drawing>
              <wp:anchor distT="0" distB="0" distL="114300" distR="114300" simplePos="0" relativeHeight="251658240" behindDoc="0" locked="0" layoutInCell="1" allowOverlap="1" wp14:anchorId="5F29993F" wp14:editId="4C4FF8AE">
                <wp:simplePos x="0" y="0"/>
                <wp:positionH relativeFrom="column">
                  <wp:posOffset>0</wp:posOffset>
                </wp:positionH>
                <wp:positionV relativeFrom="paragraph">
                  <wp:posOffset>25400</wp:posOffset>
                </wp:positionV>
                <wp:extent cx="3187700" cy="0"/>
                <wp:effectExtent l="21590" t="12700" r="19685" b="15875"/>
                <wp:wrapTopAndBottom/>
                <wp:docPr id="112965686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1D314" id="Line 1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DE656BF" w14:textId="77777777" w:rsidR="00D041A2" w:rsidRDefault="00D041A2">
      <w:pPr>
        <w:pStyle w:val="Normal0"/>
        <w:spacing w:line="120" w:lineRule="exact"/>
      </w:pPr>
    </w:p>
    <w:p w14:paraId="589A8579" w14:textId="77777777" w:rsidR="00D041A2" w:rsidRDefault="00000000">
      <w:pPr>
        <w:pStyle w:val="Normal0"/>
        <w:widowControl w:val="0"/>
        <w:spacing w:before="240" w:line="260" w:lineRule="atLeast"/>
      </w:pPr>
      <w:r>
        <w:br/>
      </w:r>
      <w:r>
        <w:rPr>
          <w:rFonts w:ascii="Arial" w:eastAsia="Arial" w:hAnsi="Arial" w:cs="Arial"/>
          <w:b/>
          <w:color w:val="000000"/>
          <w:sz w:val="20"/>
        </w:rPr>
        <w:t>SUMMARY</w:t>
      </w:r>
      <w:r>
        <w:rPr>
          <w:rFonts w:ascii="Arial" w:eastAsia="Arial" w:hAnsi="Arial" w:cs="Arial"/>
          <w:vertAlign w:val="superscript"/>
        </w:rPr>
        <w:footnoteReference w:customMarkFollows="1" w:id="1"/>
        <w:t>*</w:t>
      </w:r>
    </w:p>
    <w:p w14:paraId="3AFF539D" w14:textId="77777777" w:rsidR="00D041A2" w:rsidRDefault="00000000">
      <w:pPr>
        <w:pStyle w:val="Normal0"/>
        <w:widowControl w:val="0"/>
        <w:spacing w:before="240" w:line="260" w:lineRule="atLeast"/>
      </w:pPr>
      <w:r>
        <w:br/>
      </w:r>
      <w:r>
        <w:rPr>
          <w:rFonts w:ascii="Arial" w:eastAsia="Arial" w:hAnsi="Arial" w:cs="Arial"/>
          <w:b/>
          <w:color w:val="000000"/>
          <w:sz w:val="20"/>
        </w:rPr>
        <w:t>Individuals with Disabilities Education Act</w:t>
      </w:r>
    </w:p>
    <w:p w14:paraId="70379403" w14:textId="77777777" w:rsidR="00D041A2" w:rsidRDefault="00000000">
      <w:pPr>
        <w:pStyle w:val="Normal0"/>
        <w:widowControl w:val="0"/>
        <w:spacing w:before="200" w:line="260" w:lineRule="atLeast"/>
        <w:jc w:val="both"/>
      </w:pPr>
      <w:bookmarkStart w:id="13" w:name="Bookmark_para_3"/>
      <w:bookmarkEnd w:id="13"/>
      <w:r>
        <w:rPr>
          <w:rFonts w:ascii="Arial" w:eastAsia="Arial" w:hAnsi="Arial" w:cs="Arial"/>
          <w:color w:val="000000"/>
          <w:sz w:val="20"/>
        </w:rPr>
        <w:t>Affirming in part and reversing in part the district court's judgment after a bench trial in a class action, the panel held that a Hawaii statute violated federal law by establishing an age limit on public education.</w:t>
      </w:r>
    </w:p>
    <w:p w14:paraId="1F361919" w14:textId="77777777" w:rsidR="00D041A2" w:rsidRDefault="00000000">
      <w:pPr>
        <w:pStyle w:val="Normal0"/>
        <w:widowControl w:val="0"/>
        <w:spacing w:before="200" w:line="260" w:lineRule="atLeast"/>
        <w:jc w:val="both"/>
      </w:pPr>
      <w:bookmarkStart w:id="14" w:name="Bookmark_para_4"/>
      <w:bookmarkEnd w:id="14"/>
      <w:r>
        <w:rPr>
          <w:rFonts w:ascii="Arial" w:eastAsia="Arial" w:hAnsi="Arial" w:cs="Arial"/>
          <w:color w:val="000000"/>
          <w:sz w:val="20"/>
        </w:rPr>
        <w:t>The Hawaii statute, dubbed "Act 163," barred both general-education  [**2] students and students who received special-education services under the Individuals with Disabilities Education Act from attending public school after the last day of the school year in which they turned 20. The plaintiffs alleged that the state violated the IDEA, the Americans with Disabilities Act, and the Rehabilitation Act by denying public education to special-needs students aged 20 to 21 while offering it, in the form of a network of adult-education schools called Community Schools for Adults, to students without special needs. The Community Schools for Adults were exempt from the strictures of Act 163.</w:t>
      </w:r>
    </w:p>
    <w:p w14:paraId="796D9E08" w14:textId="77777777" w:rsidR="00D041A2" w:rsidRDefault="00000000">
      <w:pPr>
        <w:pStyle w:val="Normal0"/>
        <w:widowControl w:val="0"/>
        <w:spacing w:before="200" w:line="260" w:lineRule="atLeast"/>
        <w:jc w:val="both"/>
      </w:pPr>
      <w:bookmarkStart w:id="15" w:name="Bookmark_para_5"/>
      <w:bookmarkEnd w:id="15"/>
      <w:r>
        <w:rPr>
          <w:rFonts w:ascii="Arial" w:eastAsia="Arial" w:hAnsi="Arial" w:cs="Arial"/>
          <w:color w:val="000000"/>
          <w:sz w:val="20"/>
        </w:rPr>
        <w:t>The panel held that Act 163 violated the IDEA, which restricts the power of states to establish age limits on specialeducation eligibility in certain circumstances. In an exception to these restrictions, 20 U.S.C. § 1412(a)(1)(B)(I) provides that a state's duty to provide special education does not extend to children aged 18 through 21 "to the extent that [the duty's] application to those children would be inconsistent with State law or practice . . . respecting the provision of public education to children in those age ranges." Referring to the IDEA's legislative history, the  [**3] panel held that § 1412(a)(1)(B)(I) meant that Hawaii could not deny special education to disabled students aged 18 through 21 if it in fact provided "free public education" to nondisabled students in that range of ages. The panel concluded that the diploma programs offered by the Community Schools for Adults constituted free public education because they were provided at public expense, under public supervision and direction, and without charge, and they involved secondary education. Accordingly, the panel reversed the district court's judgment for the State of Hawaii Department of Education on the IDEA claim.</w:t>
      </w:r>
    </w:p>
    <w:p w14:paraId="7D54A3D2" w14:textId="77777777" w:rsidR="00D041A2" w:rsidRDefault="00000000">
      <w:pPr>
        <w:pStyle w:val="Normal0"/>
        <w:widowControl w:val="0"/>
        <w:spacing w:before="200" w:line="260" w:lineRule="atLeast"/>
        <w:jc w:val="both"/>
      </w:pPr>
      <w:bookmarkStart w:id="16" w:name="Bookmark_para_6"/>
      <w:bookmarkEnd w:id="16"/>
      <w:r>
        <w:rPr>
          <w:rFonts w:ascii="Arial" w:eastAsia="Arial" w:hAnsi="Arial" w:cs="Arial"/>
          <w:color w:val="000000"/>
          <w:sz w:val="20"/>
        </w:rPr>
        <w:t>The panel affirmed the district court's judgment for the Department of Education on the plaintiffs' disability discrimination claims under the Americans with Disabilities Act and the Rehabilitation Act, holding that the plaintiffs did not establish the existence of reasonable accommodations that would make the Community Schools for Adults generally accessible to disabled students. The panel remanded the case to the district court.</w:t>
      </w:r>
    </w:p>
    <w:p w14:paraId="331DA680" w14:textId="77777777" w:rsidR="00D041A2" w:rsidRDefault="00000000">
      <w:pPr>
        <w:pStyle w:val="Normal0"/>
        <w:widowControl w:val="0"/>
        <w:spacing w:before="240" w:line="260" w:lineRule="atLeast"/>
      </w:pPr>
      <w:r>
        <w:br/>
      </w:r>
      <w:r>
        <w:rPr>
          <w:rFonts w:ascii="Arial" w:eastAsia="Arial" w:hAnsi="Arial" w:cs="Arial"/>
          <w:color w:val="000000"/>
          <w:sz w:val="20"/>
        </w:rPr>
        <w:t xml:space="preserve"> [*984]  </w:t>
      </w:r>
      <w:r>
        <w:rPr>
          <w:rFonts w:ascii="Arial" w:eastAsia="Arial" w:hAnsi="Arial" w:cs="Arial"/>
          <w:b/>
          <w:color w:val="000000"/>
          <w:sz w:val="20"/>
        </w:rPr>
        <w:t>OPINION</w:t>
      </w:r>
    </w:p>
    <w:p w14:paraId="1389560B" w14:textId="77777777" w:rsidR="00D041A2" w:rsidRDefault="00000000">
      <w:pPr>
        <w:pStyle w:val="Normal0"/>
        <w:widowControl w:val="0"/>
        <w:spacing w:before="200" w:line="260" w:lineRule="atLeast"/>
        <w:jc w:val="both"/>
      </w:pPr>
      <w:bookmarkStart w:id="17" w:name="Bookmark_para_7"/>
      <w:bookmarkEnd w:id="17"/>
      <w:r>
        <w:rPr>
          <w:rFonts w:ascii="Arial" w:eastAsia="Arial" w:hAnsi="Arial" w:cs="Arial"/>
          <w:color w:val="000000"/>
          <w:sz w:val="20"/>
        </w:rPr>
        <w:t>NELSON, Senior Circuit Judge:</w:t>
      </w:r>
    </w:p>
    <w:p w14:paraId="16B699CC" w14:textId="77777777" w:rsidR="00D041A2" w:rsidRDefault="00000000">
      <w:pPr>
        <w:pStyle w:val="Normal0"/>
        <w:widowControl w:val="0"/>
        <w:spacing w:before="200" w:line="260" w:lineRule="atLeast"/>
        <w:jc w:val="both"/>
      </w:pPr>
      <w:bookmarkStart w:id="18" w:name="Bookmark_para_8"/>
      <w:bookmarkEnd w:id="18"/>
      <w:r>
        <w:rPr>
          <w:rFonts w:ascii="Arial" w:eastAsia="Arial" w:hAnsi="Arial" w:cs="Arial"/>
          <w:color w:val="000000"/>
          <w:sz w:val="20"/>
        </w:rPr>
        <w:t>Are state-funded high school diploma programs for adults who never graduated from high school a form of "public  [**4] education"? 20 U.S.C. § 1412(a)(1)(B)(i). We conclude that they are. Accordingly, we hold that a Hawaii statute establishing an age limit on public education violates federal law, and reverse in part the district court's entry of judgment in favor of the Defendant-Appellee.</w:t>
      </w:r>
    </w:p>
    <w:p w14:paraId="7636EA9E" w14:textId="77777777" w:rsidR="00D041A2" w:rsidRDefault="00000000">
      <w:pPr>
        <w:pStyle w:val="Normal0"/>
        <w:widowControl w:val="0"/>
        <w:spacing w:before="240" w:line="260" w:lineRule="atLeast"/>
      </w:pPr>
      <w:r>
        <w:br/>
      </w:r>
      <w:r>
        <w:rPr>
          <w:rFonts w:ascii="Arial" w:eastAsia="Arial" w:hAnsi="Arial" w:cs="Arial"/>
          <w:b/>
          <w:color w:val="000000"/>
          <w:sz w:val="20"/>
        </w:rPr>
        <w:t>Background</w:t>
      </w:r>
    </w:p>
    <w:p w14:paraId="33D3A27D" w14:textId="77777777" w:rsidR="00D041A2" w:rsidRDefault="00000000">
      <w:pPr>
        <w:pStyle w:val="Normal0"/>
        <w:widowControl w:val="0"/>
        <w:spacing w:before="200" w:line="260" w:lineRule="atLeast"/>
        <w:jc w:val="both"/>
      </w:pPr>
      <w:bookmarkStart w:id="19" w:name="Bookmark_para_9"/>
      <w:bookmarkEnd w:id="19"/>
      <w:r>
        <w:rPr>
          <w:rFonts w:ascii="Arial" w:eastAsia="Arial" w:hAnsi="Arial" w:cs="Arial"/>
          <w:color w:val="000000"/>
          <w:sz w:val="20"/>
        </w:rPr>
        <w:t>In 2010, the Hawaii state legislature enacted a law, dubbed "Act 163," barring students from attending public school after the last day of the school year in which they turned 20:</w:t>
      </w:r>
    </w:p>
    <w:p w14:paraId="590D6F3F" w14:textId="77777777" w:rsidR="00D041A2" w:rsidRDefault="00000000">
      <w:pPr>
        <w:pStyle w:val="Normal0"/>
        <w:widowControl w:val="0"/>
        <w:spacing w:line="260" w:lineRule="atLeast"/>
        <w:ind w:left="400"/>
        <w:jc w:val="both"/>
      </w:pPr>
      <w:bookmarkStart w:id="20" w:name="Bookmark_para_10"/>
      <w:bookmarkStart w:id="21" w:name="Bookmark_LNHNREFclscc1"/>
      <w:bookmarkEnd w:id="20"/>
      <w:bookmarkEnd w:id="21"/>
      <w:r>
        <w:rPr>
          <w:rFonts w:ascii="Arial" w:eastAsia="Arial" w:hAnsi="Arial" w:cs="Arial"/>
          <w:color w:val="000000"/>
          <w:sz w:val="20"/>
        </w:rPr>
        <w:t>No person who is twenty years of age or over on the first instructional day of the school year shall be eligible to attend a public school. If a person reaches twenty years of age after the first instructional day of the school year, the person shall be eligible to attend public school for the full school year.</w:t>
      </w:r>
    </w:p>
    <w:p w14:paraId="7371BBEB" w14:textId="77777777" w:rsidR="00D041A2" w:rsidRDefault="00000000">
      <w:pPr>
        <w:pStyle w:val="Normal0"/>
        <w:widowControl w:val="0"/>
        <w:spacing w:before="200" w:line="260" w:lineRule="atLeast"/>
        <w:jc w:val="both"/>
      </w:pPr>
      <w:r>
        <w:rPr>
          <w:rFonts w:ascii="Arial" w:eastAsia="Arial" w:hAnsi="Arial" w:cs="Arial"/>
          <w:color w:val="000000"/>
          <w:sz w:val="20"/>
        </w:rPr>
        <w:t xml:space="preserve">Haw. Rev. Stat. § 302A-1134(c). </w:t>
      </w:r>
      <w:bookmarkStart w:id="22" w:name="Bookmark_LNHNREFclscc2"/>
      <w:bookmarkEnd w:id="22"/>
      <w:r>
        <w:rPr>
          <w:rFonts w:ascii="Arial" w:eastAsia="Arial" w:hAnsi="Arial" w:cs="Arial"/>
          <w:color w:val="000000"/>
          <w:sz w:val="20"/>
        </w:rPr>
        <w:t xml:space="preserve">The law applies to both general-education students and students who receive special-education  [*985]  services under the Individuals with Disabilities Education Act ("IDEA"), 20 U.S.C. § 1400 </w:t>
      </w:r>
      <w:r>
        <w:rPr>
          <w:rFonts w:ascii="Arial" w:eastAsia="Arial" w:hAnsi="Arial" w:cs="Arial"/>
          <w:i/>
          <w:color w:val="000000"/>
          <w:sz w:val="20"/>
        </w:rPr>
        <w:t>et seq</w:t>
      </w:r>
      <w:r>
        <w:rPr>
          <w:rFonts w:ascii="Arial" w:eastAsia="Arial" w:hAnsi="Arial" w:cs="Arial"/>
          <w:color w:val="000000"/>
          <w:sz w:val="20"/>
        </w:rPr>
        <w:t>.</w:t>
      </w:r>
    </w:p>
    <w:p w14:paraId="6D43261F" w14:textId="77777777" w:rsidR="00D041A2" w:rsidRDefault="00000000">
      <w:pPr>
        <w:pStyle w:val="Normal0"/>
        <w:widowControl w:val="0"/>
        <w:spacing w:before="200" w:line="260" w:lineRule="atLeast"/>
        <w:jc w:val="both"/>
      </w:pPr>
      <w:bookmarkStart w:id="23" w:name="Bookmark_para_11"/>
      <w:bookmarkEnd w:id="23"/>
      <w:r>
        <w:rPr>
          <w:rFonts w:ascii="Arial" w:eastAsia="Arial" w:hAnsi="Arial" w:cs="Arial"/>
          <w:color w:val="000000"/>
          <w:sz w:val="20"/>
        </w:rPr>
        <w:t>The State of Hawaii Department of Education ("DOE") administers public education in the state. In addition to conventional public high schools, the agency operates a network of adult-education schools called  [**5] the Community Schools for Adults. DOE materials explain that the Community Schools for Adults offer "Adult Secondary Education" in the form of "tuition-free opportunities for adults and out-of-school youth to earn a high school diploma[.]" The DOE offers two diploma programs: the General Education Development ("GED") program and the Competency Based program ("CB").</w:t>
      </w:r>
    </w:p>
    <w:p w14:paraId="441A67ED" w14:textId="77777777" w:rsidR="00D041A2" w:rsidRDefault="00000000">
      <w:pPr>
        <w:pStyle w:val="Normal0"/>
        <w:widowControl w:val="0"/>
        <w:spacing w:before="200" w:line="260" w:lineRule="atLeast"/>
        <w:jc w:val="both"/>
      </w:pPr>
      <w:bookmarkStart w:id="24" w:name="Bookmark_para_12"/>
      <w:bookmarkEnd w:id="24"/>
      <w:r>
        <w:rPr>
          <w:rFonts w:ascii="Arial" w:eastAsia="Arial" w:hAnsi="Arial" w:cs="Arial"/>
          <w:color w:val="000000"/>
          <w:sz w:val="20"/>
        </w:rPr>
        <w:t>The GED program prepares students to take the GED test, a national standardized high school equivalency exam. Students who achieve adequate scores on the GED test qualify for a high school diploma if they have also completed at least one semester of high school work at either an accredited high school in Hawaii or a Community School for Adults. A high school diploma earned via the GED program permits students to seek admission to the University of Hawaii system.</w:t>
      </w:r>
    </w:p>
    <w:p w14:paraId="4411C1E5" w14:textId="77777777" w:rsidR="00D041A2" w:rsidRDefault="00000000">
      <w:pPr>
        <w:pStyle w:val="Normal0"/>
        <w:widowControl w:val="0"/>
        <w:spacing w:before="200" w:line="260" w:lineRule="atLeast"/>
        <w:jc w:val="both"/>
      </w:pPr>
      <w:bookmarkStart w:id="25" w:name="Bookmark_para_13"/>
      <w:bookmarkEnd w:id="25"/>
      <w:r>
        <w:rPr>
          <w:rFonts w:ascii="Arial" w:eastAsia="Arial" w:hAnsi="Arial" w:cs="Arial"/>
          <w:color w:val="000000"/>
          <w:sz w:val="20"/>
        </w:rPr>
        <w:t>The CB program is a three-semester life-skills program designed to help students become "(1) Functionally literate adults; (2) Productive and contributing citizens/community members; (3) Effective family members; and (4) Productive workers." The program emphasizes skills like household finance, civic participation, and health maintenance. To obtain a high school diploma  [**6] in the CB program, students must complete all five CB courses, earn adequate scores on the various CB exams, and complete at least one "Career Goal," such as finding a job or completing one credit of work at an accredited postsecondary institution.</w:t>
      </w:r>
    </w:p>
    <w:p w14:paraId="78483D03" w14:textId="77777777" w:rsidR="00D041A2" w:rsidRDefault="00000000">
      <w:pPr>
        <w:pStyle w:val="Normal0"/>
        <w:widowControl w:val="0"/>
        <w:spacing w:before="200" w:line="260" w:lineRule="atLeast"/>
        <w:jc w:val="both"/>
      </w:pPr>
      <w:bookmarkStart w:id="26" w:name="Bookmark_para_14"/>
      <w:bookmarkEnd w:id="26"/>
      <w:r>
        <w:rPr>
          <w:rFonts w:ascii="Arial" w:eastAsia="Arial" w:hAnsi="Arial" w:cs="Arial"/>
          <w:color w:val="000000"/>
          <w:sz w:val="20"/>
        </w:rPr>
        <w:t>The Community Schools for Adults are exempt from the strictures of Act 163. Both the GED and CB programs are open to any student 18 or older who lacks a high school diploma.</w:t>
      </w:r>
      <w:r>
        <w:rPr>
          <w:rFonts w:ascii="Arial" w:eastAsia="Arial" w:hAnsi="Arial" w:cs="Arial"/>
          <w:vertAlign w:val="superscript"/>
        </w:rPr>
        <w:footnoteReference w:customMarkFollows="1" w:id="2"/>
        <w:t>1</w:t>
      </w:r>
    </w:p>
    <w:p w14:paraId="06599F98" w14:textId="77777777" w:rsidR="00D041A2" w:rsidRDefault="00000000">
      <w:pPr>
        <w:pStyle w:val="Normal0"/>
        <w:widowControl w:val="0"/>
        <w:spacing w:before="200" w:line="260" w:lineRule="atLeast"/>
        <w:jc w:val="both"/>
      </w:pPr>
      <w:bookmarkStart w:id="28" w:name="Bookmark_para_15"/>
      <w:bookmarkEnd w:id="28"/>
      <w:r>
        <w:rPr>
          <w:rFonts w:ascii="Arial" w:eastAsia="Arial" w:hAnsi="Arial" w:cs="Arial"/>
          <w:color w:val="000000"/>
          <w:sz w:val="20"/>
        </w:rPr>
        <w:t>These adult education programs have sparked litigation because they do not offer IDEA services to disabled students. Students who require special-education services to participate in the classroom cannot pursue diplomas in the Community Schools for Adults after aging out of public education under Act 163. But students without special needs can and do transition directly from Hawaii public high schools to the Community Schools for Adults.</w:t>
      </w:r>
      <w:r>
        <w:rPr>
          <w:rFonts w:ascii="Arial" w:eastAsia="Arial" w:hAnsi="Arial" w:cs="Arial"/>
          <w:vertAlign w:val="superscript"/>
        </w:rPr>
        <w:footnoteReference w:customMarkFollows="1" w:id="3"/>
        <w:t>2</w:t>
      </w:r>
    </w:p>
    <w:p w14:paraId="374C354E" w14:textId="77777777" w:rsidR="00D041A2" w:rsidRDefault="00000000">
      <w:pPr>
        <w:pStyle w:val="Normal0"/>
        <w:widowControl w:val="0"/>
        <w:spacing w:before="200" w:line="260" w:lineRule="atLeast"/>
        <w:jc w:val="both"/>
      </w:pPr>
      <w:bookmarkStart w:id="30" w:name="Bookmark_para_16"/>
      <w:bookmarkEnd w:id="30"/>
      <w:r>
        <w:rPr>
          <w:rFonts w:ascii="Arial" w:eastAsia="Arial" w:hAnsi="Arial" w:cs="Arial"/>
          <w:color w:val="000000"/>
          <w:sz w:val="20"/>
        </w:rPr>
        <w:t>Soon after Act 163 became law, four disabled  [**7] students and their parents, together with the Hawaii Disability Rights Center, filed a class-action complaint in federal district court. The complaint asserted claims under the IDEA, the Americans with Disabilities Act ("ADA"), and the Rehabilitation Act, as well as an estoppel claim. The IDEA claim alleged that Act 163 violated federal law by denying public education to special-needs students aged 20 to 21 while offering it, in the form of the Community Schools for Adults, to students without special needs. The claims under the ADA and Rehabilitation Act alleged that the DOE's exclusion of disabled students from adult education constituted disability discrimination under those statutes. The estoppel claim is not at issue in this appeal.</w:t>
      </w:r>
    </w:p>
    <w:p w14:paraId="01A5B5D3" w14:textId="77777777" w:rsidR="00D041A2" w:rsidRDefault="00000000">
      <w:pPr>
        <w:pStyle w:val="Normal0"/>
        <w:widowControl w:val="0"/>
        <w:spacing w:before="200" w:line="260" w:lineRule="atLeast"/>
        <w:jc w:val="both"/>
      </w:pPr>
      <w:bookmarkStart w:id="31" w:name="Bookmark_para_17"/>
      <w:bookmarkEnd w:id="31"/>
      <w:r>
        <w:rPr>
          <w:rFonts w:ascii="Arial" w:eastAsia="Arial" w:hAnsi="Arial" w:cs="Arial"/>
          <w:color w:val="000000"/>
          <w:sz w:val="20"/>
        </w:rPr>
        <w:t> [*986]  The district court certified a class consisting of all Hawaiian students entitled to special-education services but made ineligible for public education by Act 163. The Plaintiffs and the DOE filed cross-motions for summary judgment. The district court granted summary judgment to the DOE on the estoppel claim, but denied summary judgment to both parties on the remaining claims.</w:t>
      </w:r>
    </w:p>
    <w:p w14:paraId="4D3D13E0" w14:textId="77777777" w:rsidR="00D041A2" w:rsidRDefault="00000000">
      <w:pPr>
        <w:pStyle w:val="Normal0"/>
        <w:widowControl w:val="0"/>
        <w:spacing w:before="200" w:line="260" w:lineRule="atLeast"/>
        <w:jc w:val="both"/>
      </w:pPr>
      <w:bookmarkStart w:id="32" w:name="Bookmark_para_18"/>
      <w:bookmarkEnd w:id="32"/>
      <w:r>
        <w:rPr>
          <w:rFonts w:ascii="Arial" w:eastAsia="Arial" w:hAnsi="Arial" w:cs="Arial"/>
          <w:color w:val="000000"/>
          <w:sz w:val="20"/>
        </w:rPr>
        <w:t>The parties then tried the case in a one-day bench trial. After trial, the  [**8] district court ruled for the DOE on all three claims at issue. On the IDEA claim, the court held that Act 163 was consistent with federal law because the Community Schools for Adults did "not provide the equivalent of a secondary school education to general education students," and because the DOE had no "systemic practice of offering the same or equivalent education to general education students who have aged out while eliminating education services for special education students." On the ADA and Rehabilitation Act claims, the court held that the Plaintiffs had made a prima facie case of disability discrimination, but did not meet their burden of identifying a reasonable accommodation that would allow disabled students to benefit meaningfully from the adult schools. The Plaintiffs</w:t>
      </w:r>
      <w:r>
        <w:rPr>
          <w:rFonts w:ascii="Arial" w:eastAsia="Arial" w:hAnsi="Arial" w:cs="Arial"/>
          <w:vertAlign w:val="superscript"/>
        </w:rPr>
        <w:footnoteReference w:customMarkFollows="1" w:id="4"/>
        <w:t>3</w:t>
      </w:r>
      <w:r>
        <w:rPr>
          <w:rFonts w:ascii="Arial" w:eastAsia="Arial" w:hAnsi="Arial" w:cs="Arial"/>
          <w:color w:val="000000"/>
          <w:sz w:val="20"/>
        </w:rPr>
        <w:t xml:space="preserve"> timely appealed.</w:t>
      </w:r>
    </w:p>
    <w:p w14:paraId="3B30695E" w14:textId="77777777" w:rsidR="00D041A2" w:rsidRDefault="00000000">
      <w:pPr>
        <w:pStyle w:val="Normal0"/>
        <w:widowControl w:val="0"/>
        <w:spacing w:before="240" w:line="260" w:lineRule="atLeast"/>
      </w:pPr>
      <w:r>
        <w:br/>
      </w:r>
      <w:r>
        <w:rPr>
          <w:rFonts w:ascii="Arial" w:eastAsia="Arial" w:hAnsi="Arial" w:cs="Arial"/>
          <w:b/>
          <w:color w:val="000000"/>
          <w:sz w:val="20"/>
        </w:rPr>
        <w:t>Analysis</w:t>
      </w:r>
    </w:p>
    <w:p w14:paraId="4B471D27" w14:textId="77777777" w:rsidR="00D041A2" w:rsidRDefault="00000000">
      <w:pPr>
        <w:pStyle w:val="Normal0"/>
        <w:widowControl w:val="0"/>
        <w:spacing w:before="240" w:line="260" w:lineRule="atLeast"/>
      </w:pPr>
      <w:r>
        <w:br/>
      </w:r>
      <w:r>
        <w:rPr>
          <w:rFonts w:ascii="Arial" w:eastAsia="Arial" w:hAnsi="Arial" w:cs="Arial"/>
          <w:b/>
          <w:color w:val="000000"/>
          <w:sz w:val="20"/>
        </w:rPr>
        <w:t>1. IDEA claim</w:t>
      </w:r>
      <w:r>
        <w:rPr>
          <w:rFonts w:ascii="Arial" w:eastAsia="Arial" w:hAnsi="Arial" w:cs="Arial"/>
          <w:color w:val="000000"/>
          <w:sz w:val="20"/>
        </w:rPr>
        <w:t>.</w:t>
      </w:r>
    </w:p>
    <w:p w14:paraId="0236517D" w14:textId="77777777" w:rsidR="00D041A2" w:rsidRDefault="00000000">
      <w:pPr>
        <w:pStyle w:val="Normal0"/>
        <w:widowControl w:val="0"/>
        <w:spacing w:before="200" w:line="260" w:lineRule="atLeast"/>
        <w:jc w:val="both"/>
      </w:pPr>
      <w:bookmarkStart w:id="34" w:name="Bookmark_para_19"/>
      <w:bookmarkEnd w:id="34"/>
      <w:r>
        <w:rPr>
          <w:rFonts w:ascii="Arial" w:eastAsia="Arial" w:hAnsi="Arial" w:cs="Arial"/>
          <w:color w:val="000000"/>
          <w:sz w:val="20"/>
        </w:rPr>
        <w:t>We first must decide whether Act 163 runs afoul of the IDEA, which restricts the power of states to  [**9] establish age limits on special-education eligibility in certain circumstances. We hold that it does.</w:t>
      </w:r>
    </w:p>
    <w:p w14:paraId="78E0E699" w14:textId="77777777" w:rsidR="00D041A2" w:rsidRDefault="00000000">
      <w:pPr>
        <w:pStyle w:val="Normal0"/>
        <w:widowControl w:val="0"/>
        <w:spacing w:before="200" w:line="260" w:lineRule="atLeast"/>
        <w:jc w:val="both"/>
      </w:pPr>
      <w:bookmarkStart w:id="35" w:name="Bookmark_para_20"/>
      <w:bookmarkStart w:id="36" w:name="Bookmark_I59CFCN92SF86V0020000400"/>
      <w:bookmarkStart w:id="37" w:name="Bookmark_LNHNREFclscc3"/>
      <w:bookmarkEnd w:id="35"/>
      <w:bookmarkEnd w:id="36"/>
      <w:bookmarkEnd w:id="37"/>
      <w:r>
        <w:rPr>
          <w:rFonts w:ascii="Arial" w:eastAsia="Arial" w:hAnsi="Arial" w:cs="Arial"/>
          <w:color w:val="000000"/>
          <w:sz w:val="20"/>
        </w:rPr>
        <w:t xml:space="preserve">The IDEA requires states to provide a "free appropriate public education" to all children with disabilities residing in the state "between the ages of 3 and 21, inclusive[.]" 20 U.S.C. § 1412(a)(1)(A). As a result, a student's eligibility for IDEA services ordinarily ends on his twenty-second birthday. </w:t>
      </w:r>
      <w:r>
        <w:rPr>
          <w:rFonts w:ascii="Arial" w:eastAsia="Arial" w:hAnsi="Arial" w:cs="Arial"/>
          <w:i/>
          <w:color w:val="000000"/>
          <w:sz w:val="20"/>
        </w:rPr>
        <w:t xml:space="preserve">See </w:t>
      </w:r>
      <w:bookmarkStart w:id="38" w:name="Bookmark_I59CFCN92SF86V0010000400"/>
      <w:bookmarkEnd w:id="38"/>
      <w:r>
        <w:rPr>
          <w:rFonts w:ascii="Arial" w:eastAsia="Arial" w:hAnsi="Arial" w:cs="Arial"/>
          <w:i/>
          <w:color w:val="000000"/>
          <w:sz w:val="20"/>
        </w:rPr>
        <w:t>L.A. Unified Sch. Dist. v. Garcia</w:t>
      </w:r>
      <w:r>
        <w:rPr>
          <w:rFonts w:ascii="Arial" w:eastAsia="Arial" w:hAnsi="Arial" w:cs="Arial"/>
          <w:color w:val="000000"/>
          <w:sz w:val="20"/>
        </w:rPr>
        <w:t>, 669 F.3d 956, 959 (9th Cir. 2012). The statute creates an exception to the age limit, however. A state's duty to provide special education to children with disabilities does not extend to children aged 3 through 5 or 18 through 21 "to the extent that [the duty's] application to those children would be inconsistent with State law or practice, or the order of any court, respecting the provision of public education to children in those age ranges." 20 U.S.C. § 1412(a)(1)(B)(i).</w:t>
      </w:r>
    </w:p>
    <w:p w14:paraId="66FB72A5" w14:textId="77777777" w:rsidR="00D041A2" w:rsidRDefault="00000000">
      <w:pPr>
        <w:pStyle w:val="Normal0"/>
        <w:widowControl w:val="0"/>
        <w:spacing w:before="200" w:line="260" w:lineRule="atLeast"/>
        <w:jc w:val="both"/>
      </w:pPr>
      <w:bookmarkStart w:id="39" w:name="Bookmark_para_21"/>
      <w:bookmarkEnd w:id="39"/>
      <w:r>
        <w:rPr>
          <w:rFonts w:ascii="Arial" w:eastAsia="Arial" w:hAnsi="Arial" w:cs="Arial"/>
          <w:color w:val="000000"/>
          <w:sz w:val="20"/>
        </w:rPr>
        <w:t xml:space="preserve">We have never interpreted this exception to the IDEA's default age limit, and the text is not completely pellucid. What does it mean for the IDEA's application to students aged 18 to 21 to be "inconsistent with State law or practice . . . respecting the provision of public education"  [**10] in a state? </w:t>
      </w:r>
      <w:r>
        <w:rPr>
          <w:rFonts w:ascii="Arial" w:eastAsia="Arial" w:hAnsi="Arial" w:cs="Arial"/>
          <w:i/>
          <w:color w:val="000000"/>
          <w:sz w:val="20"/>
        </w:rPr>
        <w:t>Id</w:t>
      </w:r>
      <w:r>
        <w:rPr>
          <w:rFonts w:ascii="Arial" w:eastAsia="Arial" w:hAnsi="Arial" w:cs="Arial"/>
          <w:color w:val="000000"/>
          <w:sz w:val="20"/>
        </w:rPr>
        <w:t>. The corresponding federal regulations are little help, as they simply reiterate the statutory language in nearly identical terms:</w:t>
      </w:r>
    </w:p>
    <w:p w14:paraId="576A0679" w14:textId="77777777" w:rsidR="00D041A2" w:rsidRDefault="00000000">
      <w:pPr>
        <w:pStyle w:val="Normal0"/>
        <w:widowControl w:val="0"/>
        <w:spacing w:line="260" w:lineRule="atLeast"/>
        <w:ind w:left="400"/>
        <w:jc w:val="both"/>
      </w:pPr>
      <w:bookmarkStart w:id="40" w:name="Bookmark_para_22"/>
      <w:bookmarkStart w:id="41" w:name="Bookmark_LNHNREFclscc4"/>
      <w:bookmarkEnd w:id="40"/>
      <w:bookmarkEnd w:id="41"/>
      <w:r>
        <w:rPr>
          <w:rFonts w:ascii="Arial" w:eastAsia="Arial" w:hAnsi="Arial" w:cs="Arial"/>
          <w:color w:val="000000"/>
          <w:sz w:val="20"/>
        </w:rPr>
        <w:t>The obligation to make [a free and appropriate public education] available to all children with disabilities does not apply with respect to . . . [c]hildren aged 3, 4, 5, 18, 19, 20, or 21 in a State to the extent that its application to those children would be inconsistent with State law or practice . . . respecting the provision of public education to children of those ages.</w:t>
      </w:r>
    </w:p>
    <w:p w14:paraId="19872454" w14:textId="77777777" w:rsidR="00D041A2" w:rsidRDefault="00000000">
      <w:pPr>
        <w:pStyle w:val="Normal0"/>
        <w:widowControl w:val="0"/>
        <w:spacing w:line="260" w:lineRule="atLeast"/>
        <w:jc w:val="both"/>
      </w:pPr>
      <w:r>
        <w:rPr>
          <w:rFonts w:ascii="Arial" w:eastAsia="Arial" w:hAnsi="Arial" w:cs="Arial"/>
          <w:color w:val="000000"/>
          <w:sz w:val="20"/>
        </w:rPr>
        <w:t>34 C.F.R. § 300.102(a).</w:t>
      </w:r>
    </w:p>
    <w:p w14:paraId="70897238" w14:textId="77777777" w:rsidR="00D041A2" w:rsidRDefault="00000000">
      <w:pPr>
        <w:pStyle w:val="Normal0"/>
        <w:widowControl w:val="0"/>
        <w:spacing w:before="200" w:line="260" w:lineRule="atLeast"/>
        <w:jc w:val="both"/>
      </w:pPr>
      <w:bookmarkStart w:id="42" w:name="Bookmark_para_23"/>
      <w:bookmarkStart w:id="43" w:name="Bookmark_I59CFCN92SF86V0040000400"/>
      <w:bookmarkEnd w:id="42"/>
      <w:bookmarkEnd w:id="43"/>
      <w:r>
        <w:rPr>
          <w:rFonts w:ascii="Arial" w:eastAsia="Arial" w:hAnsi="Arial" w:cs="Arial"/>
          <w:color w:val="000000"/>
          <w:sz w:val="20"/>
        </w:rPr>
        <w:t xml:space="preserve">Happily, the IDEA's legislative history sheds some light on the exception's meaning.  [*987]  </w:t>
      </w:r>
      <w:r>
        <w:rPr>
          <w:rFonts w:ascii="Arial" w:eastAsia="Arial" w:hAnsi="Arial" w:cs="Arial"/>
          <w:i/>
          <w:color w:val="000000"/>
          <w:sz w:val="20"/>
        </w:rPr>
        <w:t xml:space="preserve">See </w:t>
      </w:r>
      <w:bookmarkStart w:id="44" w:name="Bookmark_I59CFCN92SF86V0030000400"/>
      <w:bookmarkEnd w:id="44"/>
      <w:r>
        <w:rPr>
          <w:rFonts w:ascii="Arial" w:eastAsia="Arial" w:hAnsi="Arial" w:cs="Arial"/>
          <w:i/>
          <w:color w:val="000000"/>
          <w:sz w:val="20"/>
        </w:rPr>
        <w:t>Jonah R. v. Carmona</w:t>
      </w:r>
      <w:r>
        <w:rPr>
          <w:rFonts w:ascii="Arial" w:eastAsia="Arial" w:hAnsi="Arial" w:cs="Arial"/>
          <w:color w:val="000000"/>
          <w:sz w:val="20"/>
        </w:rPr>
        <w:t>, 446 F.3d 1000, 1005 (9th Cir. 2006) ("</w:t>
      </w:r>
      <w:bookmarkStart w:id="45" w:name="Bookmark_LNHNREFclscc5"/>
      <w:bookmarkEnd w:id="45"/>
      <w:r>
        <w:rPr>
          <w:rFonts w:ascii="Arial" w:eastAsia="Arial" w:hAnsi="Arial" w:cs="Arial"/>
          <w:color w:val="000000"/>
          <w:sz w:val="20"/>
        </w:rPr>
        <w:t>If the statute's terms are ambiguous, we may use canons of construction, legislative history, and the statute's overall purpose to illuminate Congress's intent."). The Senate Report accompanying the 1975 statute</w:t>
      </w:r>
      <w:r>
        <w:rPr>
          <w:rFonts w:ascii="Arial" w:eastAsia="Arial" w:hAnsi="Arial" w:cs="Arial"/>
          <w:vertAlign w:val="superscript"/>
        </w:rPr>
        <w:footnoteReference w:customMarkFollows="1" w:id="5"/>
        <w:t>4</w:t>
      </w:r>
      <w:r>
        <w:rPr>
          <w:rFonts w:ascii="Arial" w:eastAsia="Arial" w:hAnsi="Arial" w:cs="Arial"/>
          <w:color w:val="000000"/>
          <w:sz w:val="20"/>
        </w:rPr>
        <w:t xml:space="preserve"> that created the exception explains that states are free to elect not to provide special education to disabled students between 18 and 21, but only if they </w:t>
      </w:r>
      <w:r>
        <w:rPr>
          <w:rFonts w:ascii="Arial" w:eastAsia="Arial" w:hAnsi="Arial" w:cs="Arial"/>
          <w:i/>
          <w:color w:val="000000"/>
          <w:sz w:val="20"/>
        </w:rPr>
        <w:t>also</w:t>
      </w:r>
      <w:r>
        <w:rPr>
          <w:rFonts w:ascii="Arial" w:eastAsia="Arial" w:hAnsi="Arial" w:cs="Arial"/>
          <w:color w:val="000000"/>
          <w:sz w:val="20"/>
        </w:rPr>
        <w:t xml:space="preserve"> elect not to provide "free public education" to nondisabled students:</w:t>
      </w:r>
    </w:p>
    <w:p w14:paraId="63EFC807" w14:textId="77777777" w:rsidR="00D041A2" w:rsidRDefault="00000000">
      <w:pPr>
        <w:pStyle w:val="Normal0"/>
        <w:widowControl w:val="0"/>
        <w:spacing w:before="200" w:line="260" w:lineRule="atLeast"/>
        <w:ind w:left="400"/>
        <w:jc w:val="both"/>
      </w:pPr>
      <w:bookmarkStart w:id="47" w:name="Bookmark_para_24"/>
      <w:bookmarkEnd w:id="47"/>
      <w:r>
        <w:rPr>
          <w:rFonts w:ascii="Arial" w:eastAsia="Arial" w:hAnsi="Arial" w:cs="Arial"/>
          <w:color w:val="000000"/>
          <w:sz w:val="20"/>
        </w:rPr>
        <w:t>This exception with respect to handicapped children aged three  [**11] to five and aged eighteen to twenty-one, inclusive [in 20 U.S.C. § 1412(a)(1)(B)(i)] is intended to exempt states from the provisions of this Act establishing a timetable for providing a free appropriate public education in these age groups in the following circumstances: . . .</w:t>
      </w:r>
    </w:p>
    <w:p w14:paraId="00D98DC9" w14:textId="77777777" w:rsidR="00D041A2" w:rsidRDefault="00000000">
      <w:pPr>
        <w:pStyle w:val="Normal0"/>
        <w:widowControl w:val="0"/>
        <w:spacing w:line="260" w:lineRule="atLeast"/>
        <w:ind w:left="800"/>
        <w:jc w:val="both"/>
      </w:pPr>
      <w:bookmarkStart w:id="48" w:name="Bookmark_para_25"/>
      <w:bookmarkEnd w:id="48"/>
      <w:r>
        <w:rPr>
          <w:rFonts w:ascii="Arial" w:eastAsia="Arial" w:hAnsi="Arial" w:cs="Arial"/>
          <w:color w:val="000000"/>
          <w:sz w:val="20"/>
        </w:rPr>
        <w:t>(2) where a State does not in fact provide or assure the provision of free public education to handicapped children in these age groups; . . . .</w:t>
      </w:r>
    </w:p>
    <w:p w14:paraId="3521184F" w14:textId="77777777" w:rsidR="00D041A2" w:rsidRDefault="00000000">
      <w:pPr>
        <w:pStyle w:val="Normal0"/>
        <w:widowControl w:val="0"/>
        <w:spacing w:line="260" w:lineRule="atLeast"/>
        <w:ind w:left="400"/>
        <w:jc w:val="both"/>
      </w:pPr>
      <w:r>
        <w:rPr>
          <w:rFonts w:ascii="Arial" w:eastAsia="Arial" w:hAnsi="Arial" w:cs="Arial"/>
          <w:color w:val="000000"/>
          <w:sz w:val="20"/>
        </w:rPr>
        <w:t>This exception shall not apply in the following circumstances:</w:t>
      </w:r>
    </w:p>
    <w:p w14:paraId="51AE62B2" w14:textId="77777777" w:rsidR="00D041A2" w:rsidRDefault="00000000">
      <w:pPr>
        <w:pStyle w:val="Normal0"/>
        <w:widowControl w:val="0"/>
        <w:spacing w:line="260" w:lineRule="atLeast"/>
        <w:ind w:left="800"/>
        <w:jc w:val="both"/>
      </w:pPr>
      <w:bookmarkStart w:id="49" w:name="Bookmark_para_26"/>
      <w:bookmarkEnd w:id="49"/>
      <w:r>
        <w:rPr>
          <w:rFonts w:ascii="Arial" w:eastAsia="Arial" w:hAnsi="Arial" w:cs="Arial"/>
          <w:color w:val="000000"/>
          <w:sz w:val="20"/>
        </w:rPr>
        <w:t>(1) where a state does now in fact provide or assure the provision of free public education to non-handicapped children in these age groups . . . .</w:t>
      </w:r>
    </w:p>
    <w:p w14:paraId="2A0D1D65" w14:textId="77777777" w:rsidR="00D041A2" w:rsidRDefault="00000000">
      <w:pPr>
        <w:pStyle w:val="Normal0"/>
        <w:widowControl w:val="0"/>
        <w:spacing w:line="260" w:lineRule="atLeast"/>
        <w:jc w:val="both"/>
      </w:pPr>
      <w:r>
        <w:rPr>
          <w:rFonts w:ascii="Arial" w:eastAsia="Arial" w:hAnsi="Arial" w:cs="Arial"/>
          <w:color w:val="000000"/>
          <w:sz w:val="20"/>
        </w:rPr>
        <w:t>S. Rep. No. 94-168, 1442-43 (1975).</w:t>
      </w:r>
    </w:p>
    <w:p w14:paraId="542D7BDD" w14:textId="77777777" w:rsidR="00D041A2" w:rsidRDefault="00000000">
      <w:pPr>
        <w:pStyle w:val="Normal0"/>
        <w:widowControl w:val="0"/>
        <w:spacing w:before="200" w:line="260" w:lineRule="atLeast"/>
        <w:jc w:val="both"/>
      </w:pPr>
      <w:bookmarkStart w:id="50" w:name="Bookmark_para_27"/>
      <w:bookmarkEnd w:id="50"/>
      <w:r>
        <w:rPr>
          <w:rFonts w:ascii="Arial" w:eastAsia="Arial" w:hAnsi="Arial" w:cs="Arial"/>
          <w:color w:val="000000"/>
          <w:sz w:val="20"/>
        </w:rPr>
        <w:t>In light of this legislative history, we interpret § 1412(a)(1)(B)(i) to mean that Hawaii cannot deny special education to disabled students aged  [**12] 18 through 21 if it in fact provides "free public education" to nondisabled students in that range of ages.</w:t>
      </w:r>
    </w:p>
    <w:p w14:paraId="6FF5B4C2" w14:textId="77777777" w:rsidR="00D041A2" w:rsidRDefault="00000000">
      <w:pPr>
        <w:pStyle w:val="Normal0"/>
        <w:widowControl w:val="0"/>
        <w:spacing w:before="200" w:line="260" w:lineRule="atLeast"/>
        <w:jc w:val="both"/>
      </w:pPr>
      <w:bookmarkStart w:id="51" w:name="Bookmark_para_28"/>
      <w:bookmarkEnd w:id="51"/>
      <w:r>
        <w:rPr>
          <w:rFonts w:ascii="Arial" w:eastAsia="Arial" w:hAnsi="Arial" w:cs="Arial"/>
          <w:color w:val="000000"/>
          <w:sz w:val="20"/>
        </w:rPr>
        <w:t>The fate of Act 163 comes down to whether the diploma programs offered by the Community Schools for Adults constitute "free public education." Act 163 makes some 20-year-old and all 21-year-old students ineligible for public education in Hawaii. For disabled students, the Act functions as an age limit on eligibility for IDEA services. E.R.K. argues that by providing the GED and CB programs to nondisabled 20- and 21-year-olds, Hawaii offers public education on unequal terms. The DOE rejoins that the GED and CB programs are not "free public education" as the IDEA uses that term, so making them available to nondisabled 20- and 21-year-olds does not beget a concomitant obligation to publicly educate disabled students of the same ages.</w:t>
      </w:r>
    </w:p>
    <w:p w14:paraId="402470C3" w14:textId="77777777" w:rsidR="00D041A2" w:rsidRDefault="00000000">
      <w:pPr>
        <w:pStyle w:val="Normal0"/>
        <w:widowControl w:val="0"/>
        <w:spacing w:before="200" w:line="260" w:lineRule="atLeast"/>
        <w:jc w:val="both"/>
      </w:pPr>
      <w:bookmarkStart w:id="52" w:name="Bookmark_para_29"/>
      <w:bookmarkStart w:id="53" w:name="Bookmark_I59CFCN928T48K0010000400"/>
      <w:bookmarkEnd w:id="52"/>
      <w:bookmarkEnd w:id="53"/>
      <w:r>
        <w:rPr>
          <w:rFonts w:ascii="Arial" w:eastAsia="Arial" w:hAnsi="Arial" w:cs="Arial"/>
          <w:color w:val="000000"/>
          <w:sz w:val="20"/>
        </w:rPr>
        <w:t xml:space="preserve">To determine whether the adult-education programs are "free public education," we naturally begin with the text of the IDEA. </w:t>
      </w:r>
      <w:r>
        <w:rPr>
          <w:rFonts w:ascii="Arial" w:eastAsia="Arial" w:hAnsi="Arial" w:cs="Arial"/>
          <w:i/>
          <w:color w:val="000000"/>
          <w:sz w:val="20"/>
        </w:rPr>
        <w:t xml:space="preserve">See </w:t>
      </w:r>
      <w:bookmarkStart w:id="54" w:name="Bookmark_I59CFCN92SF86V0050000400"/>
      <w:bookmarkEnd w:id="54"/>
      <w:r>
        <w:rPr>
          <w:rFonts w:ascii="Arial" w:eastAsia="Arial" w:hAnsi="Arial" w:cs="Arial"/>
          <w:i/>
          <w:color w:val="000000"/>
          <w:sz w:val="20"/>
        </w:rPr>
        <w:t>Dzyuba v. Mukasey</w:t>
      </w:r>
      <w:r>
        <w:rPr>
          <w:rFonts w:ascii="Arial" w:eastAsia="Arial" w:hAnsi="Arial" w:cs="Arial"/>
          <w:color w:val="000000"/>
          <w:sz w:val="20"/>
        </w:rPr>
        <w:t>, 540 F.3d 955, 956 (9th Cir. 2008) ("</w:t>
      </w:r>
      <w:bookmarkStart w:id="55" w:name="Bookmark_LNHNREFclscc6"/>
      <w:bookmarkEnd w:id="55"/>
      <w:r>
        <w:rPr>
          <w:rFonts w:ascii="Arial" w:eastAsia="Arial" w:hAnsi="Arial" w:cs="Arial"/>
          <w:color w:val="000000"/>
          <w:sz w:val="20"/>
        </w:rPr>
        <w:t xml:space="preserve">[W]e construe the meaning of a given word by reference to the context of a particular statutory regime."); </w:t>
      </w:r>
      <w:r>
        <w:rPr>
          <w:rFonts w:ascii="Arial" w:eastAsia="Arial" w:hAnsi="Arial" w:cs="Arial"/>
          <w:i/>
          <w:color w:val="000000"/>
          <w:sz w:val="20"/>
        </w:rPr>
        <w:t xml:space="preserve">see also </w:t>
      </w:r>
      <w:bookmarkStart w:id="56" w:name="Bookmark_I59CFCN928T48K0020000400"/>
      <w:bookmarkEnd w:id="56"/>
      <w:r>
        <w:rPr>
          <w:rFonts w:ascii="Arial" w:eastAsia="Arial" w:hAnsi="Arial" w:cs="Arial"/>
          <w:i/>
          <w:color w:val="000000"/>
          <w:sz w:val="20"/>
        </w:rPr>
        <w:t>Brown v. Gardner</w:t>
      </w:r>
      <w:r>
        <w:rPr>
          <w:rFonts w:ascii="Arial" w:eastAsia="Arial" w:hAnsi="Arial" w:cs="Arial"/>
          <w:color w:val="000000"/>
          <w:sz w:val="20"/>
        </w:rPr>
        <w:t xml:space="preserve">, 513 U.S. 115, 118, 115 S. Ct. 552, 130 L. Ed. 2d 462 (1994) ("[T]here  [**13] is a presumption that a given term is used to mean the same thing throughout a statute . . . ."). </w:t>
      </w:r>
      <w:bookmarkStart w:id="57" w:name="Bookmark_LNHNREFclscc7"/>
      <w:bookmarkEnd w:id="57"/>
      <w:r>
        <w:rPr>
          <w:rFonts w:ascii="Arial" w:eastAsia="Arial" w:hAnsi="Arial" w:cs="Arial"/>
          <w:color w:val="000000"/>
          <w:sz w:val="20"/>
        </w:rPr>
        <w:t>The IDEA does not offer a statutory definition of "free public education," but it does explicitly define the closely related phrase "free appropriate public education" as "special education and related services" that:</w:t>
      </w:r>
    </w:p>
    <w:p w14:paraId="5106AD19" w14:textId="77777777" w:rsidR="00D041A2" w:rsidRDefault="00000000">
      <w:pPr>
        <w:pStyle w:val="Normal0"/>
        <w:widowControl w:val="0"/>
        <w:spacing w:line="260" w:lineRule="atLeast"/>
        <w:ind w:left="400"/>
        <w:jc w:val="both"/>
      </w:pPr>
      <w:bookmarkStart w:id="58" w:name="Bookmark_para_30"/>
      <w:bookmarkStart w:id="59" w:name="Bookmark_I59CFCN928T48K0010000400_2"/>
      <w:bookmarkEnd w:id="58"/>
      <w:bookmarkEnd w:id="59"/>
      <w:r>
        <w:rPr>
          <w:rFonts w:ascii="Arial" w:eastAsia="Arial" w:hAnsi="Arial" w:cs="Arial"/>
          <w:color w:val="000000"/>
          <w:sz w:val="20"/>
        </w:rPr>
        <w:t>(A) have been provided at public expense, under public supervision and direction, and without charge;</w:t>
      </w:r>
    </w:p>
    <w:p w14:paraId="082B8422" w14:textId="77777777" w:rsidR="00D041A2" w:rsidRDefault="00000000">
      <w:pPr>
        <w:pStyle w:val="Normal0"/>
        <w:widowControl w:val="0"/>
        <w:spacing w:line="260" w:lineRule="atLeast"/>
        <w:ind w:left="400"/>
        <w:jc w:val="both"/>
      </w:pPr>
      <w:bookmarkStart w:id="60" w:name="Bookmark_para_31"/>
      <w:bookmarkEnd w:id="60"/>
      <w:r>
        <w:rPr>
          <w:rFonts w:ascii="Arial" w:eastAsia="Arial" w:hAnsi="Arial" w:cs="Arial"/>
          <w:color w:val="000000"/>
          <w:sz w:val="20"/>
        </w:rPr>
        <w:t>(B) meet the standards of the State educational agency;</w:t>
      </w:r>
    </w:p>
    <w:p w14:paraId="0878BCFC" w14:textId="77777777" w:rsidR="00D041A2" w:rsidRDefault="00000000">
      <w:pPr>
        <w:pStyle w:val="Normal0"/>
        <w:widowControl w:val="0"/>
        <w:spacing w:before="200" w:line="260" w:lineRule="atLeast"/>
        <w:ind w:left="400"/>
        <w:jc w:val="both"/>
      </w:pPr>
      <w:bookmarkStart w:id="61" w:name="Bookmark_para_32"/>
      <w:bookmarkEnd w:id="61"/>
      <w:r>
        <w:rPr>
          <w:rFonts w:ascii="Arial" w:eastAsia="Arial" w:hAnsi="Arial" w:cs="Arial"/>
          <w:color w:val="000000"/>
          <w:sz w:val="20"/>
        </w:rPr>
        <w:t> [*988]  (C) include an appropriate preschool, elementary school, or secondary school education in the State involved; and</w:t>
      </w:r>
    </w:p>
    <w:p w14:paraId="1AF6BE9B" w14:textId="77777777" w:rsidR="00D041A2" w:rsidRDefault="00000000">
      <w:pPr>
        <w:pStyle w:val="Normal0"/>
        <w:widowControl w:val="0"/>
        <w:spacing w:line="260" w:lineRule="atLeast"/>
        <w:ind w:left="400"/>
        <w:jc w:val="both"/>
      </w:pPr>
      <w:bookmarkStart w:id="62" w:name="Bookmark_para_33"/>
      <w:bookmarkEnd w:id="62"/>
      <w:r>
        <w:rPr>
          <w:rFonts w:ascii="Arial" w:eastAsia="Arial" w:hAnsi="Arial" w:cs="Arial"/>
          <w:color w:val="000000"/>
          <w:sz w:val="20"/>
        </w:rPr>
        <w:t>(D) are provided in conformity with the individualized education program required under section 1414(d) of this title.</w:t>
      </w:r>
    </w:p>
    <w:p w14:paraId="06FAF67C" w14:textId="77777777" w:rsidR="00D041A2" w:rsidRDefault="00000000">
      <w:pPr>
        <w:pStyle w:val="Normal0"/>
        <w:widowControl w:val="0"/>
        <w:spacing w:before="200" w:line="260" w:lineRule="atLeast"/>
        <w:jc w:val="both"/>
      </w:pPr>
      <w:r>
        <w:rPr>
          <w:rFonts w:ascii="Arial" w:eastAsia="Arial" w:hAnsi="Arial" w:cs="Arial"/>
          <w:color w:val="000000"/>
          <w:sz w:val="20"/>
        </w:rPr>
        <w:t xml:space="preserve">20 U.S.C. § 1401(9). Once we strip out those aspects of this definition that clearly relate to the education's "appropriateness," as opposed to its "free" and "public" character, we are left with a reliable index of what "free public education" means in § 1412(a)(1)(B)(i). The second and fourth criteria seem to delineate an education's appropriateness. (Surely an education can be both free and public even if it is inappropriate because it fails to meet state standards or to conform with an individualized  [**14] education program.) We are left with a bipartite definition: </w:t>
      </w:r>
      <w:bookmarkStart w:id="63" w:name="Bookmark_LNHNREFclscc8"/>
      <w:bookmarkEnd w:id="63"/>
      <w:r>
        <w:rPr>
          <w:rFonts w:ascii="Arial" w:eastAsia="Arial" w:hAnsi="Arial" w:cs="Arial"/>
          <w:color w:val="000000"/>
          <w:sz w:val="20"/>
        </w:rPr>
        <w:t>a "free public education" is one that is 1) provided at public expense, under public supervision and direction, and without charge; and 2) involves preschool, elementary, or secondary education.</w:t>
      </w:r>
    </w:p>
    <w:p w14:paraId="64CEB309" w14:textId="77777777" w:rsidR="00D041A2" w:rsidRDefault="00000000">
      <w:pPr>
        <w:pStyle w:val="Normal0"/>
        <w:widowControl w:val="0"/>
        <w:spacing w:before="200" w:line="260" w:lineRule="atLeast"/>
        <w:jc w:val="both"/>
      </w:pPr>
      <w:bookmarkStart w:id="64" w:name="Bookmark_para_34"/>
      <w:bookmarkEnd w:id="64"/>
      <w:r>
        <w:rPr>
          <w:rFonts w:ascii="Arial" w:eastAsia="Arial" w:hAnsi="Arial" w:cs="Arial"/>
          <w:color w:val="000000"/>
          <w:sz w:val="20"/>
        </w:rPr>
        <w:t xml:space="preserve">The first prong of this definition is consistent with the plain meaning of "free public education." A "public" institution is one that is "accessible . . . to all members of the community" and which "provid[es] services to the people . . . under some degree of civic or state control." Webster's Third New International Dictionary 1836 (1968). "Free" means "without charge." </w:t>
      </w:r>
      <w:r>
        <w:rPr>
          <w:rFonts w:ascii="Arial" w:eastAsia="Arial" w:hAnsi="Arial" w:cs="Arial"/>
          <w:i/>
          <w:color w:val="000000"/>
          <w:sz w:val="20"/>
        </w:rPr>
        <w:t>Id</w:t>
      </w:r>
      <w:r>
        <w:rPr>
          <w:rFonts w:ascii="Arial" w:eastAsia="Arial" w:hAnsi="Arial" w:cs="Arial"/>
          <w:color w:val="000000"/>
          <w:sz w:val="20"/>
        </w:rPr>
        <w:t xml:space="preserve">. at 905. The second prong of the definition—that "free public education" means preschool, elementary, or secondary education—is not apparent from the plain meaning of the phrase, but is derived from the IDEA's limited scope. Because the IDEA applies only to preschool, elementary, or secondary education, </w:t>
      </w:r>
      <w:r>
        <w:rPr>
          <w:rFonts w:ascii="Arial" w:eastAsia="Arial" w:hAnsi="Arial" w:cs="Arial"/>
          <w:i/>
          <w:color w:val="000000"/>
          <w:sz w:val="20"/>
        </w:rPr>
        <w:t>see</w:t>
      </w:r>
      <w:r>
        <w:rPr>
          <w:rFonts w:ascii="Arial" w:eastAsia="Arial" w:hAnsi="Arial" w:cs="Arial"/>
          <w:color w:val="000000"/>
          <w:sz w:val="20"/>
        </w:rPr>
        <w:t xml:space="preserve"> 20 U.S.C. § 1401(9), we do not think § 1412(a)(1)(B)(i) refers to public education outside those same categories.</w:t>
      </w:r>
    </w:p>
    <w:p w14:paraId="68B73EC0" w14:textId="77777777" w:rsidR="00D041A2" w:rsidRDefault="00000000">
      <w:pPr>
        <w:pStyle w:val="Normal0"/>
        <w:widowControl w:val="0"/>
        <w:spacing w:before="200" w:line="260" w:lineRule="atLeast"/>
        <w:jc w:val="both"/>
      </w:pPr>
      <w:bookmarkStart w:id="65" w:name="Bookmark_para_35"/>
      <w:bookmarkEnd w:id="65"/>
      <w:r>
        <w:rPr>
          <w:rFonts w:ascii="Arial" w:eastAsia="Arial" w:hAnsi="Arial" w:cs="Arial"/>
          <w:color w:val="000000"/>
          <w:sz w:val="20"/>
        </w:rPr>
        <w:t>The GED and CB programs clearly satisfy the first prong of the definition. The district court found, and neither party disputes, that the Community  [**15] Schools for Adults are provided at public expense and are free to students. Nor does the DOE deny that the schools operate under its supervision and direction as a public agency.</w:t>
      </w:r>
    </w:p>
    <w:p w14:paraId="58EF4DD3" w14:textId="77777777" w:rsidR="00D041A2" w:rsidRDefault="00000000">
      <w:pPr>
        <w:pStyle w:val="Normal0"/>
        <w:widowControl w:val="0"/>
        <w:spacing w:before="200" w:line="260" w:lineRule="atLeast"/>
        <w:jc w:val="both"/>
      </w:pPr>
      <w:bookmarkStart w:id="66" w:name="Bookmark_para_36"/>
      <w:bookmarkEnd w:id="66"/>
      <w:r>
        <w:rPr>
          <w:rFonts w:ascii="Arial" w:eastAsia="Arial" w:hAnsi="Arial" w:cs="Arial"/>
          <w:color w:val="000000"/>
          <w:sz w:val="20"/>
        </w:rPr>
        <w:t xml:space="preserve">The GED and CB programs also satisfy the second prong because they are programs of secondary school education. The DOE's own officers acknowledge that the GED and CB high school diploma programs are designed "to ensure that the graduates are prepared for transitions to post secondary education[.]" If students are only able to pursue "postsecondary" education after they earn a high school diploma in the GED or CB programs, it stands to reason that those programs constitute "secondary" education. The record is replete with additional evidence that the DOE considers the GED and CB programs to offer a secondary education for adults. A section of the DOE's website, titled "What are Community Schools for Adults?", enumerates the "wide variety of courses" offered by the adult schools. The second item reads: "Secondary education . . . courses to complete your high school graduation requirements." The DOE's characterization of the adult school programs comports with the common-sense view that high school diploma programs  [**16] are quintessentially secondary education, whether they are offered to teenagers or adults. </w:t>
      </w:r>
      <w:r>
        <w:rPr>
          <w:rFonts w:ascii="Arial" w:eastAsia="Arial" w:hAnsi="Arial" w:cs="Arial"/>
          <w:i/>
          <w:color w:val="000000"/>
          <w:sz w:val="20"/>
        </w:rPr>
        <w:t>Cf., e.g</w:t>
      </w:r>
      <w:r>
        <w:rPr>
          <w:rFonts w:ascii="Arial" w:eastAsia="Arial" w:hAnsi="Arial" w:cs="Arial"/>
          <w:color w:val="000000"/>
          <w:sz w:val="20"/>
        </w:rPr>
        <w:t xml:space="preserve">., 20 U.S.C. § 9201(3) (describing the purpose of the Adult Education and Family Literacy Act of 1998 as "assist[ing] adults in the completion of a secondary school education"); </w:t>
      </w:r>
      <w:r>
        <w:rPr>
          <w:rFonts w:ascii="Arial" w:eastAsia="Arial" w:hAnsi="Arial" w:cs="Arial"/>
          <w:i/>
          <w:color w:val="000000"/>
          <w:sz w:val="20"/>
        </w:rPr>
        <w:t>see also id</w:t>
      </w:r>
      <w:r>
        <w:rPr>
          <w:rFonts w:ascii="Arial" w:eastAsia="Arial" w:hAnsi="Arial" w:cs="Arial"/>
          <w:color w:val="000000"/>
          <w:sz w:val="20"/>
        </w:rPr>
        <w:t>. § 1001(a)(1)-(2) (noting that an "institution of higher education" is one that "provide[s] a program of education beyond secondary  [*989]  education" and only accepts students with secondary-education diplomas).</w:t>
      </w:r>
    </w:p>
    <w:p w14:paraId="6F897E14" w14:textId="77777777" w:rsidR="00D041A2" w:rsidRDefault="00000000">
      <w:pPr>
        <w:pStyle w:val="Normal0"/>
        <w:widowControl w:val="0"/>
        <w:spacing w:before="200" w:line="260" w:lineRule="atLeast"/>
        <w:jc w:val="both"/>
      </w:pPr>
      <w:bookmarkStart w:id="67" w:name="Bookmark_para_37"/>
      <w:bookmarkEnd w:id="67"/>
      <w:r>
        <w:rPr>
          <w:rFonts w:ascii="Arial" w:eastAsia="Arial" w:hAnsi="Arial" w:cs="Arial"/>
          <w:color w:val="000000"/>
          <w:sz w:val="20"/>
        </w:rPr>
        <w:t xml:space="preserve">Our conclusion that the GED and CB programs are a form of public secondary education is buttressed by the fact that the Community Schools for Adults meet the IDEA's definition of "secondary school." </w:t>
      </w:r>
      <w:bookmarkStart w:id="68" w:name="Bookmark_LNHNREFclscc9"/>
      <w:bookmarkEnd w:id="68"/>
      <w:r>
        <w:rPr>
          <w:rFonts w:ascii="Arial" w:eastAsia="Arial" w:hAnsi="Arial" w:cs="Arial"/>
          <w:color w:val="000000"/>
          <w:sz w:val="20"/>
        </w:rPr>
        <w:t>The IDEA defines "secondary school" as a</w:t>
      </w:r>
    </w:p>
    <w:p w14:paraId="08B6AAB9" w14:textId="77777777" w:rsidR="00D041A2" w:rsidRDefault="00000000">
      <w:pPr>
        <w:pStyle w:val="Normal0"/>
        <w:widowControl w:val="0"/>
        <w:spacing w:line="260" w:lineRule="atLeast"/>
        <w:ind w:left="400"/>
        <w:jc w:val="both"/>
      </w:pPr>
      <w:bookmarkStart w:id="69" w:name="Bookmark_para_38"/>
      <w:bookmarkEnd w:id="69"/>
      <w:r>
        <w:rPr>
          <w:rFonts w:ascii="Arial" w:eastAsia="Arial" w:hAnsi="Arial" w:cs="Arial"/>
          <w:color w:val="000000"/>
          <w:sz w:val="20"/>
        </w:rPr>
        <w:t>nonprofit institutional day or residential school, including a public secondary charter school, that provides secondary education, as determined under State law, except that it does not include any education beyond grade 12.</w:t>
      </w:r>
    </w:p>
    <w:p w14:paraId="62C02C95" w14:textId="77777777" w:rsidR="00D041A2" w:rsidRDefault="00000000">
      <w:pPr>
        <w:pStyle w:val="Normal0"/>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1401(27). The record establishes that the Community Schools for Adults are nonprofit day schools that do not educate students beyond grade 12; only students who never graduated from twelfth grade can pursue a GED or CB diploma. And to the  [**17] extent that Hawaii law substantively defines "secondary education" at all, the GED and CB programs seem to qualify. </w:t>
      </w:r>
      <w:bookmarkStart w:id="70" w:name="Bookmark_LNHNREFclscc10"/>
      <w:bookmarkEnd w:id="70"/>
      <w:r>
        <w:rPr>
          <w:rFonts w:ascii="Arial" w:eastAsia="Arial" w:hAnsi="Arial" w:cs="Arial"/>
          <w:color w:val="000000"/>
          <w:sz w:val="20"/>
        </w:rPr>
        <w:t>The state statute defining the "scope of adult and community education programs offered" in Hawaii states that "instructional programs shall be initiated" in various fields, including a program of "secondary education for those adults who, in youth, left school or for some reason had their education curtailed and who now desire to continue their education . . . ." Haw. Rev. Stat. § 302A-433. The GED and CB programs obviously fulfill this legislative mandate.</w:t>
      </w:r>
      <w:r>
        <w:rPr>
          <w:rFonts w:ascii="Arial" w:eastAsia="Arial" w:hAnsi="Arial" w:cs="Arial"/>
          <w:vertAlign w:val="superscript"/>
        </w:rPr>
        <w:footnoteReference w:customMarkFollows="1" w:id="6"/>
        <w:t>5</w:t>
      </w:r>
    </w:p>
    <w:p w14:paraId="017B44DF" w14:textId="77777777" w:rsidR="00D041A2" w:rsidRDefault="00000000">
      <w:pPr>
        <w:pStyle w:val="Normal0"/>
        <w:widowControl w:val="0"/>
        <w:spacing w:before="200" w:line="260" w:lineRule="atLeast"/>
        <w:jc w:val="both"/>
      </w:pPr>
      <w:bookmarkStart w:id="73" w:name="Bookmark_para_39"/>
      <w:bookmarkEnd w:id="73"/>
      <w:r>
        <w:rPr>
          <w:rFonts w:ascii="Arial" w:eastAsia="Arial" w:hAnsi="Arial" w:cs="Arial"/>
          <w:color w:val="000000"/>
          <w:sz w:val="20"/>
        </w:rPr>
        <w:t>We are therefore persuaded that the Community Schools for Adults offer "secondary education"—and hence that the state offers "free public education" to nondisabled students over 18 and under 22.</w:t>
      </w:r>
    </w:p>
    <w:p w14:paraId="710DD256" w14:textId="77777777" w:rsidR="00D041A2" w:rsidRDefault="00000000">
      <w:pPr>
        <w:pStyle w:val="Normal0"/>
        <w:widowControl w:val="0"/>
        <w:spacing w:before="200" w:line="260" w:lineRule="atLeast"/>
        <w:jc w:val="both"/>
      </w:pPr>
      <w:bookmarkStart w:id="74" w:name="Bookmark_para_40"/>
      <w:bookmarkEnd w:id="74"/>
      <w:r>
        <w:rPr>
          <w:rFonts w:ascii="Arial" w:eastAsia="Arial" w:hAnsi="Arial" w:cs="Arial"/>
          <w:color w:val="000000"/>
          <w:sz w:val="20"/>
        </w:rPr>
        <w:t>The DOE makes three arguments that, in spite of the statutory text, the Community Schools for Adults do not in fact offer free public education. First, the DOE urges us to distinguish "conventional" or "traditional" secondary education offered in Hawaiian high schools from the less demanding GED and CB programs. To earn an ordinary high school diploma, the DOE points out, students must accumulate 120 credit hours in various academic subjects. The GED and CB diploma programs are structured differently. The GED program consists of a series of targeted preparatory courses in the GED examination subjects, and the CB program is largely nonacademic, focusing instead on personal and vocational skill development. The differences extend to postsecondary opportunities. Both the  [**19] University of Hawaii system and the military, for instance, favor students with conventional high school diplomas over students with the GED diploma.</w:t>
      </w:r>
    </w:p>
    <w:p w14:paraId="3A4B1758" w14:textId="77777777" w:rsidR="00D041A2" w:rsidRDefault="00000000">
      <w:pPr>
        <w:pStyle w:val="Normal0"/>
        <w:widowControl w:val="0"/>
        <w:spacing w:before="200" w:line="260" w:lineRule="atLeast"/>
        <w:jc w:val="both"/>
      </w:pPr>
      <w:bookmarkStart w:id="75" w:name="Bookmark_para_41"/>
      <w:bookmarkEnd w:id="75"/>
      <w:r>
        <w:rPr>
          <w:rFonts w:ascii="Arial" w:eastAsia="Arial" w:hAnsi="Arial" w:cs="Arial"/>
          <w:color w:val="000000"/>
          <w:sz w:val="20"/>
        </w:rPr>
        <w:t>The DOE urges that the differences between "conventional" high schools in Hawaii and the Community Schools for Adults are so substantial that both school systems cannot offer secondary education. The district court made much the same argument when it entered judgment in the DOE's favor: the district court held that  [*990]  the GED and CB programs "do not provide the equivalent of a secondary school education" because the "educational curriculum, requirements, and experience of the adult programs are dramatically different from those of a traditional public high school."</w:t>
      </w:r>
    </w:p>
    <w:p w14:paraId="6DCB51C6" w14:textId="77777777" w:rsidR="00D041A2" w:rsidRDefault="00000000">
      <w:pPr>
        <w:pStyle w:val="Normal0"/>
        <w:widowControl w:val="0"/>
        <w:spacing w:before="200" w:line="260" w:lineRule="atLeast"/>
        <w:jc w:val="both"/>
      </w:pPr>
      <w:bookmarkStart w:id="76" w:name="Bookmark_para_42"/>
      <w:bookmarkStart w:id="77" w:name="Bookmark_LNHNREFclscc12"/>
      <w:bookmarkEnd w:id="76"/>
      <w:bookmarkEnd w:id="77"/>
      <w:r>
        <w:rPr>
          <w:rFonts w:ascii="Arial" w:eastAsia="Arial" w:hAnsi="Arial" w:cs="Arial"/>
          <w:color w:val="000000"/>
          <w:sz w:val="20"/>
        </w:rPr>
        <w:t xml:space="preserve">Nothing in the IDEA, however, supports the proposition that a program constitutes "secondary education" or "free public education" only if it is structurally identical to the ordinary public high school curriculum offered to nondisabled students. </w:t>
      </w:r>
      <w:bookmarkStart w:id="78" w:name="Bookmark_I59CFCN928T48K0050000400"/>
      <w:bookmarkEnd w:id="78"/>
      <w:r>
        <w:rPr>
          <w:rFonts w:ascii="Arial" w:eastAsia="Arial" w:hAnsi="Arial" w:cs="Arial"/>
          <w:color w:val="000000"/>
          <w:sz w:val="20"/>
        </w:rPr>
        <w:t xml:space="preserve">The DOE's brief cites no cases or statute in support of the interpretation it proposes. Instead, the DOE asks us to contrive an atextual distinction between authentic and ersatz secondary education and impose it on the statutory text. It  [**20] is particularly unlikely that the IDEA's definitions incorporate such a distinction because, as we have noted, the statute construes education broadly. </w:t>
      </w:r>
      <w:bookmarkStart w:id="79" w:name="Bookmark_I59CFCN92HM5PR0020000400"/>
      <w:bookmarkStart w:id="80" w:name="Bookmark_LNHNREFclscc13"/>
      <w:bookmarkEnd w:id="79"/>
      <w:bookmarkEnd w:id="80"/>
      <w:r>
        <w:rPr>
          <w:rFonts w:ascii="Arial" w:eastAsia="Arial" w:hAnsi="Arial" w:cs="Arial"/>
          <w:i/>
          <w:color w:val="000000"/>
          <w:sz w:val="20"/>
        </w:rPr>
        <w:t>See</w:t>
      </w:r>
      <w:r>
        <w:rPr>
          <w:rFonts w:ascii="Arial" w:eastAsia="Arial" w:hAnsi="Arial" w:cs="Arial"/>
          <w:color w:val="000000"/>
          <w:sz w:val="20"/>
        </w:rPr>
        <w:t xml:space="preserve"> 20 U.S.C. § 1401(29) ("The term 'special education' means specially designed instruction, at no cost to parents, to meet the unique needs of a child with a disability, including . . . instruction conducted in the classroom, in the home, in hospitals and institutions, and in other settings[.]"); </w:t>
      </w:r>
      <w:r>
        <w:rPr>
          <w:rFonts w:ascii="Arial" w:eastAsia="Arial" w:hAnsi="Arial" w:cs="Arial"/>
          <w:i/>
          <w:color w:val="000000"/>
          <w:sz w:val="20"/>
        </w:rPr>
        <w:t xml:space="preserve">see also, e.g., </w:t>
      </w:r>
      <w:bookmarkStart w:id="81" w:name="Bookmark_I59CFCN928T48K0040000400"/>
      <w:bookmarkEnd w:id="81"/>
      <w:r>
        <w:rPr>
          <w:rFonts w:ascii="Arial" w:eastAsia="Arial" w:hAnsi="Arial" w:cs="Arial"/>
          <w:i/>
          <w:color w:val="000000"/>
          <w:sz w:val="20"/>
        </w:rPr>
        <w:t>Seattle Sch. Dist., No. 1 v. B.S</w:t>
      </w:r>
      <w:r>
        <w:rPr>
          <w:rFonts w:ascii="Arial" w:eastAsia="Arial" w:hAnsi="Arial" w:cs="Arial"/>
          <w:color w:val="000000"/>
          <w:sz w:val="20"/>
        </w:rPr>
        <w:t xml:space="preserve">., 82 F.3d 1493, 1500 (9th Cir. 1996) (noting that </w:t>
      </w:r>
      <w:bookmarkStart w:id="82" w:name="Bookmark_LNHNREFclscc14"/>
      <w:bookmarkEnd w:id="82"/>
      <w:r>
        <w:rPr>
          <w:rFonts w:ascii="Arial" w:eastAsia="Arial" w:hAnsi="Arial" w:cs="Arial"/>
          <w:color w:val="000000"/>
          <w:sz w:val="20"/>
        </w:rPr>
        <w:t xml:space="preserve">the IDEA reflects a holistic concept of educational benefit, including "the handicapped child's academic, social, health, emotional, communicative, physical and vocational needs" (internal quotation marks omitted)). </w:t>
      </w:r>
      <w:bookmarkStart w:id="83" w:name="Bookmark_I59CFCN92HM5PR0020000400_2"/>
      <w:bookmarkStart w:id="84" w:name="Bookmark_LNHNREFclscc15"/>
      <w:bookmarkEnd w:id="83"/>
      <w:bookmarkEnd w:id="84"/>
      <w:r>
        <w:rPr>
          <w:rFonts w:ascii="Arial" w:eastAsia="Arial" w:hAnsi="Arial" w:cs="Arial"/>
          <w:color w:val="000000"/>
          <w:sz w:val="20"/>
        </w:rPr>
        <w:t xml:space="preserve">Education for high-school-aged students with disabilities often differs dramatically from "conventional" secondary education. </w:t>
      </w:r>
      <w:r>
        <w:rPr>
          <w:rFonts w:ascii="Arial" w:eastAsia="Arial" w:hAnsi="Arial" w:cs="Arial"/>
          <w:i/>
          <w:color w:val="000000"/>
          <w:sz w:val="20"/>
        </w:rPr>
        <w:t xml:space="preserve">See, e.g., </w:t>
      </w:r>
      <w:bookmarkStart w:id="85" w:name="Bookmark_I59CFCN92HM5PR0010000400"/>
      <w:bookmarkEnd w:id="85"/>
      <w:r>
        <w:rPr>
          <w:rFonts w:ascii="Arial" w:eastAsia="Arial" w:hAnsi="Arial" w:cs="Arial"/>
          <w:i/>
          <w:color w:val="000000"/>
          <w:sz w:val="20"/>
        </w:rPr>
        <w:t>Park ex rel. Park v. Anaheim Union High Sch. Dist</w:t>
      </w:r>
      <w:r>
        <w:rPr>
          <w:rFonts w:ascii="Arial" w:eastAsia="Arial" w:hAnsi="Arial" w:cs="Arial"/>
          <w:color w:val="000000"/>
          <w:sz w:val="20"/>
        </w:rPr>
        <w:t>., 464 F.3d 1025, 1030-31 (9th Cir. 2006) (per curiam) (involving an educational program for a high school student that included a full-time special day class and instruction in "buttoning, zipping and toilet training"). In light of the variety of  [**21] specialized secondary education the IDEA makes available to disabled students, it is simply implausible that the phrase "free public education" in the § 1412(a)(1)(B)(i) exception refers narrowly to a "conventional" high school curriculum.</w:t>
      </w:r>
      <w:r>
        <w:rPr>
          <w:rFonts w:ascii="Arial" w:eastAsia="Arial" w:hAnsi="Arial" w:cs="Arial"/>
          <w:vertAlign w:val="superscript"/>
        </w:rPr>
        <w:footnoteReference w:customMarkFollows="1" w:id="7"/>
        <w:t>6</w:t>
      </w:r>
    </w:p>
    <w:p w14:paraId="2C0D0BB9" w14:textId="77777777" w:rsidR="00D041A2" w:rsidRDefault="00000000">
      <w:pPr>
        <w:pStyle w:val="Normal0"/>
        <w:widowControl w:val="0"/>
        <w:spacing w:before="200" w:line="260" w:lineRule="atLeast"/>
        <w:jc w:val="both"/>
      </w:pPr>
      <w:bookmarkStart w:id="87" w:name="Bookmark_para_43"/>
      <w:bookmarkEnd w:id="87"/>
      <w:r>
        <w:rPr>
          <w:rFonts w:ascii="Arial" w:eastAsia="Arial" w:hAnsi="Arial" w:cs="Arial"/>
          <w:color w:val="000000"/>
          <w:sz w:val="20"/>
        </w:rPr>
        <w:t>Second, the DOE argues that an opinion letter from the United States Department of Education establishes that GED courses are not "secondary education." The opinion letter states that school districts are "not required to provide [IDEA services to] students who have left traditional secondary education programs and entered  [**22] a GED test preparation program" unless "the State considers the GED test preparation program to be a part of an appropriate secondary education." The letter does not alter our analysis, because E.R.K. is not arguing that the Community Schools for Adults must provide IDEA services. At most, the letter reflects the United States Department of Education's view that not all GED preparation programs are necessarily part of an "</w:t>
      </w:r>
      <w:r>
        <w:rPr>
          <w:rFonts w:ascii="Arial" w:eastAsia="Arial" w:hAnsi="Arial" w:cs="Arial"/>
          <w:i/>
          <w:color w:val="000000"/>
          <w:sz w:val="20"/>
        </w:rPr>
        <w:t>appropriate</w:t>
      </w:r>
      <w:r>
        <w:rPr>
          <w:rFonts w:ascii="Arial" w:eastAsia="Arial" w:hAnsi="Arial" w:cs="Arial"/>
          <w:color w:val="000000"/>
          <w:sz w:val="20"/>
        </w:rPr>
        <w:t xml:space="preserve"> secondary education." The letter sheds no light at all on whether all GED preparation programs constitute secondary education </w:t>
      </w:r>
      <w:r>
        <w:rPr>
          <w:rFonts w:ascii="Arial" w:eastAsia="Arial" w:hAnsi="Arial" w:cs="Arial"/>
          <w:i/>
          <w:color w:val="000000"/>
          <w:sz w:val="20"/>
        </w:rPr>
        <w:t>simpliciter</w:t>
      </w:r>
      <w:r>
        <w:rPr>
          <w:rFonts w:ascii="Arial" w:eastAsia="Arial" w:hAnsi="Arial" w:cs="Arial"/>
          <w:color w:val="000000"/>
          <w:sz w:val="20"/>
        </w:rPr>
        <w:t xml:space="preserve">. But we need not broach that question, because we have already  [*991]  decided that </w:t>
      </w:r>
      <w:r>
        <w:rPr>
          <w:rFonts w:ascii="Arial" w:eastAsia="Arial" w:hAnsi="Arial" w:cs="Arial"/>
          <w:i/>
          <w:color w:val="000000"/>
          <w:sz w:val="20"/>
        </w:rPr>
        <w:t>Hawaii's</w:t>
      </w:r>
      <w:r>
        <w:rPr>
          <w:rFonts w:ascii="Arial" w:eastAsia="Arial" w:hAnsi="Arial" w:cs="Arial"/>
          <w:color w:val="000000"/>
          <w:sz w:val="20"/>
        </w:rPr>
        <w:t xml:space="preserve"> GED diploma program is unambiguously a program of secondary education.</w:t>
      </w:r>
    </w:p>
    <w:p w14:paraId="0B87762D" w14:textId="77777777" w:rsidR="00D041A2" w:rsidRDefault="00000000">
      <w:pPr>
        <w:pStyle w:val="Normal0"/>
        <w:widowControl w:val="0"/>
        <w:spacing w:before="200" w:line="260" w:lineRule="atLeast"/>
        <w:jc w:val="both"/>
      </w:pPr>
      <w:bookmarkStart w:id="88" w:name="Bookmark_para_44"/>
      <w:bookmarkEnd w:id="88"/>
      <w:r>
        <w:rPr>
          <w:rFonts w:ascii="Arial" w:eastAsia="Arial" w:hAnsi="Arial" w:cs="Arial"/>
          <w:color w:val="000000"/>
          <w:sz w:val="20"/>
        </w:rPr>
        <w:t xml:space="preserve">Finally, the DOE argues that the IDEA's definition of "transition services," which school districts must offer when a student ages out of IDEA eligibility, proves that adult education and secondary education are mutually exclusive. </w:t>
      </w:r>
      <w:bookmarkStart w:id="89" w:name="Bookmark_LNHNREFclscc16"/>
      <w:bookmarkEnd w:id="89"/>
      <w:r>
        <w:rPr>
          <w:rFonts w:ascii="Arial" w:eastAsia="Arial" w:hAnsi="Arial" w:cs="Arial"/>
          <w:color w:val="000000"/>
          <w:sz w:val="20"/>
        </w:rPr>
        <w:t>The IDEA defines "transition services" as</w:t>
      </w:r>
    </w:p>
    <w:p w14:paraId="66CD5823" w14:textId="77777777" w:rsidR="00D041A2" w:rsidRDefault="00000000">
      <w:pPr>
        <w:pStyle w:val="Normal0"/>
        <w:widowControl w:val="0"/>
        <w:spacing w:before="200" w:line="260" w:lineRule="atLeast"/>
        <w:ind w:left="400"/>
        <w:jc w:val="both"/>
      </w:pPr>
      <w:bookmarkStart w:id="90" w:name="Bookmark_para_45"/>
      <w:bookmarkEnd w:id="90"/>
      <w:r>
        <w:rPr>
          <w:rFonts w:ascii="Arial" w:eastAsia="Arial" w:hAnsi="Arial" w:cs="Arial"/>
          <w:color w:val="000000"/>
          <w:sz w:val="20"/>
        </w:rPr>
        <w:t xml:space="preserve">a coordinated set of activities for a child with a disability that . . . is focused on improving the academic and functional achievement of the child with a disability to facilitate the child's movement  [**23] from school to post-school activities, including post-secondary education, vocational education, integrated employment (including supported employment), </w:t>
      </w:r>
      <w:r>
        <w:rPr>
          <w:rFonts w:ascii="Arial" w:eastAsia="Arial" w:hAnsi="Arial" w:cs="Arial"/>
          <w:i/>
          <w:color w:val="000000"/>
          <w:sz w:val="20"/>
        </w:rPr>
        <w:t>continuing and adult education</w:t>
      </w:r>
      <w:r>
        <w:rPr>
          <w:rFonts w:ascii="Arial" w:eastAsia="Arial" w:hAnsi="Arial" w:cs="Arial"/>
          <w:color w:val="000000"/>
          <w:sz w:val="20"/>
        </w:rPr>
        <w:t>, adult services, independent living, or community participation . . . .</w:t>
      </w:r>
    </w:p>
    <w:p w14:paraId="6EBB34F7" w14:textId="77777777" w:rsidR="00D041A2" w:rsidRDefault="00000000">
      <w:pPr>
        <w:pStyle w:val="Normal0"/>
        <w:widowControl w:val="0"/>
        <w:spacing w:line="260" w:lineRule="atLeast"/>
        <w:jc w:val="both"/>
      </w:pPr>
      <w:r>
        <w:rPr>
          <w:rFonts w:ascii="Arial" w:eastAsia="Arial" w:hAnsi="Arial" w:cs="Arial"/>
          <w:color w:val="000000"/>
          <w:sz w:val="20"/>
        </w:rPr>
        <w:t>20 U.S.C. § 1401(34) (emphasis added). The DOE argues that, by offering "adult education" as an example of a "post-school activity," the IDEA's drafters intended to distinguish adult education from secondary education. But of course it is self-evident that "adult education" and "secondary education" are not coterminous. Hawaii's adult schools offer adult-education courses in parenting and sewing,</w:t>
      </w:r>
      <w:r>
        <w:rPr>
          <w:rFonts w:ascii="Arial" w:eastAsia="Arial" w:hAnsi="Arial" w:cs="Arial"/>
          <w:vertAlign w:val="superscript"/>
        </w:rPr>
        <w:footnoteReference w:customMarkFollows="1" w:id="8"/>
        <w:t>7</w:t>
      </w:r>
      <w:r>
        <w:rPr>
          <w:rFonts w:ascii="Arial" w:eastAsia="Arial" w:hAnsi="Arial" w:cs="Arial"/>
          <w:color w:val="000000"/>
          <w:sz w:val="20"/>
        </w:rPr>
        <w:t xml:space="preserve"> but it is unlikely that these courses constitute secondary education. The use of the phrase "adult education" in connection with transition services does not imply mutual exclusivity between "adult education" and "secondary education."</w:t>
      </w:r>
    </w:p>
    <w:p w14:paraId="1EEBEA68" w14:textId="77777777" w:rsidR="00D041A2" w:rsidRDefault="00000000">
      <w:pPr>
        <w:pStyle w:val="Normal0"/>
        <w:widowControl w:val="0"/>
        <w:spacing w:before="200" w:line="260" w:lineRule="atLeast"/>
        <w:jc w:val="both"/>
      </w:pPr>
      <w:bookmarkStart w:id="92" w:name="Bookmark_para_46"/>
      <w:bookmarkEnd w:id="92"/>
      <w:r>
        <w:rPr>
          <w:rFonts w:ascii="Arial" w:eastAsia="Arial" w:hAnsi="Arial" w:cs="Arial"/>
          <w:color w:val="000000"/>
          <w:sz w:val="20"/>
        </w:rPr>
        <w:t>None of the DOE's arguments sway us from our conclusion that the Community Schools for Adults offer "free public education" to students who do not require IDEA services. The DOE offers, at taxpayer expense, the opportunity for nondisabled 20- and 21-year-olds to complete their secondary educations and earn high school diplomas. Providing IDEA services to disabled children of those ages would therefore be consistent with "State law or practice . . . respecting the provision of public education," so the state must do so. 20 U.S.C. § 1412(a)(1)(B)(i).</w:t>
      </w:r>
    </w:p>
    <w:p w14:paraId="5B8C693A" w14:textId="77777777" w:rsidR="00D041A2" w:rsidRDefault="00000000">
      <w:pPr>
        <w:pStyle w:val="Normal0"/>
        <w:widowControl w:val="0"/>
        <w:spacing w:before="200" w:line="260" w:lineRule="atLeast"/>
        <w:jc w:val="both"/>
      </w:pPr>
      <w:bookmarkStart w:id="93" w:name="Bookmark_para_47"/>
      <w:bookmarkEnd w:id="93"/>
      <w:r>
        <w:rPr>
          <w:rFonts w:ascii="Arial" w:eastAsia="Arial" w:hAnsi="Arial" w:cs="Arial"/>
          <w:color w:val="000000"/>
          <w:sz w:val="20"/>
        </w:rPr>
        <w:t>Our conclusion is unchanged by the district court's finding that the DOE does not "usher" or "steer" nondisabled students into the GED and CB programs once they age out of the conventional high schools. As the legislative history makes clear, the question is whether a state "provide[s] or assure[s] the provision of free public education to non-[disabled] children." S. Rep. No. 94-168, 1442-43. A state's duty to educate disabled children until they turn 22 is only excused if free public education is foreclosed to disabled and nondisabled students alike. Whether a state encourages nondisabled students to take advantage  [**25] of what free public education is available is irrelevant.</w:t>
      </w:r>
    </w:p>
    <w:p w14:paraId="34ADC0EB" w14:textId="77777777" w:rsidR="00D041A2" w:rsidRDefault="00000000">
      <w:pPr>
        <w:pStyle w:val="Normal0"/>
        <w:widowControl w:val="0"/>
        <w:spacing w:before="200" w:line="260" w:lineRule="atLeast"/>
        <w:jc w:val="both"/>
      </w:pPr>
      <w:bookmarkStart w:id="94" w:name="Bookmark_para_48"/>
      <w:bookmarkEnd w:id="94"/>
      <w:r>
        <w:rPr>
          <w:rFonts w:ascii="Arial" w:eastAsia="Arial" w:hAnsi="Arial" w:cs="Arial"/>
          <w:color w:val="000000"/>
          <w:sz w:val="20"/>
        </w:rPr>
        <w:t>Indeed, though their numbers are small—only 3.5% of the general education students affected by Act 163 between 2010 and 2012 transitioned to an adult diploma program—the fact that any students at all transitioned directly to the GED and CB programs after aging out of the state high school system confirms that the state "provides" free public education to 20- and 21-year-olds. Those students who made the transition belie the district court's finding that "the GED and CB programs are not a  [*992]  continuation of a traditional high school education."</w:t>
      </w:r>
    </w:p>
    <w:p w14:paraId="08CED1F7" w14:textId="77777777" w:rsidR="00D041A2" w:rsidRDefault="00000000">
      <w:pPr>
        <w:pStyle w:val="Normal0"/>
        <w:widowControl w:val="0"/>
        <w:spacing w:before="200" w:line="260" w:lineRule="atLeast"/>
        <w:jc w:val="both"/>
      </w:pPr>
      <w:bookmarkStart w:id="95" w:name="Bookmark_para_49"/>
      <w:bookmarkStart w:id="96" w:name="Bookmark_I59CFCN92HM5PR0040000400"/>
      <w:bookmarkStart w:id="97" w:name="Bookmark_I59CFCN92SF86X0010000400"/>
      <w:bookmarkEnd w:id="95"/>
      <w:bookmarkEnd w:id="96"/>
      <w:bookmarkEnd w:id="97"/>
      <w:r>
        <w:rPr>
          <w:rFonts w:ascii="Arial" w:eastAsia="Arial" w:hAnsi="Arial" w:cs="Arial"/>
          <w:color w:val="000000"/>
          <w:sz w:val="20"/>
        </w:rPr>
        <w:t xml:space="preserve">By passing the IDEA, Congress intended "to open the door of public education to all qualified children[.]" </w:t>
      </w:r>
      <w:bookmarkStart w:id="98" w:name="Bookmark_I59CFCN92HM5PR0030000400"/>
      <w:bookmarkEnd w:id="98"/>
      <w:r>
        <w:rPr>
          <w:rFonts w:ascii="Arial" w:eastAsia="Arial" w:hAnsi="Arial" w:cs="Arial"/>
          <w:i/>
          <w:color w:val="000000"/>
          <w:sz w:val="20"/>
        </w:rPr>
        <w:t>Cedar Rapids Cmty. Sch. Dist. v. Garret F. ex rel. Charlene F</w:t>
      </w:r>
      <w:r>
        <w:rPr>
          <w:rFonts w:ascii="Arial" w:eastAsia="Arial" w:hAnsi="Arial" w:cs="Arial"/>
          <w:color w:val="000000"/>
          <w:sz w:val="20"/>
        </w:rPr>
        <w:t xml:space="preserve">., 526 U.S. 66, 78, 119 S. Ct. 992, 143 L. Ed. 2d 154 (1999) (internal quotation marks and citation omitted). If Hawaii legislators wish to shut the door to students once they turn 20, that is their prerogative—but they must shut them to </w:t>
      </w:r>
      <w:r>
        <w:rPr>
          <w:rFonts w:ascii="Arial" w:eastAsia="Arial" w:hAnsi="Arial" w:cs="Arial"/>
          <w:i/>
          <w:color w:val="000000"/>
          <w:sz w:val="20"/>
        </w:rPr>
        <w:t>all</w:t>
      </w:r>
      <w:r>
        <w:rPr>
          <w:rFonts w:ascii="Arial" w:eastAsia="Arial" w:hAnsi="Arial" w:cs="Arial"/>
          <w:color w:val="000000"/>
          <w:sz w:val="20"/>
        </w:rPr>
        <w:t xml:space="preserve"> students, regardless of disability. Act 163 reinstates the benighted two-track system that prevailed before the IDEA was passed, when disabled students were often "totally excluded from schools[.]" </w:t>
      </w:r>
      <w:bookmarkStart w:id="99" w:name="Bookmark_I59CFCN92HM5PR0050000400"/>
      <w:bookmarkEnd w:id="99"/>
      <w:r>
        <w:rPr>
          <w:rFonts w:ascii="Arial" w:eastAsia="Arial" w:hAnsi="Arial" w:cs="Arial"/>
          <w:i/>
          <w:color w:val="000000"/>
          <w:sz w:val="20"/>
        </w:rPr>
        <w:t>Bd. of Educ. of Hendrick Hudson Cent. Sch. Dist., Westchester Cnty. v. Rowley</w:t>
      </w:r>
      <w:r>
        <w:rPr>
          <w:rFonts w:ascii="Arial" w:eastAsia="Arial" w:hAnsi="Arial" w:cs="Arial"/>
          <w:color w:val="000000"/>
          <w:sz w:val="20"/>
        </w:rPr>
        <w:t>, 458 U.S. 176, 191, 102 S. Ct. 3034, 73 L. Ed. 2d 690 (1982)  [**26] (internal quotation marks and citation omitted). In Hawaii's two-track system, nondisabled students between the ages of 20 and 22 can pursue the diplomas that eluded them in high school, but students with special needs are simply out of luck.</w:t>
      </w:r>
    </w:p>
    <w:p w14:paraId="01599500" w14:textId="77777777" w:rsidR="00D041A2" w:rsidRDefault="00000000">
      <w:pPr>
        <w:pStyle w:val="Normal0"/>
        <w:widowControl w:val="0"/>
        <w:spacing w:before="200" w:line="260" w:lineRule="atLeast"/>
        <w:jc w:val="both"/>
      </w:pPr>
      <w:bookmarkStart w:id="100" w:name="Bookmark_para_50"/>
      <w:bookmarkEnd w:id="100"/>
      <w:r>
        <w:rPr>
          <w:rFonts w:ascii="Arial" w:eastAsia="Arial" w:hAnsi="Arial" w:cs="Arial"/>
          <w:color w:val="000000"/>
          <w:sz w:val="20"/>
        </w:rPr>
        <w:t>The GED and CB programs—unfettered by the obligation to address the needs of disabled students—are surely much cheaper to operate than a public-school system with a full complement of special-education services. But the IDEA stands for the principle that exclusion is a false economy unbefitting a society committed to the complete integration of its disabled citizens.</w:t>
      </w:r>
    </w:p>
    <w:p w14:paraId="64B5D12D" w14:textId="77777777" w:rsidR="00D041A2" w:rsidRDefault="00000000">
      <w:pPr>
        <w:pStyle w:val="Normal0"/>
        <w:widowControl w:val="0"/>
        <w:spacing w:before="240" w:line="260" w:lineRule="atLeast"/>
      </w:pPr>
      <w:r>
        <w:br/>
      </w:r>
      <w:r>
        <w:rPr>
          <w:rFonts w:ascii="Arial" w:eastAsia="Arial" w:hAnsi="Arial" w:cs="Arial"/>
          <w:b/>
          <w:color w:val="000000"/>
          <w:sz w:val="20"/>
        </w:rPr>
        <w:t>2. ADA and Rehabilitation Act claims</w:t>
      </w:r>
      <w:r>
        <w:rPr>
          <w:rFonts w:ascii="Arial" w:eastAsia="Arial" w:hAnsi="Arial" w:cs="Arial"/>
          <w:color w:val="000000"/>
          <w:sz w:val="20"/>
        </w:rPr>
        <w:t>.</w:t>
      </w:r>
    </w:p>
    <w:p w14:paraId="2E26A3AF" w14:textId="77777777" w:rsidR="00D041A2" w:rsidRDefault="00000000">
      <w:pPr>
        <w:pStyle w:val="Normal0"/>
        <w:widowControl w:val="0"/>
        <w:spacing w:before="200" w:line="260" w:lineRule="atLeast"/>
        <w:jc w:val="both"/>
      </w:pPr>
      <w:bookmarkStart w:id="101" w:name="Bookmark_para_51"/>
      <w:bookmarkEnd w:id="101"/>
      <w:r>
        <w:rPr>
          <w:rFonts w:ascii="Arial" w:eastAsia="Arial" w:hAnsi="Arial" w:cs="Arial"/>
          <w:color w:val="000000"/>
          <w:sz w:val="20"/>
        </w:rPr>
        <w:t>E.R.K. next argues that the district court erred when it ruled in the DOE's favor on his disability discrimination claims.</w:t>
      </w:r>
    </w:p>
    <w:p w14:paraId="1B624AF1" w14:textId="77777777" w:rsidR="00D041A2" w:rsidRDefault="00000000">
      <w:pPr>
        <w:pStyle w:val="Normal0"/>
        <w:widowControl w:val="0"/>
        <w:spacing w:before="200" w:line="260" w:lineRule="atLeast"/>
        <w:jc w:val="both"/>
      </w:pPr>
      <w:bookmarkStart w:id="102" w:name="Bookmark_para_52"/>
      <w:bookmarkStart w:id="103" w:name="Bookmark_I83R9K044VT00002SS60030P"/>
      <w:bookmarkStart w:id="104" w:name="Bookmark_I83R9K049J600002SS60030T"/>
      <w:bookmarkStart w:id="105" w:name="Bookmark_I59CFCN92SF86X0030000400"/>
      <w:bookmarkStart w:id="106" w:name="Bookmark_LNHNREFclscc17"/>
      <w:bookmarkEnd w:id="102"/>
      <w:bookmarkEnd w:id="103"/>
      <w:bookmarkEnd w:id="104"/>
      <w:bookmarkEnd w:id="105"/>
      <w:bookmarkEnd w:id="106"/>
      <w:r>
        <w:rPr>
          <w:rFonts w:ascii="Arial" w:eastAsia="Arial" w:hAnsi="Arial" w:cs="Arial"/>
          <w:color w:val="000000"/>
          <w:sz w:val="20"/>
        </w:rPr>
        <w:t>To establish a prima facie case of disability discrimination under the ADA, a plaintiff must prove:</w:t>
      </w:r>
    </w:p>
    <w:p w14:paraId="24E1B547" w14:textId="77777777" w:rsidR="00D041A2" w:rsidRDefault="00000000">
      <w:pPr>
        <w:pStyle w:val="Normal0"/>
        <w:widowControl w:val="0"/>
        <w:spacing w:before="200" w:line="260" w:lineRule="atLeast"/>
        <w:ind w:left="400"/>
        <w:jc w:val="both"/>
      </w:pPr>
      <w:bookmarkStart w:id="107" w:name="Bookmark_para_53"/>
      <w:bookmarkStart w:id="108" w:name="Bookmark_I4GVFVH1FFM000M62HG000MM"/>
      <w:bookmarkStart w:id="109" w:name="Bookmark_I4GVFVH1VY2000M62HG000MR"/>
      <w:bookmarkStart w:id="110" w:name="Bookmark_I59CFCN92SF86X0030000400_2"/>
      <w:bookmarkEnd w:id="107"/>
      <w:bookmarkEnd w:id="108"/>
      <w:bookmarkEnd w:id="109"/>
      <w:bookmarkEnd w:id="110"/>
      <w:r>
        <w:rPr>
          <w:rFonts w:ascii="Arial" w:eastAsia="Arial" w:hAnsi="Arial" w:cs="Arial"/>
          <w:color w:val="000000"/>
          <w:sz w:val="20"/>
        </w:rPr>
        <w:t>(1) he is an individual with a disability; (2) he is otherwise qualified to participate in or receive the benefit of some public entity's services, programs, or activities; (3) he was either excluded from participation in or denied the benefits of the public entity's services, programs, or activities, or was otherwise discriminated  [**27] against by the public entity; and (4) such exclusion, denial of benefits, or discrimination was by reason of [his] disability.</w:t>
      </w:r>
    </w:p>
    <w:p w14:paraId="01F42157" w14:textId="77777777" w:rsidR="00D041A2" w:rsidRDefault="00000000">
      <w:pPr>
        <w:pStyle w:val="Normal0"/>
        <w:widowControl w:val="0"/>
        <w:spacing w:before="200" w:line="260" w:lineRule="atLeast"/>
        <w:jc w:val="both"/>
      </w:pPr>
      <w:bookmarkStart w:id="111" w:name="Bookmark_I59CFCN92SF86X0030000400_3"/>
      <w:bookmarkStart w:id="112" w:name="Bookmark_I4GVFVH29P6000M62HG000MV"/>
      <w:bookmarkStart w:id="113" w:name="Bookmark_I59CFCN92HM5PS0020000400"/>
      <w:bookmarkStart w:id="114" w:name="Bookmark_I59CFCN92SF86X0020000400"/>
      <w:bookmarkEnd w:id="111"/>
      <w:bookmarkEnd w:id="112"/>
      <w:bookmarkEnd w:id="113"/>
      <w:bookmarkEnd w:id="114"/>
      <w:r>
        <w:rPr>
          <w:rFonts w:ascii="Arial" w:eastAsia="Arial" w:hAnsi="Arial" w:cs="Arial"/>
          <w:i/>
          <w:color w:val="000000"/>
          <w:sz w:val="20"/>
        </w:rPr>
        <w:t>McGary v. City of Portland</w:t>
      </w:r>
      <w:r>
        <w:rPr>
          <w:rFonts w:ascii="Arial" w:eastAsia="Arial" w:hAnsi="Arial" w:cs="Arial"/>
          <w:color w:val="000000"/>
          <w:sz w:val="20"/>
        </w:rPr>
        <w:t xml:space="preserve">, 386 F.3d 1259, 1265 (9th Cir. 2004) (alteration in original) (quoting </w:t>
      </w:r>
      <w:bookmarkStart w:id="115" w:name="Bookmark_I59CFCN92SF86X0040000400"/>
      <w:bookmarkEnd w:id="115"/>
      <w:r>
        <w:rPr>
          <w:rFonts w:ascii="Arial" w:eastAsia="Arial" w:hAnsi="Arial" w:cs="Arial"/>
          <w:i/>
          <w:color w:val="000000"/>
          <w:sz w:val="20"/>
        </w:rPr>
        <w:t>Thompson v. Davis</w:t>
      </w:r>
      <w:r>
        <w:rPr>
          <w:rFonts w:ascii="Arial" w:eastAsia="Arial" w:hAnsi="Arial" w:cs="Arial"/>
          <w:color w:val="000000"/>
          <w:sz w:val="20"/>
        </w:rPr>
        <w:t xml:space="preserve">, 295 F.3d 890, 895 (9th Cir. 2002) (per curiam)) (internal quotation marks omitted). </w:t>
      </w:r>
      <w:bookmarkStart w:id="116" w:name="Bookmark_I59CFCN92HM5PS0020000400_2"/>
      <w:bookmarkEnd w:id="116"/>
      <w:r>
        <w:rPr>
          <w:rFonts w:ascii="Arial" w:eastAsia="Arial" w:hAnsi="Arial" w:cs="Arial"/>
          <w:color w:val="000000"/>
          <w:sz w:val="20"/>
        </w:rPr>
        <w:t xml:space="preserve">A prima facie case under the Rehabilitation Act is identical, except that the plaintiff must also prove that the relevant program receives federal financial assistance. </w:t>
      </w:r>
      <w:r>
        <w:rPr>
          <w:rFonts w:ascii="Arial" w:eastAsia="Arial" w:hAnsi="Arial" w:cs="Arial"/>
          <w:i/>
          <w:color w:val="000000"/>
          <w:sz w:val="20"/>
        </w:rPr>
        <w:t xml:space="preserve">See </w:t>
      </w:r>
      <w:bookmarkStart w:id="117" w:name="Bookmark_I59CFCN92HM5PS0010000400"/>
      <w:bookmarkEnd w:id="117"/>
      <w:r>
        <w:rPr>
          <w:rFonts w:ascii="Arial" w:eastAsia="Arial" w:hAnsi="Arial" w:cs="Arial"/>
          <w:i/>
          <w:color w:val="000000"/>
          <w:sz w:val="20"/>
        </w:rPr>
        <w:t>Duvall v. Cnty. of Kitsap</w:t>
      </w:r>
      <w:r>
        <w:rPr>
          <w:rFonts w:ascii="Arial" w:eastAsia="Arial" w:hAnsi="Arial" w:cs="Arial"/>
          <w:color w:val="000000"/>
          <w:sz w:val="20"/>
        </w:rPr>
        <w:t>, 260 F.3d 1124, 1135 (9th Cir. 2001).</w:t>
      </w:r>
    </w:p>
    <w:p w14:paraId="0DAFB118" w14:textId="77777777" w:rsidR="00D041A2" w:rsidRDefault="00000000">
      <w:pPr>
        <w:pStyle w:val="Normal0"/>
        <w:widowControl w:val="0"/>
        <w:spacing w:before="200" w:line="260" w:lineRule="atLeast"/>
        <w:jc w:val="both"/>
      </w:pPr>
      <w:bookmarkStart w:id="118" w:name="Bookmark_para_54"/>
      <w:bookmarkStart w:id="119" w:name="Bookmark_I4GVFVH2KBG000M62HG000MX"/>
      <w:bookmarkStart w:id="120" w:name="Bookmark_I59CFCN92HM5PS0040000400"/>
      <w:bookmarkEnd w:id="118"/>
      <w:bookmarkEnd w:id="119"/>
      <w:bookmarkEnd w:id="120"/>
      <w:r>
        <w:rPr>
          <w:rFonts w:ascii="Arial" w:eastAsia="Arial" w:hAnsi="Arial" w:cs="Arial"/>
          <w:color w:val="000000"/>
          <w:sz w:val="20"/>
        </w:rPr>
        <w:t xml:space="preserve">Under both statutes, a plaintiff who requires an accommodation to meet a program's essential eligibility requirements can establish the "otherwise qualified" element of the prima facie case only by producing "evidence of the existence of a </w:t>
      </w:r>
      <w:r>
        <w:rPr>
          <w:rFonts w:ascii="Arial" w:eastAsia="Arial" w:hAnsi="Arial" w:cs="Arial"/>
          <w:i/>
          <w:color w:val="000000"/>
          <w:sz w:val="20"/>
        </w:rPr>
        <w:t>reasonable</w:t>
      </w:r>
      <w:r>
        <w:rPr>
          <w:rFonts w:ascii="Arial" w:eastAsia="Arial" w:hAnsi="Arial" w:cs="Arial"/>
          <w:color w:val="000000"/>
          <w:sz w:val="20"/>
        </w:rPr>
        <w:t xml:space="preserve"> accommodation . . . ." </w:t>
      </w:r>
      <w:r>
        <w:rPr>
          <w:rFonts w:ascii="Arial" w:eastAsia="Arial" w:hAnsi="Arial" w:cs="Arial"/>
          <w:i/>
          <w:color w:val="000000"/>
          <w:sz w:val="20"/>
        </w:rPr>
        <w:t xml:space="preserve">See </w:t>
      </w:r>
      <w:bookmarkStart w:id="121" w:name="Bookmark_I59CFCN92HM5PS0030000400"/>
      <w:bookmarkEnd w:id="121"/>
      <w:r>
        <w:rPr>
          <w:rFonts w:ascii="Arial" w:eastAsia="Arial" w:hAnsi="Arial" w:cs="Arial"/>
          <w:i/>
          <w:color w:val="000000"/>
          <w:sz w:val="20"/>
        </w:rPr>
        <w:t>Zukle v. Regents of the Univ. of Cal</w:t>
      </w:r>
      <w:r>
        <w:rPr>
          <w:rFonts w:ascii="Arial" w:eastAsia="Arial" w:hAnsi="Arial" w:cs="Arial"/>
          <w:color w:val="000000"/>
          <w:sz w:val="20"/>
        </w:rPr>
        <w:t>., 166 F.3d 1041, 1046-47 (9th Cir. 1999) (emphasis added).</w:t>
      </w:r>
    </w:p>
    <w:p w14:paraId="282998D3" w14:textId="77777777" w:rsidR="00D041A2" w:rsidRDefault="00000000">
      <w:pPr>
        <w:pStyle w:val="Normal0"/>
        <w:widowControl w:val="0"/>
        <w:spacing w:before="200" w:line="260" w:lineRule="atLeast"/>
        <w:jc w:val="both"/>
      </w:pPr>
      <w:bookmarkStart w:id="122" w:name="Bookmark_para_55"/>
      <w:bookmarkStart w:id="123" w:name="Bookmark_I59CFCN92N1R1B0010000400"/>
      <w:bookmarkEnd w:id="122"/>
      <w:bookmarkEnd w:id="123"/>
      <w:r>
        <w:rPr>
          <w:rFonts w:ascii="Arial" w:eastAsia="Arial" w:hAnsi="Arial" w:cs="Arial"/>
          <w:color w:val="000000"/>
          <w:sz w:val="20"/>
        </w:rPr>
        <w:t xml:space="preserve">E.R.K.'s complaint identifies "[t]he DOE's provision of public education" as the "service, program, or activity" from which he was allegedly excluded. But the only programs the DOE provides on a discriminatory basis are the GED and CB adult education programs; Act  [**28] 163 forecloses all other public-education programs to disabled and nondisabled students alike. Thus, the question is whether the GED and CB programs are available to disabled individuals "who, with or without reasonable accommodations, meet the essential  [*993]  eligibility requirements to participate." </w:t>
      </w:r>
      <w:bookmarkStart w:id="124" w:name="Bookmark_I59CFCN92HM5PS0050000400"/>
      <w:bookmarkEnd w:id="124"/>
      <w:r>
        <w:rPr>
          <w:rFonts w:ascii="Arial" w:eastAsia="Arial" w:hAnsi="Arial" w:cs="Arial"/>
          <w:i/>
          <w:color w:val="000000"/>
          <w:sz w:val="20"/>
        </w:rPr>
        <w:t>Pierce v. Cnty. of Orange</w:t>
      </w:r>
      <w:r>
        <w:rPr>
          <w:rFonts w:ascii="Arial" w:eastAsia="Arial" w:hAnsi="Arial" w:cs="Arial"/>
          <w:color w:val="000000"/>
          <w:sz w:val="20"/>
        </w:rPr>
        <w:t>, 526 F.3d 1190, 1222 (9th Cir. 2008).</w:t>
      </w:r>
    </w:p>
    <w:p w14:paraId="5ED89C7C" w14:textId="77777777" w:rsidR="00D041A2" w:rsidRDefault="00000000">
      <w:pPr>
        <w:pStyle w:val="Normal0"/>
        <w:widowControl w:val="0"/>
        <w:spacing w:before="200" w:line="260" w:lineRule="atLeast"/>
        <w:jc w:val="both"/>
      </w:pPr>
      <w:bookmarkStart w:id="125" w:name="Bookmark_para_56"/>
      <w:bookmarkStart w:id="126" w:name="Bookmark_I4GVFVH2R5M000M62HG000MY"/>
      <w:bookmarkStart w:id="127" w:name="Bookmark_I59CFCN92N1R1B0030000400"/>
      <w:bookmarkEnd w:id="125"/>
      <w:bookmarkEnd w:id="126"/>
      <w:bookmarkEnd w:id="127"/>
      <w:r>
        <w:rPr>
          <w:rFonts w:ascii="Arial" w:eastAsia="Arial" w:hAnsi="Arial" w:cs="Arial"/>
          <w:color w:val="000000"/>
          <w:sz w:val="20"/>
        </w:rPr>
        <w:t xml:space="preserve">E.R.K. did not establish a prima facie case of disability discrimination because he failed to produce "evidence of the existence of a reasonable accommodation." </w:t>
      </w:r>
      <w:bookmarkStart w:id="128" w:name="Bookmark_I59CFCN92N1R1B0020000400"/>
      <w:bookmarkEnd w:id="128"/>
      <w:r>
        <w:rPr>
          <w:rFonts w:ascii="Arial" w:eastAsia="Arial" w:hAnsi="Arial" w:cs="Arial"/>
          <w:i/>
          <w:color w:val="000000"/>
          <w:sz w:val="20"/>
        </w:rPr>
        <w:t>Zukle</w:t>
      </w:r>
      <w:r>
        <w:rPr>
          <w:rFonts w:ascii="Arial" w:eastAsia="Arial" w:hAnsi="Arial" w:cs="Arial"/>
          <w:color w:val="000000"/>
          <w:sz w:val="20"/>
        </w:rPr>
        <w:t xml:space="preserve">, 166 F.3d at 1047. E.R.K. did not identify changes to the structure or curriculum of the Community Schools for Adults that would make them generally accessible to disabled students. Instead, the accommodation he proposed was simply that the DOE maintain disabled students' special-education placements until their twenty-second birthdays. That accommodation would do nothing to help disabled students access the GED and CB programs. </w:t>
      </w:r>
      <w:bookmarkStart w:id="129" w:name="Bookmark_I59CFCN92N1R1B0050000400"/>
      <w:bookmarkEnd w:id="129"/>
      <w:r>
        <w:rPr>
          <w:rFonts w:ascii="Arial" w:eastAsia="Arial" w:hAnsi="Arial" w:cs="Arial"/>
          <w:color w:val="000000"/>
          <w:sz w:val="20"/>
        </w:rPr>
        <w:t xml:space="preserve">Retaining students in their publicly funded special-education placements might be a reasonable accommodation if E.R.K. were alleging that disabled students are excluded from the Hawaiian public-education system as a whole. But the accommodation  [**29] would represent a "fundamental" change to the Community Schools for Adults in particular—and the DOE is not required to make fundamental modifications to accommodate disabled students. </w:t>
      </w:r>
      <w:bookmarkStart w:id="130" w:name="Bookmark_I59CFCN92N1R1B0040000400"/>
      <w:bookmarkEnd w:id="130"/>
      <w:r>
        <w:rPr>
          <w:rFonts w:ascii="Arial" w:eastAsia="Arial" w:hAnsi="Arial" w:cs="Arial"/>
          <w:i/>
          <w:color w:val="000000"/>
          <w:sz w:val="20"/>
        </w:rPr>
        <w:t>Alexander v. Choate</w:t>
      </w:r>
      <w:r>
        <w:rPr>
          <w:rFonts w:ascii="Arial" w:eastAsia="Arial" w:hAnsi="Arial" w:cs="Arial"/>
          <w:color w:val="000000"/>
          <w:sz w:val="20"/>
        </w:rPr>
        <w:t>, 469 U.S. 287, 300, 105 S. Ct. 712, 83 L. Ed. 2d 661 (1985).</w:t>
      </w:r>
    </w:p>
    <w:p w14:paraId="36F825FA" w14:textId="77777777" w:rsidR="00D041A2" w:rsidRDefault="00000000">
      <w:pPr>
        <w:pStyle w:val="Normal0"/>
        <w:widowControl w:val="0"/>
        <w:spacing w:before="240" w:line="260" w:lineRule="atLeast"/>
      </w:pPr>
      <w:r>
        <w:br/>
      </w:r>
      <w:r>
        <w:rPr>
          <w:rFonts w:ascii="Arial" w:eastAsia="Arial" w:hAnsi="Arial" w:cs="Arial"/>
          <w:b/>
          <w:color w:val="000000"/>
          <w:sz w:val="20"/>
        </w:rPr>
        <w:t>Conclusion</w:t>
      </w:r>
    </w:p>
    <w:p w14:paraId="68D5B4FF" w14:textId="77777777" w:rsidR="00D041A2" w:rsidRDefault="00000000">
      <w:pPr>
        <w:pStyle w:val="Normal0"/>
        <w:widowControl w:val="0"/>
        <w:spacing w:before="200" w:line="260" w:lineRule="atLeast"/>
        <w:jc w:val="both"/>
      </w:pPr>
      <w:bookmarkStart w:id="131" w:name="Bookmark_para_57"/>
      <w:bookmarkEnd w:id="131"/>
      <w:r>
        <w:rPr>
          <w:rFonts w:ascii="Arial" w:eastAsia="Arial" w:hAnsi="Arial" w:cs="Arial"/>
          <w:color w:val="000000"/>
          <w:sz w:val="20"/>
        </w:rPr>
        <w:t>Through its Community Schools for Adults, the State of Hawaii offers public education to nondisabled students between the ages of 20 and 22. As long as it continues to do so, the IDEA requires the state to continue to provide a free and appropriate public education to disabled students who have not yet obtained the age of 22. The Plaintiffs did not, however, prove that the same result is necessary as a reasonable accommodation. Accordingly, we affirm the district court's judgment for the DOE on the ADA and Rehabilitation Act claims, and reverse the district court's judgment for the DOE on the IDEA claim.</w:t>
      </w:r>
    </w:p>
    <w:p w14:paraId="698D77EC" w14:textId="77777777" w:rsidR="00D041A2" w:rsidRDefault="00000000">
      <w:pPr>
        <w:pStyle w:val="Normal0"/>
        <w:widowControl w:val="0"/>
        <w:spacing w:before="200" w:line="260" w:lineRule="atLeast"/>
        <w:jc w:val="both"/>
      </w:pPr>
      <w:bookmarkStart w:id="132" w:name="Bookmark_para_58"/>
      <w:bookmarkEnd w:id="132"/>
      <w:r>
        <w:rPr>
          <w:rFonts w:ascii="Arial" w:eastAsia="Arial" w:hAnsi="Arial" w:cs="Arial"/>
          <w:color w:val="000000"/>
          <w:sz w:val="20"/>
        </w:rPr>
        <w:t>Costs on appeal shall be awarded to Plaintiffs-Appellants.</w:t>
      </w:r>
    </w:p>
    <w:p w14:paraId="733E780A" w14:textId="77777777" w:rsidR="00D041A2" w:rsidRDefault="00000000">
      <w:pPr>
        <w:pStyle w:val="Normal0"/>
        <w:widowControl w:val="0"/>
        <w:spacing w:before="200" w:line="260" w:lineRule="atLeast"/>
        <w:jc w:val="both"/>
      </w:pPr>
      <w:bookmarkStart w:id="133" w:name="Bookmark_para_59"/>
      <w:bookmarkEnd w:id="133"/>
      <w:r>
        <w:rPr>
          <w:rFonts w:ascii="Arial" w:eastAsia="Arial" w:hAnsi="Arial" w:cs="Arial"/>
          <w:b/>
          <w:color w:val="000000"/>
          <w:sz w:val="20"/>
        </w:rPr>
        <w:t>AFFIRMED</w:t>
      </w:r>
      <w:r>
        <w:rPr>
          <w:rFonts w:ascii="Arial" w:eastAsia="Arial" w:hAnsi="Arial" w:cs="Arial"/>
          <w:color w:val="000000"/>
          <w:sz w:val="20"/>
        </w:rPr>
        <w:t xml:space="preserve"> in part, </w:t>
      </w:r>
      <w:r>
        <w:rPr>
          <w:rFonts w:ascii="Arial" w:eastAsia="Arial" w:hAnsi="Arial" w:cs="Arial"/>
          <w:b/>
          <w:color w:val="000000"/>
          <w:sz w:val="20"/>
        </w:rPr>
        <w:t>REVERSED</w:t>
      </w:r>
      <w:r>
        <w:rPr>
          <w:rFonts w:ascii="Arial" w:eastAsia="Arial" w:hAnsi="Arial" w:cs="Arial"/>
          <w:color w:val="000000"/>
          <w:sz w:val="20"/>
        </w:rPr>
        <w:t xml:space="preserve"> in part, and </w:t>
      </w:r>
      <w:r>
        <w:rPr>
          <w:rFonts w:ascii="Arial" w:eastAsia="Arial" w:hAnsi="Arial" w:cs="Arial"/>
          <w:b/>
          <w:color w:val="000000"/>
          <w:sz w:val="20"/>
        </w:rPr>
        <w:t>REMANDED</w:t>
      </w:r>
      <w:r>
        <w:rPr>
          <w:rFonts w:ascii="Arial" w:eastAsia="Arial" w:hAnsi="Arial" w:cs="Arial"/>
          <w:color w:val="000000"/>
          <w:sz w:val="20"/>
        </w:rPr>
        <w:t>.</w:t>
      </w:r>
    </w:p>
    <w:p w14:paraId="3E9019A2" w14:textId="77777777" w:rsidR="00D041A2" w:rsidRDefault="00D041A2">
      <w:pPr>
        <w:pStyle w:val="Normal0"/>
      </w:pPr>
    </w:p>
    <w:p w14:paraId="39343B63" w14:textId="1576D1B7" w:rsidR="00D041A2" w:rsidRDefault="00000000">
      <w:pPr>
        <w:pStyle w:val="Normal0"/>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59264" behindDoc="0" locked="0" layoutInCell="1" allowOverlap="1" wp14:anchorId="59E8E352" wp14:editId="5993C844">
                <wp:simplePos x="0" y="0"/>
                <wp:positionH relativeFrom="column">
                  <wp:posOffset>0</wp:posOffset>
                </wp:positionH>
                <wp:positionV relativeFrom="paragraph">
                  <wp:posOffset>127000</wp:posOffset>
                </wp:positionV>
                <wp:extent cx="6502400" cy="0"/>
                <wp:effectExtent l="9525" t="12700" r="12700" b="6350"/>
                <wp:wrapNone/>
                <wp:docPr id="174002941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D668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3D70F25" w14:textId="77777777" w:rsidR="00D041A2" w:rsidRDefault="00D041A2">
      <w:pPr>
        <w:pStyle w:val="Normal1"/>
        <w:sectPr w:rsidR="00D041A2">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gutter="0"/>
          <w:cols w:space="720"/>
          <w:titlePg/>
        </w:sectPr>
      </w:pPr>
    </w:p>
    <w:p w14:paraId="0C6CD18A" w14:textId="77777777" w:rsidR="00D041A2" w:rsidRDefault="00D041A2">
      <w:pPr>
        <w:pStyle w:val="Normal1"/>
      </w:pPr>
    </w:p>
    <w:p w14:paraId="45AF5F78" w14:textId="77777777" w:rsidR="00D041A2" w:rsidRDefault="00000000">
      <w:pPr>
        <w:pStyle w:val="Heading10"/>
        <w:keepNext w:val="0"/>
        <w:widowControl w:val="0"/>
        <w:spacing w:after="200" w:line="340" w:lineRule="atLeast"/>
        <w:jc w:val="center"/>
      </w:pPr>
      <w:r>
        <w:rPr>
          <w:rFonts w:eastAsia="Arial"/>
          <w:color w:val="000000"/>
          <w:sz w:val="28"/>
        </w:rPr>
        <w:t>Huck v. Kone, Inc.</w:t>
      </w:r>
    </w:p>
    <w:p w14:paraId="73EE4B3E" w14:textId="77777777" w:rsidR="00D041A2" w:rsidRDefault="00000000">
      <w:pPr>
        <w:pStyle w:val="Normal1"/>
        <w:widowControl w:val="0"/>
        <w:spacing w:before="120" w:line="260" w:lineRule="atLeast"/>
        <w:jc w:val="center"/>
      </w:pPr>
      <w:r>
        <w:rPr>
          <w:rFonts w:ascii="Arial" w:eastAsia="Arial" w:hAnsi="Arial" w:cs="Arial"/>
          <w:color w:val="000000"/>
          <w:sz w:val="20"/>
        </w:rPr>
        <w:t>United States Court of Appeals for the Ninth Circuit</w:t>
      </w:r>
    </w:p>
    <w:p w14:paraId="17C982C3" w14:textId="77777777" w:rsidR="00D041A2" w:rsidRDefault="00000000">
      <w:pPr>
        <w:pStyle w:val="Normal1"/>
        <w:widowControl w:val="0"/>
        <w:spacing w:before="120" w:line="260" w:lineRule="atLeast"/>
        <w:jc w:val="center"/>
      </w:pPr>
      <w:r>
        <w:rPr>
          <w:rFonts w:ascii="Arial" w:eastAsia="Arial" w:hAnsi="Arial" w:cs="Arial"/>
          <w:color w:val="000000"/>
          <w:sz w:val="20"/>
        </w:rPr>
        <w:t>August 13, 2013</w:t>
      </w:r>
      <w:r>
        <w:rPr>
          <w:rFonts w:ascii="Arial" w:eastAsia="Arial" w:hAnsi="Arial" w:cs="Arial"/>
          <w:vertAlign w:val="superscript"/>
        </w:rPr>
        <w:footnoteReference w:customMarkFollows="1" w:id="9"/>
        <w:t>**</w:t>
      </w:r>
      <w:r>
        <w:rPr>
          <w:rFonts w:ascii="Arial" w:eastAsia="Arial" w:hAnsi="Arial" w:cs="Arial"/>
          <w:color w:val="000000"/>
          <w:sz w:val="20"/>
        </w:rPr>
        <w:t>, Submitted, San Francisco, California; August 26, 2013, Filed</w:t>
      </w:r>
    </w:p>
    <w:p w14:paraId="28AA226C" w14:textId="77777777" w:rsidR="00D041A2" w:rsidRDefault="00000000">
      <w:pPr>
        <w:pStyle w:val="Normal1"/>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12-15082</w:t>
      </w:r>
    </w:p>
    <w:p w14:paraId="21F749D3" w14:textId="77777777" w:rsidR="00D041A2" w:rsidRDefault="00D041A2">
      <w:pPr>
        <w:pStyle w:val="Normal1"/>
        <w:widowControl w:val="0"/>
        <w:spacing w:line="240" w:lineRule="atLeast"/>
        <w:jc w:val="both"/>
      </w:pPr>
      <w:bookmarkStart w:id="135" w:name="Bookmark_2"/>
      <w:bookmarkEnd w:id="135"/>
    </w:p>
    <w:p w14:paraId="26D7ED29" w14:textId="77777777" w:rsidR="00D041A2" w:rsidRDefault="00000000">
      <w:pPr>
        <w:pStyle w:val="Normal1"/>
        <w:widowControl w:val="0"/>
        <w:spacing w:before="200" w:line="240" w:lineRule="atLeast"/>
      </w:pPr>
      <w:bookmarkStart w:id="136" w:name="Reporter_0"/>
      <w:bookmarkEnd w:id="136"/>
      <w:r>
        <w:rPr>
          <w:rFonts w:ascii="Arial" w:eastAsia="Arial" w:hAnsi="Arial" w:cs="Arial"/>
          <w:b/>
          <w:color w:val="000000"/>
          <w:sz w:val="18"/>
        </w:rPr>
        <w:t>Reporter</w:t>
      </w:r>
    </w:p>
    <w:p w14:paraId="44B1F8A3" w14:textId="77777777" w:rsidR="00D041A2" w:rsidRDefault="00000000">
      <w:pPr>
        <w:pStyle w:val="Normal1"/>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539 Fed. Appx. 754 *; 2013 U.S. App. LEXIS 17800 **; 28 Am. Disabilities Cas. (BNA) 821; 2013 WL 4505137</w:t>
      </w:r>
    </w:p>
    <w:p w14:paraId="7A9C6EA3" w14:textId="77777777" w:rsidR="00D041A2" w:rsidRDefault="00000000">
      <w:pPr>
        <w:pStyle w:val="Normal1"/>
        <w:widowControl w:val="0"/>
        <w:spacing w:before="120" w:line="260" w:lineRule="atLeast"/>
      </w:pPr>
      <w:r>
        <w:rPr>
          <w:rFonts w:ascii="Arial" w:eastAsia="Arial" w:hAnsi="Arial" w:cs="Arial"/>
          <w:color w:val="000000"/>
          <w:sz w:val="20"/>
        </w:rPr>
        <w:t>RANDALL G. HUCK, Plaintiff - Appellant, v. KONE, INC., Defendant - Appellee.</w:t>
      </w:r>
    </w:p>
    <w:p w14:paraId="5E4D52DB" w14:textId="77777777" w:rsidR="00D041A2" w:rsidRDefault="00000000">
      <w:pPr>
        <w:pStyle w:val="Normal1"/>
        <w:widowControl w:val="0"/>
        <w:spacing w:before="240" w:line="260" w:lineRule="atLeast"/>
        <w:jc w:val="both"/>
      </w:pPr>
      <w:bookmarkStart w:id="137" w:name="Notice"/>
      <w:bookmarkEnd w:id="137"/>
      <w:r>
        <w:rPr>
          <w:rFonts w:ascii="Arial" w:eastAsia="Arial" w:hAnsi="Arial" w:cs="Arial"/>
          <w:b/>
          <w:color w:val="000000"/>
          <w:sz w:val="20"/>
        </w:rPr>
        <w:t>Notice:</w:t>
      </w:r>
      <w:r>
        <w:rPr>
          <w:rFonts w:ascii="Arial" w:eastAsia="Arial" w:hAnsi="Arial" w:cs="Arial"/>
          <w:color w:val="000000"/>
          <w:sz w:val="20"/>
        </w:rPr>
        <w:t> </w:t>
      </w:r>
      <w:bookmarkStart w:id="138" w:name="Bookmark_para_1_0"/>
      <w:bookmarkEnd w:id="138"/>
      <w:r>
        <w:rPr>
          <w:rFonts w:ascii="Arial" w:eastAsia="Arial" w:hAnsi="Arial" w:cs="Arial"/>
          <w:color w:val="000000"/>
          <w:sz w:val="20"/>
        </w:rPr>
        <w:t>PLEASE REFER TO FEDERAL RULES OF APPELLATE PROCEDURE RULE 32.1 GOVERNING THE CITATION TO UNPUBLISHED OPINIONS.</w:t>
      </w:r>
    </w:p>
    <w:p w14:paraId="57708E46" w14:textId="77777777" w:rsidR="00D041A2" w:rsidRDefault="00000000">
      <w:pPr>
        <w:pStyle w:val="Normal1"/>
        <w:widowControl w:val="0"/>
        <w:spacing w:before="240" w:line="260" w:lineRule="atLeast"/>
        <w:jc w:val="both"/>
      </w:pPr>
      <w:bookmarkStart w:id="139" w:name="Prior_History_0"/>
      <w:bookmarkEnd w:id="139"/>
      <w:r>
        <w:rPr>
          <w:rFonts w:ascii="Arial" w:eastAsia="Arial" w:hAnsi="Arial" w:cs="Arial"/>
          <w:b/>
          <w:color w:val="000000"/>
          <w:sz w:val="20"/>
        </w:rPr>
        <w:t>Prior History:</w:t>
      </w:r>
      <w:r>
        <w:rPr>
          <w:rFonts w:ascii="Arial" w:eastAsia="Arial" w:hAnsi="Arial" w:cs="Arial"/>
          <w:color w:val="000000"/>
          <w:sz w:val="20"/>
        </w:rPr>
        <w:t>  [**1] </w:t>
      </w:r>
      <w:bookmarkStart w:id="140" w:name="Bookmark_para_2_0"/>
      <w:bookmarkEnd w:id="140"/>
      <w:r>
        <w:rPr>
          <w:rFonts w:ascii="Arial" w:eastAsia="Arial" w:hAnsi="Arial" w:cs="Arial"/>
          <w:color w:val="000000"/>
          <w:sz w:val="20"/>
        </w:rPr>
        <w:t>Appeal from the United States District Court for the Northern District of California. D.C. No. 3:10-cv-01845-RS. Richard Seeborg, District Judge, Presiding.</w:t>
      </w:r>
    </w:p>
    <w:p w14:paraId="140EF0CB" w14:textId="77777777" w:rsidR="00D041A2" w:rsidRDefault="00000000">
      <w:pPr>
        <w:pStyle w:val="Normal1"/>
        <w:widowControl w:val="0"/>
        <w:spacing w:before="120" w:line="260" w:lineRule="atLeast"/>
      </w:pPr>
      <w:r>
        <w:rPr>
          <w:rFonts w:ascii="Arial" w:eastAsia="Arial" w:hAnsi="Arial" w:cs="Arial"/>
          <w:color w:val="000000"/>
          <w:sz w:val="20"/>
        </w:rPr>
        <w:t>Huck v. Kone Inc., 2011 U.S. Dist. LEXIS 144438 (N.D. Cal., Dec. 15, 2011)</w:t>
      </w:r>
    </w:p>
    <w:p w14:paraId="1C385BAA" w14:textId="77777777" w:rsidR="00D041A2" w:rsidRDefault="00000000">
      <w:pPr>
        <w:pStyle w:val="Normal1"/>
        <w:widowControl w:val="0"/>
        <w:spacing w:before="240" w:line="260" w:lineRule="atLeast"/>
        <w:jc w:val="both"/>
      </w:pPr>
      <w:bookmarkStart w:id="141" w:name="Disposition_0"/>
      <w:bookmarkEnd w:id="141"/>
      <w:r>
        <w:rPr>
          <w:rFonts w:ascii="Arial" w:eastAsia="Arial" w:hAnsi="Arial" w:cs="Arial"/>
          <w:b/>
          <w:color w:val="000000"/>
          <w:sz w:val="20"/>
        </w:rPr>
        <w:t>Disposition:</w:t>
      </w:r>
      <w:r>
        <w:rPr>
          <w:rFonts w:ascii="Arial" w:eastAsia="Arial" w:hAnsi="Arial" w:cs="Arial"/>
          <w:color w:val="000000"/>
          <w:sz w:val="20"/>
        </w:rPr>
        <w:t> </w:t>
      </w:r>
      <w:bookmarkStart w:id="142" w:name="Bookmark_clspara_1"/>
      <w:bookmarkEnd w:id="142"/>
      <w:r>
        <w:rPr>
          <w:rFonts w:ascii="Arial" w:eastAsia="Arial" w:hAnsi="Arial" w:cs="Arial"/>
          <w:color w:val="000000"/>
          <w:sz w:val="20"/>
        </w:rPr>
        <w:t>AFFIRMED.</w:t>
      </w:r>
    </w:p>
    <w:p w14:paraId="392139E9" w14:textId="77777777" w:rsidR="00D041A2" w:rsidRDefault="00000000">
      <w:pPr>
        <w:pStyle w:val="Normal1"/>
        <w:widowControl w:val="0"/>
        <w:spacing w:before="240" w:line="260" w:lineRule="atLeast"/>
      </w:pPr>
      <w:bookmarkStart w:id="143" w:name="Counsel_0"/>
      <w:bookmarkEnd w:id="143"/>
      <w:r>
        <w:rPr>
          <w:rFonts w:ascii="Arial" w:eastAsia="Arial" w:hAnsi="Arial" w:cs="Arial"/>
          <w:b/>
          <w:color w:val="000000"/>
          <w:sz w:val="20"/>
        </w:rPr>
        <w:t>Counsel:</w:t>
      </w:r>
      <w:r>
        <w:rPr>
          <w:rFonts w:ascii="Arial" w:eastAsia="Arial" w:hAnsi="Arial" w:cs="Arial"/>
          <w:color w:val="000000"/>
          <w:sz w:val="20"/>
        </w:rPr>
        <w:t> RANDALL G. HUCK, Plaintiff - Appellant, Pro se, San Francisco, CA.</w:t>
      </w:r>
    </w:p>
    <w:p w14:paraId="4AB77F7A" w14:textId="77777777" w:rsidR="00D041A2" w:rsidRDefault="00000000">
      <w:pPr>
        <w:pStyle w:val="Normal1"/>
        <w:widowControl w:val="0"/>
        <w:spacing w:before="120" w:line="260" w:lineRule="atLeast"/>
      </w:pPr>
      <w:r>
        <w:rPr>
          <w:rFonts w:ascii="Arial" w:eastAsia="Arial" w:hAnsi="Arial" w:cs="Arial"/>
          <w:color w:val="000000"/>
          <w:sz w:val="20"/>
        </w:rPr>
        <w:t>For KONE, INC., Defendant - Appellee: Stephen Scott Muhich, Dykema Gossett, Grand Rapids, MI; Dawn Williams, DYKEMA GOSSETT, PLLC, Chicago, IL.</w:t>
      </w:r>
    </w:p>
    <w:p w14:paraId="7CA2515F" w14:textId="77777777" w:rsidR="00D041A2" w:rsidRDefault="00000000">
      <w:pPr>
        <w:pStyle w:val="Normal1"/>
        <w:widowControl w:val="0"/>
        <w:spacing w:before="240" w:line="260" w:lineRule="atLeast"/>
      </w:pPr>
      <w:bookmarkStart w:id="144" w:name="Judges_0"/>
      <w:bookmarkEnd w:id="144"/>
      <w:r>
        <w:rPr>
          <w:rFonts w:ascii="Arial" w:eastAsia="Arial" w:hAnsi="Arial" w:cs="Arial"/>
          <w:b/>
          <w:color w:val="000000"/>
          <w:sz w:val="20"/>
        </w:rPr>
        <w:t>Judges:</w:t>
      </w:r>
      <w:r>
        <w:rPr>
          <w:rFonts w:ascii="Arial" w:eastAsia="Arial" w:hAnsi="Arial" w:cs="Arial"/>
          <w:color w:val="000000"/>
          <w:sz w:val="20"/>
        </w:rPr>
        <w:t> Before: HAWKINS, THOMAS, and McKEOWN, Circuit Judges.</w:t>
      </w:r>
    </w:p>
    <w:p w14:paraId="7A18927C" w14:textId="77777777" w:rsidR="00D041A2" w:rsidRDefault="00000000">
      <w:pPr>
        <w:pStyle w:val="Normal1"/>
        <w:keepNext/>
        <w:widowControl w:val="0"/>
        <w:spacing w:before="240" w:line="340" w:lineRule="atLeast"/>
      </w:pPr>
      <w:bookmarkStart w:id="145" w:name="Opinion_0"/>
      <w:bookmarkEnd w:id="145"/>
      <w:r>
        <w:rPr>
          <w:rFonts w:ascii="Arial" w:eastAsia="Arial" w:hAnsi="Arial" w:cs="Arial"/>
          <w:b/>
          <w:color w:val="000000"/>
          <w:sz w:val="28"/>
        </w:rPr>
        <w:t>Opinion</w:t>
      </w:r>
    </w:p>
    <w:p w14:paraId="1BB88B52" w14:textId="029DE5C5" w:rsidR="00D041A2" w:rsidRDefault="004D4403">
      <w:pPr>
        <w:pStyle w:val="Normal1"/>
        <w:spacing w:line="60" w:lineRule="exact"/>
      </w:pPr>
      <w:r>
        <w:rPr>
          <w:noProof/>
        </w:rPr>
        <mc:AlternateContent>
          <mc:Choice Requires="wps">
            <w:drawing>
              <wp:anchor distT="0" distB="0" distL="114300" distR="114300" simplePos="0" relativeHeight="251660288" behindDoc="0" locked="0" layoutInCell="1" allowOverlap="1" wp14:anchorId="5665AE09" wp14:editId="586700FE">
                <wp:simplePos x="0" y="0"/>
                <wp:positionH relativeFrom="column">
                  <wp:posOffset>0</wp:posOffset>
                </wp:positionH>
                <wp:positionV relativeFrom="paragraph">
                  <wp:posOffset>25400</wp:posOffset>
                </wp:positionV>
                <wp:extent cx="3187700" cy="0"/>
                <wp:effectExtent l="19050" t="15875" r="12700" b="12700"/>
                <wp:wrapTopAndBottom/>
                <wp:docPr id="138317398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F665A"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1C58E67" w14:textId="77777777" w:rsidR="00D041A2" w:rsidRDefault="00D041A2">
      <w:pPr>
        <w:pStyle w:val="Normal1"/>
        <w:spacing w:line="120" w:lineRule="exact"/>
      </w:pPr>
    </w:p>
    <w:p w14:paraId="62F4AF14" w14:textId="77777777" w:rsidR="00D041A2" w:rsidRDefault="00000000">
      <w:pPr>
        <w:pStyle w:val="Normal1"/>
        <w:widowControl w:val="0"/>
        <w:spacing w:before="240" w:line="260" w:lineRule="atLeast"/>
      </w:pPr>
      <w:r>
        <w:br/>
      </w:r>
      <w:r>
        <w:rPr>
          <w:rFonts w:ascii="Arial" w:eastAsia="Arial" w:hAnsi="Arial" w:cs="Arial"/>
          <w:color w:val="000000"/>
          <w:sz w:val="20"/>
        </w:rPr>
        <w:t xml:space="preserve"> [*755]  MEMORANDUM </w:t>
      </w:r>
      <w:r>
        <w:rPr>
          <w:rFonts w:ascii="Arial" w:eastAsia="Arial" w:hAnsi="Arial" w:cs="Arial"/>
          <w:vertAlign w:val="superscript"/>
        </w:rPr>
        <w:footnoteReference w:customMarkFollows="1" w:id="10"/>
        <w:t>*</w:t>
      </w:r>
    </w:p>
    <w:p w14:paraId="5FED6BCE" w14:textId="77777777" w:rsidR="00D041A2" w:rsidRDefault="00000000">
      <w:pPr>
        <w:pStyle w:val="Normal1"/>
        <w:widowControl w:val="0"/>
        <w:spacing w:before="200" w:line="260" w:lineRule="atLeast"/>
        <w:jc w:val="both"/>
      </w:pPr>
      <w:bookmarkStart w:id="147" w:name="Bookmark_para_3_0"/>
      <w:bookmarkEnd w:id="147"/>
      <w:r>
        <w:rPr>
          <w:rFonts w:ascii="Arial" w:eastAsia="Arial" w:hAnsi="Arial" w:cs="Arial"/>
          <w:color w:val="000000"/>
          <w:sz w:val="20"/>
        </w:rPr>
        <w:t>Randall Huck appeals the district court's dismissal of his employment discrimination claims pursuant to defendant Kone, Inc.'s motion for summary judgment. We have jurisdiction and we affirm.</w:t>
      </w:r>
    </w:p>
    <w:p w14:paraId="324D9A00" w14:textId="77777777" w:rsidR="00D041A2" w:rsidRDefault="00000000">
      <w:pPr>
        <w:pStyle w:val="Normal1"/>
        <w:widowControl w:val="0"/>
        <w:spacing w:before="200" w:line="260" w:lineRule="atLeast"/>
        <w:jc w:val="both"/>
      </w:pPr>
      <w:bookmarkStart w:id="148" w:name="Bookmark_para_4_0"/>
      <w:bookmarkStart w:id="149" w:name="Bookmark_I7CFJPPNG48000BV8980013H"/>
      <w:bookmarkStart w:id="150" w:name="Bookmark_I59C76552SF8G70020000400"/>
      <w:bookmarkEnd w:id="148"/>
      <w:bookmarkEnd w:id="149"/>
      <w:bookmarkEnd w:id="150"/>
      <w:r>
        <w:rPr>
          <w:rFonts w:ascii="Arial" w:eastAsia="Arial" w:hAnsi="Arial" w:cs="Arial"/>
          <w:color w:val="000000"/>
          <w:sz w:val="20"/>
        </w:rPr>
        <w:t xml:space="preserve">A plaintiff bringing a discrimination claim under California Fair Employment and Housing Act ("FEHA"), Cal. Gov. Code § 12940 </w:t>
      </w:r>
      <w:r>
        <w:rPr>
          <w:rFonts w:ascii="Arial" w:eastAsia="Arial" w:hAnsi="Arial" w:cs="Arial"/>
          <w:i/>
          <w:color w:val="000000"/>
          <w:sz w:val="20"/>
        </w:rPr>
        <w:t>et seq.</w:t>
      </w:r>
      <w:r>
        <w:rPr>
          <w:rFonts w:ascii="Arial" w:eastAsia="Arial" w:hAnsi="Arial" w:cs="Arial"/>
          <w:color w:val="000000"/>
          <w:sz w:val="20"/>
        </w:rPr>
        <w:t xml:space="preserve">, FEHA must show in general terms: (1) disability; (2) the ability to perform job duties; and (3) discrimination. </w:t>
      </w:r>
      <w:bookmarkStart w:id="151" w:name="Bookmark_I59C76552SF8G70010000400"/>
      <w:bookmarkEnd w:id="151"/>
      <w:r>
        <w:rPr>
          <w:rFonts w:ascii="Arial" w:eastAsia="Arial" w:hAnsi="Arial" w:cs="Arial"/>
          <w:i/>
          <w:color w:val="000000"/>
          <w:sz w:val="20"/>
        </w:rPr>
        <w:t>Zeinali v. Raytheon Co.</w:t>
      </w:r>
      <w:r>
        <w:rPr>
          <w:rFonts w:ascii="Arial" w:eastAsia="Arial" w:hAnsi="Arial" w:cs="Arial"/>
          <w:color w:val="000000"/>
          <w:sz w:val="20"/>
        </w:rPr>
        <w:t>, 636 F.3d 544, 552 (9th Cir. 2011) (citation omitted). The parties do not dispute on appeal the district court's finding that Huck was disabled under FEHA and that he could have continued  [**2] to fulfill his job duties. They dispute only whether Huck provided sufficient evidence that he was fired because of his disability.</w:t>
      </w:r>
    </w:p>
    <w:p w14:paraId="6619B582" w14:textId="77777777" w:rsidR="00D041A2" w:rsidRDefault="00000000">
      <w:pPr>
        <w:pStyle w:val="Normal1"/>
        <w:widowControl w:val="0"/>
        <w:spacing w:before="200" w:line="260" w:lineRule="atLeast"/>
        <w:jc w:val="both"/>
      </w:pPr>
      <w:bookmarkStart w:id="152" w:name="Bookmark_para_5_0"/>
      <w:bookmarkEnd w:id="152"/>
      <w:r>
        <w:rPr>
          <w:rFonts w:ascii="Arial" w:eastAsia="Arial" w:hAnsi="Arial" w:cs="Arial"/>
          <w:color w:val="000000"/>
          <w:sz w:val="20"/>
        </w:rPr>
        <w:t xml:space="preserve">Huck was terminated shortly after going on medical leave for his carpal tunnel syndrome. </w:t>
      </w:r>
      <w:bookmarkStart w:id="153" w:name="Bookmark_I59C76552SF8G70040000400"/>
      <w:bookmarkEnd w:id="153"/>
      <w:r>
        <w:rPr>
          <w:rFonts w:ascii="Arial" w:eastAsia="Arial" w:hAnsi="Arial" w:cs="Arial"/>
          <w:color w:val="000000"/>
          <w:sz w:val="20"/>
        </w:rPr>
        <w:t xml:space="preserve">This circumstance establishes a prima facie case of discrimination, which Kone rebutted with evidence that Huck was terminated because he traveled to Hawaii on a ticket paid for by Kone in contravention of a specific directive from his supervisor and charged additional personal travel expenses to his company credit card in violation of company policy. Contrary to Huck's argument on appeal, he could only rebut this showing at summary judgment with specific and substantial evidence that the proffered reason was pretextual. </w:t>
      </w:r>
      <w:bookmarkStart w:id="154" w:name="Bookmark_I59C76552SF8G70030000400"/>
      <w:bookmarkEnd w:id="154"/>
      <w:r>
        <w:rPr>
          <w:rFonts w:ascii="Arial" w:eastAsia="Arial" w:hAnsi="Arial" w:cs="Arial"/>
          <w:i/>
          <w:color w:val="000000"/>
          <w:sz w:val="20"/>
        </w:rPr>
        <w:t>Lawler v. Montblanc N. Am., LLC</w:t>
      </w:r>
      <w:r>
        <w:rPr>
          <w:rFonts w:ascii="Arial" w:eastAsia="Arial" w:hAnsi="Arial" w:cs="Arial"/>
          <w:color w:val="000000"/>
          <w:sz w:val="20"/>
        </w:rPr>
        <w:t xml:space="preserve">, 704 F.3d 1235, 1244 (9th Cir. 2013). Huck did not meet this burden. His only evidence of discrimination was the temporal proximity of his termination to his medical leave, which is insufficient to prove pretext. </w:t>
      </w:r>
      <w:r>
        <w:rPr>
          <w:rFonts w:ascii="Arial" w:eastAsia="Arial" w:hAnsi="Arial" w:cs="Arial"/>
          <w:i/>
          <w:color w:val="000000"/>
          <w:sz w:val="20"/>
        </w:rPr>
        <w:t>See id.</w:t>
      </w:r>
    </w:p>
    <w:p w14:paraId="03552F52" w14:textId="77777777" w:rsidR="00D041A2" w:rsidRDefault="00000000">
      <w:pPr>
        <w:pStyle w:val="Normal1"/>
        <w:widowControl w:val="0"/>
        <w:spacing w:before="200" w:line="260" w:lineRule="atLeast"/>
        <w:jc w:val="both"/>
      </w:pPr>
      <w:bookmarkStart w:id="155" w:name="Bookmark_para_6_0"/>
      <w:bookmarkStart w:id="156" w:name="Bookmark_I59C76552D6P0P0010000400"/>
      <w:bookmarkEnd w:id="155"/>
      <w:bookmarkEnd w:id="156"/>
      <w:r>
        <w:rPr>
          <w:rFonts w:ascii="Arial" w:eastAsia="Arial" w:hAnsi="Arial" w:cs="Arial"/>
          <w:color w:val="000000"/>
          <w:sz w:val="20"/>
        </w:rPr>
        <w:t>Huck's retaliation claim fails because he engaged in no protected activity prior to his termination. Requesting leave is not a protected activity under FEHA, and Huck's request was in any event granted.  [**3] </w:t>
      </w:r>
      <w:r>
        <w:rPr>
          <w:rFonts w:ascii="Arial" w:eastAsia="Arial" w:hAnsi="Arial" w:cs="Arial"/>
          <w:i/>
          <w:color w:val="000000"/>
          <w:sz w:val="20"/>
        </w:rPr>
        <w:t xml:space="preserve">See </w:t>
      </w:r>
      <w:bookmarkStart w:id="157" w:name="Bookmark_I59C76552SF8G70050000400"/>
      <w:bookmarkEnd w:id="157"/>
      <w:r>
        <w:rPr>
          <w:rFonts w:ascii="Arial" w:eastAsia="Arial" w:hAnsi="Arial" w:cs="Arial"/>
          <w:i/>
          <w:color w:val="000000"/>
          <w:sz w:val="20"/>
        </w:rPr>
        <w:t>Yanowitz v. L'Oreal USA, Inc.</w:t>
      </w:r>
      <w:r>
        <w:rPr>
          <w:rFonts w:ascii="Arial" w:eastAsia="Arial" w:hAnsi="Arial" w:cs="Arial"/>
          <w:color w:val="000000"/>
          <w:sz w:val="20"/>
        </w:rPr>
        <w:t>, 36 Cal. 4th 1028, 1046-47, 32 Cal. Rptr. 3d 436, 116 P.3d 1123 (2005) (employee must protest or complain about discriminatory conduct to have viable retaliation claim). Although Huck did file a discrimination complaint with the EEOC, he did so after he was terminated, so that act could not have caused the retaliation.</w:t>
      </w:r>
    </w:p>
    <w:p w14:paraId="76051043" w14:textId="77777777" w:rsidR="00D041A2" w:rsidRDefault="00000000">
      <w:pPr>
        <w:pStyle w:val="Normal1"/>
        <w:widowControl w:val="0"/>
        <w:spacing w:before="200" w:line="260" w:lineRule="atLeast"/>
        <w:jc w:val="both"/>
      </w:pPr>
      <w:bookmarkStart w:id="158" w:name="Bookmark_para_7_0"/>
      <w:bookmarkStart w:id="159" w:name="Bookmark_I59C76552D6P0P0030000400"/>
      <w:bookmarkEnd w:id="158"/>
      <w:bookmarkEnd w:id="159"/>
      <w:r>
        <w:rPr>
          <w:rFonts w:ascii="Arial" w:eastAsia="Arial" w:hAnsi="Arial" w:cs="Arial"/>
          <w:color w:val="000000"/>
          <w:sz w:val="20"/>
        </w:rPr>
        <w:t xml:space="preserve">There is no evidence of failure to accommodate or to engage in the interactive process. Kone accommodated Huck by purchasing dictation software and allowed Huck to take temporary medical leave as directed by his doctor. </w:t>
      </w:r>
      <w:r>
        <w:rPr>
          <w:rFonts w:ascii="Arial" w:eastAsia="Arial" w:hAnsi="Arial" w:cs="Arial"/>
          <w:i/>
          <w:color w:val="000000"/>
          <w:sz w:val="20"/>
        </w:rPr>
        <w:t xml:space="preserve">See </w:t>
      </w:r>
      <w:bookmarkStart w:id="160" w:name="Bookmark_I59C76552D6P0P0020000400"/>
      <w:bookmarkEnd w:id="160"/>
      <w:r>
        <w:rPr>
          <w:rFonts w:ascii="Arial" w:eastAsia="Arial" w:hAnsi="Arial" w:cs="Arial"/>
          <w:i/>
          <w:color w:val="000000"/>
          <w:sz w:val="20"/>
        </w:rPr>
        <w:t>Wilson v. Cnty. of Orange</w:t>
      </w:r>
      <w:r>
        <w:rPr>
          <w:rFonts w:ascii="Arial" w:eastAsia="Arial" w:hAnsi="Arial" w:cs="Arial"/>
          <w:color w:val="000000"/>
          <w:sz w:val="20"/>
        </w:rPr>
        <w:t>, 169 Cal. App. 4th 1185, 1195, 87 Cal. Rptr. 3d 439 (2009) (An "employer  [*756]  cannot be held liable for failing to engage in interactive process when the employee was in fact offered a reasonable accommodation") (citation omitted).</w:t>
      </w:r>
    </w:p>
    <w:p w14:paraId="3B4DD261" w14:textId="77777777" w:rsidR="00D041A2" w:rsidRDefault="00000000">
      <w:pPr>
        <w:pStyle w:val="Normal1"/>
        <w:widowControl w:val="0"/>
        <w:spacing w:before="200" w:line="260" w:lineRule="atLeast"/>
        <w:jc w:val="both"/>
      </w:pPr>
      <w:bookmarkStart w:id="161" w:name="Bookmark_para_8_0"/>
      <w:bookmarkStart w:id="162" w:name="Bookmark_I59C76552D6P0P0050000400"/>
      <w:bookmarkEnd w:id="161"/>
      <w:bookmarkEnd w:id="162"/>
      <w:r>
        <w:rPr>
          <w:rFonts w:ascii="Arial" w:eastAsia="Arial" w:hAnsi="Arial" w:cs="Arial"/>
          <w:color w:val="000000"/>
          <w:sz w:val="20"/>
        </w:rPr>
        <w:t xml:space="preserve">Huck also brings a harassment claim based on his allegations that his supervisor screamed and cursed at him because Huck had missed a meeting during his leave and that the supervisor was angry that Huck would miss another meeting during leave. These two incidents are not the "severe or pervasive" behavior required for a FEHA harassment claim. </w:t>
      </w:r>
      <w:bookmarkStart w:id="163" w:name="Bookmark_I59C76552D6P0P0040000400"/>
      <w:bookmarkEnd w:id="163"/>
      <w:r>
        <w:rPr>
          <w:rFonts w:ascii="Arial" w:eastAsia="Arial" w:hAnsi="Arial" w:cs="Arial"/>
          <w:i/>
          <w:color w:val="000000"/>
          <w:sz w:val="20"/>
        </w:rPr>
        <w:t>Aguilar v. Avis Rent A Car Sys., Inc.</w:t>
      </w:r>
      <w:r>
        <w:rPr>
          <w:rFonts w:ascii="Arial" w:eastAsia="Arial" w:hAnsi="Arial" w:cs="Arial"/>
          <w:color w:val="000000"/>
          <w:sz w:val="20"/>
        </w:rPr>
        <w:t>, 21 Cal. 4th 121, 130-31, 87 Cal. Rptr. 2d 132, 980 P.2d 846 (1999) ("[H]arassment  [**4] cannot be occasional, isolated, [or] sporadic," but must be a "concerted pattern" that "would have seriously affected the psychological well-being of a reasonable employee") (citation omitted).</w:t>
      </w:r>
    </w:p>
    <w:p w14:paraId="338C9D58" w14:textId="77777777" w:rsidR="00D041A2" w:rsidRDefault="00000000">
      <w:pPr>
        <w:pStyle w:val="Normal1"/>
        <w:widowControl w:val="0"/>
        <w:spacing w:before="200" w:line="260" w:lineRule="atLeast"/>
        <w:jc w:val="both"/>
      </w:pPr>
      <w:bookmarkStart w:id="164" w:name="Bookmark_para_9_0"/>
      <w:bookmarkStart w:id="165" w:name="Bookmark_I59C76562N1RRW0020000400"/>
      <w:bookmarkEnd w:id="164"/>
      <w:bookmarkEnd w:id="165"/>
      <w:r>
        <w:rPr>
          <w:rFonts w:ascii="Arial" w:eastAsia="Arial" w:hAnsi="Arial" w:cs="Arial"/>
          <w:color w:val="000000"/>
          <w:sz w:val="20"/>
        </w:rPr>
        <w:t xml:space="preserve">Finally, there is no evidence of the "extreme" conduct necessary to sustain a claim for intentional infliction of emotional distress, and no evidence of emotional distress. </w:t>
      </w:r>
      <w:r>
        <w:rPr>
          <w:rFonts w:ascii="Arial" w:eastAsia="Arial" w:hAnsi="Arial" w:cs="Arial"/>
          <w:i/>
          <w:color w:val="000000"/>
          <w:sz w:val="20"/>
        </w:rPr>
        <w:t xml:space="preserve">See </w:t>
      </w:r>
      <w:bookmarkStart w:id="166" w:name="Bookmark_I59C76562N1RRW0010000400"/>
      <w:bookmarkEnd w:id="166"/>
      <w:r>
        <w:rPr>
          <w:rFonts w:ascii="Arial" w:eastAsia="Arial" w:hAnsi="Arial" w:cs="Arial"/>
          <w:i/>
          <w:color w:val="000000"/>
          <w:sz w:val="20"/>
        </w:rPr>
        <w:t>Hughes v. Pair</w:t>
      </w:r>
      <w:r>
        <w:rPr>
          <w:rFonts w:ascii="Arial" w:eastAsia="Arial" w:hAnsi="Arial" w:cs="Arial"/>
          <w:color w:val="000000"/>
          <w:sz w:val="20"/>
        </w:rPr>
        <w:t>, 46 Cal.4th 1035, 1050-51, 95 Cal. Rptr. 3d 636, 209 P.3d 963 (2009).</w:t>
      </w:r>
    </w:p>
    <w:p w14:paraId="347D0519" w14:textId="77777777" w:rsidR="00D041A2" w:rsidRDefault="00000000">
      <w:pPr>
        <w:pStyle w:val="Normal1"/>
        <w:widowControl w:val="0"/>
        <w:spacing w:before="200" w:line="260" w:lineRule="atLeast"/>
        <w:jc w:val="both"/>
      </w:pPr>
      <w:bookmarkStart w:id="167" w:name="Bookmark_para_10_0"/>
      <w:bookmarkEnd w:id="167"/>
      <w:r>
        <w:rPr>
          <w:rFonts w:ascii="Arial" w:eastAsia="Arial" w:hAnsi="Arial" w:cs="Arial"/>
          <w:b/>
          <w:color w:val="000000"/>
          <w:sz w:val="20"/>
        </w:rPr>
        <w:t>AFFIRMED.</w:t>
      </w:r>
    </w:p>
    <w:p w14:paraId="3B39588A" w14:textId="77777777" w:rsidR="00D041A2" w:rsidRDefault="00D041A2">
      <w:pPr>
        <w:pStyle w:val="Normal1"/>
      </w:pPr>
    </w:p>
    <w:p w14:paraId="22067269" w14:textId="5B9F2DFE" w:rsidR="00D041A2" w:rsidRDefault="00000000">
      <w:pPr>
        <w:pStyle w:val="Normal1"/>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61312" behindDoc="0" locked="0" layoutInCell="1" allowOverlap="1" wp14:anchorId="15D262AB" wp14:editId="3DD97D0D">
                <wp:simplePos x="0" y="0"/>
                <wp:positionH relativeFrom="column">
                  <wp:posOffset>0</wp:posOffset>
                </wp:positionH>
                <wp:positionV relativeFrom="paragraph">
                  <wp:posOffset>127000</wp:posOffset>
                </wp:positionV>
                <wp:extent cx="6502400" cy="0"/>
                <wp:effectExtent l="9525" t="12700" r="12700" b="6350"/>
                <wp:wrapNone/>
                <wp:docPr id="99258782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BF9A1"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C5FFC89" w14:textId="77777777" w:rsidR="00D041A2" w:rsidRDefault="00D041A2">
      <w:pPr>
        <w:pStyle w:val="Normal2"/>
        <w:sectPr w:rsidR="00D041A2">
          <w:headerReference w:type="even" r:id="rId18"/>
          <w:headerReference w:type="default" r:id="rId19"/>
          <w:footerReference w:type="even" r:id="rId20"/>
          <w:footerReference w:type="default" r:id="rId21"/>
          <w:headerReference w:type="first" r:id="rId22"/>
          <w:footerReference w:type="first" r:id="rId23"/>
          <w:pgSz w:w="12240" w:h="15840"/>
          <w:pgMar w:top="840" w:right="1000" w:bottom="840" w:left="1000" w:header="400" w:footer="400" w:gutter="0"/>
          <w:cols w:space="720"/>
          <w:titlePg/>
        </w:sectPr>
      </w:pPr>
    </w:p>
    <w:p w14:paraId="3967FE2B" w14:textId="77777777" w:rsidR="00D041A2" w:rsidRDefault="00D041A2">
      <w:pPr>
        <w:pStyle w:val="Normal2"/>
      </w:pPr>
    </w:p>
    <w:p w14:paraId="658E8EC3" w14:textId="77777777" w:rsidR="00D041A2" w:rsidRDefault="00000000">
      <w:pPr>
        <w:pStyle w:val="Heading11"/>
        <w:keepNext w:val="0"/>
        <w:widowControl w:val="0"/>
        <w:spacing w:after="200" w:line="340" w:lineRule="atLeast"/>
        <w:jc w:val="center"/>
      </w:pPr>
      <w:r>
        <w:rPr>
          <w:rFonts w:eastAsia="Arial"/>
          <w:color w:val="000000"/>
          <w:sz w:val="28"/>
        </w:rPr>
        <w:t>Cunningham v. Univ. of N.M. Bd. of Regents</w:t>
      </w:r>
    </w:p>
    <w:p w14:paraId="2907B232" w14:textId="77777777" w:rsidR="00D041A2" w:rsidRDefault="00000000">
      <w:pPr>
        <w:pStyle w:val="Normal2"/>
        <w:widowControl w:val="0"/>
        <w:spacing w:before="120" w:line="260" w:lineRule="atLeast"/>
        <w:jc w:val="center"/>
      </w:pPr>
      <w:r>
        <w:rPr>
          <w:rFonts w:ascii="Arial" w:eastAsia="Arial" w:hAnsi="Arial" w:cs="Arial"/>
          <w:color w:val="000000"/>
          <w:sz w:val="20"/>
        </w:rPr>
        <w:t>United States Court of Appeals for the Tenth Circuit</w:t>
      </w:r>
    </w:p>
    <w:p w14:paraId="274BFC76" w14:textId="77777777" w:rsidR="00D041A2" w:rsidRDefault="00000000">
      <w:pPr>
        <w:pStyle w:val="Normal2"/>
        <w:widowControl w:val="0"/>
        <w:spacing w:before="120" w:line="260" w:lineRule="atLeast"/>
        <w:jc w:val="center"/>
      </w:pPr>
      <w:r>
        <w:rPr>
          <w:rFonts w:ascii="Arial" w:eastAsia="Arial" w:hAnsi="Arial" w:cs="Arial"/>
          <w:color w:val="000000"/>
          <w:sz w:val="20"/>
        </w:rPr>
        <w:t>August 23, 2013, Filed</w:t>
      </w:r>
    </w:p>
    <w:p w14:paraId="2920FB9B" w14:textId="77777777" w:rsidR="00D041A2" w:rsidRDefault="00000000">
      <w:pPr>
        <w:pStyle w:val="Normal2"/>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11-2103</w:t>
      </w:r>
    </w:p>
    <w:p w14:paraId="716140BF" w14:textId="77777777" w:rsidR="00D041A2" w:rsidRDefault="00D041A2">
      <w:pPr>
        <w:pStyle w:val="Normal2"/>
        <w:widowControl w:val="0"/>
        <w:spacing w:line="240" w:lineRule="atLeast"/>
        <w:jc w:val="both"/>
      </w:pPr>
      <w:bookmarkStart w:id="168" w:name="Bookmark_3"/>
      <w:bookmarkEnd w:id="168"/>
    </w:p>
    <w:p w14:paraId="3AFDDE9E" w14:textId="77777777" w:rsidR="00D041A2" w:rsidRDefault="00000000">
      <w:pPr>
        <w:pStyle w:val="Normal2"/>
        <w:widowControl w:val="0"/>
        <w:spacing w:before="200" w:line="240" w:lineRule="atLeast"/>
      </w:pPr>
      <w:bookmarkStart w:id="169" w:name="Reporter_1"/>
      <w:bookmarkEnd w:id="169"/>
      <w:r>
        <w:rPr>
          <w:rFonts w:ascii="Arial" w:eastAsia="Arial" w:hAnsi="Arial" w:cs="Arial"/>
          <w:b/>
          <w:color w:val="000000"/>
          <w:sz w:val="18"/>
        </w:rPr>
        <w:t>Reporter</w:t>
      </w:r>
    </w:p>
    <w:p w14:paraId="3852175C" w14:textId="77777777" w:rsidR="00D041A2" w:rsidRDefault="00000000">
      <w:pPr>
        <w:pStyle w:val="Normal2"/>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531 Fed. Appx. 909 *; 2013 U.S. App. LEXIS 17712 **; 2013 WL 4492168</w:t>
      </w:r>
    </w:p>
    <w:p w14:paraId="4056F498" w14:textId="77777777" w:rsidR="00D041A2" w:rsidRDefault="00000000">
      <w:pPr>
        <w:pStyle w:val="Normal2"/>
        <w:widowControl w:val="0"/>
        <w:spacing w:before="120" w:line="260" w:lineRule="atLeast"/>
      </w:pPr>
      <w:r>
        <w:rPr>
          <w:rFonts w:ascii="Arial" w:eastAsia="Arial" w:hAnsi="Arial" w:cs="Arial"/>
          <w:color w:val="000000"/>
          <w:sz w:val="20"/>
        </w:rPr>
        <w:t>CHAD CUNNINGHAM, Plaintiff - Appellant, v. UNIVERSITY OF NEW MEXICO BOARD OF REGENTS; UNIVERSITY OF NEW MEXICO SCHOOL OF MEDICINE; NATIONAL BOARD OF MEDICAL EXAMINERS, Defendants - Appellees.</w:t>
      </w:r>
    </w:p>
    <w:p w14:paraId="62F252B1" w14:textId="77777777" w:rsidR="00D041A2" w:rsidRDefault="00000000">
      <w:pPr>
        <w:pStyle w:val="Normal2"/>
        <w:widowControl w:val="0"/>
        <w:spacing w:before="240" w:line="260" w:lineRule="atLeast"/>
        <w:jc w:val="both"/>
      </w:pPr>
      <w:bookmarkStart w:id="170" w:name="Notice_0"/>
      <w:bookmarkEnd w:id="170"/>
      <w:r>
        <w:rPr>
          <w:rFonts w:ascii="Arial" w:eastAsia="Arial" w:hAnsi="Arial" w:cs="Arial"/>
          <w:b/>
          <w:color w:val="000000"/>
          <w:sz w:val="20"/>
        </w:rPr>
        <w:t>Notice:</w:t>
      </w:r>
      <w:r>
        <w:rPr>
          <w:rFonts w:ascii="Arial" w:eastAsia="Arial" w:hAnsi="Arial" w:cs="Arial"/>
          <w:color w:val="000000"/>
          <w:sz w:val="20"/>
        </w:rPr>
        <w:t> </w:t>
      </w:r>
      <w:bookmarkStart w:id="171" w:name="Bookmark_para_1_1"/>
      <w:bookmarkEnd w:id="171"/>
      <w:r>
        <w:rPr>
          <w:rFonts w:ascii="Arial" w:eastAsia="Arial" w:hAnsi="Arial" w:cs="Arial"/>
          <w:color w:val="000000"/>
          <w:sz w:val="20"/>
        </w:rPr>
        <w:t>PLEASE REFER TO FEDERAL RULES OF APPELLATE PROCEDURE RULE 32.1 GOVERNING THE CITATION TO UNPUBLISHED OPINIONS.</w:t>
      </w:r>
    </w:p>
    <w:p w14:paraId="055B4A96" w14:textId="77777777" w:rsidR="00D041A2" w:rsidRDefault="00000000">
      <w:pPr>
        <w:pStyle w:val="Normal2"/>
        <w:widowControl w:val="0"/>
        <w:spacing w:before="240" w:line="260" w:lineRule="atLeast"/>
        <w:jc w:val="both"/>
      </w:pPr>
      <w:bookmarkStart w:id="172" w:name="Prior_History_1"/>
      <w:bookmarkEnd w:id="172"/>
      <w:r>
        <w:rPr>
          <w:rFonts w:ascii="Arial" w:eastAsia="Arial" w:hAnsi="Arial" w:cs="Arial"/>
          <w:b/>
          <w:color w:val="000000"/>
          <w:sz w:val="20"/>
        </w:rPr>
        <w:t>Prior History:</w:t>
      </w:r>
      <w:r>
        <w:rPr>
          <w:rFonts w:ascii="Arial" w:eastAsia="Arial" w:hAnsi="Arial" w:cs="Arial"/>
          <w:color w:val="000000"/>
          <w:sz w:val="20"/>
        </w:rPr>
        <w:t>  [**1] </w:t>
      </w:r>
      <w:bookmarkStart w:id="173" w:name="Bookmark_para_2_1"/>
      <w:bookmarkEnd w:id="173"/>
      <w:r>
        <w:rPr>
          <w:rFonts w:ascii="Arial" w:eastAsia="Arial" w:hAnsi="Arial" w:cs="Arial"/>
          <w:color w:val="000000"/>
          <w:sz w:val="20"/>
        </w:rPr>
        <w:t>(D.C. No. 1:10-CV-00451-BB-ACT). (D.N.M.).</w:t>
      </w:r>
    </w:p>
    <w:p w14:paraId="1A4920C1" w14:textId="77777777" w:rsidR="00D041A2" w:rsidRDefault="00000000">
      <w:pPr>
        <w:pStyle w:val="Normal2"/>
        <w:widowControl w:val="0"/>
        <w:spacing w:before="120" w:line="260" w:lineRule="atLeast"/>
      </w:pPr>
      <w:r>
        <w:rPr>
          <w:rFonts w:ascii="Arial" w:eastAsia="Arial" w:hAnsi="Arial" w:cs="Arial"/>
          <w:color w:val="000000"/>
          <w:sz w:val="20"/>
        </w:rPr>
        <w:t>Cunningham v. Univ. of N.M. Bd. of Regents, 779 F. Supp. 2d 1273, 2011 U.S. Dist. LEXIS 46879 (D.N.M., 2011)</w:t>
      </w:r>
    </w:p>
    <w:p w14:paraId="027A51CD" w14:textId="77777777" w:rsidR="00D041A2" w:rsidRDefault="00000000">
      <w:pPr>
        <w:pStyle w:val="Normal2"/>
        <w:widowControl w:val="0"/>
        <w:spacing w:before="240" w:line="260" w:lineRule="atLeast"/>
      </w:pPr>
      <w:bookmarkStart w:id="174" w:name="Counsel_1"/>
      <w:bookmarkEnd w:id="174"/>
      <w:r>
        <w:rPr>
          <w:rFonts w:ascii="Arial" w:eastAsia="Arial" w:hAnsi="Arial" w:cs="Arial"/>
          <w:b/>
          <w:color w:val="000000"/>
          <w:sz w:val="20"/>
        </w:rPr>
        <w:t>Counsel:</w:t>
      </w:r>
      <w:r>
        <w:rPr>
          <w:rFonts w:ascii="Arial" w:eastAsia="Arial" w:hAnsi="Arial" w:cs="Arial"/>
          <w:color w:val="000000"/>
          <w:sz w:val="20"/>
        </w:rPr>
        <w:t> CHAD CUNNINGHAM, Plaintiff - Appellant, Pro se, Rio Rancho, NM.</w:t>
      </w:r>
    </w:p>
    <w:p w14:paraId="29A0D61A" w14:textId="77777777" w:rsidR="00D041A2" w:rsidRDefault="00000000">
      <w:pPr>
        <w:pStyle w:val="Normal2"/>
        <w:widowControl w:val="0"/>
        <w:spacing w:before="120" w:line="260" w:lineRule="atLeast"/>
      </w:pPr>
      <w:r>
        <w:rPr>
          <w:rFonts w:ascii="Arial" w:eastAsia="Arial" w:hAnsi="Arial" w:cs="Arial"/>
          <w:color w:val="000000"/>
          <w:sz w:val="20"/>
        </w:rPr>
        <w:t>For UNIVERSITY OF NEW MEXICO BOARD OF REGENTS, UNIVERSITY OF NEW MEXICO SCHOOL OF MEDICINE, Defendants - Appellees: Lawrence M. Marcus, Esq., Alfred Alexander Park, Park &amp; Anderson, L.L.C., Albuquerque, NM.</w:t>
      </w:r>
    </w:p>
    <w:p w14:paraId="1A4278DE" w14:textId="77777777" w:rsidR="00D041A2" w:rsidRDefault="00000000">
      <w:pPr>
        <w:pStyle w:val="Normal2"/>
        <w:widowControl w:val="0"/>
        <w:spacing w:before="120" w:line="260" w:lineRule="atLeast"/>
      </w:pPr>
      <w:r>
        <w:rPr>
          <w:rFonts w:ascii="Arial" w:eastAsia="Arial" w:hAnsi="Arial" w:cs="Arial"/>
          <w:color w:val="000000"/>
          <w:sz w:val="20"/>
        </w:rPr>
        <w:t>For NATIONAL BOARD OF MEDICAL EXAMINERS, Defendant - Appellee: Ronda R. Fisk, Shane M. Ham, Osborn Maledon, P.A., Phoenix, AZ.</w:t>
      </w:r>
    </w:p>
    <w:p w14:paraId="0323A9D4" w14:textId="77777777" w:rsidR="00D041A2" w:rsidRDefault="00000000">
      <w:pPr>
        <w:pStyle w:val="Normal2"/>
        <w:widowControl w:val="0"/>
        <w:spacing w:before="240" w:line="260" w:lineRule="atLeast"/>
      </w:pPr>
      <w:bookmarkStart w:id="175" w:name="Judges_1"/>
      <w:bookmarkEnd w:id="175"/>
      <w:r>
        <w:rPr>
          <w:rFonts w:ascii="Arial" w:eastAsia="Arial" w:hAnsi="Arial" w:cs="Arial"/>
          <w:b/>
          <w:color w:val="000000"/>
          <w:sz w:val="20"/>
        </w:rPr>
        <w:t>Judges:</w:t>
      </w:r>
      <w:r>
        <w:rPr>
          <w:rFonts w:ascii="Arial" w:eastAsia="Arial" w:hAnsi="Arial" w:cs="Arial"/>
          <w:color w:val="000000"/>
          <w:sz w:val="20"/>
        </w:rPr>
        <w:t xml:space="preserve"> Before LUCERO and HOLMES, Circuit Judges, and BRIMMER, District Judge. </w:t>
      </w:r>
      <w:r>
        <w:rPr>
          <w:rFonts w:ascii="Arial" w:eastAsia="Arial" w:hAnsi="Arial" w:cs="Arial"/>
          <w:vertAlign w:val="superscript"/>
        </w:rPr>
        <w:footnoteReference w:customMarkFollows="1" w:id="11"/>
        <w:t>**</w:t>
      </w:r>
    </w:p>
    <w:p w14:paraId="0A36E0F1" w14:textId="77777777" w:rsidR="00D041A2" w:rsidRDefault="00000000">
      <w:pPr>
        <w:pStyle w:val="Normal2"/>
        <w:widowControl w:val="0"/>
        <w:spacing w:before="240" w:line="260" w:lineRule="atLeast"/>
      </w:pPr>
      <w:bookmarkStart w:id="177" w:name="Opinion_by_0"/>
      <w:bookmarkEnd w:id="177"/>
      <w:r>
        <w:rPr>
          <w:rFonts w:ascii="Arial" w:eastAsia="Arial" w:hAnsi="Arial" w:cs="Arial"/>
          <w:b/>
          <w:color w:val="000000"/>
          <w:sz w:val="20"/>
        </w:rPr>
        <w:t>Opinion by:</w:t>
      </w:r>
      <w:r>
        <w:rPr>
          <w:rFonts w:ascii="Arial" w:eastAsia="Arial" w:hAnsi="Arial" w:cs="Arial"/>
          <w:color w:val="000000"/>
          <w:sz w:val="20"/>
        </w:rPr>
        <w:t> JEROME A. HOLMES</w:t>
      </w:r>
    </w:p>
    <w:p w14:paraId="7660367F" w14:textId="77777777" w:rsidR="00D041A2" w:rsidRDefault="00000000">
      <w:pPr>
        <w:pStyle w:val="Normal2"/>
        <w:keepNext/>
        <w:widowControl w:val="0"/>
        <w:spacing w:before="240" w:line="340" w:lineRule="atLeast"/>
      </w:pPr>
      <w:bookmarkStart w:id="178" w:name="Opinion_1"/>
      <w:bookmarkEnd w:id="178"/>
      <w:r>
        <w:rPr>
          <w:rFonts w:ascii="Arial" w:eastAsia="Arial" w:hAnsi="Arial" w:cs="Arial"/>
          <w:b/>
          <w:color w:val="000000"/>
          <w:sz w:val="28"/>
        </w:rPr>
        <w:t>Opinion</w:t>
      </w:r>
    </w:p>
    <w:p w14:paraId="641798C4" w14:textId="4960E48C" w:rsidR="00D041A2" w:rsidRDefault="004D4403">
      <w:pPr>
        <w:pStyle w:val="Normal2"/>
        <w:spacing w:line="60" w:lineRule="exact"/>
      </w:pPr>
      <w:r>
        <w:rPr>
          <w:noProof/>
        </w:rPr>
        <mc:AlternateContent>
          <mc:Choice Requires="wps">
            <w:drawing>
              <wp:anchor distT="0" distB="0" distL="114300" distR="114300" simplePos="0" relativeHeight="251662336" behindDoc="0" locked="0" layoutInCell="1" allowOverlap="1" wp14:anchorId="431FF3F7" wp14:editId="3B0852E5">
                <wp:simplePos x="0" y="0"/>
                <wp:positionH relativeFrom="column">
                  <wp:posOffset>0</wp:posOffset>
                </wp:positionH>
                <wp:positionV relativeFrom="paragraph">
                  <wp:posOffset>25400</wp:posOffset>
                </wp:positionV>
                <wp:extent cx="3187700" cy="0"/>
                <wp:effectExtent l="19050" t="15875" r="12700" b="12700"/>
                <wp:wrapTopAndBottom/>
                <wp:docPr id="124334630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2397B"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84C84D2" w14:textId="77777777" w:rsidR="00D041A2" w:rsidRDefault="00D041A2">
      <w:pPr>
        <w:pStyle w:val="Normal2"/>
        <w:spacing w:line="120" w:lineRule="exact"/>
      </w:pPr>
    </w:p>
    <w:p w14:paraId="2A906287" w14:textId="77777777" w:rsidR="00D041A2" w:rsidRDefault="00000000">
      <w:pPr>
        <w:pStyle w:val="Normal2"/>
        <w:widowControl w:val="0"/>
        <w:spacing w:before="240" w:line="260" w:lineRule="atLeast"/>
      </w:pPr>
      <w:r>
        <w:br/>
      </w:r>
      <w:r>
        <w:rPr>
          <w:rFonts w:ascii="Arial" w:eastAsia="Arial" w:hAnsi="Arial" w:cs="Arial"/>
          <w:color w:val="000000"/>
          <w:sz w:val="20"/>
        </w:rPr>
        <w:t xml:space="preserve"> [*911]  </w:t>
      </w:r>
      <w:r>
        <w:rPr>
          <w:rFonts w:ascii="Arial" w:eastAsia="Arial" w:hAnsi="Arial" w:cs="Arial"/>
          <w:b/>
          <w:color w:val="000000"/>
          <w:sz w:val="20"/>
        </w:rPr>
        <w:t>ORDER AND JUDGMENT</w:t>
      </w:r>
      <w:r>
        <w:rPr>
          <w:rFonts w:ascii="Arial" w:eastAsia="Arial" w:hAnsi="Arial" w:cs="Arial"/>
          <w:vertAlign w:val="superscript"/>
        </w:rPr>
        <w:footnoteReference w:customMarkFollows="1" w:id="12"/>
        <w:t>*</w:t>
      </w:r>
    </w:p>
    <w:p w14:paraId="0020A0CD" w14:textId="77777777" w:rsidR="00D041A2" w:rsidRDefault="00000000">
      <w:pPr>
        <w:pStyle w:val="Normal2"/>
        <w:widowControl w:val="0"/>
        <w:spacing w:before="200" w:line="260" w:lineRule="atLeast"/>
        <w:jc w:val="both"/>
      </w:pPr>
      <w:bookmarkStart w:id="180" w:name="Bookmark_para_3_1"/>
      <w:bookmarkEnd w:id="180"/>
      <w:r>
        <w:rPr>
          <w:rFonts w:ascii="Arial" w:eastAsia="Arial" w:hAnsi="Arial" w:cs="Arial"/>
          <w:color w:val="000000"/>
          <w:sz w:val="20"/>
        </w:rPr>
        <w:t xml:space="preserve">Chad Cunningham appeals from the district court's dismissal of his claims against the University of New Mexico Board of Regents ("UNM") </w:t>
      </w:r>
      <w:r>
        <w:rPr>
          <w:rFonts w:ascii="Arial" w:eastAsia="Arial" w:hAnsi="Arial" w:cs="Arial"/>
          <w:vertAlign w:val="superscript"/>
        </w:rPr>
        <w:footnoteReference w:customMarkFollows="1" w:id="13"/>
        <w:t>1</w:t>
      </w:r>
      <w:r>
        <w:rPr>
          <w:rFonts w:ascii="Arial" w:eastAsia="Arial" w:hAnsi="Arial" w:cs="Arial"/>
          <w:color w:val="000000"/>
          <w:sz w:val="20"/>
        </w:rPr>
        <w:t xml:space="preserve"> and the National Board of Medical Examiners ("Board") (collectively "Defendants"). Mr. Cunningham, a second-year medical student,  [**2] brought claims under 42 U.S.C. § 1983, the Americans with Disabilities Act ("ADA"), </w:t>
      </w:r>
      <w:r>
        <w:rPr>
          <w:rFonts w:ascii="Arial" w:eastAsia="Arial" w:hAnsi="Arial" w:cs="Arial"/>
          <w:i/>
          <w:color w:val="000000"/>
          <w:sz w:val="20"/>
        </w:rPr>
        <w:t>see</w:t>
      </w:r>
      <w:r>
        <w:rPr>
          <w:rFonts w:ascii="Arial" w:eastAsia="Arial" w:hAnsi="Arial" w:cs="Arial"/>
          <w:color w:val="000000"/>
          <w:sz w:val="20"/>
        </w:rPr>
        <w:t xml:space="preserve"> 42 U.S.C. §§ 12101-213, and the Rehabilitation Act of 1973, </w:t>
      </w:r>
      <w:r>
        <w:rPr>
          <w:rFonts w:ascii="Arial" w:eastAsia="Arial" w:hAnsi="Arial" w:cs="Arial"/>
          <w:i/>
          <w:color w:val="000000"/>
          <w:sz w:val="20"/>
        </w:rPr>
        <w:t>see</w:t>
      </w:r>
      <w:r>
        <w:rPr>
          <w:rFonts w:ascii="Arial" w:eastAsia="Arial" w:hAnsi="Arial" w:cs="Arial"/>
          <w:color w:val="000000"/>
          <w:sz w:val="20"/>
        </w:rPr>
        <w:t xml:space="preserve"> 29 U.S.C. § 794, as well as state-law breach-of-contract claims, against Defendants after their denial of his requested disability-related accommodation. Defendants filed motions to dismiss under Federal Rules of Civil Procedure 12(b)(1) and (6). The district court granted the motions, dismissing the federal claims with prejudice and declining to exercise supplemental jurisdiction over Mr. Cunningham's state-law claims. We affirm the district court's dismissal of all of Mr. Cunningham's claims.</w:t>
      </w:r>
    </w:p>
    <w:p w14:paraId="7EC57E15" w14:textId="77777777" w:rsidR="00D041A2" w:rsidRDefault="00000000">
      <w:pPr>
        <w:pStyle w:val="Normal2"/>
        <w:widowControl w:val="0"/>
        <w:spacing w:before="240" w:line="260" w:lineRule="atLeast"/>
      </w:pPr>
      <w:r>
        <w:br/>
      </w:r>
      <w:r>
        <w:rPr>
          <w:rFonts w:ascii="Arial" w:eastAsia="Arial" w:hAnsi="Arial" w:cs="Arial"/>
          <w:b/>
          <w:color w:val="000000"/>
          <w:sz w:val="20"/>
        </w:rPr>
        <w:t>I</w:t>
      </w:r>
    </w:p>
    <w:p w14:paraId="7982F2DF" w14:textId="77777777" w:rsidR="00D041A2" w:rsidRDefault="00000000">
      <w:pPr>
        <w:pStyle w:val="Normal2"/>
        <w:widowControl w:val="0"/>
        <w:spacing w:before="200" w:line="260" w:lineRule="atLeast"/>
        <w:jc w:val="both"/>
      </w:pPr>
      <w:bookmarkStart w:id="182" w:name="Bookmark_para_4_1"/>
      <w:bookmarkEnd w:id="182"/>
      <w:r>
        <w:rPr>
          <w:rFonts w:ascii="Arial" w:eastAsia="Arial" w:hAnsi="Arial" w:cs="Arial"/>
          <w:color w:val="000000"/>
          <w:sz w:val="20"/>
        </w:rPr>
        <w:t xml:space="preserve">In 2009, Mr. Cunningham successfully finished his second year of medical school at the University of New Mexico School of Medicine. However, he was placed on academic leave until he passed Step 1 of the United States Medical Licensing Examination. Step 1 is the first step in the three-step examination process administered by the Board. In New Mexico, aspiring doctors must pass all three steps to graduate from medical school and earn their medical licenses. Mr. Cunningham already has attempted Step 1 twice, and if he fails again he will be disqualified  [**4] from further enrollment at UNM. His difficulties in passing the exam allegedly stem from Irlen Syndrome </w:t>
      </w:r>
      <w:r>
        <w:rPr>
          <w:rFonts w:ascii="Arial" w:eastAsia="Arial" w:hAnsi="Arial" w:cs="Arial"/>
          <w:vertAlign w:val="superscript"/>
        </w:rPr>
        <w:footnoteReference w:customMarkFollows="1" w:id="14"/>
        <w:t>2</w:t>
      </w:r>
      <w:r>
        <w:rPr>
          <w:rFonts w:ascii="Arial" w:eastAsia="Arial" w:hAnsi="Arial" w:cs="Arial"/>
          <w:color w:val="000000"/>
          <w:sz w:val="20"/>
        </w:rPr>
        <w:t xml:space="preserve"> and the apparent flare-ups of  [*912]  symptoms of the syndrome caused by the standard testing conditions under which Step 1 is administered.</w:t>
      </w:r>
    </w:p>
    <w:p w14:paraId="2FAC5E5B" w14:textId="77777777" w:rsidR="00D041A2" w:rsidRDefault="00000000">
      <w:pPr>
        <w:pStyle w:val="Normal2"/>
        <w:widowControl w:val="0"/>
        <w:spacing w:before="200" w:line="260" w:lineRule="atLeast"/>
        <w:jc w:val="both"/>
      </w:pPr>
      <w:bookmarkStart w:id="184" w:name="Bookmark_para_5_1"/>
      <w:bookmarkEnd w:id="184"/>
      <w:r>
        <w:rPr>
          <w:rFonts w:ascii="Arial" w:eastAsia="Arial" w:hAnsi="Arial" w:cs="Arial"/>
          <w:color w:val="000000"/>
          <w:sz w:val="20"/>
        </w:rPr>
        <w:t xml:space="preserve">Mr. Cunningham was diagnosed with Irlen Syndrome in 2006 while on a medical leave of absence from his first year of medical school. Although he has always suffered from a reading disability, including severe headaches after prolonged periods of reading, Mr. Cunningham was a "superior student" from grade school through college. Aplt. App. at 8. Mr. Cunningham had to repeat his first year of medical school when he returned in 2007. He then requested, and  [**5] was denied, accommodation from UNM. </w:t>
      </w:r>
      <w:r>
        <w:rPr>
          <w:rFonts w:ascii="Arial" w:eastAsia="Arial" w:hAnsi="Arial" w:cs="Arial"/>
          <w:vertAlign w:val="superscript"/>
        </w:rPr>
        <w:footnoteReference w:customMarkFollows="1" w:id="15"/>
        <w:t>3</w:t>
      </w:r>
    </w:p>
    <w:p w14:paraId="02ACA0F4" w14:textId="77777777" w:rsidR="00D041A2" w:rsidRDefault="00000000">
      <w:pPr>
        <w:pStyle w:val="Normal2"/>
        <w:widowControl w:val="0"/>
        <w:spacing w:before="200" w:line="260" w:lineRule="atLeast"/>
        <w:jc w:val="both"/>
      </w:pPr>
      <w:bookmarkStart w:id="186" w:name="Bookmark_para_6_1"/>
      <w:bookmarkEnd w:id="186"/>
      <w:r>
        <w:rPr>
          <w:rFonts w:ascii="Arial" w:eastAsia="Arial" w:hAnsi="Arial" w:cs="Arial"/>
          <w:color w:val="000000"/>
          <w:sz w:val="20"/>
        </w:rPr>
        <w:t>Despite the denial of an accommodation, Mr. Cunningham went back to UNM and successfully completed his first two years of medical school and passed his medical school examinations. Unfortunately, his headaches and other problems, stemming from prolonged periods of reading, persisted. However, he was able to mitigate the effects of his Irlen Syndrome by using prescription colored glasses and medicines to control his blood pressure.</w:t>
      </w:r>
    </w:p>
    <w:p w14:paraId="33A76697" w14:textId="77777777" w:rsidR="00D041A2" w:rsidRDefault="00000000">
      <w:pPr>
        <w:pStyle w:val="Normal2"/>
        <w:widowControl w:val="0"/>
        <w:spacing w:before="200" w:line="260" w:lineRule="atLeast"/>
        <w:jc w:val="both"/>
      </w:pPr>
      <w:bookmarkStart w:id="187" w:name="Bookmark_para_7_1"/>
      <w:bookmarkEnd w:id="187"/>
      <w:r>
        <w:rPr>
          <w:rFonts w:ascii="Arial" w:eastAsia="Arial" w:hAnsi="Arial" w:cs="Arial"/>
          <w:color w:val="000000"/>
          <w:sz w:val="20"/>
        </w:rPr>
        <w:t>Notwithstanding these adjustments, Mr. Cunningham could not pass Step 1. Mr. Cunningham first attempted Step 1 in early 2009. The bright, fluorescent lighting in the small Step 1 testing room caused Mr. Cunningham's severe headaches to flare up and resulted in him having difficulty reading and concentrating on the test materials. He failed by a narrow margin.</w:t>
      </w:r>
    </w:p>
    <w:p w14:paraId="3817804E" w14:textId="77777777" w:rsidR="00D041A2" w:rsidRDefault="00000000">
      <w:pPr>
        <w:pStyle w:val="Normal2"/>
        <w:widowControl w:val="0"/>
        <w:spacing w:before="200" w:line="260" w:lineRule="atLeast"/>
        <w:jc w:val="both"/>
      </w:pPr>
      <w:bookmarkStart w:id="188" w:name="Bookmark_para_8_1"/>
      <w:bookmarkEnd w:id="188"/>
      <w:r>
        <w:rPr>
          <w:rFonts w:ascii="Arial" w:eastAsia="Arial" w:hAnsi="Arial" w:cs="Arial"/>
          <w:color w:val="000000"/>
          <w:sz w:val="20"/>
        </w:rPr>
        <w:t xml:space="preserve">Not  [**6] to be deterred, Mr. Cunningham applied to take the exam a second time and this time requested an accommodation for his Irlen Syndrome from the Board. To support his request, Mr. Cunningham submitted "several documents including a medical evaluation and diagnosis by a physician and a psychological evaluation by a clinical psychologist that described [his] disability and the accommodation [he] needed" for Step 1. </w:t>
      </w:r>
      <w:r>
        <w:rPr>
          <w:rFonts w:ascii="Arial" w:eastAsia="Arial" w:hAnsi="Arial" w:cs="Arial"/>
          <w:i/>
          <w:color w:val="000000"/>
          <w:sz w:val="20"/>
        </w:rPr>
        <w:t>Id.</w:t>
      </w:r>
      <w:r>
        <w:rPr>
          <w:rFonts w:ascii="Arial" w:eastAsia="Arial" w:hAnsi="Arial" w:cs="Arial"/>
          <w:color w:val="000000"/>
          <w:sz w:val="20"/>
        </w:rPr>
        <w:t xml:space="preserve"> at 11. In May 2009, the Board denied his request based upon its preliminary review. In so denying, the Board cited the complete lack of evidence of any formal accommodations in Mr. Cunningham's past and explained that in order for it to review his request further, he needed to provide "extensive and voluminous" records. </w:t>
      </w:r>
      <w:r>
        <w:rPr>
          <w:rFonts w:ascii="Arial" w:eastAsia="Arial" w:hAnsi="Arial" w:cs="Arial"/>
          <w:vertAlign w:val="superscript"/>
        </w:rPr>
        <w:footnoteReference w:customMarkFollows="1" w:id="16"/>
        <w:t>4</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at 11-12.</w:t>
      </w:r>
    </w:p>
    <w:p w14:paraId="78A20BD2" w14:textId="77777777" w:rsidR="00D041A2" w:rsidRDefault="00000000">
      <w:pPr>
        <w:pStyle w:val="Normal2"/>
        <w:widowControl w:val="0"/>
        <w:spacing w:before="200" w:line="260" w:lineRule="atLeast"/>
        <w:jc w:val="both"/>
      </w:pPr>
      <w:bookmarkStart w:id="190" w:name="Bookmark_para_9_1"/>
      <w:bookmarkEnd w:id="190"/>
      <w:r>
        <w:rPr>
          <w:rFonts w:ascii="Arial" w:eastAsia="Arial" w:hAnsi="Arial" w:cs="Arial"/>
          <w:color w:val="000000"/>
          <w:sz w:val="20"/>
        </w:rPr>
        <w:t>Although the exact timing is unclear from Mr.  [**7] Cunningham's complaint, in addition to requesting an accommodation from the Board, he made several requests for an accommodation from UNM. And at one point he requested the assistance of the UNM Disability Committee in obtaining the desired accommodation from the Board. None of these efforts was successful.</w:t>
      </w:r>
    </w:p>
    <w:p w14:paraId="7BAC6F2C" w14:textId="77777777" w:rsidR="00D041A2" w:rsidRDefault="00000000">
      <w:pPr>
        <w:pStyle w:val="Normal2"/>
        <w:widowControl w:val="0"/>
        <w:spacing w:before="200" w:line="260" w:lineRule="atLeast"/>
        <w:jc w:val="both"/>
      </w:pPr>
      <w:bookmarkStart w:id="191" w:name="Bookmark_para_10_1"/>
      <w:bookmarkEnd w:id="191"/>
      <w:r>
        <w:rPr>
          <w:rFonts w:ascii="Arial" w:eastAsia="Arial" w:hAnsi="Arial" w:cs="Arial"/>
          <w:color w:val="000000"/>
          <w:sz w:val="20"/>
        </w:rPr>
        <w:t>Nevertheless, Mr. Cunningham continued with his plan to take the test, and took  [*913]  Step 1 for a second time without accommodation. He never provided the requested documentation to the Board, as he allegedly did not have enough time between the Board's denial of his accommodation request and the test date to gather the requested documentation. Once again, Mr. Cunningham failed the test, by essentially the same narrow margin as before.</w:t>
      </w:r>
    </w:p>
    <w:p w14:paraId="2131DCCD" w14:textId="77777777" w:rsidR="00D041A2" w:rsidRDefault="00000000">
      <w:pPr>
        <w:pStyle w:val="Normal2"/>
        <w:widowControl w:val="0"/>
        <w:spacing w:before="200" w:line="260" w:lineRule="atLeast"/>
        <w:jc w:val="both"/>
      </w:pPr>
      <w:bookmarkStart w:id="192" w:name="Bookmark_para_11_0"/>
      <w:bookmarkEnd w:id="192"/>
      <w:r>
        <w:rPr>
          <w:rFonts w:ascii="Arial" w:eastAsia="Arial" w:hAnsi="Arial" w:cs="Arial"/>
          <w:color w:val="000000"/>
          <w:sz w:val="20"/>
        </w:rPr>
        <w:t>This second failure left Mr. Cunningham in a quandary: if a medical student fails Step 1 three times, he is disqualified from further medical school enrollment; Mr. Cunningham was placed on academic leave until he passed Step 1 and, by contract with UNM, he is not allowed to work while on academic leave; and, pursuant to UNM's general policy, Mr. Cunningham must complete medical school within six years of his first year, and UNM had informed him that his  [**8] six years for completing the last two years of his curriculum will expire on October 1, 2012.</w:t>
      </w:r>
    </w:p>
    <w:p w14:paraId="10F07B05" w14:textId="77777777" w:rsidR="00D041A2" w:rsidRDefault="00000000">
      <w:pPr>
        <w:pStyle w:val="Normal2"/>
        <w:widowControl w:val="0"/>
        <w:spacing w:before="200" w:line="260" w:lineRule="atLeast"/>
        <w:jc w:val="both"/>
      </w:pPr>
      <w:bookmarkStart w:id="193" w:name="Bookmark_para_12_0"/>
      <w:bookmarkEnd w:id="193"/>
      <w:r>
        <w:rPr>
          <w:rFonts w:ascii="Arial" w:eastAsia="Arial" w:hAnsi="Arial" w:cs="Arial"/>
          <w:color w:val="000000"/>
          <w:sz w:val="20"/>
        </w:rPr>
        <w:t>Mr. Cunningham filed the instant action against Defendants in May 2010, alleging violations of the ADA and the Rehabilitation Act, and a claim for breach of contract. He also asserted a 42 U.S.C. § 1983 cause of action against UNM alone. Mr. Cunningham sought injunctive relief and damages. Both UNM and the Board successfully moved to dismiss all of Mr. Cunningham's causes of action.</w:t>
      </w:r>
    </w:p>
    <w:p w14:paraId="74AC1A6C" w14:textId="77777777" w:rsidR="00D041A2" w:rsidRDefault="00000000">
      <w:pPr>
        <w:pStyle w:val="Normal2"/>
        <w:widowControl w:val="0"/>
        <w:spacing w:before="200" w:line="260" w:lineRule="atLeast"/>
        <w:jc w:val="both"/>
      </w:pPr>
      <w:bookmarkStart w:id="194" w:name="Bookmark_para_13_0"/>
      <w:bookmarkEnd w:id="194"/>
      <w:r>
        <w:rPr>
          <w:rFonts w:ascii="Arial" w:eastAsia="Arial" w:hAnsi="Arial" w:cs="Arial"/>
          <w:color w:val="000000"/>
          <w:sz w:val="20"/>
        </w:rPr>
        <w:t xml:space="preserve">The district court first held that it lacked subject-matter jurisdiction over Mr. Cunningham's § 1983 claim against UNM, as the Eleventh Amendment was not abrogated by Congress when it passed that statute. Next, the district court found that it had jurisdiction over Mr. Cunningham's ADA and Rehabilitation Act claims but dismissed both claims under Federal Rule of Civil Procedure 12(b)(6). The district court held that, even assuming all of the well-pleaded facts in Mr. Cunningham's complaint to be true, he was not disabled because, </w:t>
      </w:r>
      <w:r>
        <w:rPr>
          <w:rFonts w:ascii="Arial" w:eastAsia="Arial" w:hAnsi="Arial" w:cs="Arial"/>
          <w:i/>
          <w:color w:val="000000"/>
          <w:sz w:val="20"/>
        </w:rPr>
        <w:t>inter alia</w:t>
      </w:r>
      <w:r>
        <w:rPr>
          <w:rFonts w:ascii="Arial" w:eastAsia="Arial" w:hAnsi="Arial" w:cs="Arial"/>
          <w:color w:val="000000"/>
          <w:sz w:val="20"/>
        </w:rPr>
        <w:t xml:space="preserve">, he was able to mitigate the impairment brought on by his Irlen Syndrome. Finally, the district court declined to exercise supplemental jurisdiction over Mr. Cunningham's state-law  [**9] breach-of-contract claims and dismissed them without prejudice. </w:t>
      </w:r>
      <w:r>
        <w:rPr>
          <w:rFonts w:ascii="Arial" w:eastAsia="Arial" w:hAnsi="Arial" w:cs="Arial"/>
          <w:vertAlign w:val="superscript"/>
        </w:rPr>
        <w:footnoteReference w:customMarkFollows="1" w:id="17"/>
        <w:t>5</w:t>
      </w:r>
      <w:r>
        <w:rPr>
          <w:rFonts w:ascii="Arial" w:eastAsia="Arial" w:hAnsi="Arial" w:cs="Arial"/>
          <w:color w:val="000000"/>
          <w:sz w:val="20"/>
        </w:rPr>
        <w:t xml:space="preserve"> This timely appeal followed.</w:t>
      </w:r>
    </w:p>
    <w:p w14:paraId="097E9680" w14:textId="77777777" w:rsidR="00D041A2" w:rsidRDefault="00000000">
      <w:pPr>
        <w:pStyle w:val="Normal2"/>
        <w:widowControl w:val="0"/>
        <w:spacing w:before="240" w:line="260" w:lineRule="atLeast"/>
      </w:pPr>
      <w:r>
        <w:br/>
      </w:r>
      <w:r>
        <w:rPr>
          <w:rFonts w:ascii="Arial" w:eastAsia="Arial" w:hAnsi="Arial" w:cs="Arial"/>
          <w:b/>
          <w:color w:val="000000"/>
          <w:sz w:val="20"/>
        </w:rPr>
        <w:t>II</w:t>
      </w:r>
    </w:p>
    <w:p w14:paraId="58606A51" w14:textId="77777777" w:rsidR="00D041A2" w:rsidRDefault="00000000">
      <w:pPr>
        <w:pStyle w:val="Normal2"/>
        <w:widowControl w:val="0"/>
        <w:spacing w:before="200" w:line="260" w:lineRule="atLeast"/>
        <w:jc w:val="both"/>
      </w:pPr>
      <w:bookmarkStart w:id="202" w:name="Bookmark_para_14_0"/>
      <w:bookmarkStart w:id="203" w:name="Bookmark_I59BCMF02SF8S10010000400"/>
      <w:bookmarkStart w:id="204" w:name="Bookmark_LNHNREFclscc2_0"/>
      <w:bookmarkEnd w:id="202"/>
      <w:bookmarkEnd w:id="203"/>
      <w:bookmarkEnd w:id="204"/>
      <w:r>
        <w:rPr>
          <w:rFonts w:ascii="Arial" w:eastAsia="Arial" w:hAnsi="Arial" w:cs="Arial"/>
          <w:color w:val="000000"/>
          <w:sz w:val="20"/>
        </w:rPr>
        <w:t xml:space="preserve">We review de novo the district court's rulings on Defendants' motions to dismiss under Federal Rules of Civil Procedure 12(b)(1) and (6). </w:t>
      </w:r>
      <w:bookmarkStart w:id="205" w:name="Bookmark_I59BCMF02SF8S10030000400"/>
      <w:bookmarkEnd w:id="205"/>
      <w:r>
        <w:rPr>
          <w:rFonts w:ascii="Arial" w:eastAsia="Arial" w:hAnsi="Arial" w:cs="Arial"/>
          <w:i/>
          <w:color w:val="000000"/>
          <w:sz w:val="20"/>
        </w:rPr>
        <w:t xml:space="preserve">See </w:t>
      </w:r>
      <w:bookmarkStart w:id="206" w:name="Bookmark_I59BCMF02SF8S00050000400"/>
      <w:bookmarkEnd w:id="206"/>
      <w:r>
        <w:rPr>
          <w:rFonts w:ascii="Arial" w:eastAsia="Arial" w:hAnsi="Arial" w:cs="Arial"/>
          <w:i/>
          <w:color w:val="000000"/>
          <w:sz w:val="20"/>
        </w:rPr>
        <w:t>Muscogee (Creek) Nation v. Okla. Tax Comm'n</w:t>
      </w:r>
      <w:r>
        <w:rPr>
          <w:rFonts w:ascii="Arial" w:eastAsia="Arial" w:hAnsi="Arial" w:cs="Arial"/>
          <w:color w:val="000000"/>
          <w:sz w:val="20"/>
        </w:rPr>
        <w:t>, 611 F.3d 1222, 1227 (10th Cir. 2010).  [**10] </w:t>
      </w:r>
      <w:bookmarkStart w:id="207" w:name="Bookmark_LNHNREFclscc3_0"/>
      <w:bookmarkEnd w:id="207"/>
      <w:r>
        <w:rPr>
          <w:rFonts w:ascii="Arial" w:eastAsia="Arial" w:hAnsi="Arial" w:cs="Arial"/>
          <w:color w:val="000000"/>
          <w:sz w:val="20"/>
        </w:rPr>
        <w:t xml:space="preserve">A Rule 12(b)(1) motion to dismiss for lack of subject-matter jurisdiction may take one of two forms: "A </w:t>
      </w:r>
      <w:r>
        <w:rPr>
          <w:rFonts w:ascii="Arial" w:eastAsia="Arial" w:hAnsi="Arial" w:cs="Arial"/>
          <w:i/>
          <w:color w:val="000000"/>
          <w:sz w:val="20"/>
        </w:rPr>
        <w:t>facial</w:t>
      </w:r>
      <w:r>
        <w:rPr>
          <w:rFonts w:ascii="Arial" w:eastAsia="Arial" w:hAnsi="Arial" w:cs="Arial"/>
          <w:color w:val="000000"/>
          <w:sz w:val="20"/>
        </w:rPr>
        <w:t xml:space="preserve"> attack looks only to the factual allegations of the complaint in challenging the court's jurisdiction. </w:t>
      </w:r>
      <w:bookmarkStart w:id="208" w:name="Bookmark_I59BCMF02SF8S10030000400_2"/>
      <w:bookmarkStart w:id="209" w:name="Bookmark_I59BCMF02SF8S10050000400"/>
      <w:bookmarkEnd w:id="208"/>
      <w:bookmarkEnd w:id="209"/>
      <w:r>
        <w:rPr>
          <w:rFonts w:ascii="Arial" w:eastAsia="Arial" w:hAnsi="Arial" w:cs="Arial"/>
          <w:color w:val="000000"/>
          <w:sz w:val="20"/>
        </w:rPr>
        <w:t xml:space="preserve">A </w:t>
      </w:r>
      <w:r>
        <w:rPr>
          <w:rFonts w:ascii="Arial" w:eastAsia="Arial" w:hAnsi="Arial" w:cs="Arial"/>
          <w:i/>
          <w:color w:val="000000"/>
          <w:sz w:val="20"/>
        </w:rPr>
        <w:t>factual</w:t>
      </w:r>
      <w:r>
        <w:rPr>
          <w:rFonts w:ascii="Arial" w:eastAsia="Arial" w:hAnsi="Arial" w:cs="Arial"/>
          <w:color w:val="000000"/>
          <w:sz w:val="20"/>
        </w:rPr>
        <w:t xml:space="preserve"> attack goes beyond the factual allegations of the complaint and presents evidence in the form of affidavits or otherwise to challenge the court's jurisdiction." </w:t>
      </w:r>
      <w:bookmarkStart w:id="210" w:name="Bookmark_I59BCMF02SF8S10020000400"/>
      <w:bookmarkEnd w:id="210"/>
      <w:r>
        <w:rPr>
          <w:rFonts w:ascii="Arial" w:eastAsia="Arial" w:hAnsi="Arial" w:cs="Arial"/>
          <w:i/>
          <w:color w:val="000000"/>
          <w:sz w:val="20"/>
        </w:rPr>
        <w:t>Id.</w:t>
      </w:r>
      <w:r>
        <w:rPr>
          <w:rFonts w:ascii="Arial" w:eastAsia="Arial" w:hAnsi="Arial" w:cs="Arial"/>
          <w:color w:val="000000"/>
          <w:sz w:val="20"/>
        </w:rPr>
        <w:t xml:space="preserve"> at 1227 n.1 (emphases added). </w:t>
      </w:r>
      <w:bookmarkStart w:id="211" w:name="Bookmark_I59BCMF02SF8S10050000400_2"/>
      <w:bookmarkEnd w:id="211"/>
      <w:r>
        <w:rPr>
          <w:rFonts w:ascii="Arial" w:eastAsia="Arial" w:hAnsi="Arial" w:cs="Arial"/>
          <w:color w:val="000000"/>
          <w:sz w:val="20"/>
        </w:rPr>
        <w:t xml:space="preserve">While the district court did not identify its analysis  [*914]  as such, we construe its decision as being based on a facial attack because it only addressed facts found within the four corners of Mr. Cunningham's complaint. </w:t>
      </w:r>
      <w:bookmarkStart w:id="212" w:name="Bookmark_I59BCMF02HM6010020000400"/>
      <w:bookmarkEnd w:id="212"/>
      <w:r>
        <w:rPr>
          <w:rFonts w:ascii="Arial" w:eastAsia="Arial" w:hAnsi="Arial" w:cs="Arial"/>
          <w:i/>
          <w:color w:val="000000"/>
          <w:sz w:val="20"/>
        </w:rPr>
        <w:t xml:space="preserve">Cf. </w:t>
      </w:r>
      <w:bookmarkStart w:id="213" w:name="Bookmark_I59BCMF02SF8S10040000400"/>
      <w:bookmarkEnd w:id="213"/>
      <w:r>
        <w:rPr>
          <w:rFonts w:ascii="Arial" w:eastAsia="Arial" w:hAnsi="Arial" w:cs="Arial"/>
          <w:i/>
          <w:color w:val="000000"/>
          <w:sz w:val="20"/>
        </w:rPr>
        <w:t>id.</w:t>
      </w:r>
      <w:r>
        <w:rPr>
          <w:rFonts w:ascii="Arial" w:eastAsia="Arial" w:hAnsi="Arial" w:cs="Arial"/>
          <w:color w:val="000000"/>
          <w:sz w:val="20"/>
        </w:rPr>
        <w:t xml:space="preserve"> at 1227 &amp; n.1 (construing defendants' motion as a facial challenge where the district court's order was "limited to the four corners of [the plaintiff's] amended complaint"). </w:t>
      </w:r>
      <w:bookmarkStart w:id="214" w:name="Bookmark_I59BCMF02HM6010020000400_2"/>
      <w:bookmarkEnd w:id="214"/>
      <w:r>
        <w:rPr>
          <w:rFonts w:ascii="Arial" w:eastAsia="Arial" w:hAnsi="Arial" w:cs="Arial"/>
          <w:color w:val="000000"/>
          <w:sz w:val="20"/>
        </w:rPr>
        <w:t xml:space="preserve">Notably, Mr. Cunningham and the Board suggest that we may address evidence outside of the complaint, insofar as it pertains to our subject-matter jurisdictional inquiry. Yet, because we conclude that the Board prevails on </w:t>
      </w:r>
      <w:bookmarkStart w:id="215" w:name="Bookmark_LNHNREFclscc4_0"/>
      <w:bookmarkEnd w:id="215"/>
      <w:r>
        <w:rPr>
          <w:rFonts w:ascii="Arial" w:eastAsia="Arial" w:hAnsi="Arial" w:cs="Arial"/>
          <w:color w:val="000000"/>
          <w:sz w:val="20"/>
        </w:rPr>
        <w:t>its jurisdictional challenge, based on our inspection of Mr. Cunningham's complaint alone—under which we "presume" his well-pleaded factual averments "to be true,"  [**11] </w:t>
      </w:r>
      <w:bookmarkStart w:id="216" w:name="Bookmark_I59BCMF02HM6010010000400"/>
      <w:bookmarkEnd w:id="216"/>
      <w:r>
        <w:rPr>
          <w:rFonts w:ascii="Arial" w:eastAsia="Arial" w:hAnsi="Arial" w:cs="Arial"/>
          <w:i/>
          <w:color w:val="000000"/>
          <w:sz w:val="20"/>
        </w:rPr>
        <w:t>Ruiz v. McDonnell</w:t>
      </w:r>
      <w:r>
        <w:rPr>
          <w:rFonts w:ascii="Arial" w:eastAsia="Arial" w:hAnsi="Arial" w:cs="Arial"/>
          <w:color w:val="000000"/>
          <w:sz w:val="20"/>
        </w:rPr>
        <w:t xml:space="preserve">, 299 F.3d 1173, 1180 (10th Cir. 2002); </w:t>
      </w:r>
      <w:r>
        <w:rPr>
          <w:rFonts w:ascii="Arial" w:eastAsia="Arial" w:hAnsi="Arial" w:cs="Arial"/>
          <w:i/>
          <w:color w:val="000000"/>
          <w:sz w:val="20"/>
        </w:rPr>
        <w:t xml:space="preserve">accord </w:t>
      </w:r>
      <w:bookmarkStart w:id="217" w:name="Bookmark_I59BCMF02HM6010030000400"/>
      <w:bookmarkEnd w:id="217"/>
      <w:r>
        <w:rPr>
          <w:rFonts w:ascii="Arial" w:eastAsia="Arial" w:hAnsi="Arial" w:cs="Arial"/>
          <w:i/>
          <w:color w:val="000000"/>
          <w:sz w:val="20"/>
        </w:rPr>
        <w:t>City of Albuquerque v. U.S. Dep't of Interior</w:t>
      </w:r>
      <w:r>
        <w:rPr>
          <w:rFonts w:ascii="Arial" w:eastAsia="Arial" w:hAnsi="Arial" w:cs="Arial"/>
          <w:color w:val="000000"/>
          <w:sz w:val="20"/>
        </w:rPr>
        <w:t xml:space="preserve">, 379 F.3d 901, 906 (10th Cir. 2004)—we need not exercise our discretion to go beyond the complaint's four corners to examine extrinsic evidence, </w:t>
      </w:r>
      <w:r>
        <w:rPr>
          <w:rFonts w:ascii="Arial" w:eastAsia="Arial" w:hAnsi="Arial" w:cs="Arial"/>
          <w:i/>
          <w:color w:val="000000"/>
          <w:sz w:val="20"/>
        </w:rPr>
        <w:t xml:space="preserve">cf. </w:t>
      </w:r>
      <w:bookmarkStart w:id="218" w:name="Bookmark_I59BCMF02HM6010050000400"/>
      <w:bookmarkEnd w:id="218"/>
      <w:r>
        <w:rPr>
          <w:rFonts w:ascii="Arial" w:eastAsia="Arial" w:hAnsi="Arial" w:cs="Arial"/>
          <w:i/>
          <w:color w:val="000000"/>
          <w:sz w:val="20"/>
        </w:rPr>
        <w:t>Davis ex rel. Davis v. United States</w:t>
      </w:r>
      <w:r>
        <w:rPr>
          <w:rFonts w:ascii="Arial" w:eastAsia="Arial" w:hAnsi="Arial" w:cs="Arial"/>
          <w:color w:val="000000"/>
          <w:sz w:val="20"/>
        </w:rPr>
        <w:t xml:space="preserve">, 343 F.3d 1282, 1296 (10th Cir. 2003) ("When a party challenges the allegations supporting subject-matter jurisdiction, the 'court has wide discretion to allow affidavits, other documents, and a limited evidentiary hearing to resolve disputed jurisdictional facts.'" (quoting </w:t>
      </w:r>
      <w:bookmarkStart w:id="219" w:name="Bookmark_I59BCMF02N1PPT0020000400"/>
      <w:bookmarkEnd w:id="219"/>
      <w:r>
        <w:rPr>
          <w:rFonts w:ascii="Arial" w:eastAsia="Arial" w:hAnsi="Arial" w:cs="Arial"/>
          <w:i/>
          <w:color w:val="000000"/>
          <w:sz w:val="20"/>
        </w:rPr>
        <w:t>Holt v. United States</w:t>
      </w:r>
      <w:r>
        <w:rPr>
          <w:rFonts w:ascii="Arial" w:eastAsia="Arial" w:hAnsi="Arial" w:cs="Arial"/>
          <w:color w:val="000000"/>
          <w:sz w:val="20"/>
        </w:rPr>
        <w:t xml:space="preserve">, 46 F.3d 1000, 1003 (10th Cir. 1995)); </w:t>
      </w:r>
      <w:bookmarkStart w:id="220" w:name="Bookmark_I59BCMF02N1PPT0040000400"/>
      <w:bookmarkEnd w:id="220"/>
      <w:r>
        <w:rPr>
          <w:rFonts w:ascii="Arial" w:eastAsia="Arial" w:hAnsi="Arial" w:cs="Arial"/>
          <w:i/>
          <w:color w:val="000000"/>
          <w:sz w:val="20"/>
        </w:rPr>
        <w:t>New Mexicans for Bill Richardson v. Gonzales</w:t>
      </w:r>
      <w:r>
        <w:rPr>
          <w:rFonts w:ascii="Arial" w:eastAsia="Arial" w:hAnsi="Arial" w:cs="Arial"/>
          <w:color w:val="000000"/>
          <w:sz w:val="20"/>
        </w:rPr>
        <w:t xml:space="preserve">, 64 F.3d 1495, 1499 (10th Cir. 1995) ("A Rule 12(b)(1) motion can challenge the substance of a complaint's jurisdictional allegations </w:t>
      </w:r>
      <w:r>
        <w:rPr>
          <w:rFonts w:ascii="Arial" w:eastAsia="Arial" w:hAnsi="Arial" w:cs="Arial"/>
          <w:i/>
          <w:color w:val="000000"/>
          <w:sz w:val="20"/>
        </w:rPr>
        <w:t>in spite of its formal sufficiency</w:t>
      </w:r>
      <w:r>
        <w:rPr>
          <w:rFonts w:ascii="Arial" w:eastAsia="Arial" w:hAnsi="Arial" w:cs="Arial"/>
          <w:color w:val="000000"/>
          <w:sz w:val="20"/>
        </w:rPr>
        <w:t xml:space="preserve"> by relying on affidavits or any other evidence properly before the court." (emphasis added)). Thus, in effect, we treat the Board's challenge as a facial one.</w:t>
      </w:r>
    </w:p>
    <w:p w14:paraId="05DB79A6" w14:textId="77777777" w:rsidR="00D041A2" w:rsidRDefault="00000000">
      <w:pPr>
        <w:pStyle w:val="Normal2"/>
        <w:widowControl w:val="0"/>
        <w:spacing w:before="240" w:line="260" w:lineRule="atLeast"/>
      </w:pPr>
      <w:r>
        <w:br/>
      </w:r>
      <w:r>
        <w:rPr>
          <w:rFonts w:ascii="Arial" w:eastAsia="Arial" w:hAnsi="Arial" w:cs="Arial"/>
          <w:b/>
          <w:color w:val="000000"/>
          <w:sz w:val="20"/>
        </w:rPr>
        <w:t>III</w:t>
      </w:r>
    </w:p>
    <w:p w14:paraId="4FD68F13" w14:textId="77777777" w:rsidR="00D041A2" w:rsidRDefault="00000000">
      <w:pPr>
        <w:pStyle w:val="Normal2"/>
        <w:widowControl w:val="0"/>
        <w:spacing w:before="200" w:line="260" w:lineRule="atLeast"/>
        <w:jc w:val="both"/>
      </w:pPr>
      <w:bookmarkStart w:id="221" w:name="Bookmark_para_15_0"/>
      <w:bookmarkStart w:id="222" w:name="Bookmark_I59BCMF02N1PPV0020000400"/>
      <w:bookmarkEnd w:id="221"/>
      <w:bookmarkEnd w:id="222"/>
      <w:r>
        <w:rPr>
          <w:rFonts w:ascii="Arial" w:eastAsia="Arial" w:hAnsi="Arial" w:cs="Arial"/>
          <w:color w:val="000000"/>
          <w:sz w:val="20"/>
        </w:rPr>
        <w:t xml:space="preserve">Turning first to Mr. Cunningham's § 1983 claim against UNM, UNM asserts that as a state agency it is immune from suit on such a claim under the Eleventh Amendment. </w:t>
      </w:r>
      <w:bookmarkStart w:id="223" w:name="Bookmark_I59BCMF02N1PPV0040000400"/>
      <w:bookmarkEnd w:id="223"/>
      <w:r>
        <w:rPr>
          <w:rFonts w:ascii="Arial" w:eastAsia="Arial" w:hAnsi="Arial" w:cs="Arial"/>
          <w:color w:val="000000"/>
          <w:sz w:val="20"/>
        </w:rPr>
        <w:t xml:space="preserve">The district court agreed with  [**12] UNM and dismissed Mr. Cunningham's § 1983 claim against UNM for lack of subject-matter jurisdiction, finding that UNM was entitled to Eleventh Amendment immunity. </w:t>
      </w:r>
      <w:bookmarkStart w:id="224" w:name="Bookmark_LNHNREFclscc5_0"/>
      <w:bookmarkEnd w:id="224"/>
      <w:r>
        <w:rPr>
          <w:rFonts w:ascii="Arial" w:eastAsia="Arial" w:hAnsi="Arial" w:cs="Arial"/>
          <w:color w:val="000000"/>
          <w:sz w:val="20"/>
        </w:rPr>
        <w:t xml:space="preserve">"Because state sovereign immunity is a threshold jurisdictional issue, we must address it first when it is asserted by a defendant." </w:t>
      </w:r>
      <w:bookmarkStart w:id="225" w:name="Bookmark_I59BCMF02N1PPV0010000400"/>
      <w:bookmarkEnd w:id="225"/>
      <w:r>
        <w:rPr>
          <w:rFonts w:ascii="Arial" w:eastAsia="Arial" w:hAnsi="Arial" w:cs="Arial"/>
          <w:i/>
          <w:color w:val="000000"/>
          <w:sz w:val="20"/>
        </w:rPr>
        <w:t>Brockman v. Wyo. Dep't of Family Servs.</w:t>
      </w:r>
      <w:r>
        <w:rPr>
          <w:rFonts w:ascii="Arial" w:eastAsia="Arial" w:hAnsi="Arial" w:cs="Arial"/>
          <w:color w:val="000000"/>
          <w:sz w:val="20"/>
        </w:rPr>
        <w:t xml:space="preserve">, 342 F.3d 1159, 1163 (10th Cir. 2003). </w:t>
      </w:r>
      <w:bookmarkStart w:id="226" w:name="Bookmark_I59BCMF02N1PPV0040000400_2"/>
      <w:bookmarkEnd w:id="226"/>
      <w:r>
        <w:rPr>
          <w:rFonts w:ascii="Arial" w:eastAsia="Arial" w:hAnsi="Arial" w:cs="Arial"/>
          <w:color w:val="000000"/>
          <w:sz w:val="20"/>
        </w:rPr>
        <w:t xml:space="preserve">"We review de novo a district court's dismissal of a complaint for lack of subject-matter jurisdiction." </w:t>
      </w:r>
      <w:bookmarkStart w:id="227" w:name="Bookmark_I59BCMF02N1PPV0030000400"/>
      <w:bookmarkEnd w:id="227"/>
      <w:r>
        <w:rPr>
          <w:rFonts w:ascii="Arial" w:eastAsia="Arial" w:hAnsi="Arial" w:cs="Arial"/>
          <w:i/>
          <w:color w:val="000000"/>
          <w:sz w:val="20"/>
        </w:rPr>
        <w:t>Devon Energy Prod. Co., L.P. v. Mosaic Potash Carlsbad, Inc.</w:t>
      </w:r>
      <w:r>
        <w:rPr>
          <w:rFonts w:ascii="Arial" w:eastAsia="Arial" w:hAnsi="Arial" w:cs="Arial"/>
          <w:color w:val="000000"/>
          <w:sz w:val="20"/>
        </w:rPr>
        <w:t>, 693 F.3d 1195, 1201 (10th Cir. 2012).</w:t>
      </w:r>
    </w:p>
    <w:p w14:paraId="753BA776" w14:textId="77777777" w:rsidR="00D041A2" w:rsidRDefault="00000000">
      <w:pPr>
        <w:pStyle w:val="Normal2"/>
        <w:widowControl w:val="0"/>
        <w:spacing w:before="200" w:line="260" w:lineRule="atLeast"/>
        <w:jc w:val="both"/>
      </w:pPr>
      <w:bookmarkStart w:id="228" w:name="Bookmark_para_16_0"/>
      <w:bookmarkStart w:id="229" w:name="Bookmark_I59BCMF02D6NV90010000400"/>
      <w:bookmarkEnd w:id="228"/>
      <w:bookmarkEnd w:id="229"/>
      <w:r>
        <w:rPr>
          <w:rFonts w:ascii="Arial" w:eastAsia="Arial" w:hAnsi="Arial" w:cs="Arial"/>
          <w:color w:val="000000"/>
          <w:sz w:val="20"/>
        </w:rPr>
        <w:t xml:space="preserve">Mr. Cunningham responds that his § 1983 claim against UNM is not barred by the Eleventh Amendment because he is requesting prospective relief. </w:t>
      </w:r>
      <w:r>
        <w:rPr>
          <w:rFonts w:ascii="Arial" w:eastAsia="Arial" w:hAnsi="Arial" w:cs="Arial"/>
          <w:vertAlign w:val="superscript"/>
        </w:rPr>
        <w:footnoteReference w:customMarkFollows="1" w:id="18"/>
        <w:t>6</w:t>
      </w:r>
      <w:r>
        <w:rPr>
          <w:rFonts w:ascii="Arial" w:eastAsia="Arial" w:hAnsi="Arial" w:cs="Arial"/>
          <w:color w:val="000000"/>
          <w:sz w:val="20"/>
        </w:rPr>
        <w:t xml:space="preserve"> While acknowledging  [*915]  that he cannot sue UNM for money damages under § 1983 because such a cause of action is not available to him, Mr. Cunningham asserts that the Eleventh Amendment does not bar his claim because the relief he requests is prospective and does not involve money damages. In this regard, he seeks to rely on the Eleventh Amendment immunity exception that the Supreme Court established in </w:t>
      </w:r>
      <w:bookmarkStart w:id="239" w:name="Bookmark_I59BCMF02N1PPV0050000400"/>
      <w:bookmarkEnd w:id="239"/>
      <w:r>
        <w:rPr>
          <w:rFonts w:ascii="Arial" w:eastAsia="Arial" w:hAnsi="Arial" w:cs="Arial"/>
          <w:i/>
          <w:color w:val="000000"/>
          <w:sz w:val="20"/>
        </w:rPr>
        <w:t>Ex parte Young</w:t>
      </w:r>
      <w:r>
        <w:rPr>
          <w:rFonts w:ascii="Arial" w:eastAsia="Arial" w:hAnsi="Arial" w:cs="Arial"/>
          <w:color w:val="000000"/>
          <w:sz w:val="20"/>
        </w:rPr>
        <w:t>, 209 U.S. 123, 28 S. Ct. 441, 52 L. Ed. 714 (1908). However, Mr. Cunningham misunderstands  [**13] the law.</w:t>
      </w:r>
    </w:p>
    <w:p w14:paraId="0C9458B9" w14:textId="77777777" w:rsidR="00D041A2" w:rsidRDefault="00000000">
      <w:pPr>
        <w:pStyle w:val="Normal2"/>
        <w:widowControl w:val="0"/>
        <w:spacing w:before="200" w:line="260" w:lineRule="atLeast"/>
        <w:jc w:val="both"/>
      </w:pPr>
      <w:bookmarkStart w:id="240" w:name="Bookmark_para_17_0"/>
      <w:bookmarkStart w:id="241" w:name="Bookmark_I59BCMF02N1PPW0010000400"/>
      <w:bookmarkStart w:id="242" w:name="Bookmark_I59BCMF02N1PPW0050000400"/>
      <w:bookmarkEnd w:id="240"/>
      <w:bookmarkEnd w:id="241"/>
      <w:bookmarkEnd w:id="242"/>
      <w:r>
        <w:rPr>
          <w:rFonts w:ascii="Arial" w:eastAsia="Arial" w:hAnsi="Arial" w:cs="Arial"/>
          <w:color w:val="000000"/>
          <w:sz w:val="20"/>
        </w:rPr>
        <w:t xml:space="preserve">The </w:t>
      </w:r>
      <w:r>
        <w:rPr>
          <w:rFonts w:ascii="Arial" w:eastAsia="Arial" w:hAnsi="Arial" w:cs="Arial"/>
          <w:i/>
          <w:color w:val="000000"/>
          <w:sz w:val="20"/>
        </w:rPr>
        <w:t>Ex parte Young</w:t>
      </w:r>
      <w:r>
        <w:rPr>
          <w:rFonts w:ascii="Arial" w:eastAsia="Arial" w:hAnsi="Arial" w:cs="Arial"/>
          <w:color w:val="000000"/>
          <w:sz w:val="20"/>
        </w:rPr>
        <w:t xml:space="preserve"> exception is narrow and only applies in certain circumstances, none of which apply here. </w:t>
      </w:r>
      <w:r>
        <w:rPr>
          <w:rFonts w:ascii="Arial" w:eastAsia="Arial" w:hAnsi="Arial" w:cs="Arial"/>
          <w:i/>
          <w:color w:val="000000"/>
          <w:sz w:val="20"/>
        </w:rPr>
        <w:t xml:space="preserve">See </w:t>
      </w:r>
      <w:bookmarkStart w:id="243" w:name="Bookmark_I59BCMF02D6NVB0050000400"/>
      <w:bookmarkEnd w:id="243"/>
      <w:r>
        <w:rPr>
          <w:rFonts w:ascii="Arial" w:eastAsia="Arial" w:hAnsi="Arial" w:cs="Arial"/>
          <w:i/>
          <w:color w:val="000000"/>
          <w:sz w:val="20"/>
        </w:rPr>
        <w:t>Buchwald v. Univ. of N.M. Sch. of Med.</w:t>
      </w:r>
      <w:r>
        <w:rPr>
          <w:rFonts w:ascii="Arial" w:eastAsia="Arial" w:hAnsi="Arial" w:cs="Arial"/>
          <w:color w:val="000000"/>
          <w:sz w:val="20"/>
        </w:rPr>
        <w:t xml:space="preserve">, 159 F.3d 487, 495 (10th Cir. 1998); </w:t>
      </w:r>
      <w:bookmarkStart w:id="244" w:name="Bookmark_I59BCMF02N1PPW0020000400"/>
      <w:bookmarkEnd w:id="244"/>
      <w:r>
        <w:rPr>
          <w:rFonts w:ascii="Arial" w:eastAsia="Arial" w:hAnsi="Arial" w:cs="Arial"/>
          <w:i/>
          <w:color w:val="000000"/>
          <w:sz w:val="20"/>
        </w:rPr>
        <w:t>Johns v. Stewart</w:t>
      </w:r>
      <w:r>
        <w:rPr>
          <w:rFonts w:ascii="Arial" w:eastAsia="Arial" w:hAnsi="Arial" w:cs="Arial"/>
          <w:color w:val="000000"/>
          <w:sz w:val="20"/>
        </w:rPr>
        <w:t xml:space="preserve">, 57 F.3d 1544, 1552 (10th Cir. 1995). More specifically, </w:t>
      </w:r>
      <w:bookmarkStart w:id="245" w:name="Bookmark_LNHNREFclscc8_0"/>
      <w:bookmarkEnd w:id="245"/>
      <w:r>
        <w:rPr>
          <w:rFonts w:ascii="Arial" w:eastAsia="Arial" w:hAnsi="Arial" w:cs="Arial"/>
          <w:color w:val="000000"/>
          <w:sz w:val="20"/>
        </w:rPr>
        <w:t xml:space="preserve">it applies only in suits against individual defendants in their official capacities—"it 'has no application in suits against the States and their agencies, which are barred regardless of the relief sought.'" </w:t>
      </w:r>
      <w:bookmarkStart w:id="246" w:name="Bookmark_I59BCMF02N1PPW0040000400"/>
      <w:bookmarkEnd w:id="246"/>
      <w:r>
        <w:rPr>
          <w:rFonts w:ascii="Arial" w:eastAsia="Arial" w:hAnsi="Arial" w:cs="Arial"/>
          <w:i/>
          <w:color w:val="000000"/>
          <w:sz w:val="20"/>
        </w:rPr>
        <w:t>Buchwald</w:t>
      </w:r>
      <w:r>
        <w:rPr>
          <w:rFonts w:ascii="Arial" w:eastAsia="Arial" w:hAnsi="Arial" w:cs="Arial"/>
          <w:color w:val="000000"/>
          <w:sz w:val="20"/>
        </w:rPr>
        <w:t xml:space="preserve">, 159 F.3d at 495 (quoting </w:t>
      </w:r>
      <w:bookmarkStart w:id="247" w:name="Bookmark_I59BCMF028T3XP0010000400"/>
      <w:bookmarkEnd w:id="247"/>
      <w:r>
        <w:rPr>
          <w:rFonts w:ascii="Arial" w:eastAsia="Arial" w:hAnsi="Arial" w:cs="Arial"/>
          <w:i/>
          <w:color w:val="000000"/>
          <w:sz w:val="20"/>
        </w:rPr>
        <w:t>P.R. Aqueduct &amp; Sewer Auth. v. Metcalf &amp; Eddy, Inc.</w:t>
      </w:r>
      <w:r>
        <w:rPr>
          <w:rFonts w:ascii="Arial" w:eastAsia="Arial" w:hAnsi="Arial" w:cs="Arial"/>
          <w:color w:val="000000"/>
          <w:sz w:val="20"/>
        </w:rPr>
        <w:t>, 506 U.S. 139, 146, 113 S. Ct. 684, 121 L. Ed. 2d 605 (1993)).</w:t>
      </w:r>
    </w:p>
    <w:p w14:paraId="321C789D" w14:textId="77777777" w:rsidR="00D041A2" w:rsidRDefault="00000000">
      <w:pPr>
        <w:pStyle w:val="Normal2"/>
        <w:widowControl w:val="0"/>
        <w:spacing w:before="200" w:line="260" w:lineRule="atLeast"/>
        <w:jc w:val="both"/>
      </w:pPr>
      <w:bookmarkStart w:id="248" w:name="Bookmark_para_18_0"/>
      <w:bookmarkStart w:id="249" w:name="Bookmark_I0BH7B1B9C7000VXMHY00436"/>
      <w:bookmarkStart w:id="250" w:name="Bookmark_I59BCMF028T3XP0040000400"/>
      <w:bookmarkStart w:id="251" w:name="Bookmark_I59BCMF028T3XR0010000400"/>
      <w:bookmarkEnd w:id="248"/>
      <w:bookmarkEnd w:id="249"/>
      <w:bookmarkEnd w:id="250"/>
      <w:bookmarkEnd w:id="251"/>
      <w:r>
        <w:rPr>
          <w:rFonts w:ascii="Arial" w:eastAsia="Arial" w:hAnsi="Arial" w:cs="Arial"/>
          <w:color w:val="000000"/>
          <w:sz w:val="20"/>
        </w:rPr>
        <w:t xml:space="preserve">UNM is a state agency and therefore the </w:t>
      </w:r>
      <w:bookmarkStart w:id="252" w:name="Bookmark_I59BCMF028T3XP0030000400"/>
      <w:bookmarkEnd w:id="252"/>
      <w:r>
        <w:rPr>
          <w:rFonts w:ascii="Arial" w:eastAsia="Arial" w:hAnsi="Arial" w:cs="Arial"/>
          <w:i/>
          <w:color w:val="000000"/>
          <w:sz w:val="20"/>
        </w:rPr>
        <w:t>Ex parte Young</w:t>
      </w:r>
      <w:r>
        <w:rPr>
          <w:rFonts w:ascii="Arial" w:eastAsia="Arial" w:hAnsi="Arial" w:cs="Arial"/>
          <w:color w:val="000000"/>
          <w:sz w:val="20"/>
        </w:rPr>
        <w:t xml:space="preserve"> exception does not apply to Mr. Cunningham's § 1983 claim against it, regardless of the relief Mr. Cunningham seeks. </w:t>
      </w:r>
      <w:r>
        <w:rPr>
          <w:rFonts w:ascii="Arial" w:eastAsia="Arial" w:hAnsi="Arial" w:cs="Arial"/>
          <w:i/>
          <w:color w:val="000000"/>
          <w:sz w:val="20"/>
        </w:rPr>
        <w:t xml:space="preserve">See </w:t>
      </w:r>
      <w:bookmarkStart w:id="253" w:name="Bookmark_I59BCMF028T3XP0050000400"/>
      <w:bookmarkEnd w:id="253"/>
      <w:r>
        <w:rPr>
          <w:rFonts w:ascii="Arial" w:eastAsia="Arial" w:hAnsi="Arial" w:cs="Arial"/>
          <w:i/>
          <w:color w:val="000000"/>
          <w:sz w:val="20"/>
        </w:rPr>
        <w:t>Buchwald</w:t>
      </w:r>
      <w:r>
        <w:rPr>
          <w:rFonts w:ascii="Arial" w:eastAsia="Arial" w:hAnsi="Arial" w:cs="Arial"/>
          <w:color w:val="000000"/>
          <w:sz w:val="20"/>
        </w:rPr>
        <w:t xml:space="preserve">, 159 F.3d at 496 ("Thus, . . . the </w:t>
      </w:r>
      <w:r>
        <w:rPr>
          <w:rFonts w:ascii="Arial" w:eastAsia="Arial" w:hAnsi="Arial" w:cs="Arial"/>
          <w:i/>
          <w:color w:val="000000"/>
          <w:sz w:val="20"/>
        </w:rPr>
        <w:t>Ex parte Young</w:t>
      </w:r>
      <w:r>
        <w:rPr>
          <w:rFonts w:ascii="Arial" w:eastAsia="Arial" w:hAnsi="Arial" w:cs="Arial"/>
          <w:color w:val="000000"/>
          <w:sz w:val="20"/>
        </w:rPr>
        <w:t xml:space="preserve"> exception does not permit plaintiff to subject [UNM], [or] its Regents . . . to suit because they are state agencies . . . ."). Mr. Cunningham's § 1983 claim against UNM was properly dismissed by the district court for lack of subject-matter  [**15] jurisdiction.</w:t>
      </w:r>
    </w:p>
    <w:p w14:paraId="094BFCD9" w14:textId="77777777" w:rsidR="00D041A2" w:rsidRDefault="00000000">
      <w:pPr>
        <w:pStyle w:val="Normal2"/>
        <w:widowControl w:val="0"/>
        <w:spacing w:before="240" w:line="260" w:lineRule="atLeast"/>
      </w:pPr>
      <w:r>
        <w:br/>
      </w:r>
      <w:r>
        <w:rPr>
          <w:rFonts w:ascii="Arial" w:eastAsia="Arial" w:hAnsi="Arial" w:cs="Arial"/>
          <w:b/>
          <w:color w:val="000000"/>
          <w:sz w:val="20"/>
        </w:rPr>
        <w:t>IV</w:t>
      </w:r>
    </w:p>
    <w:p w14:paraId="432FD431" w14:textId="77777777" w:rsidR="00D041A2" w:rsidRDefault="00000000">
      <w:pPr>
        <w:pStyle w:val="Normal2"/>
        <w:widowControl w:val="0"/>
        <w:spacing w:before="200" w:line="260" w:lineRule="atLeast"/>
        <w:jc w:val="both"/>
      </w:pPr>
      <w:bookmarkStart w:id="254" w:name="Bookmark_para_19_0"/>
      <w:bookmarkEnd w:id="254"/>
      <w:r>
        <w:rPr>
          <w:rFonts w:ascii="Arial" w:eastAsia="Arial" w:hAnsi="Arial" w:cs="Arial"/>
          <w:color w:val="000000"/>
          <w:sz w:val="20"/>
        </w:rPr>
        <w:t>Turning next to Mr. Cunningham's ADA and Rehabilitation Act claims against UNM and the Board, we again start with the question of subject-matter jurisdiction. Mr. Cunningham alleges that the district court erred in dismissing his ADA and Rehabilitation Act claims against Defendants because he made a sufficient showing that his Irlen Syndrome clearly qualified as a disability. The Board responds by asserting that Mr. Cunningham's claim is not ripe for adjudication and we thus lack subject-matter jurisdiction to hear it. Because ripeness is, like state sovereign immunity, a threshold jurisdictional matter, we must address it before we can reach the merits of Mr. Cunningham's ADA and Rehabilitation Act claims against the Board. After addressing this threshold question, and concluding that Mr. Cunningham's claims are not ripe as to the Board (i.e., that we lack jurisdiction over them), we proceed to address the merits of these claims as to UNM.</w:t>
      </w:r>
    </w:p>
    <w:p w14:paraId="1CEC40F5" w14:textId="77777777" w:rsidR="00D041A2" w:rsidRDefault="00000000">
      <w:pPr>
        <w:pStyle w:val="Normal2"/>
        <w:widowControl w:val="0"/>
        <w:spacing w:before="200" w:line="260" w:lineRule="atLeast"/>
        <w:jc w:val="both"/>
      </w:pPr>
      <w:bookmarkStart w:id="255" w:name="Bookmark_para_20_0"/>
      <w:bookmarkStart w:id="256" w:name="Bookmark_I59BCMF028T3XR0030000400"/>
      <w:bookmarkEnd w:id="255"/>
      <w:bookmarkEnd w:id="256"/>
      <w:r>
        <w:rPr>
          <w:rFonts w:ascii="Arial" w:eastAsia="Arial" w:hAnsi="Arial" w:cs="Arial"/>
          <w:color w:val="000000"/>
          <w:sz w:val="20"/>
        </w:rPr>
        <w:t xml:space="preserve">With respect to UNM, these claims present a quite different set of circumstances. </w:t>
      </w:r>
      <w:r>
        <w:rPr>
          <w:rFonts w:ascii="Arial" w:eastAsia="Arial" w:hAnsi="Arial" w:cs="Arial"/>
          <w:i/>
          <w:color w:val="000000"/>
          <w:sz w:val="20"/>
        </w:rPr>
        <w:t xml:space="preserve">Cf. </w:t>
      </w:r>
      <w:bookmarkStart w:id="257" w:name="Bookmark_I59BCMF028T3XR0020000400"/>
      <w:bookmarkEnd w:id="257"/>
      <w:r>
        <w:rPr>
          <w:rFonts w:ascii="Arial" w:eastAsia="Arial" w:hAnsi="Arial" w:cs="Arial"/>
          <w:i/>
          <w:color w:val="000000"/>
          <w:sz w:val="20"/>
        </w:rPr>
        <w:t>Friends of Marolt Park v. U.S. Dep't of Transp.</w:t>
      </w:r>
      <w:r>
        <w:rPr>
          <w:rFonts w:ascii="Arial" w:eastAsia="Arial" w:hAnsi="Arial" w:cs="Arial"/>
          <w:color w:val="000000"/>
          <w:sz w:val="20"/>
        </w:rPr>
        <w:t xml:space="preserve">, 382 F.3d 1088, 1094-95 (10th Cir. 2004) (concluding that one claim was ripe for review and the other  [**16] was not); </w:t>
      </w:r>
      <w:bookmarkStart w:id="258" w:name="Bookmark_I59BCMF028T3XR0040000400"/>
      <w:bookmarkEnd w:id="258"/>
      <w:r>
        <w:rPr>
          <w:rFonts w:ascii="Arial" w:eastAsia="Arial" w:hAnsi="Arial" w:cs="Arial"/>
          <w:i/>
          <w:color w:val="000000"/>
          <w:sz w:val="20"/>
        </w:rPr>
        <w:t>Ernst &amp; Young v. Depositors Econ. Prot. Corp.</w:t>
      </w:r>
      <w:r>
        <w:rPr>
          <w:rFonts w:ascii="Arial" w:eastAsia="Arial" w:hAnsi="Arial" w:cs="Arial"/>
          <w:color w:val="000000"/>
          <w:sz w:val="20"/>
        </w:rPr>
        <w:t>, 45 F.3d 530, 535 (1st Cir. 1995) (</w:t>
      </w:r>
      <w:bookmarkStart w:id="259" w:name="Bookmark_LNHNREFclscc9_0"/>
      <w:bookmarkEnd w:id="259"/>
      <w:r>
        <w:rPr>
          <w:rFonts w:ascii="Arial" w:eastAsia="Arial" w:hAnsi="Arial" w:cs="Arial"/>
          <w:color w:val="000000"/>
          <w:sz w:val="20"/>
        </w:rPr>
        <w:t xml:space="preserve">"The ripeness inquiry is often </w:t>
      </w:r>
      <w:r>
        <w:rPr>
          <w:rFonts w:ascii="Arial" w:eastAsia="Arial" w:hAnsi="Arial" w:cs="Arial"/>
          <w:i/>
          <w:color w:val="000000"/>
          <w:sz w:val="20"/>
        </w:rPr>
        <w:t>sui generis.</w:t>
      </w:r>
      <w:r>
        <w:rPr>
          <w:rFonts w:ascii="Arial" w:eastAsia="Arial" w:hAnsi="Arial" w:cs="Arial"/>
          <w:color w:val="000000"/>
          <w:sz w:val="20"/>
        </w:rPr>
        <w:t xml:space="preserve"> Most litigation has idiosyncratic features, and the various integers that enter into the ripeness equation play out quite differently from case to case, thus influencing the bottom line."). </w:t>
      </w:r>
      <w:bookmarkStart w:id="260" w:name="Bookmark_I59BCMF02HM6030020000400"/>
      <w:bookmarkEnd w:id="260"/>
      <w:r>
        <w:rPr>
          <w:rFonts w:ascii="Arial" w:eastAsia="Arial" w:hAnsi="Arial" w:cs="Arial"/>
          <w:color w:val="000000"/>
          <w:sz w:val="20"/>
        </w:rPr>
        <w:t xml:space="preserve">UNM has not alleged that we lack subject-matter jurisdiction over Mr. Cunningham's ADA and Rehabilitation Act claims against it on ripeness grounds (or otherwise).  [*916]  This fact would be of no moment, if we had a reason to doubt our jurisdiction over these claims. </w:t>
      </w:r>
      <w:r>
        <w:rPr>
          <w:rFonts w:ascii="Arial" w:eastAsia="Arial" w:hAnsi="Arial" w:cs="Arial"/>
          <w:i/>
          <w:color w:val="000000"/>
          <w:sz w:val="20"/>
        </w:rPr>
        <w:t xml:space="preserve">See, e.g., </w:t>
      </w:r>
      <w:bookmarkStart w:id="261" w:name="Bookmark_I59BCMF02HM6030010000400"/>
      <w:bookmarkEnd w:id="261"/>
      <w:r>
        <w:rPr>
          <w:rFonts w:ascii="Arial" w:eastAsia="Arial" w:hAnsi="Arial" w:cs="Arial"/>
          <w:i/>
          <w:color w:val="000000"/>
          <w:sz w:val="20"/>
        </w:rPr>
        <w:t>Mt. Healthy City Sch. Dist. Bd. of Educ. v. Doyle</w:t>
      </w:r>
      <w:r>
        <w:rPr>
          <w:rFonts w:ascii="Arial" w:eastAsia="Arial" w:hAnsi="Arial" w:cs="Arial"/>
          <w:color w:val="000000"/>
          <w:sz w:val="20"/>
        </w:rPr>
        <w:t>, 429 U.S. 274, 278, 97 S. Ct. 568, 50 L. Ed. 2d 471 (1977) (</w:t>
      </w:r>
      <w:bookmarkStart w:id="262" w:name="Bookmark_LNHNREFclscc10_0"/>
      <w:bookmarkEnd w:id="262"/>
      <w:r>
        <w:rPr>
          <w:rFonts w:ascii="Arial" w:eastAsia="Arial" w:hAnsi="Arial" w:cs="Arial"/>
          <w:color w:val="000000"/>
          <w:sz w:val="20"/>
        </w:rPr>
        <w:t xml:space="preserve">"[W]e are obliged to inquire sua sponte whenever a doubt arises as to the existence of federal jurisdiction."); </w:t>
      </w:r>
      <w:bookmarkStart w:id="263" w:name="Bookmark_I59BCMF02HM6030030000400"/>
      <w:bookmarkEnd w:id="263"/>
      <w:r>
        <w:rPr>
          <w:rFonts w:ascii="Arial" w:eastAsia="Arial" w:hAnsi="Arial" w:cs="Arial"/>
          <w:i/>
          <w:color w:val="000000"/>
          <w:sz w:val="20"/>
        </w:rPr>
        <w:t>Kalson v. Paterson</w:t>
      </w:r>
      <w:r>
        <w:rPr>
          <w:rFonts w:ascii="Arial" w:eastAsia="Arial" w:hAnsi="Arial" w:cs="Arial"/>
          <w:color w:val="000000"/>
          <w:sz w:val="20"/>
        </w:rPr>
        <w:t xml:space="preserve">, 542 F.3d 281, 286 n.10 (2d Cir. 2008) ("The fact that neither party raised a jurisdictional issue on appeal is of no matter; we are obligated to determine whether jurisdiction exists </w:t>
      </w:r>
      <w:r>
        <w:rPr>
          <w:rFonts w:ascii="Arial" w:eastAsia="Arial" w:hAnsi="Arial" w:cs="Arial"/>
          <w:i/>
          <w:color w:val="000000"/>
          <w:sz w:val="20"/>
        </w:rPr>
        <w:t>nostra sponte.</w:t>
      </w:r>
      <w:r>
        <w:rPr>
          <w:rFonts w:ascii="Arial" w:eastAsia="Arial" w:hAnsi="Arial" w:cs="Arial"/>
          <w:color w:val="000000"/>
          <w:sz w:val="20"/>
        </w:rPr>
        <w:t xml:space="preserve">"); 13B Charles Alan Wright et al., </w:t>
      </w:r>
      <w:r>
        <w:rPr>
          <w:rFonts w:ascii="Arial" w:eastAsia="Arial" w:hAnsi="Arial" w:cs="Arial"/>
          <w:i/>
          <w:color w:val="000000"/>
          <w:sz w:val="20"/>
        </w:rPr>
        <w:t>Federal Practice &amp; Procedure</w:t>
      </w:r>
      <w:r>
        <w:rPr>
          <w:rFonts w:ascii="Arial" w:eastAsia="Arial" w:hAnsi="Arial" w:cs="Arial"/>
          <w:color w:val="000000"/>
          <w:sz w:val="20"/>
        </w:rPr>
        <w:t xml:space="preserve"> § 3532.7, at 710 (3d ed. 2008) ("It is clear that ripeness may be raised by a court on its own motion, whether the question turns on  [**17] theories attributed to the constitution or on prudential theories, and whether or not the parties all wish decision on the merits."). However, we have no reason to doubt our jurisdiction. Therefore, we proceed to address these claims on the merits.</w:t>
      </w:r>
    </w:p>
    <w:p w14:paraId="2E84B2B9" w14:textId="77777777" w:rsidR="00D041A2" w:rsidRDefault="00000000">
      <w:pPr>
        <w:pStyle w:val="Normal2"/>
        <w:widowControl w:val="0"/>
        <w:spacing w:before="240" w:line="260" w:lineRule="atLeast"/>
      </w:pPr>
      <w:r>
        <w:br/>
      </w:r>
      <w:r>
        <w:rPr>
          <w:rFonts w:ascii="Arial" w:eastAsia="Arial" w:hAnsi="Arial" w:cs="Arial"/>
          <w:b/>
          <w:color w:val="000000"/>
          <w:sz w:val="20"/>
        </w:rPr>
        <w:t>A</w:t>
      </w:r>
    </w:p>
    <w:p w14:paraId="33C93421" w14:textId="77777777" w:rsidR="00D041A2" w:rsidRDefault="00000000">
      <w:pPr>
        <w:pStyle w:val="Normal2"/>
        <w:widowControl w:val="0"/>
        <w:spacing w:before="200" w:line="260" w:lineRule="atLeast"/>
        <w:jc w:val="both"/>
      </w:pPr>
      <w:bookmarkStart w:id="264" w:name="Bookmark_para_21_0"/>
      <w:bookmarkStart w:id="265" w:name="Bookmark_I59BCMF028T3XS0010000400"/>
      <w:bookmarkEnd w:id="264"/>
      <w:bookmarkEnd w:id="265"/>
      <w:r>
        <w:rPr>
          <w:rFonts w:ascii="Arial" w:eastAsia="Arial" w:hAnsi="Arial" w:cs="Arial"/>
          <w:color w:val="000000"/>
          <w:sz w:val="20"/>
        </w:rPr>
        <w:t xml:space="preserve">The district court found that, "whether or not [the Board] denied [Mr. Cunningham's] original request, [his] discrimination claims [against the Board] are still ripe for adjudication, because the issue of imposing an undue burden on the accommodation process creates a live issue." Aplt. App. at 234 (Mem. Op., filed Apr. 20, 2011). </w:t>
      </w:r>
      <w:bookmarkStart w:id="266" w:name="Bookmark_LNHNREFclscc11_0"/>
      <w:bookmarkEnd w:id="266"/>
      <w:r>
        <w:rPr>
          <w:rFonts w:ascii="Arial" w:eastAsia="Arial" w:hAnsi="Arial" w:cs="Arial"/>
          <w:color w:val="000000"/>
          <w:sz w:val="20"/>
        </w:rPr>
        <w:t xml:space="preserve">The question of ripeness implicates our subject-matter jurisdiction and is thus a question of law which we review de novo. </w:t>
      </w:r>
      <w:r>
        <w:rPr>
          <w:rFonts w:ascii="Arial" w:eastAsia="Arial" w:hAnsi="Arial" w:cs="Arial"/>
          <w:i/>
          <w:color w:val="000000"/>
          <w:sz w:val="20"/>
        </w:rPr>
        <w:t xml:space="preserve">See </w:t>
      </w:r>
      <w:bookmarkStart w:id="267" w:name="Bookmark_I59BCMF02HM6030050000400"/>
      <w:bookmarkEnd w:id="267"/>
      <w:r>
        <w:rPr>
          <w:rFonts w:ascii="Arial" w:eastAsia="Arial" w:hAnsi="Arial" w:cs="Arial"/>
          <w:i/>
          <w:color w:val="000000"/>
          <w:sz w:val="20"/>
        </w:rPr>
        <w:t>New Mexicans for Bill Richardson</w:t>
      </w:r>
      <w:r>
        <w:rPr>
          <w:rFonts w:ascii="Arial" w:eastAsia="Arial" w:hAnsi="Arial" w:cs="Arial"/>
          <w:color w:val="000000"/>
          <w:sz w:val="20"/>
        </w:rPr>
        <w:t xml:space="preserve">, 64 F.3d at 1498-99; </w:t>
      </w:r>
      <w:r>
        <w:rPr>
          <w:rFonts w:ascii="Arial" w:eastAsia="Arial" w:hAnsi="Arial" w:cs="Arial"/>
          <w:i/>
          <w:color w:val="000000"/>
          <w:sz w:val="20"/>
        </w:rPr>
        <w:t xml:space="preserve">see also </w:t>
      </w:r>
      <w:bookmarkStart w:id="268" w:name="Bookmark_I59BCMF028T3XS0020000400"/>
      <w:bookmarkEnd w:id="268"/>
      <w:r>
        <w:rPr>
          <w:rFonts w:ascii="Arial" w:eastAsia="Arial" w:hAnsi="Arial" w:cs="Arial"/>
          <w:i/>
          <w:color w:val="000000"/>
          <w:sz w:val="20"/>
        </w:rPr>
        <w:t>Wilderness Soc'y v. Kane Cnty., Utah</w:t>
      </w:r>
      <w:r>
        <w:rPr>
          <w:rFonts w:ascii="Arial" w:eastAsia="Arial" w:hAnsi="Arial" w:cs="Arial"/>
          <w:color w:val="000000"/>
          <w:sz w:val="20"/>
        </w:rPr>
        <w:t xml:space="preserve">, 632 F.3d 1162, 1168 (10th Cir. 2011) (en banc) ("We review de novo the district court's determinations regarding subject matter jurisdiction."); </w:t>
      </w:r>
      <w:bookmarkStart w:id="269" w:name="Bookmark_I59BCMF028T3XS0040000400"/>
      <w:bookmarkEnd w:id="269"/>
      <w:r>
        <w:rPr>
          <w:rFonts w:ascii="Arial" w:eastAsia="Arial" w:hAnsi="Arial" w:cs="Arial"/>
          <w:i/>
          <w:color w:val="000000"/>
          <w:sz w:val="20"/>
        </w:rPr>
        <w:t>Coal. for Sustainable Res., Inc. v. U.S. Forest Serv.</w:t>
      </w:r>
      <w:r>
        <w:rPr>
          <w:rFonts w:ascii="Arial" w:eastAsia="Arial" w:hAnsi="Arial" w:cs="Arial"/>
          <w:color w:val="000000"/>
          <w:sz w:val="20"/>
        </w:rPr>
        <w:t>, 259 F.3d 1244, 1249 (10th Cir. 2001) ("To fall within our subject-matter jurisdiction, a case must raise issues that are ripe for review.").</w:t>
      </w:r>
    </w:p>
    <w:p w14:paraId="48E1B66C" w14:textId="77777777" w:rsidR="00D041A2" w:rsidRDefault="00000000">
      <w:pPr>
        <w:pStyle w:val="Normal2"/>
        <w:widowControl w:val="0"/>
        <w:spacing w:before="200" w:line="260" w:lineRule="atLeast"/>
        <w:jc w:val="both"/>
      </w:pPr>
      <w:bookmarkStart w:id="270" w:name="Bookmark_para_22_0"/>
      <w:bookmarkStart w:id="271" w:name="Bookmark_I59BCMF02SF8S20020000400"/>
      <w:bookmarkEnd w:id="270"/>
      <w:bookmarkEnd w:id="271"/>
      <w:r>
        <w:rPr>
          <w:rFonts w:ascii="Arial" w:eastAsia="Arial" w:hAnsi="Arial" w:cs="Arial"/>
          <w:color w:val="000000"/>
          <w:sz w:val="20"/>
        </w:rPr>
        <w:t xml:space="preserve">For the reasons that we explicate below, we ultimately  [**18] conclude that the district court erred in finding that Mr. Cunningham's ADA and Rehabilitation Act claims against the Board are ripe. Nonetheless, we affirm the court's judgment in favor of the Board, albeit on the basis of lack of subject-matter jurisdiction, rather than the merits. </w:t>
      </w:r>
      <w:bookmarkStart w:id="272" w:name="Bookmark_LNHNREFclscc12_0"/>
      <w:bookmarkEnd w:id="272"/>
      <w:r>
        <w:rPr>
          <w:rFonts w:ascii="Arial" w:eastAsia="Arial" w:hAnsi="Arial" w:cs="Arial"/>
          <w:color w:val="000000"/>
          <w:sz w:val="20"/>
        </w:rPr>
        <w:t xml:space="preserve">It is axiomatic that we may affirm a district court's order "on any basis supported by the record, even though not relied on by the district court." </w:t>
      </w:r>
      <w:bookmarkStart w:id="273" w:name="Bookmark_I59BCMF02SF8S20010000400"/>
      <w:bookmarkEnd w:id="273"/>
      <w:r>
        <w:rPr>
          <w:rFonts w:ascii="Arial" w:eastAsia="Arial" w:hAnsi="Arial" w:cs="Arial"/>
          <w:i/>
          <w:color w:val="000000"/>
          <w:sz w:val="20"/>
        </w:rPr>
        <w:t>Vaughn v. Epworth Villa</w:t>
      </w:r>
      <w:r>
        <w:rPr>
          <w:rFonts w:ascii="Arial" w:eastAsia="Arial" w:hAnsi="Arial" w:cs="Arial"/>
          <w:color w:val="000000"/>
          <w:sz w:val="20"/>
        </w:rPr>
        <w:t xml:space="preserve">, 537 F.3d 1147, 1150 (10th Cir. 2008) (quoting </w:t>
      </w:r>
      <w:bookmarkStart w:id="274" w:name="Bookmark_I59BCMF02SF8S20030000400"/>
      <w:bookmarkEnd w:id="274"/>
      <w:r>
        <w:rPr>
          <w:rFonts w:ascii="Arial" w:eastAsia="Arial" w:hAnsi="Arial" w:cs="Arial"/>
          <w:i/>
          <w:color w:val="000000"/>
          <w:sz w:val="20"/>
        </w:rPr>
        <w:t>Seegmiller v. LaVerkin City</w:t>
      </w:r>
      <w:r>
        <w:rPr>
          <w:rFonts w:ascii="Arial" w:eastAsia="Arial" w:hAnsi="Arial" w:cs="Arial"/>
          <w:color w:val="000000"/>
          <w:sz w:val="20"/>
        </w:rPr>
        <w:t>, 528 F.3d 762, 766 (10th Cir. 2008)) (internal quotation marks omitted).</w:t>
      </w:r>
    </w:p>
    <w:p w14:paraId="16201E4F" w14:textId="77777777" w:rsidR="00D041A2" w:rsidRDefault="00000000">
      <w:pPr>
        <w:pStyle w:val="Normal2"/>
        <w:widowControl w:val="0"/>
        <w:spacing w:before="200" w:line="260" w:lineRule="atLeast"/>
        <w:jc w:val="both"/>
      </w:pPr>
      <w:bookmarkStart w:id="275" w:name="Bookmark_para_23_0"/>
      <w:bookmarkStart w:id="276" w:name="Bookmark_I59BCMF02SF8S30010000400"/>
      <w:bookmarkStart w:id="277" w:name="Bookmark_I59BCMF02SF8S30050000400"/>
      <w:bookmarkStart w:id="278" w:name="Bookmark_LNHNREFclscc13_0"/>
      <w:bookmarkEnd w:id="275"/>
      <w:bookmarkEnd w:id="276"/>
      <w:bookmarkEnd w:id="277"/>
      <w:bookmarkEnd w:id="278"/>
      <w:r>
        <w:rPr>
          <w:rFonts w:ascii="Arial" w:eastAsia="Arial" w:hAnsi="Arial" w:cs="Arial"/>
          <w:color w:val="000000"/>
          <w:sz w:val="20"/>
        </w:rPr>
        <w:t xml:space="preserve">"The ripeness doctrine is intended to prevent the courts, through avoidance of premature adjudication, from entangling themselves in abstract disagreements." </w:t>
      </w:r>
      <w:bookmarkStart w:id="279" w:name="Bookmark_I59BCMF02SF8S20050000400"/>
      <w:bookmarkEnd w:id="279"/>
      <w:r>
        <w:rPr>
          <w:rFonts w:ascii="Arial" w:eastAsia="Arial" w:hAnsi="Arial" w:cs="Arial"/>
          <w:i/>
          <w:color w:val="000000"/>
          <w:sz w:val="20"/>
        </w:rPr>
        <w:t>United States v. Wilson</w:t>
      </w:r>
      <w:r>
        <w:rPr>
          <w:rFonts w:ascii="Arial" w:eastAsia="Arial" w:hAnsi="Arial" w:cs="Arial"/>
          <w:color w:val="000000"/>
          <w:sz w:val="20"/>
        </w:rPr>
        <w:t xml:space="preserve">, 244 F.3d 1208, 1213 (10th Cir. 2001) (quoting </w:t>
      </w:r>
      <w:bookmarkStart w:id="280" w:name="Bookmark_I59BCMF02SF8S30020000400"/>
      <w:bookmarkEnd w:id="280"/>
      <w:r>
        <w:rPr>
          <w:rFonts w:ascii="Arial" w:eastAsia="Arial" w:hAnsi="Arial" w:cs="Arial"/>
          <w:i/>
          <w:color w:val="000000"/>
          <w:sz w:val="20"/>
        </w:rPr>
        <w:t>New Mexicans for Bill Richardson</w:t>
      </w:r>
      <w:r>
        <w:rPr>
          <w:rFonts w:ascii="Arial" w:eastAsia="Arial" w:hAnsi="Arial" w:cs="Arial"/>
          <w:color w:val="000000"/>
          <w:sz w:val="20"/>
        </w:rPr>
        <w:t xml:space="preserve">, 64 F.3d at 1499) (internal quotation marks omitted). "In short, the doctrine of ripeness is intended to forestall judicial determinations of disputes until the controversy is presented in clean-cut and concrete form." </w:t>
      </w:r>
      <w:r>
        <w:rPr>
          <w:rFonts w:ascii="Arial" w:eastAsia="Arial" w:hAnsi="Arial" w:cs="Arial"/>
          <w:i/>
          <w:color w:val="000000"/>
          <w:sz w:val="20"/>
        </w:rPr>
        <w:t>Id.</w:t>
      </w:r>
      <w:r>
        <w:rPr>
          <w:rFonts w:ascii="Arial" w:eastAsia="Arial" w:hAnsi="Arial" w:cs="Arial"/>
          <w:color w:val="000000"/>
          <w:sz w:val="20"/>
        </w:rPr>
        <w:t xml:space="preserve"> (quoting </w:t>
      </w:r>
      <w:bookmarkStart w:id="281" w:name="Bookmark_I59BCMF02SF8S30040000400"/>
      <w:bookmarkEnd w:id="281"/>
      <w:r>
        <w:rPr>
          <w:rFonts w:ascii="Arial" w:eastAsia="Arial" w:hAnsi="Arial" w:cs="Arial"/>
          <w:i/>
          <w:color w:val="000000"/>
          <w:sz w:val="20"/>
        </w:rPr>
        <w:t>New Mexicans for Bill Richardson</w:t>
      </w:r>
      <w:r>
        <w:rPr>
          <w:rFonts w:ascii="Arial" w:eastAsia="Arial" w:hAnsi="Arial" w:cs="Arial"/>
          <w:color w:val="000000"/>
          <w:sz w:val="20"/>
        </w:rPr>
        <w:t>, 64 F.3d at 1499) (internal quotation marks omitted).</w:t>
      </w:r>
    </w:p>
    <w:p w14:paraId="693784B4" w14:textId="77777777" w:rsidR="00D041A2" w:rsidRDefault="00000000">
      <w:pPr>
        <w:pStyle w:val="Normal2"/>
        <w:widowControl w:val="0"/>
        <w:spacing w:before="200" w:line="260" w:lineRule="atLeast"/>
        <w:jc w:val="both"/>
      </w:pPr>
      <w:bookmarkStart w:id="282" w:name="Bookmark_para_24_0"/>
      <w:bookmarkStart w:id="283" w:name="Bookmark_I0BH7B19WWT000VXMHY00433"/>
      <w:bookmarkStart w:id="284" w:name="Bookmark_I0BH7B1B1PY000VXMHY00434"/>
      <w:bookmarkStart w:id="285" w:name="Bookmark_I0BH7B1BGG3000VXMHY00437"/>
      <w:bookmarkStart w:id="286" w:name="Bookmark_I59BCMF02SF8S40020000400"/>
      <w:bookmarkStart w:id="287" w:name="Bookmark_LNHNREFclscc14_0"/>
      <w:bookmarkEnd w:id="282"/>
      <w:bookmarkEnd w:id="283"/>
      <w:bookmarkEnd w:id="284"/>
      <w:bookmarkEnd w:id="285"/>
      <w:bookmarkEnd w:id="286"/>
      <w:bookmarkEnd w:id="287"/>
      <w:r>
        <w:rPr>
          <w:rFonts w:ascii="Arial" w:eastAsia="Arial" w:hAnsi="Arial" w:cs="Arial"/>
          <w:color w:val="000000"/>
          <w:sz w:val="20"/>
        </w:rPr>
        <w:t xml:space="preserve">To determine whether  [**19] Mr. Cunningham's claim is ripe, we must evaluate two issues: "(1) the fitness of the issue for judicial resolution and (2) the hardship to the parties of withholding judicial consideration." </w:t>
      </w:r>
      <w:bookmarkStart w:id="288" w:name="Bookmark_I59BCMF02SF8S40010000400"/>
      <w:bookmarkEnd w:id="288"/>
      <w:r>
        <w:rPr>
          <w:rFonts w:ascii="Arial" w:eastAsia="Arial" w:hAnsi="Arial" w:cs="Arial"/>
          <w:i/>
          <w:color w:val="000000"/>
          <w:sz w:val="20"/>
        </w:rPr>
        <w:t>Id.</w:t>
      </w:r>
      <w:r>
        <w:rPr>
          <w:rFonts w:ascii="Arial" w:eastAsia="Arial" w:hAnsi="Arial" w:cs="Arial"/>
          <w:color w:val="000000"/>
          <w:sz w:val="20"/>
        </w:rPr>
        <w:t xml:space="preserve"> The first of these issues—the fitness of the issue for judicial resolution—requires that we "ask 'whether the case involves uncertain or contingent future events that may not occur as anticipated, or indeed may not occur at all.'" </w:t>
      </w:r>
      <w:bookmarkStart w:id="289" w:name="Bookmark_I59BCMF02SF8S40030000400"/>
      <w:bookmarkEnd w:id="289"/>
      <w:r>
        <w:rPr>
          <w:rFonts w:ascii="Arial" w:eastAsia="Arial" w:hAnsi="Arial" w:cs="Arial"/>
          <w:i/>
          <w:color w:val="000000"/>
          <w:sz w:val="20"/>
        </w:rPr>
        <w:t>Morgan v. McCotter</w:t>
      </w:r>
      <w:r>
        <w:rPr>
          <w:rFonts w:ascii="Arial" w:eastAsia="Arial" w:hAnsi="Arial" w:cs="Arial"/>
          <w:color w:val="000000"/>
          <w:sz w:val="20"/>
        </w:rPr>
        <w:t xml:space="preserve">, 365 F.3d 882, 890  [*917]  (10th Cir. 2004) (quoting </w:t>
      </w:r>
      <w:bookmarkStart w:id="290" w:name="Bookmark_I59BCMF02SF8S40050000400"/>
      <w:bookmarkEnd w:id="290"/>
      <w:r>
        <w:rPr>
          <w:rFonts w:ascii="Arial" w:eastAsia="Arial" w:hAnsi="Arial" w:cs="Arial"/>
          <w:i/>
          <w:color w:val="000000"/>
          <w:sz w:val="20"/>
        </w:rPr>
        <w:t>New Mexicans for Bill Richardson</w:t>
      </w:r>
      <w:r>
        <w:rPr>
          <w:rFonts w:ascii="Arial" w:eastAsia="Arial" w:hAnsi="Arial" w:cs="Arial"/>
          <w:color w:val="000000"/>
          <w:sz w:val="20"/>
        </w:rPr>
        <w:t>, 64 F.3d at 1499).</w:t>
      </w:r>
    </w:p>
    <w:p w14:paraId="11EADC96" w14:textId="77777777" w:rsidR="00D041A2" w:rsidRDefault="00000000">
      <w:pPr>
        <w:pStyle w:val="Normal2"/>
        <w:widowControl w:val="0"/>
        <w:spacing w:before="200" w:line="260" w:lineRule="atLeast"/>
        <w:jc w:val="both"/>
      </w:pPr>
      <w:bookmarkStart w:id="291" w:name="Bookmark_para_25_0"/>
      <w:bookmarkEnd w:id="291"/>
      <w:r>
        <w:rPr>
          <w:rFonts w:ascii="Arial" w:eastAsia="Arial" w:hAnsi="Arial" w:cs="Arial"/>
          <w:color w:val="000000"/>
          <w:sz w:val="20"/>
        </w:rPr>
        <w:t xml:space="preserve">The case before us, as it relates to Mr. Cunningham's claim against the Board, involves just such uncertain or contingent future events that may not occur as anticipated, and indeed may not occur at all. Specifically, the Board's denial was </w:t>
      </w:r>
      <w:r>
        <w:rPr>
          <w:rFonts w:ascii="Arial" w:eastAsia="Arial" w:hAnsi="Arial" w:cs="Arial"/>
          <w:i/>
          <w:color w:val="000000"/>
          <w:sz w:val="20"/>
        </w:rPr>
        <w:t>preliminary</w:t>
      </w:r>
      <w:r>
        <w:rPr>
          <w:rFonts w:ascii="Arial" w:eastAsia="Arial" w:hAnsi="Arial" w:cs="Arial"/>
          <w:color w:val="000000"/>
          <w:sz w:val="20"/>
        </w:rPr>
        <w:t>; it explicitly explained how Mr. Cunningham could pursue further review. In other words, the Board's denial was not final. Rather, the Board concluded that it did not have sufficient information to reach a definitive conclusion concerning Mr. Cunningham's request for an accommodation. Implicit in the Board's request for additional information was the possibility that, upon review of such information, the  [**20] Board could grant Mr. Cunningham's request. However, Mr. Cunningham deprived the Board of the opportunity to make such a final determination because he failed to submit the additional requested information.</w:t>
      </w:r>
    </w:p>
    <w:p w14:paraId="7A1D2F3F" w14:textId="77777777" w:rsidR="00D041A2" w:rsidRDefault="00000000">
      <w:pPr>
        <w:pStyle w:val="Normal2"/>
        <w:widowControl w:val="0"/>
        <w:spacing w:before="200" w:line="260" w:lineRule="atLeast"/>
        <w:jc w:val="both"/>
      </w:pPr>
      <w:bookmarkStart w:id="292" w:name="Bookmark_para_26_0"/>
      <w:bookmarkEnd w:id="292"/>
      <w:r>
        <w:rPr>
          <w:rFonts w:ascii="Arial" w:eastAsia="Arial" w:hAnsi="Arial" w:cs="Arial"/>
          <w:color w:val="000000"/>
          <w:sz w:val="20"/>
        </w:rPr>
        <w:t xml:space="preserve">In his opening brief, Mr. Cunningham argues that this failure does not matter, and "[t]here are no 'hypothetical, contingent events' here," because the Board "has all of the documentation that relates to [Mr. Cunningham's] disability and need for accommodation that exists." Aplt. Opening Br. at 17 (citation omitted). </w:t>
      </w:r>
      <w:r>
        <w:rPr>
          <w:rFonts w:ascii="Arial" w:eastAsia="Arial" w:hAnsi="Arial" w:cs="Arial"/>
          <w:vertAlign w:val="superscript"/>
        </w:rPr>
        <w:footnoteReference w:customMarkFollows="1" w:id="19"/>
        <w:t>7</w:t>
      </w:r>
      <w:r>
        <w:rPr>
          <w:rFonts w:ascii="Arial" w:eastAsia="Arial" w:hAnsi="Arial" w:cs="Arial"/>
          <w:color w:val="000000"/>
          <w:sz w:val="20"/>
        </w:rPr>
        <w:t xml:space="preserve"> Mr. Cunningham, however, has not pleaded any facts to show that the Board had any reason to know that it had all of the possible documentation in front of it. Not only did Mr. Cunningham fail to provide the requested documentation to the Board, he failed to give it a chance to make a final decision with the knowledge that it had all of the documentation that Mr. Cunningham could provide. Accordingly, Mr. Cunningham's ADA and Rehabilitation Act claims against the Board are not fit for judicial resolution. Contrary to his arguments otherwise, his claims turn on hypothetical, contingent events—</w:t>
      </w:r>
      <w:r>
        <w:rPr>
          <w:rFonts w:ascii="Arial" w:eastAsia="Arial" w:hAnsi="Arial" w:cs="Arial"/>
          <w:i/>
          <w:color w:val="000000"/>
          <w:sz w:val="20"/>
        </w:rPr>
        <w:t>viz.</w:t>
      </w:r>
      <w:r>
        <w:rPr>
          <w:rFonts w:ascii="Arial" w:eastAsia="Arial" w:hAnsi="Arial" w:cs="Arial"/>
          <w:color w:val="000000"/>
          <w:sz w:val="20"/>
        </w:rPr>
        <w:t xml:space="preserve">, the Board's </w:t>
      </w:r>
      <w:r>
        <w:rPr>
          <w:rFonts w:ascii="Arial" w:eastAsia="Arial" w:hAnsi="Arial" w:cs="Arial"/>
          <w:i/>
          <w:color w:val="000000"/>
          <w:sz w:val="20"/>
        </w:rPr>
        <w:t>final</w:t>
      </w:r>
      <w:r>
        <w:rPr>
          <w:rFonts w:ascii="Arial" w:eastAsia="Arial" w:hAnsi="Arial" w:cs="Arial"/>
          <w:color w:val="000000"/>
          <w:sz w:val="20"/>
        </w:rPr>
        <w:t xml:space="preserve"> decision to deny his request for accommodation.</w:t>
      </w:r>
    </w:p>
    <w:p w14:paraId="4CAA6C09" w14:textId="77777777" w:rsidR="00D041A2" w:rsidRDefault="00000000">
      <w:pPr>
        <w:pStyle w:val="Normal2"/>
        <w:widowControl w:val="0"/>
        <w:spacing w:before="200" w:line="260" w:lineRule="atLeast"/>
        <w:jc w:val="both"/>
      </w:pPr>
      <w:bookmarkStart w:id="294" w:name="Bookmark_para_27_0"/>
      <w:bookmarkStart w:id="295" w:name="Bookmark_I59BCMF02HM6040030000400"/>
      <w:bookmarkEnd w:id="294"/>
      <w:bookmarkEnd w:id="295"/>
      <w:r>
        <w:rPr>
          <w:rFonts w:ascii="Arial" w:eastAsia="Arial" w:hAnsi="Arial" w:cs="Arial"/>
          <w:color w:val="000000"/>
          <w:sz w:val="20"/>
        </w:rPr>
        <w:t xml:space="preserve">Furthermore, this is clearly a case where our review would "benefit from further factual development of the issue[] presented." </w:t>
      </w:r>
      <w:bookmarkStart w:id="296" w:name="Bookmark_I59BCMF02HM6040020000400"/>
      <w:bookmarkEnd w:id="296"/>
      <w:r>
        <w:rPr>
          <w:rFonts w:ascii="Arial" w:eastAsia="Arial" w:hAnsi="Arial" w:cs="Arial"/>
          <w:i/>
          <w:color w:val="000000"/>
          <w:sz w:val="20"/>
        </w:rPr>
        <w:t>Utah v. U.S. Dep't of Interior</w:t>
      </w:r>
      <w:r>
        <w:rPr>
          <w:rFonts w:ascii="Arial" w:eastAsia="Arial" w:hAnsi="Arial" w:cs="Arial"/>
          <w:color w:val="000000"/>
          <w:sz w:val="20"/>
        </w:rPr>
        <w:t xml:space="preserve">, 210 F.3d 1193, 1197 (10th Cir. 2000). </w:t>
      </w:r>
      <w:bookmarkStart w:id="297" w:name="Bookmark_I59BCMF02HM6040050000400"/>
      <w:bookmarkEnd w:id="297"/>
      <w:r>
        <w:rPr>
          <w:rFonts w:ascii="Arial" w:eastAsia="Arial" w:hAnsi="Arial" w:cs="Arial"/>
          <w:color w:val="000000"/>
          <w:sz w:val="20"/>
        </w:rPr>
        <w:t xml:space="preserve">On the facts before us, it is unclear if the Board would grant or deny Mr. Cunningham's application if he filed it with all of the information requested or notified the Board that additional information was unavailable. In particular, we do not know, and cannot say, what would have happened if the Board were given all of the information it needed to make a final determination. </w:t>
      </w:r>
      <w:bookmarkStart w:id="298" w:name="Bookmark_I59BCMF02HM6040050000400_2"/>
      <w:bookmarkEnd w:id="298"/>
      <w:r>
        <w:rPr>
          <w:rFonts w:ascii="Arial" w:eastAsia="Arial" w:hAnsi="Arial" w:cs="Arial"/>
          <w:vertAlign w:val="superscript"/>
        </w:rPr>
        <w:footnoteReference w:customMarkFollows="1" w:id="20"/>
        <w:t>8</w:t>
      </w:r>
      <w:r>
        <w:rPr>
          <w:rFonts w:ascii="Arial" w:eastAsia="Arial" w:hAnsi="Arial" w:cs="Arial"/>
          <w:color w:val="000000"/>
          <w:sz w:val="20"/>
        </w:rPr>
        <w:t xml:space="preserve"> </w:t>
      </w:r>
      <w:r>
        <w:rPr>
          <w:rFonts w:ascii="Arial" w:eastAsia="Arial" w:hAnsi="Arial" w:cs="Arial"/>
          <w:i/>
          <w:color w:val="000000"/>
          <w:sz w:val="20"/>
        </w:rPr>
        <w:t xml:space="preserve">Cf. </w:t>
      </w:r>
      <w:bookmarkStart w:id="300" w:name="Bookmark_I59BCMF02HM6040040000400"/>
      <w:bookmarkEnd w:id="300"/>
      <w:r>
        <w:rPr>
          <w:rFonts w:ascii="Arial" w:eastAsia="Arial" w:hAnsi="Arial" w:cs="Arial"/>
          <w:i/>
          <w:color w:val="000000"/>
          <w:sz w:val="20"/>
        </w:rPr>
        <w:t xml:space="preserve">Kober v. Nat'l Bd. of Med. </w:t>
      </w:r>
      <w:r>
        <w:rPr>
          <w:rFonts w:ascii="Arial" w:eastAsia="Arial" w:hAnsi="Arial" w:cs="Arial"/>
          <w:color w:val="000000"/>
          <w:sz w:val="20"/>
        </w:rPr>
        <w:t> [*918] </w:t>
      </w:r>
      <w:r>
        <w:rPr>
          <w:rFonts w:ascii="Arial" w:eastAsia="Arial" w:hAnsi="Arial" w:cs="Arial"/>
          <w:i/>
          <w:color w:val="000000"/>
          <w:sz w:val="20"/>
        </w:rPr>
        <w:t xml:space="preserve"> Exam'rs</w:t>
      </w:r>
      <w:r>
        <w:rPr>
          <w:rFonts w:ascii="Arial" w:eastAsia="Arial" w:hAnsi="Arial" w:cs="Arial"/>
          <w:color w:val="000000"/>
          <w:sz w:val="20"/>
        </w:rPr>
        <w:t xml:space="preserve">, No. 09-1772, 2010 U.S. Dist. LEXIS 56275, 2010 WL 2342480, at *2 (W.D. La. June 7, 2010) ("The [Board] may ultimately decide to grant [plaintiff's] request for special testing accommodations once he provides the additional information. If the special testing accommodation is granted, [plaintiff] will not  [**22] be injured and the basis for his lawsuit will vanish."). </w:t>
      </w:r>
      <w:bookmarkStart w:id="301" w:name="Bookmark_I59BCMF02N1PPX0020000400"/>
      <w:bookmarkEnd w:id="301"/>
      <w:r>
        <w:rPr>
          <w:rFonts w:ascii="Arial" w:eastAsia="Arial" w:hAnsi="Arial" w:cs="Arial"/>
          <w:color w:val="000000"/>
          <w:sz w:val="20"/>
        </w:rPr>
        <w:t xml:space="preserve">Moreover, Mr. Cunningham does not currently have any pending requests before the Board. </w:t>
      </w:r>
      <w:r>
        <w:rPr>
          <w:rFonts w:ascii="Arial" w:eastAsia="Arial" w:hAnsi="Arial" w:cs="Arial"/>
          <w:i/>
          <w:color w:val="000000"/>
          <w:sz w:val="20"/>
        </w:rPr>
        <w:t>Cf. id.</w:t>
      </w:r>
      <w:r>
        <w:rPr>
          <w:rFonts w:ascii="Arial" w:eastAsia="Arial" w:hAnsi="Arial" w:cs="Arial"/>
          <w:color w:val="000000"/>
          <w:sz w:val="20"/>
        </w:rPr>
        <w:t xml:space="preserve"> (finding, in a strikingly similar situation to the instant case, that a plaintiff's claim was not ripe for review because "the [Board] has not denied [plaintiff's] request for special testing accommodations and [he] currently has no request pending before the [Board]"). As we have concluded before when determining that a plaintiff's claim is not ripe for review, "[a]t best, further developments would undoubtedly sharpen the factual issues in this case; at worst, the failure of certain contingent events may render a decision completely advisory." </w:t>
      </w:r>
      <w:bookmarkStart w:id="302" w:name="Bookmark_I59BCMF02N1PPX0010000400"/>
      <w:bookmarkEnd w:id="302"/>
      <w:r>
        <w:rPr>
          <w:rFonts w:ascii="Arial" w:eastAsia="Arial" w:hAnsi="Arial" w:cs="Arial"/>
          <w:i/>
          <w:color w:val="000000"/>
          <w:sz w:val="20"/>
        </w:rPr>
        <w:t>Morgan</w:t>
      </w:r>
      <w:r>
        <w:rPr>
          <w:rFonts w:ascii="Arial" w:eastAsia="Arial" w:hAnsi="Arial" w:cs="Arial"/>
          <w:color w:val="000000"/>
          <w:sz w:val="20"/>
        </w:rPr>
        <w:t>, 365 F.3d at 891.</w:t>
      </w:r>
    </w:p>
    <w:p w14:paraId="40FF81B1" w14:textId="77777777" w:rsidR="00D041A2" w:rsidRDefault="00000000">
      <w:pPr>
        <w:pStyle w:val="Normal2"/>
        <w:widowControl w:val="0"/>
        <w:spacing w:before="200" w:line="260" w:lineRule="atLeast"/>
        <w:jc w:val="both"/>
      </w:pPr>
      <w:bookmarkStart w:id="303" w:name="Bookmark_para_28_0"/>
      <w:bookmarkStart w:id="304" w:name="Bookmark_I0BH7B1B5J3000VXMHY003FG"/>
      <w:bookmarkStart w:id="305" w:name="Bookmark_I0BH7B1BM97000VXMHY003FJ"/>
      <w:bookmarkStart w:id="306" w:name="Bookmark_I59BCMF02N1PPX0040000400"/>
      <w:bookmarkStart w:id="307" w:name="Bookmark_LNHNREFclscc15_0"/>
      <w:bookmarkEnd w:id="303"/>
      <w:bookmarkEnd w:id="304"/>
      <w:bookmarkEnd w:id="305"/>
      <w:bookmarkEnd w:id="306"/>
      <w:bookmarkEnd w:id="307"/>
      <w:r>
        <w:rPr>
          <w:rFonts w:ascii="Arial" w:eastAsia="Arial" w:hAnsi="Arial" w:cs="Arial"/>
          <w:color w:val="000000"/>
          <w:sz w:val="20"/>
        </w:rPr>
        <w:t xml:space="preserve">The second inquiry—the hardship to the parties of withholding judicial consideration—"may be answered by asking 'whether the challenged action creates a direct and immediate dilemma for the parties.'" </w:t>
      </w:r>
      <w:bookmarkStart w:id="308" w:name="Bookmark_I59BCMF02N1PPX0030000400"/>
      <w:bookmarkEnd w:id="308"/>
      <w:r>
        <w:rPr>
          <w:rFonts w:ascii="Arial" w:eastAsia="Arial" w:hAnsi="Arial" w:cs="Arial"/>
          <w:i/>
          <w:color w:val="000000"/>
          <w:sz w:val="20"/>
        </w:rPr>
        <w:t>Id.</w:t>
      </w:r>
      <w:bookmarkStart w:id="309" w:name="Bookmark_I59BCMF02D6NVD0030000400"/>
      <w:bookmarkEnd w:id="309"/>
      <w:r>
        <w:rPr>
          <w:rFonts w:ascii="Arial" w:eastAsia="Arial" w:hAnsi="Arial" w:cs="Arial"/>
          <w:color w:val="000000"/>
          <w:sz w:val="20"/>
        </w:rPr>
        <w:t xml:space="preserve"> (quoting </w:t>
      </w:r>
      <w:bookmarkStart w:id="310" w:name="Bookmark_I59BCMF02N1PPX0050000400"/>
      <w:bookmarkEnd w:id="310"/>
      <w:r>
        <w:rPr>
          <w:rFonts w:ascii="Arial" w:eastAsia="Arial" w:hAnsi="Arial" w:cs="Arial"/>
          <w:i/>
          <w:color w:val="000000"/>
          <w:sz w:val="20"/>
        </w:rPr>
        <w:t>New Mexicans for Bill Richardson</w:t>
      </w:r>
      <w:r>
        <w:rPr>
          <w:rFonts w:ascii="Arial" w:eastAsia="Arial" w:hAnsi="Arial" w:cs="Arial"/>
          <w:color w:val="000000"/>
          <w:sz w:val="20"/>
        </w:rPr>
        <w:t xml:space="preserve">, 64 F.3d at 1499). Mr. Cunningham asserts that he will "risk[] his medical career if he takes the test without a judgment entitling him to accommodation." Aplt. Opening Br. at 18-19. </w:t>
      </w:r>
      <w:bookmarkStart w:id="311" w:name="Bookmark_I59BCMF02D6NVD0030000400_2"/>
      <w:bookmarkEnd w:id="311"/>
      <w:r>
        <w:rPr>
          <w:rFonts w:ascii="Arial" w:eastAsia="Arial" w:hAnsi="Arial" w:cs="Arial"/>
          <w:color w:val="000000"/>
          <w:sz w:val="20"/>
        </w:rPr>
        <w:t xml:space="preserve">However, this possibility of future harm, contingent on Mr. Cunningham's own actions, does not by itself constitute hardship, </w:t>
      </w:r>
      <w:r>
        <w:rPr>
          <w:rFonts w:ascii="Arial" w:eastAsia="Arial" w:hAnsi="Arial" w:cs="Arial"/>
          <w:i/>
          <w:color w:val="000000"/>
          <w:sz w:val="20"/>
        </w:rPr>
        <w:t xml:space="preserve">see </w:t>
      </w:r>
      <w:bookmarkStart w:id="312" w:name="Bookmark_I59BCMF02D6NVD0020000400"/>
      <w:bookmarkEnd w:id="312"/>
      <w:r>
        <w:rPr>
          <w:rFonts w:ascii="Arial" w:eastAsia="Arial" w:hAnsi="Arial" w:cs="Arial"/>
          <w:i/>
          <w:color w:val="000000"/>
          <w:sz w:val="20"/>
        </w:rPr>
        <w:t>Morgan</w:t>
      </w:r>
      <w:r>
        <w:rPr>
          <w:rFonts w:ascii="Arial" w:eastAsia="Arial" w:hAnsi="Arial" w:cs="Arial"/>
          <w:color w:val="000000"/>
          <w:sz w:val="20"/>
        </w:rPr>
        <w:t xml:space="preserve">, 365 F.3d at 891;  [**24] before such an assessment would be appropriate, Mr. Cunningham would at least need to register for the exam and give the Board the chance to fully consider his request for an accommodation. "[P]ostponing decision on this case until [Mr. Cunningham] has suffered some concrete harm"—until the Board has had the chance to make a final review and determination, and </w:t>
      </w:r>
      <w:r>
        <w:rPr>
          <w:rFonts w:ascii="Arial" w:eastAsia="Arial" w:hAnsi="Arial" w:cs="Arial"/>
          <w:i/>
          <w:color w:val="000000"/>
          <w:sz w:val="20"/>
        </w:rPr>
        <w:t>that</w:t>
      </w:r>
      <w:r>
        <w:rPr>
          <w:rFonts w:ascii="Arial" w:eastAsia="Arial" w:hAnsi="Arial" w:cs="Arial"/>
          <w:color w:val="000000"/>
          <w:sz w:val="20"/>
        </w:rPr>
        <w:t xml:space="preserve"> determination causes Mr. Cunningham harm—"cannot itself constitute an independent harm to [Mr. Cunningham]." </w:t>
      </w:r>
      <w:r>
        <w:rPr>
          <w:rFonts w:ascii="Arial" w:eastAsia="Arial" w:hAnsi="Arial" w:cs="Arial"/>
          <w:i/>
          <w:color w:val="000000"/>
          <w:sz w:val="20"/>
        </w:rPr>
        <w:t>Id.</w:t>
      </w:r>
    </w:p>
    <w:p w14:paraId="251F36C6" w14:textId="77777777" w:rsidR="00D041A2" w:rsidRDefault="00000000">
      <w:pPr>
        <w:pStyle w:val="Normal2"/>
        <w:widowControl w:val="0"/>
        <w:spacing w:before="200" w:line="260" w:lineRule="atLeast"/>
        <w:jc w:val="both"/>
      </w:pPr>
      <w:bookmarkStart w:id="313" w:name="Bookmark_para_29_0"/>
      <w:bookmarkEnd w:id="313"/>
      <w:r>
        <w:rPr>
          <w:rFonts w:ascii="Arial" w:eastAsia="Arial" w:hAnsi="Arial" w:cs="Arial"/>
          <w:color w:val="000000"/>
          <w:sz w:val="20"/>
        </w:rPr>
        <w:t xml:space="preserve">The district court therefore erred in finding that Mr. Cunningham's claims against the Board are ripe for review. We conclude that we lack subject-matter jurisdiction over such claims. Nevertheless, because the district court proceeded to dismiss Mr. Cunningham's action against the Board on the merits, we are still situated to affirm its judgment, albeit on the different basis of lack of jurisdiction. </w:t>
      </w:r>
      <w:r>
        <w:rPr>
          <w:rFonts w:ascii="Arial" w:eastAsia="Arial" w:hAnsi="Arial" w:cs="Arial"/>
          <w:vertAlign w:val="superscript"/>
        </w:rPr>
        <w:footnoteReference w:customMarkFollows="1" w:id="21"/>
        <w:t>9</w:t>
      </w:r>
    </w:p>
    <w:p w14:paraId="39850ABE" w14:textId="77777777" w:rsidR="00D041A2" w:rsidRDefault="00000000">
      <w:pPr>
        <w:pStyle w:val="Normal2"/>
        <w:widowControl w:val="0"/>
        <w:spacing w:before="240" w:line="260" w:lineRule="atLeast"/>
      </w:pPr>
      <w:r>
        <w:br/>
      </w:r>
      <w:r>
        <w:rPr>
          <w:rFonts w:ascii="Arial" w:eastAsia="Arial" w:hAnsi="Arial" w:cs="Arial"/>
          <w:b/>
          <w:color w:val="000000"/>
          <w:sz w:val="20"/>
        </w:rPr>
        <w:t>B</w:t>
      </w:r>
    </w:p>
    <w:p w14:paraId="3FF9F96F" w14:textId="77777777" w:rsidR="00D041A2" w:rsidRDefault="00000000">
      <w:pPr>
        <w:pStyle w:val="Normal2"/>
        <w:widowControl w:val="0"/>
        <w:spacing w:before="200" w:line="260" w:lineRule="atLeast"/>
        <w:jc w:val="both"/>
      </w:pPr>
      <w:bookmarkStart w:id="319" w:name="Bookmark_para_30_0"/>
      <w:bookmarkStart w:id="320" w:name="Bookmark_I59BCMF02N1PR00040000400"/>
      <w:bookmarkEnd w:id="319"/>
      <w:bookmarkEnd w:id="320"/>
      <w:r>
        <w:rPr>
          <w:rFonts w:ascii="Arial" w:eastAsia="Arial" w:hAnsi="Arial" w:cs="Arial"/>
          <w:color w:val="000000"/>
          <w:sz w:val="20"/>
        </w:rPr>
        <w:t xml:space="preserve">Even though we do not reach the merits of Mr. Cunningham's ADA and Rehabilitation Act claims against the Board, we must still address his similar claims against UNM. </w:t>
      </w:r>
      <w:r>
        <w:rPr>
          <w:rFonts w:ascii="Arial" w:eastAsia="Arial" w:hAnsi="Arial" w:cs="Arial"/>
          <w:vertAlign w:val="superscript"/>
        </w:rPr>
        <w:footnoteReference w:customMarkFollows="1" w:id="22"/>
        <w:t>10</w:t>
      </w:r>
      <w:r>
        <w:rPr>
          <w:rFonts w:ascii="Arial" w:eastAsia="Arial" w:hAnsi="Arial" w:cs="Arial"/>
          <w:color w:val="000000"/>
          <w:sz w:val="20"/>
        </w:rPr>
        <w:t xml:space="preserve"> Mr. Cunningham alleges  [*919]  that the district court erred in finding that he had failed to show that he was disabled because he "has made plausible allegations in his complaint concerning the existence of a disability." Aplt. Opening Br. at 30. </w:t>
      </w:r>
      <w:bookmarkStart w:id="328" w:name="Bookmark_LNHNREFclscc17_0"/>
      <w:bookmarkEnd w:id="328"/>
      <w:r>
        <w:rPr>
          <w:rFonts w:ascii="Arial" w:eastAsia="Arial" w:hAnsi="Arial" w:cs="Arial"/>
          <w:color w:val="000000"/>
          <w:sz w:val="20"/>
        </w:rPr>
        <w:t xml:space="preserve">The district court dismissed these claims under Rule 12(b)(6), a determination that we review de novo, applying the same legal standard as the district court and accepting as true "all well-pleaded factual allegations in [the] complaint and view[ing] these allegations in the light most favorable to [Mr. Cunningham]." </w:t>
      </w:r>
      <w:bookmarkStart w:id="329" w:name="Bookmark_I59BCMF02N1PR00030000400"/>
      <w:bookmarkEnd w:id="329"/>
      <w:r>
        <w:rPr>
          <w:rFonts w:ascii="Arial" w:eastAsia="Arial" w:hAnsi="Arial" w:cs="Arial"/>
          <w:i/>
          <w:color w:val="000000"/>
          <w:sz w:val="20"/>
        </w:rPr>
        <w:t>Rosenfield v. HSBC Bank, USA</w:t>
      </w:r>
      <w:r>
        <w:rPr>
          <w:rFonts w:ascii="Arial" w:eastAsia="Arial" w:hAnsi="Arial" w:cs="Arial"/>
          <w:color w:val="000000"/>
          <w:sz w:val="20"/>
        </w:rPr>
        <w:t xml:space="preserve">, 681 F.3d 1172, 1178 (10th Cir. 2012)  [**26] (quoting </w:t>
      </w:r>
      <w:bookmarkStart w:id="330" w:name="Bookmark_I59BCMF02N1PR00050000400"/>
      <w:bookmarkEnd w:id="330"/>
      <w:r>
        <w:rPr>
          <w:rFonts w:ascii="Arial" w:eastAsia="Arial" w:hAnsi="Arial" w:cs="Arial"/>
          <w:i/>
          <w:color w:val="000000"/>
          <w:sz w:val="20"/>
        </w:rPr>
        <w:t>Smith v. United States</w:t>
      </w:r>
      <w:r>
        <w:rPr>
          <w:rFonts w:ascii="Arial" w:eastAsia="Arial" w:hAnsi="Arial" w:cs="Arial"/>
          <w:color w:val="000000"/>
          <w:sz w:val="20"/>
        </w:rPr>
        <w:t>, 561 F.3d 1090, 1098 (10th Cir. 2009)) (internal quotation marks omitted).</w:t>
      </w:r>
    </w:p>
    <w:p w14:paraId="73E2EC11" w14:textId="77777777" w:rsidR="00D041A2" w:rsidRDefault="00000000">
      <w:pPr>
        <w:pStyle w:val="Normal2"/>
        <w:widowControl w:val="0"/>
        <w:spacing w:before="200" w:line="260" w:lineRule="atLeast"/>
        <w:jc w:val="both"/>
      </w:pPr>
      <w:bookmarkStart w:id="331" w:name="Bookmark_para_31_0"/>
      <w:bookmarkStart w:id="332" w:name="Bookmark_I59BCMF02D6NVF0040000400"/>
      <w:bookmarkEnd w:id="331"/>
      <w:bookmarkEnd w:id="332"/>
      <w:r>
        <w:rPr>
          <w:rFonts w:ascii="Arial" w:eastAsia="Arial" w:hAnsi="Arial" w:cs="Arial"/>
          <w:color w:val="000000"/>
          <w:sz w:val="20"/>
        </w:rPr>
        <w:t xml:space="preserve">Although we principally focus on Mr. Cunningham's ADA claim, "[b]ecause the[] provisions [of the ADA and the Rehabilitation Act] involve the same substantive standards," </w:t>
      </w:r>
      <w:bookmarkStart w:id="333" w:name="Bookmark_I59BCMF02D6NVF0030000400"/>
      <w:bookmarkEnd w:id="333"/>
      <w:r>
        <w:rPr>
          <w:rFonts w:ascii="Arial" w:eastAsia="Arial" w:hAnsi="Arial" w:cs="Arial"/>
          <w:i/>
          <w:color w:val="000000"/>
          <w:sz w:val="20"/>
        </w:rPr>
        <w:t>Miller ex rel. S.M. v. Bd. of Educ. of Albuquerque Pub. Sch.</w:t>
      </w:r>
      <w:r>
        <w:rPr>
          <w:rFonts w:ascii="Arial" w:eastAsia="Arial" w:hAnsi="Arial" w:cs="Arial"/>
          <w:color w:val="000000"/>
          <w:sz w:val="20"/>
        </w:rPr>
        <w:t xml:space="preserve">, 565 F.3d 1232, 1245 (10th Cir. 2009); </w:t>
      </w:r>
      <w:r>
        <w:rPr>
          <w:rFonts w:ascii="Arial" w:eastAsia="Arial" w:hAnsi="Arial" w:cs="Arial"/>
          <w:i/>
          <w:color w:val="000000"/>
          <w:sz w:val="20"/>
        </w:rPr>
        <w:t xml:space="preserve">see </w:t>
      </w:r>
      <w:bookmarkStart w:id="334" w:name="Bookmark_I59BCMF02D6NVF0050000400"/>
      <w:bookmarkEnd w:id="334"/>
      <w:r>
        <w:rPr>
          <w:rFonts w:ascii="Arial" w:eastAsia="Arial" w:hAnsi="Arial" w:cs="Arial"/>
          <w:i/>
          <w:color w:val="000000"/>
          <w:sz w:val="20"/>
        </w:rPr>
        <w:t>Sanchez v. Vilsack</w:t>
      </w:r>
      <w:r>
        <w:rPr>
          <w:rFonts w:ascii="Arial" w:eastAsia="Arial" w:hAnsi="Arial" w:cs="Arial"/>
          <w:color w:val="000000"/>
          <w:sz w:val="20"/>
        </w:rPr>
        <w:t>, 695 F.3d 1174, 1177 n.2 (10th Cir. 2012) (</w:t>
      </w:r>
      <w:bookmarkStart w:id="335" w:name="Bookmark_LNHNREFclscc19"/>
      <w:bookmarkEnd w:id="335"/>
      <w:r>
        <w:rPr>
          <w:rFonts w:ascii="Arial" w:eastAsia="Arial" w:hAnsi="Arial" w:cs="Arial"/>
          <w:color w:val="000000"/>
          <w:sz w:val="20"/>
        </w:rPr>
        <w:t xml:space="preserve">"Regardless of whether suit is filed under the Rehabilitation Act or under the [ADA], the substantive standards for determining whether an individual is disabled are the same."); </w:t>
      </w:r>
      <w:r>
        <w:rPr>
          <w:rFonts w:ascii="Arial" w:eastAsia="Arial" w:hAnsi="Arial" w:cs="Arial"/>
          <w:i/>
          <w:color w:val="000000"/>
          <w:sz w:val="20"/>
        </w:rPr>
        <w:t>cf.</w:t>
      </w:r>
      <w:r>
        <w:rPr>
          <w:rFonts w:ascii="Arial" w:eastAsia="Arial" w:hAnsi="Arial" w:cs="Arial"/>
          <w:color w:val="000000"/>
          <w:sz w:val="20"/>
        </w:rPr>
        <w:t xml:space="preserve"> 29 U.S.C. § 794(d) ("The standards used to determine whether this section [of the Rehabilitation Act] has been violated in a complaint alleging . . . discrimination under this section shall be the standards applied under [the ADA]."), our conclusions apply equally to Mr. Cunningham's Rehabilitation Act claim.</w:t>
      </w:r>
    </w:p>
    <w:p w14:paraId="638732B9" w14:textId="77777777" w:rsidR="00D041A2" w:rsidRDefault="00000000">
      <w:pPr>
        <w:pStyle w:val="Normal2"/>
        <w:widowControl w:val="0"/>
        <w:spacing w:before="200" w:line="260" w:lineRule="atLeast"/>
        <w:jc w:val="both"/>
      </w:pPr>
      <w:bookmarkStart w:id="336" w:name="Bookmark_para_32_0"/>
      <w:bookmarkStart w:id="337" w:name="Bookmark_I59BCMF02HM6050030000400"/>
      <w:bookmarkStart w:id="338" w:name="Bookmark_LNHNREFclscc20"/>
      <w:bookmarkEnd w:id="336"/>
      <w:bookmarkEnd w:id="337"/>
      <w:bookmarkEnd w:id="338"/>
      <w:r>
        <w:rPr>
          <w:rFonts w:ascii="Arial" w:eastAsia="Arial" w:hAnsi="Arial" w:cs="Arial"/>
          <w:color w:val="000000"/>
          <w:sz w:val="20"/>
        </w:rPr>
        <w:t xml:space="preserve">"According to Title II of the ADA, 'no qualified individual with a disability shall, by reason of such disability, be excluded from participation in or be denied the benefits of the services, programs, or activities of a public entity, or be subjected to discrimination by any such entity.'" </w:t>
      </w:r>
      <w:r>
        <w:rPr>
          <w:rFonts w:ascii="Arial" w:eastAsia="Arial" w:hAnsi="Arial" w:cs="Arial"/>
          <w:vertAlign w:val="superscript"/>
        </w:rPr>
        <w:footnoteReference w:customMarkFollows="1" w:id="23"/>
        <w:t>11</w:t>
      </w:r>
      <w:r>
        <w:rPr>
          <w:rFonts w:ascii="Arial" w:eastAsia="Arial" w:hAnsi="Arial" w:cs="Arial"/>
          <w:color w:val="000000"/>
          <w:sz w:val="20"/>
        </w:rPr>
        <w:t xml:space="preserve"> </w:t>
      </w:r>
      <w:bookmarkStart w:id="341" w:name="Bookmark_I59BCMF02HM6050020000400"/>
      <w:bookmarkEnd w:id="341"/>
      <w:r>
        <w:rPr>
          <w:rFonts w:ascii="Arial" w:eastAsia="Arial" w:hAnsi="Arial" w:cs="Arial"/>
          <w:i/>
          <w:color w:val="000000"/>
          <w:sz w:val="20"/>
        </w:rPr>
        <w:t>McGuinness v. Univ. of N.M. Sch. of Med.</w:t>
      </w:r>
      <w:r>
        <w:rPr>
          <w:rFonts w:ascii="Arial" w:eastAsia="Arial" w:hAnsi="Arial" w:cs="Arial"/>
          <w:color w:val="000000"/>
          <w:sz w:val="20"/>
        </w:rPr>
        <w:t xml:space="preserve">, 170 F.3d 974, 978 (10th Cir. 1998)  [**28] (quoting 42 U.S.C. § 12132). Under the ADA, the term "disability" means "(A) a physical or mental impairment that substantially limits one or more major life activities of such individual; (B) a record of such an impairment; or (C) being regarded as having such an impairment . . . ."). 42 U.S.C. § 12102(1). As Mr. Cunningham made clear during oral argument, Oral Arg. at 9:59-10:17, he argues that because of his Irlen Syndrome, he is substantially impaired in the major life activities of learning and reading. </w:t>
      </w:r>
      <w:r>
        <w:rPr>
          <w:rFonts w:ascii="Arial" w:eastAsia="Arial" w:hAnsi="Arial" w:cs="Arial"/>
          <w:vertAlign w:val="superscript"/>
        </w:rPr>
        <w:footnoteReference w:customMarkFollows="1" w:id="24"/>
        <w:t>12</w:t>
      </w:r>
    </w:p>
    <w:p w14:paraId="54B1C86F" w14:textId="77777777" w:rsidR="00D041A2" w:rsidRDefault="00000000">
      <w:pPr>
        <w:pStyle w:val="Normal2"/>
        <w:widowControl w:val="0"/>
        <w:spacing w:before="200" w:line="260" w:lineRule="atLeast"/>
        <w:jc w:val="both"/>
      </w:pPr>
      <w:bookmarkStart w:id="344" w:name="Bookmark_para_33_0"/>
      <w:bookmarkEnd w:id="344"/>
      <w:r>
        <w:rPr>
          <w:rFonts w:ascii="Arial" w:eastAsia="Arial" w:hAnsi="Arial" w:cs="Arial"/>
          <w:color w:val="000000"/>
          <w:sz w:val="20"/>
        </w:rPr>
        <w:t xml:space="preserve">However, even if we were to assume that Mr. Cunningham's Irlen Syndrome  [*920]  qualifies as a disability under the ADA and Rehabilitation Act, he has not shown how liability may be imposed upon UNM for its failure to accommodate  [**29] it. Notwithstanding his accommodation request to UNM, Mr. Cunningham demonstrated that he did not need an accommodation to pass his medical school classes or tests. Specifically, he successfully completed his first two years of medical school and passed his medical school examinations. Insofar as Mr. Cunningham needed an accommodation, it would have been in the area of taking the examinations that </w:t>
      </w:r>
      <w:r>
        <w:rPr>
          <w:rFonts w:ascii="Arial" w:eastAsia="Arial" w:hAnsi="Arial" w:cs="Arial"/>
          <w:i/>
          <w:color w:val="000000"/>
          <w:sz w:val="20"/>
        </w:rPr>
        <w:t>the Board</w:t>
      </w:r>
      <w:r>
        <w:rPr>
          <w:rFonts w:ascii="Arial" w:eastAsia="Arial" w:hAnsi="Arial" w:cs="Arial"/>
          <w:color w:val="000000"/>
          <w:sz w:val="20"/>
        </w:rPr>
        <w:t xml:space="preserve"> administered—examinations that are not under the control or purview of UNM. </w:t>
      </w:r>
      <w:r>
        <w:rPr>
          <w:rFonts w:ascii="Arial" w:eastAsia="Arial" w:hAnsi="Arial" w:cs="Arial"/>
          <w:vertAlign w:val="superscript"/>
        </w:rPr>
        <w:footnoteReference w:customMarkFollows="1" w:id="25"/>
        <w:t>13</w:t>
      </w:r>
    </w:p>
    <w:p w14:paraId="43633360" w14:textId="77777777" w:rsidR="00D041A2" w:rsidRDefault="00000000">
      <w:pPr>
        <w:pStyle w:val="Normal2"/>
        <w:widowControl w:val="0"/>
        <w:spacing w:before="200" w:line="260" w:lineRule="atLeast"/>
        <w:jc w:val="both"/>
      </w:pPr>
      <w:bookmarkStart w:id="348" w:name="Bookmark_para_34_0"/>
      <w:bookmarkEnd w:id="348"/>
      <w:r>
        <w:rPr>
          <w:rFonts w:ascii="Arial" w:eastAsia="Arial" w:hAnsi="Arial" w:cs="Arial"/>
          <w:color w:val="000000"/>
          <w:sz w:val="20"/>
        </w:rPr>
        <w:t>Mr. Cunningham argues that UNM's determination that he "had a disability would have materially assisted him in receiving accommodation from [the Board]" and that "an opportunity to present his case to the [UNM] Disability Committee would have given him a reasonable opportunity to argue that the rules should be modified to allow him to continue classes while sorting out his difficulties with [the Board]." Aplt. Opening Br. at 32. However, Mr. Cunningham has not alleged facts that would support an inference that a determination from UNM would have materially affected the Board's own, independent decision regarding the appropriateness of granting him an accommodation—especially since, as discussed above, Mr. Cunningham actually did not permit the Board to make a final accommodation decision, because he failed to provide the information that the Board requested.</w:t>
      </w:r>
    </w:p>
    <w:p w14:paraId="4FB6B6AD" w14:textId="77777777" w:rsidR="00D041A2" w:rsidRDefault="00000000">
      <w:pPr>
        <w:pStyle w:val="Normal2"/>
        <w:widowControl w:val="0"/>
        <w:spacing w:before="200" w:line="260" w:lineRule="atLeast"/>
        <w:jc w:val="both"/>
      </w:pPr>
      <w:bookmarkStart w:id="349" w:name="Bookmark_para_35_0"/>
      <w:bookmarkStart w:id="350" w:name="Bookmark_I59BCMF02SF8S50020000400"/>
      <w:bookmarkStart w:id="351" w:name="Bookmark_I59BCMF02SF8S50040000400"/>
      <w:bookmarkEnd w:id="349"/>
      <w:bookmarkEnd w:id="350"/>
      <w:bookmarkEnd w:id="351"/>
      <w:r>
        <w:rPr>
          <w:rFonts w:ascii="Arial" w:eastAsia="Arial" w:hAnsi="Arial" w:cs="Arial"/>
          <w:color w:val="000000"/>
          <w:sz w:val="20"/>
        </w:rPr>
        <w:t xml:space="preserve">To the extent that Mr. Cunningham avers UNM should have changed its program requirements, such an accommodation would not be reasonable. </w:t>
      </w:r>
      <w:bookmarkStart w:id="352" w:name="Bookmark_I59BCMF02SF8S60010000400"/>
      <w:bookmarkEnd w:id="352"/>
      <w:r>
        <w:rPr>
          <w:rFonts w:ascii="Arial" w:eastAsia="Arial" w:hAnsi="Arial" w:cs="Arial"/>
          <w:i/>
          <w:color w:val="000000"/>
          <w:sz w:val="20"/>
        </w:rPr>
        <w:t xml:space="preserve">Cf. </w:t>
      </w:r>
      <w:bookmarkStart w:id="353" w:name="Bookmark_I59BCMF02SF8S50010000400"/>
      <w:bookmarkEnd w:id="353"/>
      <w:r>
        <w:rPr>
          <w:rFonts w:ascii="Arial" w:eastAsia="Arial" w:hAnsi="Arial" w:cs="Arial"/>
          <w:i/>
          <w:color w:val="000000"/>
          <w:sz w:val="20"/>
        </w:rPr>
        <w:t>McGuinness</w:t>
      </w:r>
      <w:r>
        <w:rPr>
          <w:rFonts w:ascii="Arial" w:eastAsia="Arial" w:hAnsi="Arial" w:cs="Arial"/>
          <w:color w:val="000000"/>
          <w:sz w:val="20"/>
        </w:rPr>
        <w:t xml:space="preserve">, 170 F.3d at 979 ("Requiring the University of New Mexico to advance [plaintiff] to the next  [**31] level of the medical school program would represent a substantial, rather than a reasonable accommodation."). </w:t>
      </w:r>
      <w:bookmarkStart w:id="354" w:name="Bookmark_LNHNREFclscc23"/>
      <w:bookmarkEnd w:id="354"/>
      <w:r>
        <w:rPr>
          <w:rFonts w:ascii="Arial" w:eastAsia="Arial" w:hAnsi="Arial" w:cs="Arial"/>
          <w:color w:val="000000"/>
          <w:sz w:val="20"/>
        </w:rPr>
        <w:t xml:space="preserve">A public entity is not required to make modifications where the entity "can demonstrate that making the modifications would fundamentally alter the nature of the service, program, or activity." 28 C.F.R. § 35.130(b)(7); </w:t>
      </w:r>
      <w:r>
        <w:rPr>
          <w:rFonts w:ascii="Arial" w:eastAsia="Arial" w:hAnsi="Arial" w:cs="Arial"/>
          <w:i/>
          <w:color w:val="000000"/>
          <w:sz w:val="20"/>
        </w:rPr>
        <w:t xml:space="preserve">see </w:t>
      </w:r>
      <w:bookmarkStart w:id="355" w:name="Bookmark_I59BCMF02SF8S50030000400"/>
      <w:bookmarkEnd w:id="355"/>
      <w:r>
        <w:rPr>
          <w:rFonts w:ascii="Arial" w:eastAsia="Arial" w:hAnsi="Arial" w:cs="Arial"/>
          <w:i/>
          <w:color w:val="000000"/>
          <w:sz w:val="20"/>
        </w:rPr>
        <w:t>Fisher v. Okla. Health Care Auth.</w:t>
      </w:r>
      <w:r>
        <w:rPr>
          <w:rFonts w:ascii="Arial" w:eastAsia="Arial" w:hAnsi="Arial" w:cs="Arial"/>
          <w:color w:val="000000"/>
          <w:sz w:val="20"/>
        </w:rPr>
        <w:t xml:space="preserve">, 335 F.3d 1175, 1181 (10th Cir. 2003) (accord). </w:t>
      </w:r>
      <w:bookmarkStart w:id="356" w:name="Bookmark_I59BCMF02SF8S60010000400_2"/>
      <w:bookmarkEnd w:id="356"/>
      <w:r>
        <w:rPr>
          <w:rFonts w:ascii="Arial" w:eastAsia="Arial" w:hAnsi="Arial" w:cs="Arial"/>
          <w:color w:val="000000"/>
          <w:sz w:val="20"/>
        </w:rPr>
        <w:t xml:space="preserve">And, as we have previously explained, "[e]ducational institutions are accorded deference with regard to the level of competency needed for an academic degree." </w:t>
      </w:r>
      <w:bookmarkStart w:id="357" w:name="Bookmark_I59BCMF02SF8S50050000400"/>
      <w:bookmarkEnd w:id="357"/>
      <w:r>
        <w:rPr>
          <w:rFonts w:ascii="Arial" w:eastAsia="Arial" w:hAnsi="Arial" w:cs="Arial"/>
          <w:i/>
          <w:color w:val="000000"/>
          <w:sz w:val="20"/>
        </w:rPr>
        <w:t>McGuinness</w:t>
      </w:r>
      <w:r>
        <w:rPr>
          <w:rFonts w:ascii="Arial" w:eastAsia="Arial" w:hAnsi="Arial" w:cs="Arial"/>
          <w:color w:val="000000"/>
          <w:sz w:val="20"/>
        </w:rPr>
        <w:t xml:space="preserve">, 170 F.3d at 979. Compelling an educational institution to change its requirements for advancement through its medical school program "would represent a substantial, rather than a reasonable accommodation," </w:t>
      </w:r>
      <w:r>
        <w:rPr>
          <w:rFonts w:ascii="Arial" w:eastAsia="Arial" w:hAnsi="Arial" w:cs="Arial"/>
          <w:i/>
          <w:color w:val="000000"/>
          <w:sz w:val="20"/>
        </w:rPr>
        <w:t>id.</w:t>
      </w:r>
      <w:r>
        <w:rPr>
          <w:rFonts w:ascii="Arial" w:eastAsia="Arial" w:hAnsi="Arial" w:cs="Arial"/>
          <w:color w:val="000000"/>
          <w:sz w:val="20"/>
        </w:rPr>
        <w:t>, because it would "fundamentally alter," § 35.130(b)(7), the nature of the educational services and program it provides. It would therefore be unreasonable for Mr. Cunningham to demand that UNM change its requirements regarding the time it takes to graduate or pertaining to successful completion of the nationally recognized Step 1 test. The district court therefore correctly dismissed Mr. Cunningham's  [**32] ADA and Rehabilitation Act claims against UNM.</w:t>
      </w:r>
    </w:p>
    <w:p w14:paraId="2F8AEBA8" w14:textId="77777777" w:rsidR="00D041A2" w:rsidRDefault="00000000">
      <w:pPr>
        <w:pStyle w:val="Normal2"/>
        <w:widowControl w:val="0"/>
        <w:spacing w:before="240" w:line="260" w:lineRule="atLeast"/>
      </w:pPr>
      <w:r>
        <w:br/>
      </w:r>
      <w:r>
        <w:rPr>
          <w:rFonts w:ascii="Arial" w:eastAsia="Arial" w:hAnsi="Arial" w:cs="Arial"/>
          <w:color w:val="000000"/>
          <w:sz w:val="20"/>
        </w:rPr>
        <w:t xml:space="preserve"> [*921]  </w:t>
      </w:r>
      <w:r>
        <w:rPr>
          <w:rFonts w:ascii="Arial" w:eastAsia="Arial" w:hAnsi="Arial" w:cs="Arial"/>
          <w:b/>
          <w:color w:val="000000"/>
          <w:sz w:val="20"/>
        </w:rPr>
        <w:t>V</w:t>
      </w:r>
    </w:p>
    <w:p w14:paraId="7F7F5994" w14:textId="77777777" w:rsidR="00D041A2" w:rsidRDefault="00000000">
      <w:pPr>
        <w:pStyle w:val="Normal2"/>
        <w:widowControl w:val="0"/>
        <w:spacing w:before="200" w:line="260" w:lineRule="atLeast"/>
        <w:jc w:val="both"/>
      </w:pPr>
      <w:bookmarkStart w:id="358" w:name="Bookmark_para_36_0"/>
      <w:bookmarkEnd w:id="358"/>
      <w:r>
        <w:rPr>
          <w:rFonts w:ascii="Arial" w:eastAsia="Arial" w:hAnsi="Arial" w:cs="Arial"/>
          <w:color w:val="000000"/>
          <w:sz w:val="20"/>
        </w:rPr>
        <w:t xml:space="preserve">For the foregoing reasons, we conclude that we lack subject-matter jurisdiction to hear Mr. Cunningham's § 1983 claim against UNM and his ADA and Rehabilitation Act claims against the Board. Additionally, we conclude that Mr. Cunningham has failed to state a claim for relief under the ADA and the Rehabilitation Act against UNM. Finally, the district court properly declined to exercise supplemental jurisdiction with respect to Mr. Cunningham's state-law claims. We therefore </w:t>
      </w:r>
      <w:r>
        <w:rPr>
          <w:rFonts w:ascii="Arial" w:eastAsia="Arial" w:hAnsi="Arial" w:cs="Arial"/>
          <w:b/>
          <w:color w:val="000000"/>
          <w:sz w:val="20"/>
        </w:rPr>
        <w:t>AFFIRM</w:t>
      </w:r>
      <w:r>
        <w:rPr>
          <w:rFonts w:ascii="Arial" w:eastAsia="Arial" w:hAnsi="Arial" w:cs="Arial"/>
          <w:color w:val="000000"/>
          <w:sz w:val="20"/>
        </w:rPr>
        <w:t xml:space="preserve"> the district court's dismissal of all of Mr. Cunningham's claims. </w:t>
      </w:r>
      <w:r>
        <w:rPr>
          <w:rFonts w:ascii="Arial" w:eastAsia="Arial" w:hAnsi="Arial" w:cs="Arial"/>
          <w:vertAlign w:val="superscript"/>
        </w:rPr>
        <w:footnoteReference w:customMarkFollows="1" w:id="26"/>
        <w:t>14</w:t>
      </w:r>
    </w:p>
    <w:p w14:paraId="539C82E4" w14:textId="77777777" w:rsidR="00D041A2" w:rsidRDefault="00000000">
      <w:pPr>
        <w:pStyle w:val="Normal2"/>
        <w:widowControl w:val="0"/>
        <w:spacing w:before="200" w:line="260" w:lineRule="atLeast"/>
        <w:jc w:val="both"/>
      </w:pPr>
      <w:bookmarkStart w:id="360" w:name="Bookmark_para_37_0"/>
      <w:bookmarkEnd w:id="360"/>
      <w:r>
        <w:rPr>
          <w:rFonts w:ascii="Arial" w:eastAsia="Arial" w:hAnsi="Arial" w:cs="Arial"/>
          <w:color w:val="000000"/>
          <w:sz w:val="20"/>
        </w:rPr>
        <w:t>Entered for the Court</w:t>
      </w:r>
    </w:p>
    <w:p w14:paraId="3656560C" w14:textId="77777777" w:rsidR="00D041A2" w:rsidRDefault="00000000">
      <w:pPr>
        <w:pStyle w:val="Normal2"/>
        <w:widowControl w:val="0"/>
        <w:spacing w:before="200" w:line="260" w:lineRule="atLeast"/>
        <w:jc w:val="both"/>
      </w:pPr>
      <w:bookmarkStart w:id="361" w:name="Bookmark_para_38_0"/>
      <w:bookmarkEnd w:id="361"/>
      <w:r>
        <w:rPr>
          <w:rFonts w:ascii="Arial" w:eastAsia="Arial" w:hAnsi="Arial" w:cs="Arial"/>
          <w:color w:val="000000"/>
          <w:sz w:val="20"/>
        </w:rPr>
        <w:t>/s/ Jerome A. Holmes</w:t>
      </w:r>
    </w:p>
    <w:p w14:paraId="292FCF72" w14:textId="77777777" w:rsidR="00D041A2" w:rsidRDefault="00000000">
      <w:pPr>
        <w:pStyle w:val="Normal2"/>
        <w:widowControl w:val="0"/>
        <w:spacing w:before="200" w:line="260" w:lineRule="atLeast"/>
        <w:jc w:val="both"/>
      </w:pPr>
      <w:bookmarkStart w:id="362" w:name="Bookmark_para_39_0"/>
      <w:bookmarkEnd w:id="362"/>
      <w:r>
        <w:rPr>
          <w:rFonts w:ascii="Arial" w:eastAsia="Arial" w:hAnsi="Arial" w:cs="Arial"/>
          <w:color w:val="000000"/>
          <w:sz w:val="20"/>
        </w:rPr>
        <w:t>JEROME A. HOLMES</w:t>
      </w:r>
    </w:p>
    <w:p w14:paraId="2A360E06" w14:textId="77777777" w:rsidR="00D041A2" w:rsidRDefault="00000000">
      <w:pPr>
        <w:pStyle w:val="Normal2"/>
        <w:widowControl w:val="0"/>
        <w:spacing w:before="200" w:line="260" w:lineRule="atLeast"/>
        <w:jc w:val="both"/>
      </w:pPr>
      <w:bookmarkStart w:id="363" w:name="Bookmark_para_40_0"/>
      <w:bookmarkEnd w:id="363"/>
      <w:r>
        <w:rPr>
          <w:rFonts w:ascii="Arial" w:eastAsia="Arial" w:hAnsi="Arial" w:cs="Arial"/>
          <w:color w:val="000000"/>
          <w:sz w:val="20"/>
        </w:rPr>
        <w:t>Circuit Judge</w:t>
      </w:r>
    </w:p>
    <w:p w14:paraId="76C4CC33" w14:textId="77777777" w:rsidR="00D041A2" w:rsidRDefault="00D041A2">
      <w:pPr>
        <w:pStyle w:val="Normal2"/>
      </w:pPr>
    </w:p>
    <w:p w14:paraId="76DAC06D" w14:textId="6269580E" w:rsidR="00D041A2" w:rsidRDefault="00000000">
      <w:pPr>
        <w:pStyle w:val="Normal2"/>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63360" behindDoc="0" locked="0" layoutInCell="1" allowOverlap="1" wp14:anchorId="3BDF2D43" wp14:editId="307DBA85">
                <wp:simplePos x="0" y="0"/>
                <wp:positionH relativeFrom="column">
                  <wp:posOffset>0</wp:posOffset>
                </wp:positionH>
                <wp:positionV relativeFrom="paragraph">
                  <wp:posOffset>127000</wp:posOffset>
                </wp:positionV>
                <wp:extent cx="6502400" cy="0"/>
                <wp:effectExtent l="9525" t="12700" r="12700" b="6350"/>
                <wp:wrapNone/>
                <wp:docPr id="176766562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D644B" id="Line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1151833" w14:textId="77777777" w:rsidR="00D041A2" w:rsidRDefault="00D041A2">
      <w:pPr>
        <w:pStyle w:val="Normal3"/>
        <w:sectPr w:rsidR="00D041A2">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gutter="0"/>
          <w:cols w:space="720"/>
          <w:titlePg/>
        </w:sectPr>
      </w:pPr>
    </w:p>
    <w:p w14:paraId="614E2714" w14:textId="77777777" w:rsidR="00D041A2" w:rsidRDefault="00D041A2">
      <w:pPr>
        <w:pStyle w:val="Normal3"/>
      </w:pPr>
    </w:p>
    <w:p w14:paraId="0E3E2035" w14:textId="77777777" w:rsidR="00D041A2" w:rsidRDefault="00000000">
      <w:pPr>
        <w:pStyle w:val="Heading12"/>
        <w:keepNext w:val="0"/>
        <w:widowControl w:val="0"/>
        <w:spacing w:after="200" w:line="340" w:lineRule="atLeast"/>
        <w:jc w:val="center"/>
      </w:pPr>
      <w:r>
        <w:rPr>
          <w:rFonts w:eastAsia="Arial"/>
          <w:color w:val="000000"/>
          <w:sz w:val="28"/>
        </w:rPr>
        <w:t xml:space="preserve">Solomon v. Sch. Dist. </w:t>
      </w:r>
    </w:p>
    <w:p w14:paraId="006640FD" w14:textId="77777777" w:rsidR="00D041A2" w:rsidRDefault="00000000">
      <w:pPr>
        <w:pStyle w:val="Normal3"/>
        <w:widowControl w:val="0"/>
        <w:spacing w:before="120" w:line="260" w:lineRule="atLeast"/>
        <w:jc w:val="center"/>
      </w:pPr>
      <w:r>
        <w:rPr>
          <w:rFonts w:ascii="Arial" w:eastAsia="Arial" w:hAnsi="Arial" w:cs="Arial"/>
          <w:color w:val="000000"/>
          <w:sz w:val="20"/>
        </w:rPr>
        <w:t>United States Court of Appeals for the Third Circuit</w:t>
      </w:r>
    </w:p>
    <w:p w14:paraId="6DD7D212" w14:textId="77777777" w:rsidR="00D041A2" w:rsidRDefault="00000000">
      <w:pPr>
        <w:pStyle w:val="Normal3"/>
        <w:widowControl w:val="0"/>
        <w:spacing w:before="120" w:line="260" w:lineRule="atLeast"/>
        <w:jc w:val="center"/>
      </w:pPr>
      <w:r>
        <w:rPr>
          <w:rFonts w:ascii="Arial" w:eastAsia="Arial" w:hAnsi="Arial" w:cs="Arial"/>
          <w:color w:val="000000"/>
          <w:sz w:val="20"/>
        </w:rPr>
        <w:t>May 23, 2013, Submitted under Third Circuit L.A.R. 34.1(a); August 12, 2013, Opinion Filed</w:t>
      </w:r>
    </w:p>
    <w:p w14:paraId="0BA2E42B" w14:textId="77777777" w:rsidR="00D041A2" w:rsidRDefault="00000000">
      <w:pPr>
        <w:pStyle w:val="Normal3"/>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12-3436</w:t>
      </w:r>
    </w:p>
    <w:p w14:paraId="03180F94" w14:textId="77777777" w:rsidR="00D041A2" w:rsidRDefault="00D041A2">
      <w:pPr>
        <w:pStyle w:val="Normal3"/>
        <w:widowControl w:val="0"/>
        <w:spacing w:line="240" w:lineRule="atLeast"/>
        <w:jc w:val="both"/>
      </w:pPr>
      <w:bookmarkStart w:id="364" w:name="Bookmark_4"/>
      <w:bookmarkEnd w:id="364"/>
    </w:p>
    <w:p w14:paraId="4D1A5EF5" w14:textId="77777777" w:rsidR="00D041A2" w:rsidRDefault="00000000">
      <w:pPr>
        <w:pStyle w:val="Normal3"/>
        <w:widowControl w:val="0"/>
        <w:spacing w:before="200" w:line="240" w:lineRule="atLeast"/>
      </w:pPr>
      <w:bookmarkStart w:id="365" w:name="Reporter_2"/>
      <w:bookmarkEnd w:id="365"/>
      <w:r>
        <w:rPr>
          <w:rFonts w:ascii="Arial" w:eastAsia="Arial" w:hAnsi="Arial" w:cs="Arial"/>
          <w:b/>
          <w:color w:val="000000"/>
          <w:sz w:val="18"/>
        </w:rPr>
        <w:t>Reporter</w:t>
      </w:r>
    </w:p>
    <w:p w14:paraId="07B9ADB5" w14:textId="77777777" w:rsidR="00D041A2" w:rsidRDefault="00000000">
      <w:pPr>
        <w:pStyle w:val="Normal3"/>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532 Fed. Appx. 154 *; 2013 U.S. App. LEXIS 16638 **; 28 Am. Disabilities Cas. (BNA) 616; 2013 WL 4047199</w:t>
      </w:r>
    </w:p>
    <w:p w14:paraId="7949B4EB" w14:textId="77777777" w:rsidR="00D041A2" w:rsidRDefault="00000000">
      <w:pPr>
        <w:pStyle w:val="Normal3"/>
        <w:widowControl w:val="0"/>
        <w:spacing w:before="120" w:line="260" w:lineRule="atLeast"/>
      </w:pPr>
      <w:r>
        <w:rPr>
          <w:rFonts w:ascii="Arial" w:eastAsia="Arial" w:hAnsi="Arial" w:cs="Arial"/>
          <w:color w:val="000000"/>
          <w:sz w:val="20"/>
        </w:rPr>
        <w:t>SHARYN SOLOMON, Appellant v. SCHOOL DISTRICT OF PHILADELPHIA</w:t>
      </w:r>
    </w:p>
    <w:p w14:paraId="1BAE961B" w14:textId="77777777" w:rsidR="00D041A2" w:rsidRDefault="00000000">
      <w:pPr>
        <w:pStyle w:val="Normal3"/>
        <w:widowControl w:val="0"/>
        <w:spacing w:before="240" w:line="260" w:lineRule="atLeast"/>
        <w:jc w:val="both"/>
      </w:pPr>
      <w:bookmarkStart w:id="366" w:name="Notice_1"/>
      <w:bookmarkEnd w:id="366"/>
      <w:r>
        <w:rPr>
          <w:rFonts w:ascii="Arial" w:eastAsia="Arial" w:hAnsi="Arial" w:cs="Arial"/>
          <w:b/>
          <w:color w:val="000000"/>
          <w:sz w:val="20"/>
        </w:rPr>
        <w:t>Notice:</w:t>
      </w:r>
      <w:r>
        <w:rPr>
          <w:rFonts w:ascii="Arial" w:eastAsia="Arial" w:hAnsi="Arial" w:cs="Arial"/>
          <w:color w:val="000000"/>
          <w:sz w:val="20"/>
        </w:rPr>
        <w:t> </w:t>
      </w:r>
      <w:bookmarkStart w:id="367" w:name="Bookmark_para_1_2"/>
      <w:bookmarkEnd w:id="367"/>
      <w:r>
        <w:rPr>
          <w:rFonts w:ascii="Arial" w:eastAsia="Arial" w:hAnsi="Arial" w:cs="Arial"/>
          <w:color w:val="000000"/>
          <w:sz w:val="20"/>
        </w:rPr>
        <w:t>NOT PRECEDENTIAL OPINION UNDER THIRD CIRCUIT INTERNAL OPERATING PROCEDURE RULE 5.7. SUCH OPINIONS ARE NOT REGARDED AS PRECEDENTS WHICH BIND THE COURT.</w:t>
      </w:r>
    </w:p>
    <w:p w14:paraId="13C151AB" w14:textId="77777777" w:rsidR="00D041A2" w:rsidRDefault="00000000">
      <w:pPr>
        <w:pStyle w:val="Normal3"/>
        <w:widowControl w:val="0"/>
        <w:spacing w:before="200" w:line="260" w:lineRule="atLeast"/>
        <w:jc w:val="both"/>
      </w:pPr>
      <w:bookmarkStart w:id="368" w:name="Bookmark_para_2_2"/>
      <w:bookmarkEnd w:id="368"/>
      <w:r>
        <w:rPr>
          <w:rFonts w:ascii="Arial" w:eastAsia="Arial" w:hAnsi="Arial" w:cs="Arial"/>
          <w:color w:val="000000"/>
          <w:sz w:val="20"/>
        </w:rPr>
        <w:t>PLEASE REFER TO FEDERAL RULES OF APPELLATE PROCEDURE RULE 32.1 GOVERNING THE CITATION TO UNPUBLISHED OPINIONS.</w:t>
      </w:r>
    </w:p>
    <w:p w14:paraId="7A66C803" w14:textId="77777777" w:rsidR="00D041A2" w:rsidRDefault="00000000">
      <w:pPr>
        <w:pStyle w:val="Normal3"/>
        <w:widowControl w:val="0"/>
        <w:spacing w:before="240" w:line="260" w:lineRule="atLeast"/>
        <w:jc w:val="both"/>
      </w:pPr>
      <w:bookmarkStart w:id="369" w:name="Prior_History_2"/>
      <w:bookmarkEnd w:id="369"/>
      <w:r>
        <w:rPr>
          <w:rFonts w:ascii="Arial" w:eastAsia="Arial" w:hAnsi="Arial" w:cs="Arial"/>
          <w:b/>
          <w:color w:val="000000"/>
          <w:sz w:val="20"/>
        </w:rPr>
        <w:t>Prior History:</w:t>
      </w:r>
      <w:r>
        <w:rPr>
          <w:rFonts w:ascii="Arial" w:eastAsia="Arial" w:hAnsi="Arial" w:cs="Arial"/>
          <w:color w:val="000000"/>
          <w:sz w:val="20"/>
        </w:rPr>
        <w:t>  [**1] </w:t>
      </w:r>
      <w:bookmarkStart w:id="370" w:name="Bookmark_para_3_2"/>
      <w:bookmarkEnd w:id="370"/>
      <w:r>
        <w:rPr>
          <w:rFonts w:ascii="Arial" w:eastAsia="Arial" w:hAnsi="Arial" w:cs="Arial"/>
          <w:color w:val="000000"/>
          <w:sz w:val="20"/>
        </w:rPr>
        <w:t>On Appeal from the United States District Court for the Eastern District of Pennsylvania. (District Court No: 2:10-cv-03221). District Judge: Honorable Stewart R. Dalzell.</w:t>
      </w:r>
    </w:p>
    <w:p w14:paraId="54141273" w14:textId="77777777" w:rsidR="00D041A2" w:rsidRDefault="00000000">
      <w:pPr>
        <w:pStyle w:val="Normal3"/>
        <w:widowControl w:val="0"/>
        <w:spacing w:before="120" w:line="260" w:lineRule="atLeast"/>
      </w:pPr>
      <w:r>
        <w:rPr>
          <w:rFonts w:ascii="Arial" w:eastAsia="Arial" w:hAnsi="Arial" w:cs="Arial"/>
          <w:color w:val="000000"/>
          <w:sz w:val="20"/>
        </w:rPr>
        <w:t>Solomon v. Sch. Dist. of Phila., 882 F. Supp. 2d 766, 2012 U.S. Dist. LEXIS 33122 (E.D. Pa., 2012)</w:t>
      </w:r>
    </w:p>
    <w:p w14:paraId="2114AD41" w14:textId="77777777" w:rsidR="00D041A2" w:rsidRDefault="00000000">
      <w:pPr>
        <w:pStyle w:val="Normal3"/>
        <w:widowControl w:val="0"/>
        <w:spacing w:before="240" w:line="260" w:lineRule="atLeast"/>
      </w:pPr>
      <w:bookmarkStart w:id="371" w:name="Counsel_2"/>
      <w:bookmarkEnd w:id="371"/>
      <w:r>
        <w:rPr>
          <w:rFonts w:ascii="Arial" w:eastAsia="Arial" w:hAnsi="Arial" w:cs="Arial"/>
          <w:b/>
          <w:color w:val="000000"/>
          <w:sz w:val="20"/>
        </w:rPr>
        <w:t>Counsel:</w:t>
      </w:r>
      <w:r>
        <w:rPr>
          <w:rFonts w:ascii="Arial" w:eastAsia="Arial" w:hAnsi="Arial" w:cs="Arial"/>
          <w:color w:val="000000"/>
          <w:sz w:val="20"/>
        </w:rPr>
        <w:t> For SHARYN SOLOMON, Plaintiff - Appellant: Jeffrey Campolongo, Esq., Philadelphia, PA; Lorrie McKinley, Esq., McKinley &amp; Ryan, West Chester, PA.</w:t>
      </w:r>
    </w:p>
    <w:p w14:paraId="31476A89" w14:textId="77777777" w:rsidR="00D041A2" w:rsidRDefault="00000000">
      <w:pPr>
        <w:pStyle w:val="Normal3"/>
        <w:widowControl w:val="0"/>
        <w:spacing w:before="120" w:line="260" w:lineRule="atLeast"/>
      </w:pPr>
      <w:r>
        <w:rPr>
          <w:rFonts w:ascii="Arial" w:eastAsia="Arial" w:hAnsi="Arial" w:cs="Arial"/>
          <w:color w:val="000000"/>
          <w:sz w:val="20"/>
        </w:rPr>
        <w:t>For PHILADELPHIA SCHOOL DISTRICT, Defendant - Appellee: Joan E. Clarke, Esq., Kathleen Kirkpatrick, Esq., Yvonne B. Montgomery, Esq., Joe H. Tucker, Jr., Esq., Tucker Law Group, Philadelphia, PA; Andrea B. Wapner, Esq., School District of Philadelphia, Office of General Counsel, Philadelphia, PA.</w:t>
      </w:r>
    </w:p>
    <w:p w14:paraId="1BCECE08" w14:textId="77777777" w:rsidR="00D041A2" w:rsidRDefault="00000000">
      <w:pPr>
        <w:pStyle w:val="Normal3"/>
        <w:widowControl w:val="0"/>
        <w:spacing w:before="240" w:line="260" w:lineRule="atLeast"/>
      </w:pPr>
      <w:bookmarkStart w:id="372" w:name="Judges_2"/>
      <w:bookmarkEnd w:id="372"/>
      <w:r>
        <w:rPr>
          <w:rFonts w:ascii="Arial" w:eastAsia="Arial" w:hAnsi="Arial" w:cs="Arial"/>
          <w:b/>
          <w:color w:val="000000"/>
          <w:sz w:val="20"/>
        </w:rPr>
        <w:t>Judges:</w:t>
      </w:r>
      <w:r>
        <w:rPr>
          <w:rFonts w:ascii="Arial" w:eastAsia="Arial" w:hAnsi="Arial" w:cs="Arial"/>
          <w:color w:val="000000"/>
          <w:sz w:val="20"/>
        </w:rPr>
        <w:t xml:space="preserve"> Before: RENDELL and GREENAWAY, JR., Circuit Judges and ROSENTHAL </w:t>
      </w:r>
      <w:r>
        <w:rPr>
          <w:rFonts w:ascii="Arial" w:eastAsia="Arial" w:hAnsi="Arial" w:cs="Arial"/>
          <w:vertAlign w:val="superscript"/>
        </w:rPr>
        <w:footnoteReference w:customMarkFollows="1" w:id="27"/>
        <w:t>*</w:t>
      </w:r>
      <w:r>
        <w:rPr>
          <w:rFonts w:ascii="Arial" w:eastAsia="Arial" w:hAnsi="Arial" w:cs="Arial"/>
          <w:color w:val="000000"/>
          <w:sz w:val="20"/>
        </w:rPr>
        <w:t>, District Judge.</w:t>
      </w:r>
    </w:p>
    <w:p w14:paraId="67C2CE96" w14:textId="77777777" w:rsidR="00D041A2" w:rsidRDefault="00000000">
      <w:pPr>
        <w:pStyle w:val="Normal3"/>
        <w:widowControl w:val="0"/>
        <w:spacing w:before="240" w:line="260" w:lineRule="atLeast"/>
      </w:pPr>
      <w:bookmarkStart w:id="374" w:name="Opinion_by_1"/>
      <w:bookmarkEnd w:id="374"/>
      <w:r>
        <w:rPr>
          <w:rFonts w:ascii="Arial" w:eastAsia="Arial" w:hAnsi="Arial" w:cs="Arial"/>
          <w:b/>
          <w:color w:val="000000"/>
          <w:sz w:val="20"/>
        </w:rPr>
        <w:t>Opinion by:</w:t>
      </w:r>
      <w:r>
        <w:rPr>
          <w:rFonts w:ascii="Arial" w:eastAsia="Arial" w:hAnsi="Arial" w:cs="Arial"/>
          <w:color w:val="000000"/>
          <w:sz w:val="20"/>
        </w:rPr>
        <w:t> ROSENTHAL</w:t>
      </w:r>
    </w:p>
    <w:p w14:paraId="377C4DD9" w14:textId="77777777" w:rsidR="00D041A2" w:rsidRDefault="00000000">
      <w:pPr>
        <w:pStyle w:val="Normal3"/>
        <w:keepNext/>
        <w:widowControl w:val="0"/>
        <w:spacing w:before="240" w:line="340" w:lineRule="atLeast"/>
      </w:pPr>
      <w:bookmarkStart w:id="375" w:name="Opinion_2"/>
      <w:bookmarkEnd w:id="375"/>
      <w:r>
        <w:rPr>
          <w:rFonts w:ascii="Arial" w:eastAsia="Arial" w:hAnsi="Arial" w:cs="Arial"/>
          <w:b/>
          <w:color w:val="000000"/>
          <w:sz w:val="28"/>
        </w:rPr>
        <w:t>Opinion</w:t>
      </w:r>
    </w:p>
    <w:p w14:paraId="36C35340" w14:textId="53509997" w:rsidR="00D041A2" w:rsidRDefault="004D4403">
      <w:pPr>
        <w:pStyle w:val="Normal3"/>
        <w:spacing w:line="60" w:lineRule="exact"/>
      </w:pPr>
      <w:r>
        <w:rPr>
          <w:noProof/>
        </w:rPr>
        <mc:AlternateContent>
          <mc:Choice Requires="wps">
            <w:drawing>
              <wp:anchor distT="0" distB="0" distL="114300" distR="114300" simplePos="0" relativeHeight="251664384" behindDoc="0" locked="0" layoutInCell="1" allowOverlap="1" wp14:anchorId="7BD837B5" wp14:editId="10316DDE">
                <wp:simplePos x="0" y="0"/>
                <wp:positionH relativeFrom="column">
                  <wp:posOffset>0</wp:posOffset>
                </wp:positionH>
                <wp:positionV relativeFrom="paragraph">
                  <wp:posOffset>25400</wp:posOffset>
                </wp:positionV>
                <wp:extent cx="3187700" cy="0"/>
                <wp:effectExtent l="19050" t="15875" r="12700" b="12700"/>
                <wp:wrapTopAndBottom/>
                <wp:docPr id="142615443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6D218" id="Line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E5D9AC8" w14:textId="77777777" w:rsidR="00D041A2" w:rsidRDefault="00D041A2">
      <w:pPr>
        <w:pStyle w:val="Normal3"/>
      </w:pPr>
    </w:p>
    <w:p w14:paraId="6807F75F" w14:textId="77777777" w:rsidR="00D041A2" w:rsidRDefault="00000000">
      <w:pPr>
        <w:pStyle w:val="Normal3"/>
        <w:widowControl w:val="0"/>
        <w:spacing w:before="200" w:line="260" w:lineRule="atLeast"/>
        <w:jc w:val="both"/>
      </w:pPr>
      <w:bookmarkStart w:id="376" w:name="Bookmark_para_4_2"/>
      <w:bookmarkEnd w:id="376"/>
      <w:r>
        <w:rPr>
          <w:rFonts w:ascii="Arial" w:eastAsia="Arial" w:hAnsi="Arial" w:cs="Arial"/>
          <w:color w:val="000000"/>
          <w:sz w:val="20"/>
        </w:rPr>
        <w:t xml:space="preserve"> [*156]  </w:t>
      </w:r>
      <w:r>
        <w:rPr>
          <w:rFonts w:ascii="Arial" w:eastAsia="Arial" w:hAnsi="Arial" w:cs="Arial"/>
          <w:b/>
          <w:color w:val="000000"/>
          <w:sz w:val="20"/>
        </w:rPr>
        <w:t>ROSENTHAL</w:t>
      </w:r>
      <w:r>
        <w:rPr>
          <w:rFonts w:ascii="Arial" w:eastAsia="Arial" w:hAnsi="Arial" w:cs="Arial"/>
          <w:color w:val="000000"/>
          <w:sz w:val="20"/>
        </w:rPr>
        <w:t xml:space="preserve">, </w:t>
      </w:r>
      <w:r>
        <w:rPr>
          <w:rFonts w:ascii="Arial" w:eastAsia="Arial" w:hAnsi="Arial" w:cs="Arial"/>
          <w:color w:val="000000"/>
          <w:sz w:val="20"/>
          <w:u w:val="single"/>
        </w:rPr>
        <w:t>District Judge</w:t>
      </w:r>
      <w:r>
        <w:rPr>
          <w:rFonts w:ascii="Arial" w:eastAsia="Arial" w:hAnsi="Arial" w:cs="Arial"/>
          <w:color w:val="000000"/>
          <w:sz w:val="20"/>
        </w:rPr>
        <w:t>:</w:t>
      </w:r>
    </w:p>
    <w:p w14:paraId="14A9D626" w14:textId="77777777" w:rsidR="00D041A2" w:rsidRDefault="00000000">
      <w:pPr>
        <w:pStyle w:val="Normal3"/>
        <w:widowControl w:val="0"/>
        <w:spacing w:before="200" w:line="260" w:lineRule="atLeast"/>
        <w:jc w:val="both"/>
      </w:pPr>
      <w:bookmarkStart w:id="377" w:name="Bookmark_para_5_2"/>
      <w:bookmarkStart w:id="378" w:name="Bookmark_I598880X2SF7VD0020000400"/>
      <w:bookmarkEnd w:id="377"/>
      <w:bookmarkEnd w:id="378"/>
      <w:r>
        <w:rPr>
          <w:rFonts w:ascii="Arial" w:eastAsia="Arial" w:hAnsi="Arial" w:cs="Arial"/>
          <w:color w:val="000000"/>
          <w:sz w:val="20"/>
        </w:rPr>
        <w:t xml:space="preserve">Sharyn Solomon alleged that her former employer, the School District of Philadelphia ("School District"), violated federal and state law by refusing to grant her reasonable accommodations after she suffered herniated disks and related back problems. She sued under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Section 504  [**2] of the Rehabilitation Act ("Rehabilitation Act"), 29 U.S.C. § 794; and the Pennsylvania Human Relations Act ("PHRA"), 43 Pa. Cons. Stat. § 951, </w:t>
      </w:r>
      <w:r>
        <w:rPr>
          <w:rFonts w:ascii="Arial" w:eastAsia="Arial" w:hAnsi="Arial" w:cs="Arial"/>
          <w:i/>
          <w:color w:val="000000"/>
          <w:sz w:val="20"/>
        </w:rPr>
        <w:t>et seq.</w:t>
      </w:r>
      <w:r>
        <w:rPr>
          <w:rFonts w:ascii="Arial" w:eastAsia="Arial" w:hAnsi="Arial" w:cs="Arial"/>
          <w:color w:val="000000"/>
          <w:sz w:val="20"/>
        </w:rPr>
        <w:t xml:space="preserve"> </w:t>
      </w:r>
      <w:r>
        <w:rPr>
          <w:rFonts w:ascii="Arial" w:eastAsia="Arial" w:hAnsi="Arial" w:cs="Arial"/>
          <w:vertAlign w:val="superscript"/>
        </w:rPr>
        <w:footnoteReference w:customMarkFollows="1" w:id="28"/>
        <w:t>1</w:t>
      </w:r>
      <w:r>
        <w:rPr>
          <w:rFonts w:ascii="Arial" w:eastAsia="Arial" w:hAnsi="Arial" w:cs="Arial"/>
          <w:color w:val="000000"/>
          <w:sz w:val="20"/>
        </w:rPr>
        <w:t xml:space="preserve"> A jury trial resulted in a verdict for the School District. The District Court denied Solomon's motion to alter or amend the judgment under Federal Rule of Civil Procedure 59(e) or for a new trial under Rule 59(a), and Solomon appealed. We have jurisdiction under 28 U.S.C. § 1291. We will affirm.</w:t>
      </w:r>
    </w:p>
    <w:p w14:paraId="52893317" w14:textId="77777777" w:rsidR="00D041A2" w:rsidRDefault="00000000">
      <w:pPr>
        <w:pStyle w:val="Normal3"/>
        <w:widowControl w:val="0"/>
        <w:spacing w:before="240" w:line="260" w:lineRule="atLeast"/>
      </w:pPr>
      <w:r>
        <w:br/>
      </w:r>
      <w:r>
        <w:rPr>
          <w:rFonts w:ascii="Arial" w:eastAsia="Arial" w:hAnsi="Arial" w:cs="Arial"/>
          <w:b/>
          <w:color w:val="000000"/>
          <w:sz w:val="20"/>
        </w:rPr>
        <w:t>I.</w:t>
      </w:r>
    </w:p>
    <w:p w14:paraId="7479D78A" w14:textId="77777777" w:rsidR="00D041A2" w:rsidRDefault="00000000">
      <w:pPr>
        <w:pStyle w:val="Normal3"/>
        <w:widowControl w:val="0"/>
        <w:spacing w:before="240" w:line="260" w:lineRule="atLeast"/>
      </w:pPr>
      <w:r>
        <w:br/>
      </w:r>
      <w:r>
        <w:rPr>
          <w:rFonts w:ascii="Arial" w:eastAsia="Arial" w:hAnsi="Arial" w:cs="Arial"/>
          <w:i/>
          <w:color w:val="000000"/>
          <w:sz w:val="20"/>
        </w:rPr>
        <w:t>Background</w:t>
      </w:r>
    </w:p>
    <w:p w14:paraId="014EAF57" w14:textId="77777777" w:rsidR="00D041A2" w:rsidRDefault="00000000">
      <w:pPr>
        <w:pStyle w:val="Normal3"/>
        <w:widowControl w:val="0"/>
        <w:spacing w:before="200" w:line="260" w:lineRule="atLeast"/>
        <w:jc w:val="both"/>
      </w:pPr>
      <w:bookmarkStart w:id="382" w:name="Bookmark_para_6_2"/>
      <w:bookmarkEnd w:id="382"/>
      <w:r>
        <w:rPr>
          <w:rFonts w:ascii="Arial" w:eastAsia="Arial" w:hAnsi="Arial" w:cs="Arial"/>
          <w:color w:val="000000"/>
          <w:sz w:val="20"/>
        </w:rPr>
        <w:t>In October 2007, Gina Hubbard, the principal of the school where Solomon worked as a special education teacher, informed her that a new class would be placed in her second-floor resource room and she would be assigned a new upstairs resource room. On October 19, Solomon saw a doctor because of back pain. She was diagnosed some time later with herniated disks, sciatica, and neural foraminal stenosis.</w:t>
      </w:r>
    </w:p>
    <w:p w14:paraId="42A946CA" w14:textId="77777777" w:rsidR="00D041A2" w:rsidRDefault="00000000">
      <w:pPr>
        <w:pStyle w:val="Normal3"/>
        <w:widowControl w:val="0"/>
        <w:spacing w:before="200" w:line="260" w:lineRule="atLeast"/>
        <w:jc w:val="both"/>
      </w:pPr>
      <w:bookmarkStart w:id="383" w:name="Bookmark_para_7_2"/>
      <w:bookmarkEnd w:id="383"/>
      <w:r>
        <w:rPr>
          <w:rFonts w:ascii="Arial" w:eastAsia="Arial" w:hAnsi="Arial" w:cs="Arial"/>
          <w:color w:val="000000"/>
          <w:sz w:val="20"/>
        </w:rPr>
        <w:t>On October 24, Solomon asked Hubbard if she could stay in her present room  [**3] because it was arranged to her liking and the new room was too small for her materials. On November 9, Solomon began medical leave due to her back condition. She and her doctors asked for a first-floor room assignment based on medical restrictions against climbing stairs. Solomon was not given a first-floor room and did not return to work.</w:t>
      </w:r>
    </w:p>
    <w:p w14:paraId="730D9756" w14:textId="77777777" w:rsidR="00D041A2" w:rsidRDefault="00000000">
      <w:pPr>
        <w:pStyle w:val="Normal3"/>
        <w:widowControl w:val="0"/>
        <w:spacing w:before="200" w:line="260" w:lineRule="atLeast"/>
        <w:jc w:val="both"/>
      </w:pPr>
      <w:bookmarkStart w:id="384" w:name="Bookmark_para_8_2"/>
      <w:bookmarkEnd w:id="384"/>
      <w:r>
        <w:rPr>
          <w:rFonts w:ascii="Arial" w:eastAsia="Arial" w:hAnsi="Arial" w:cs="Arial"/>
          <w:color w:val="000000"/>
          <w:sz w:val="20"/>
        </w:rPr>
        <w:t>In April 2009, when Solomon's sick-leave benefits expired, she was approved for a one-year sabbatical. When that ended, she applied and was approved for retirement.</w:t>
      </w:r>
    </w:p>
    <w:p w14:paraId="6B73AF62" w14:textId="77777777" w:rsidR="00D041A2" w:rsidRDefault="00000000">
      <w:pPr>
        <w:pStyle w:val="Normal3"/>
        <w:widowControl w:val="0"/>
        <w:spacing w:before="200" w:line="260" w:lineRule="atLeast"/>
        <w:jc w:val="both"/>
      </w:pPr>
      <w:bookmarkStart w:id="385" w:name="Bookmark_para_9_2"/>
      <w:bookmarkEnd w:id="385"/>
      <w:r>
        <w:rPr>
          <w:rFonts w:ascii="Arial" w:eastAsia="Arial" w:hAnsi="Arial" w:cs="Arial"/>
          <w:color w:val="000000"/>
          <w:sz w:val="20"/>
        </w:rPr>
        <w:t>Solomon filed this suit in July 2010, alleging that the School District had violated the ADA, the Rehabilitation Act, and the PHRA by failing to provide a reasonable accommodation for her disabilities, engaging in intentional discrimination, and retaliating against her. After a four-day trial, the jury returned a verdict finding that Solomon had a disability under the ADA but there was no disparate treatment or failure to accommodate. The District Court entered final judgment.</w:t>
      </w:r>
    </w:p>
    <w:p w14:paraId="501C273B" w14:textId="77777777" w:rsidR="00D041A2" w:rsidRDefault="00000000">
      <w:pPr>
        <w:pStyle w:val="Normal3"/>
        <w:widowControl w:val="0"/>
        <w:spacing w:before="200" w:line="260" w:lineRule="atLeast"/>
        <w:jc w:val="both"/>
      </w:pPr>
      <w:bookmarkStart w:id="386" w:name="Bookmark_para_10_2"/>
      <w:bookmarkEnd w:id="386"/>
      <w:r>
        <w:rPr>
          <w:rFonts w:ascii="Arial" w:eastAsia="Arial" w:hAnsi="Arial" w:cs="Arial"/>
          <w:color w:val="000000"/>
          <w:sz w:val="20"/>
        </w:rPr>
        <w:t>Solomon filed a timely motion to alter or amend the judgment under Rule 59(e) or for a new trial under Rule 59(a). The District Court denied the motion, stating that "there was sufficient evidence to support the jury's  [**4] verdict, and the challenges that Solomon interposes to our rulings at trial are without merit for reasons already rehearsed at trial." Solomon timely appealed.</w:t>
      </w:r>
    </w:p>
    <w:p w14:paraId="6319DA2C" w14:textId="77777777" w:rsidR="00D041A2" w:rsidRDefault="00000000">
      <w:pPr>
        <w:pStyle w:val="Normal3"/>
        <w:widowControl w:val="0"/>
        <w:spacing w:before="240" w:line="260" w:lineRule="atLeast"/>
      </w:pPr>
      <w:r>
        <w:br/>
      </w:r>
      <w:r>
        <w:rPr>
          <w:rFonts w:ascii="Arial" w:eastAsia="Arial" w:hAnsi="Arial" w:cs="Arial"/>
          <w:color w:val="000000"/>
          <w:sz w:val="20"/>
        </w:rPr>
        <w:t xml:space="preserve"> [*157]  </w:t>
      </w:r>
      <w:r>
        <w:rPr>
          <w:rFonts w:ascii="Arial" w:eastAsia="Arial" w:hAnsi="Arial" w:cs="Arial"/>
          <w:b/>
          <w:color w:val="000000"/>
          <w:sz w:val="20"/>
        </w:rPr>
        <w:t>II.</w:t>
      </w:r>
    </w:p>
    <w:p w14:paraId="71D3BEB8" w14:textId="77777777" w:rsidR="00D041A2" w:rsidRDefault="00000000">
      <w:pPr>
        <w:pStyle w:val="Normal3"/>
        <w:widowControl w:val="0"/>
        <w:spacing w:before="240" w:line="260" w:lineRule="atLeast"/>
      </w:pPr>
      <w:r>
        <w:br/>
      </w:r>
      <w:r>
        <w:rPr>
          <w:rFonts w:ascii="Arial" w:eastAsia="Arial" w:hAnsi="Arial" w:cs="Arial"/>
          <w:i/>
          <w:color w:val="000000"/>
          <w:sz w:val="20"/>
        </w:rPr>
        <w:t>The Legal Standard</w:t>
      </w:r>
    </w:p>
    <w:p w14:paraId="634898E5" w14:textId="77777777" w:rsidR="00D041A2" w:rsidRDefault="00000000">
      <w:pPr>
        <w:pStyle w:val="Normal3"/>
        <w:widowControl w:val="0"/>
        <w:spacing w:before="200" w:line="260" w:lineRule="atLeast"/>
        <w:jc w:val="both"/>
      </w:pPr>
      <w:bookmarkStart w:id="387" w:name="Bookmark_para_11_1"/>
      <w:bookmarkStart w:id="388" w:name="Bookmark_I598880X28T4WM0010000400"/>
      <w:bookmarkStart w:id="389" w:name="Bookmark_I598880X28T4WM0030000400"/>
      <w:bookmarkStart w:id="390" w:name="Bookmark_LNHNREFclscc1_1"/>
      <w:bookmarkEnd w:id="387"/>
      <w:bookmarkEnd w:id="388"/>
      <w:bookmarkEnd w:id="389"/>
      <w:bookmarkEnd w:id="390"/>
      <w:r>
        <w:rPr>
          <w:rFonts w:ascii="Arial" w:eastAsia="Arial" w:hAnsi="Arial" w:cs="Arial"/>
          <w:color w:val="000000"/>
          <w:sz w:val="20"/>
        </w:rPr>
        <w:t xml:space="preserve">A court may grant a new trial after a jury trial under Rule 59(a)(1)(A) "on all or some of the issues . . . for any reason for which a new trial has heretofore been granted in an action at law in federal court . . . ." Fed. R. Civ. P. 59(a)(1)(A). A Rule 59(a)(1)(A) motion should be granted only when "the great weight of the evidence cuts against the verdict and . . . a miscarriage of justice would result if the verdict were to stand." </w:t>
      </w:r>
      <w:bookmarkStart w:id="391" w:name="Bookmark_I598880X2SF7VD0050000400"/>
      <w:bookmarkEnd w:id="391"/>
      <w:r>
        <w:rPr>
          <w:rFonts w:ascii="Arial" w:eastAsia="Arial" w:hAnsi="Arial" w:cs="Arial"/>
          <w:i/>
          <w:color w:val="000000"/>
          <w:sz w:val="20"/>
        </w:rPr>
        <w:t>Springer v. Henry</w:t>
      </w:r>
      <w:r>
        <w:rPr>
          <w:rFonts w:ascii="Arial" w:eastAsia="Arial" w:hAnsi="Arial" w:cs="Arial"/>
          <w:color w:val="000000"/>
          <w:sz w:val="20"/>
        </w:rPr>
        <w:t xml:space="preserve">, 435 F.3d 268, 274 (3d Cir. 2006) (internal quotation marks omitted). The denial of a motion for new trial and to amend a judgment is reviewed for abuse of discretion, but questions of law are reviewed de novo. </w:t>
      </w:r>
      <w:bookmarkStart w:id="392" w:name="Bookmark_I598880X28T4WM0020000400"/>
      <w:bookmarkEnd w:id="392"/>
      <w:r>
        <w:rPr>
          <w:rFonts w:ascii="Arial" w:eastAsia="Arial" w:hAnsi="Arial" w:cs="Arial"/>
          <w:i/>
          <w:color w:val="000000"/>
          <w:sz w:val="20"/>
        </w:rPr>
        <w:t>Thabault v. Chait</w:t>
      </w:r>
      <w:r>
        <w:rPr>
          <w:rFonts w:ascii="Arial" w:eastAsia="Arial" w:hAnsi="Arial" w:cs="Arial"/>
          <w:color w:val="000000"/>
          <w:sz w:val="20"/>
        </w:rPr>
        <w:t xml:space="preserve">, 541 F.3d 512, 532 (3d Cir. 2008); </w:t>
      </w:r>
      <w:bookmarkStart w:id="393" w:name="Bookmark_I598880X28T4WM0040000400"/>
      <w:bookmarkEnd w:id="393"/>
      <w:r>
        <w:rPr>
          <w:rFonts w:ascii="Arial" w:eastAsia="Arial" w:hAnsi="Arial" w:cs="Arial"/>
          <w:i/>
          <w:color w:val="000000"/>
          <w:sz w:val="20"/>
        </w:rPr>
        <w:t>Cureton v. Nat'l Coll. Athletic Ass'n</w:t>
      </w:r>
      <w:r>
        <w:rPr>
          <w:rFonts w:ascii="Arial" w:eastAsia="Arial" w:hAnsi="Arial" w:cs="Arial"/>
          <w:color w:val="000000"/>
          <w:sz w:val="20"/>
        </w:rPr>
        <w:t xml:space="preserve">, 252 F.3d 267, 272 (3d Cir. 2001). </w:t>
      </w:r>
      <w:r>
        <w:rPr>
          <w:rFonts w:ascii="Arial" w:eastAsia="Arial" w:hAnsi="Arial" w:cs="Arial"/>
          <w:vertAlign w:val="superscript"/>
        </w:rPr>
        <w:footnoteReference w:customMarkFollows="1" w:id="29"/>
        <w:t>2</w:t>
      </w:r>
    </w:p>
    <w:p w14:paraId="731E735D" w14:textId="77777777" w:rsidR="00D041A2" w:rsidRDefault="00000000">
      <w:pPr>
        <w:pStyle w:val="Normal3"/>
        <w:widowControl w:val="0"/>
        <w:spacing w:before="240" w:line="260" w:lineRule="atLeast"/>
      </w:pPr>
      <w:r>
        <w:br/>
      </w:r>
      <w:r>
        <w:rPr>
          <w:rFonts w:ascii="Arial" w:eastAsia="Arial" w:hAnsi="Arial" w:cs="Arial"/>
          <w:b/>
          <w:color w:val="000000"/>
          <w:sz w:val="20"/>
        </w:rPr>
        <w:t>III.</w:t>
      </w:r>
    </w:p>
    <w:p w14:paraId="723C9F62" w14:textId="77777777" w:rsidR="00D041A2" w:rsidRDefault="00000000">
      <w:pPr>
        <w:pStyle w:val="Normal3"/>
        <w:widowControl w:val="0"/>
        <w:spacing w:before="240" w:line="260" w:lineRule="atLeast"/>
      </w:pPr>
      <w:r>
        <w:br/>
      </w:r>
      <w:r>
        <w:rPr>
          <w:rFonts w:ascii="Arial" w:eastAsia="Arial" w:hAnsi="Arial" w:cs="Arial"/>
          <w:i/>
          <w:color w:val="000000"/>
          <w:sz w:val="20"/>
        </w:rPr>
        <w:t>Discussion</w:t>
      </w:r>
    </w:p>
    <w:p w14:paraId="1ABB6252" w14:textId="77777777" w:rsidR="00D041A2" w:rsidRDefault="00000000">
      <w:pPr>
        <w:pStyle w:val="Normal3"/>
        <w:widowControl w:val="0"/>
        <w:spacing w:before="200" w:line="260" w:lineRule="atLeast"/>
        <w:jc w:val="both"/>
      </w:pPr>
      <w:bookmarkStart w:id="397" w:name="Bookmark_para_12_1"/>
      <w:bookmarkStart w:id="398" w:name="Bookmark_LNHNREFclscc2_1"/>
      <w:bookmarkEnd w:id="397"/>
      <w:bookmarkEnd w:id="398"/>
      <w:r>
        <w:rPr>
          <w:rFonts w:ascii="Arial" w:eastAsia="Arial" w:hAnsi="Arial" w:cs="Arial"/>
          <w:color w:val="000000"/>
          <w:sz w:val="20"/>
        </w:rPr>
        <w:t xml:space="preserve">The ADA prohibits employers from discriminating "against a qualified individual on the basis of disability in regard to job application procedures, the hiring, advancement, or discharge of employees, employee compensation, job training, and other terms, conditions, and privileges of employment." 42 U.S.C. § 12112(a). </w:t>
      </w:r>
      <w:bookmarkStart w:id="399" w:name="Bookmark_LNHNREFclscc3_1"/>
      <w:bookmarkEnd w:id="399"/>
      <w:r>
        <w:rPr>
          <w:rFonts w:ascii="Arial" w:eastAsia="Arial" w:hAnsi="Arial" w:cs="Arial"/>
          <w:color w:val="000000"/>
          <w:sz w:val="20"/>
        </w:rPr>
        <w:t xml:space="preserve">A "qualified individual" with a disability is a person who, "with or without reasonable accommodation, can perform the essential functions of the employment position that such individual holds or desires." 42 U.S.C. § 12111(8). </w:t>
      </w:r>
      <w:bookmarkStart w:id="400" w:name="Bookmark_LNHNREFclscc4_1"/>
      <w:bookmarkEnd w:id="400"/>
      <w:r>
        <w:rPr>
          <w:rFonts w:ascii="Arial" w:eastAsia="Arial" w:hAnsi="Arial" w:cs="Arial"/>
          <w:color w:val="000000"/>
          <w:sz w:val="20"/>
        </w:rPr>
        <w:t>A reasonable-accommodation claim requires a plaintiff to show that her employer failed to make "reasonable accommodations to the known physical or mental limitations of an otherwise qualified individual with a disability who is an . . . employee, unless the [employer] can demonstrate that the accommodation would impose an undue hardship on the operation of  [**6] the business of [the employer]." 42 U.S.C. § 12112(b)(5)(A).</w:t>
      </w:r>
    </w:p>
    <w:p w14:paraId="21B7B709" w14:textId="77777777" w:rsidR="00D041A2" w:rsidRDefault="00000000">
      <w:pPr>
        <w:pStyle w:val="Normal3"/>
        <w:widowControl w:val="0"/>
        <w:spacing w:before="240" w:line="260" w:lineRule="atLeast"/>
      </w:pPr>
      <w:r>
        <w:br/>
      </w:r>
      <w:r>
        <w:rPr>
          <w:rFonts w:ascii="Arial" w:eastAsia="Arial" w:hAnsi="Arial" w:cs="Arial"/>
          <w:b/>
          <w:color w:val="000000"/>
          <w:sz w:val="20"/>
        </w:rPr>
        <w:t>A.</w:t>
      </w:r>
    </w:p>
    <w:p w14:paraId="1FF5A68B" w14:textId="77777777" w:rsidR="00D041A2" w:rsidRDefault="00000000">
      <w:pPr>
        <w:pStyle w:val="Normal3"/>
        <w:widowControl w:val="0"/>
        <w:spacing w:before="240" w:line="260" w:lineRule="atLeast"/>
      </w:pPr>
      <w:r>
        <w:br/>
      </w:r>
      <w:r>
        <w:rPr>
          <w:rFonts w:ascii="Arial" w:eastAsia="Arial" w:hAnsi="Arial" w:cs="Arial"/>
          <w:i/>
          <w:color w:val="000000"/>
          <w:sz w:val="20"/>
        </w:rPr>
        <w:t>The Evidence at Trial</w:t>
      </w:r>
    </w:p>
    <w:p w14:paraId="2E02E6E8" w14:textId="77777777" w:rsidR="00D041A2" w:rsidRDefault="00000000">
      <w:pPr>
        <w:pStyle w:val="Normal3"/>
        <w:widowControl w:val="0"/>
        <w:spacing w:before="200" w:line="260" w:lineRule="atLeast"/>
        <w:jc w:val="both"/>
      </w:pPr>
      <w:bookmarkStart w:id="401" w:name="Bookmark_para_13_1"/>
      <w:bookmarkEnd w:id="401"/>
      <w:r>
        <w:rPr>
          <w:rFonts w:ascii="Arial" w:eastAsia="Arial" w:hAnsi="Arial" w:cs="Arial"/>
          <w:color w:val="000000"/>
          <w:sz w:val="20"/>
        </w:rPr>
        <w:t>Solomon argues that there was overwhelming evidence that the School District failed to provide her with a reasonable accommodation for her back problems after she and her doctors repeatedly informed the District about medical restrictions preventing her from walking up stairs, carrying objects heavier than five pounds, and bending. Solomon argues that the School District violated the ADA by not responding to her requests, made directly and through her doctors, that she be given a first-floor room instead of the second-floor room she previously had or the upstairs room she was assigned.</w:t>
      </w:r>
    </w:p>
    <w:p w14:paraId="406125E7" w14:textId="77777777" w:rsidR="00D041A2" w:rsidRDefault="00000000">
      <w:pPr>
        <w:pStyle w:val="Normal3"/>
        <w:widowControl w:val="0"/>
        <w:spacing w:before="200" w:line="260" w:lineRule="atLeast"/>
        <w:jc w:val="both"/>
      </w:pPr>
      <w:bookmarkStart w:id="402" w:name="Bookmark_para_14_1"/>
      <w:bookmarkEnd w:id="402"/>
      <w:r>
        <w:rPr>
          <w:rFonts w:ascii="Arial" w:eastAsia="Arial" w:hAnsi="Arial" w:cs="Arial"/>
          <w:color w:val="000000"/>
          <w:sz w:val="20"/>
        </w:rPr>
        <w:t>There was ample evidence that the School District offered Solomon the use of an elevator to get to her assigned resource room and to go to and from other classrooms, and that this accommodation was reasonable and sufficient. Hubbard testified that Solomon could use the elevator to get to her regular room and to other classrooms where she was needed. Hubbard and Henry Gross, an administrator for the School District's special education programs, testified that Solomon did not need  [*158]  any other accommodation aside from the elevator  [**7] to perform her job, which did not require her to lift or carry beyond the five-pound limit set by her doctors.</w:t>
      </w:r>
    </w:p>
    <w:p w14:paraId="69F7DDAA" w14:textId="77777777" w:rsidR="00D041A2" w:rsidRDefault="00000000">
      <w:pPr>
        <w:pStyle w:val="Normal3"/>
        <w:widowControl w:val="0"/>
        <w:spacing w:before="200" w:line="260" w:lineRule="atLeast"/>
        <w:jc w:val="both"/>
      </w:pPr>
      <w:bookmarkStart w:id="403" w:name="Bookmark_para_15_1"/>
      <w:bookmarkEnd w:id="403"/>
      <w:r>
        <w:rPr>
          <w:rFonts w:ascii="Arial" w:eastAsia="Arial" w:hAnsi="Arial" w:cs="Arial"/>
          <w:color w:val="000000"/>
          <w:sz w:val="20"/>
        </w:rPr>
        <w:t>There was also evidence that, in requesting assignment to a first-floor room, Solomon was motivated by other concerns. It was only after Hubbard asked Solomon to move from her second-floor room to a smaller upstairs room that Solomon raised her disability or need for accommodation, citing the room size as the primary reason.</w:t>
      </w:r>
    </w:p>
    <w:p w14:paraId="64FFBF49" w14:textId="77777777" w:rsidR="00D041A2" w:rsidRDefault="00000000">
      <w:pPr>
        <w:pStyle w:val="Normal3"/>
        <w:widowControl w:val="0"/>
        <w:spacing w:before="200" w:line="260" w:lineRule="atLeast"/>
        <w:jc w:val="both"/>
      </w:pPr>
      <w:bookmarkStart w:id="404" w:name="Bookmark_para_16_1"/>
      <w:bookmarkEnd w:id="404"/>
      <w:r>
        <w:rPr>
          <w:rFonts w:ascii="Arial" w:eastAsia="Arial" w:hAnsi="Arial" w:cs="Arial"/>
          <w:color w:val="000000"/>
          <w:sz w:val="20"/>
        </w:rPr>
        <w:t>Solomon argues that Hubbard's offer of elevator access was not a reasonable accommodation because it was made before Hubbard learned that Solomon's doctor had told her not to climb stairs. Hubbard testified, however, that when she called Solomon in January 2008 and offered elevator access, she knew of Solomon's stair-climbing restriction. Hubbard testified that she had previously offered Solomon use of the elevator on several occasions. Even if the School District did not then have a complete understanding of Solomon's limits and restrictions, a reasonable jury could have concluded that elevator access was a reasonable accommodation once the School District learned about them.</w:t>
      </w:r>
    </w:p>
    <w:p w14:paraId="425A4F60" w14:textId="77777777" w:rsidR="00D041A2" w:rsidRDefault="00000000">
      <w:pPr>
        <w:pStyle w:val="Normal3"/>
        <w:widowControl w:val="0"/>
        <w:spacing w:before="200" w:line="260" w:lineRule="atLeast"/>
        <w:jc w:val="both"/>
      </w:pPr>
      <w:bookmarkStart w:id="405" w:name="Bookmark_para_17_1"/>
      <w:bookmarkStart w:id="406" w:name="Bookmark_I598880X2SF7VF0040000400"/>
      <w:bookmarkEnd w:id="405"/>
      <w:bookmarkEnd w:id="406"/>
      <w:r>
        <w:rPr>
          <w:rFonts w:ascii="Arial" w:eastAsia="Arial" w:hAnsi="Arial" w:cs="Arial"/>
          <w:color w:val="000000"/>
          <w:sz w:val="20"/>
        </w:rPr>
        <w:t xml:space="preserve">Solomon argues that the School District violated the ADA because it did not offer  [**8] her another teaching or administrative position despite acknowledging that she was qualified to hold other positions and that positions were available that could have accommodated her disabilities. </w:t>
      </w:r>
      <w:bookmarkStart w:id="407" w:name="Bookmark_LNHNREFclscc5_1"/>
      <w:bookmarkEnd w:id="407"/>
      <w:r>
        <w:rPr>
          <w:rFonts w:ascii="Arial" w:eastAsia="Arial" w:hAnsi="Arial" w:cs="Arial"/>
          <w:color w:val="000000"/>
          <w:sz w:val="20"/>
        </w:rPr>
        <w:t xml:space="preserve">Although an employer has a duty to offer a reasonable accommodation to a qualified employee, "an employee cannot make [the] employer provide a specific accommodation if another reasonable accommodation is instead provided." </w:t>
      </w:r>
      <w:bookmarkStart w:id="408" w:name="Bookmark_I598880X2SF7VF0030000400"/>
      <w:bookmarkEnd w:id="408"/>
      <w:r>
        <w:rPr>
          <w:rFonts w:ascii="Arial" w:eastAsia="Arial" w:hAnsi="Arial" w:cs="Arial"/>
          <w:i/>
          <w:color w:val="000000"/>
          <w:sz w:val="20"/>
        </w:rPr>
        <w:t>Hankins v. The Gap, Inc.</w:t>
      </w:r>
      <w:r>
        <w:rPr>
          <w:rFonts w:ascii="Arial" w:eastAsia="Arial" w:hAnsi="Arial" w:cs="Arial"/>
          <w:color w:val="000000"/>
          <w:sz w:val="20"/>
        </w:rPr>
        <w:t>, 84 F.3d 797, 800-01 (6th Cir. 1996). A reasonable juror could have found that by offering elevator access, the School District had fulfilled its duty under the ADA and was under no obligation to offer the additional accommodations Solomon requested.</w:t>
      </w:r>
    </w:p>
    <w:p w14:paraId="1DA3F962" w14:textId="77777777" w:rsidR="00D041A2" w:rsidRDefault="00000000">
      <w:pPr>
        <w:pStyle w:val="Normal3"/>
        <w:widowControl w:val="0"/>
        <w:spacing w:before="200" w:line="260" w:lineRule="atLeast"/>
        <w:jc w:val="both"/>
      </w:pPr>
      <w:bookmarkStart w:id="409" w:name="Bookmark_para_18_1"/>
      <w:bookmarkStart w:id="410" w:name="Bookmark_I598880X2HM5Y50010000400"/>
      <w:bookmarkStart w:id="411" w:name="Bookmark_I598880X2HM5Y50030000400"/>
      <w:bookmarkEnd w:id="409"/>
      <w:bookmarkEnd w:id="410"/>
      <w:bookmarkEnd w:id="411"/>
      <w:r>
        <w:rPr>
          <w:rFonts w:ascii="Arial" w:eastAsia="Arial" w:hAnsi="Arial" w:cs="Arial"/>
          <w:color w:val="000000"/>
          <w:sz w:val="20"/>
        </w:rPr>
        <w:t xml:space="preserve">Solomon contends that the School District is liable because it did not engage in an interactive process once it learned the extent of her back problem. </w:t>
      </w:r>
      <w:bookmarkStart w:id="412" w:name="Bookmark_LNHNREFclscc6_1"/>
      <w:bookmarkEnd w:id="412"/>
      <w:r>
        <w:rPr>
          <w:rFonts w:ascii="Arial" w:eastAsia="Arial" w:hAnsi="Arial" w:cs="Arial"/>
          <w:color w:val="000000"/>
          <w:sz w:val="20"/>
        </w:rPr>
        <w:t xml:space="preserve">"[W]hile an employer who fails to engage in the interactive process runs a serious risk that it will erroneously overlook an opportunity to accommodate a statutorily disabled employee, and thereby violate the ADA, failure to engage in the interactive process, in itself, does not constitute such a violation." </w:t>
      </w:r>
      <w:bookmarkStart w:id="413" w:name="Bookmark_I598880X2SF7VF0050000400"/>
      <w:bookmarkEnd w:id="413"/>
      <w:r>
        <w:rPr>
          <w:rFonts w:ascii="Arial" w:eastAsia="Arial" w:hAnsi="Arial" w:cs="Arial"/>
          <w:i/>
          <w:color w:val="000000"/>
          <w:sz w:val="20"/>
        </w:rPr>
        <w:t>Hohider v. United Parcel Serv., Inc.</w:t>
      </w:r>
      <w:r>
        <w:rPr>
          <w:rFonts w:ascii="Arial" w:eastAsia="Arial" w:hAnsi="Arial" w:cs="Arial"/>
          <w:color w:val="000000"/>
          <w:sz w:val="20"/>
        </w:rPr>
        <w:t xml:space="preserve">, 574 F.3d 169, 194 (3d Cir. 2009)  [**9] (internal quotation marks and citation omitted). Because the School District's offer of the elevator reasonably accommodated her disabilities, the "alleged failure to [further] investigate into reasonable accommodation is unimportant." </w:t>
      </w:r>
      <w:bookmarkStart w:id="414" w:name="Bookmark_I598880X2HM5Y50020000400"/>
      <w:bookmarkEnd w:id="414"/>
      <w:r>
        <w:rPr>
          <w:rFonts w:ascii="Arial" w:eastAsia="Arial" w:hAnsi="Arial" w:cs="Arial"/>
          <w:i/>
          <w:color w:val="000000"/>
          <w:sz w:val="20"/>
        </w:rPr>
        <w:t>Gaul v. Lucent Technologies</w:t>
      </w:r>
      <w:r>
        <w:rPr>
          <w:rFonts w:ascii="Arial" w:eastAsia="Arial" w:hAnsi="Arial" w:cs="Arial"/>
          <w:color w:val="000000"/>
          <w:sz w:val="20"/>
        </w:rPr>
        <w:t>, 134 F.3d 576, 581 (3d Cir. 1998).</w:t>
      </w:r>
    </w:p>
    <w:p w14:paraId="36A2E078" w14:textId="77777777" w:rsidR="00D041A2" w:rsidRDefault="00000000">
      <w:pPr>
        <w:pStyle w:val="Normal3"/>
        <w:widowControl w:val="0"/>
        <w:spacing w:before="200" w:line="260" w:lineRule="atLeast"/>
        <w:jc w:val="both"/>
      </w:pPr>
      <w:bookmarkStart w:id="415" w:name="Bookmark_para_19_1"/>
      <w:bookmarkStart w:id="416" w:name="Bookmark_I598880X2HM5Y50050000400"/>
      <w:bookmarkEnd w:id="415"/>
      <w:bookmarkEnd w:id="416"/>
      <w:r>
        <w:rPr>
          <w:rFonts w:ascii="Arial" w:eastAsia="Arial" w:hAnsi="Arial" w:cs="Arial"/>
          <w:color w:val="000000"/>
          <w:sz w:val="20"/>
        </w:rPr>
        <w:t xml:space="preserve">Solomon also argues that the School District required employees to show that they had "no restrictions" before approving them to return to work, and that this violated the ADA. We have held that </w:t>
      </w:r>
      <w:bookmarkStart w:id="417" w:name="Bookmark_LNHNREFclscc7_1"/>
      <w:bookmarkEnd w:id="417"/>
      <w:r>
        <w:rPr>
          <w:rFonts w:ascii="Arial" w:eastAsia="Arial" w:hAnsi="Arial" w:cs="Arial"/>
          <w:color w:val="000000"/>
          <w:sz w:val="20"/>
        </w:rPr>
        <w:t xml:space="preserve">"plaintiffs [cannot] reach a determination of unlawfulness under the ADA by proving only the existence of a '100% healed' policy, without any inquiry into whether that policy has been used to discriminate against individuals protected by the ADA from such discrimination." </w:t>
      </w:r>
      <w:bookmarkStart w:id="418" w:name="Bookmark_I598880X2HM5Y50040000400"/>
      <w:bookmarkEnd w:id="418"/>
      <w:r>
        <w:rPr>
          <w:rFonts w:ascii="Arial" w:eastAsia="Arial" w:hAnsi="Arial" w:cs="Arial"/>
          <w:i/>
          <w:color w:val="000000"/>
          <w:sz w:val="20"/>
        </w:rPr>
        <w:t>Hohider</w:t>
      </w:r>
      <w:r>
        <w:rPr>
          <w:rFonts w:ascii="Arial" w:eastAsia="Arial" w:hAnsi="Arial" w:cs="Arial"/>
          <w:color w:val="000000"/>
          <w:sz w:val="20"/>
        </w:rPr>
        <w:t xml:space="preserve">, 574 F.3d at 195; </w:t>
      </w:r>
      <w:r>
        <w:rPr>
          <w:rFonts w:ascii="Arial" w:eastAsia="Arial" w:hAnsi="Arial" w:cs="Arial"/>
          <w:i/>
          <w:color w:val="000000"/>
          <w:sz w:val="20"/>
        </w:rPr>
        <w:t xml:space="preserve">see also </w:t>
      </w:r>
      <w:bookmarkStart w:id="419" w:name="Bookmark_I598880X2D6NFJ0010000400"/>
      <w:bookmarkEnd w:id="419"/>
      <w:r>
        <w:rPr>
          <w:rFonts w:ascii="Arial" w:eastAsia="Arial" w:hAnsi="Arial" w:cs="Arial"/>
          <w:i/>
          <w:color w:val="000000"/>
          <w:sz w:val="20"/>
        </w:rPr>
        <w:t>Hutchinson v. United Parcel Serv., Inc</w:t>
      </w:r>
      <w:r>
        <w:rPr>
          <w:rFonts w:ascii="Arial" w:eastAsia="Arial" w:hAnsi="Arial" w:cs="Arial"/>
          <w:color w:val="000000"/>
          <w:sz w:val="20"/>
        </w:rPr>
        <w:t xml:space="preserve">, 883 F. Supp. 379, 397-98 (N.D. Iowa 1995) (holding that a "100% healed" policy is a </w:t>
      </w:r>
      <w:r>
        <w:rPr>
          <w:rFonts w:ascii="Arial" w:eastAsia="Arial" w:hAnsi="Arial" w:cs="Arial"/>
          <w:i/>
          <w:color w:val="000000"/>
          <w:sz w:val="20"/>
        </w:rPr>
        <w:t>per se</w:t>
      </w:r>
      <w:r>
        <w:rPr>
          <w:rFonts w:ascii="Arial" w:eastAsia="Arial" w:hAnsi="Arial" w:cs="Arial"/>
          <w:color w:val="000000"/>
          <w:sz w:val="20"/>
        </w:rPr>
        <w:t xml:space="preserve"> violation of the ADA but that the plaintiff could not assert that violation because she received individualized treatment despite the policy). Solomon cannot  [*159]  show that a "no-restrictions" policy was applied to her in violation of the ADA.</w:t>
      </w:r>
    </w:p>
    <w:p w14:paraId="218A3A75" w14:textId="77777777" w:rsidR="00D041A2" w:rsidRDefault="00000000">
      <w:pPr>
        <w:pStyle w:val="Normal3"/>
        <w:widowControl w:val="0"/>
        <w:spacing w:before="240" w:line="260" w:lineRule="atLeast"/>
      </w:pPr>
      <w:r>
        <w:br/>
      </w:r>
      <w:r>
        <w:rPr>
          <w:rFonts w:ascii="Arial" w:eastAsia="Arial" w:hAnsi="Arial" w:cs="Arial"/>
          <w:b/>
          <w:color w:val="000000"/>
          <w:sz w:val="20"/>
        </w:rPr>
        <w:t>B.</w:t>
      </w:r>
    </w:p>
    <w:p w14:paraId="4EF14C55" w14:textId="77777777" w:rsidR="00D041A2" w:rsidRDefault="00000000">
      <w:pPr>
        <w:pStyle w:val="Normal3"/>
        <w:widowControl w:val="0"/>
        <w:spacing w:before="240" w:line="260" w:lineRule="atLeast"/>
      </w:pPr>
      <w:r>
        <w:br/>
      </w:r>
      <w:r>
        <w:rPr>
          <w:rFonts w:ascii="Arial" w:eastAsia="Arial" w:hAnsi="Arial" w:cs="Arial"/>
          <w:i/>
          <w:color w:val="000000"/>
          <w:sz w:val="20"/>
        </w:rPr>
        <w:t>Challenges to the District Court's  [**10] Evidentiary Rulings and Jury Instructions</w:t>
      </w:r>
    </w:p>
    <w:p w14:paraId="1A0A2AB4" w14:textId="77777777" w:rsidR="00D041A2" w:rsidRDefault="00000000">
      <w:pPr>
        <w:pStyle w:val="Normal3"/>
        <w:widowControl w:val="0"/>
        <w:spacing w:before="200" w:line="260" w:lineRule="atLeast"/>
        <w:jc w:val="both"/>
      </w:pPr>
      <w:bookmarkStart w:id="420" w:name="Bookmark_para_20_1"/>
      <w:bookmarkStart w:id="421" w:name="Bookmark_I598880X2D6NFJ0040000400"/>
      <w:bookmarkEnd w:id="420"/>
      <w:bookmarkEnd w:id="421"/>
      <w:r>
        <w:rPr>
          <w:rFonts w:ascii="Arial" w:eastAsia="Arial" w:hAnsi="Arial" w:cs="Arial"/>
          <w:color w:val="000000"/>
          <w:sz w:val="20"/>
        </w:rPr>
        <w:t xml:space="preserve">Solomon contends that the District Court erred in excluding from evidence two letters written by her therapist. </w:t>
      </w:r>
      <w:bookmarkStart w:id="422" w:name="Bookmark_LNHNREFclscc8_1"/>
      <w:bookmarkEnd w:id="422"/>
      <w:r>
        <w:rPr>
          <w:rFonts w:ascii="Arial" w:eastAsia="Arial" w:hAnsi="Arial" w:cs="Arial"/>
          <w:color w:val="000000"/>
          <w:sz w:val="20"/>
        </w:rPr>
        <w:t xml:space="preserve">The admissibility of evidence is reviewed for abuse of discretion. </w:t>
      </w:r>
      <w:bookmarkStart w:id="423" w:name="Bookmark_I598880X28T4WN0010000400"/>
      <w:bookmarkStart w:id="424" w:name="Bookmark_I598880X2D6NFJ0030000400"/>
      <w:bookmarkEnd w:id="423"/>
      <w:bookmarkEnd w:id="424"/>
      <w:r>
        <w:rPr>
          <w:rFonts w:ascii="Arial" w:eastAsia="Arial" w:hAnsi="Arial" w:cs="Arial"/>
          <w:i/>
          <w:color w:val="000000"/>
          <w:sz w:val="20"/>
        </w:rPr>
        <w:t>Coleman v. Home Depot</w:t>
      </w:r>
      <w:r>
        <w:rPr>
          <w:rFonts w:ascii="Arial" w:eastAsia="Arial" w:hAnsi="Arial" w:cs="Arial"/>
          <w:color w:val="000000"/>
          <w:sz w:val="20"/>
        </w:rPr>
        <w:t xml:space="preserve">, 306 F.3d 1333, 1341 (3d Cir. 2002). </w:t>
      </w:r>
      <w:bookmarkStart w:id="425" w:name="Bookmark_I598880X28T4WN0010000400_2"/>
      <w:bookmarkEnd w:id="425"/>
      <w:r>
        <w:rPr>
          <w:rFonts w:ascii="Arial" w:eastAsia="Arial" w:hAnsi="Arial" w:cs="Arial"/>
          <w:color w:val="000000"/>
          <w:sz w:val="20"/>
        </w:rPr>
        <w:t xml:space="preserve">The letters were cumulative in light of evidence showing that the School District was aware of Solomon's disability and reasonable accommodation requests, and offered her reasonable accommodation. There is no basis for reversal because "it is highly probable that [any] error did not affect the judgment." </w:t>
      </w:r>
      <w:bookmarkStart w:id="426" w:name="Bookmark_I598880X2D6NFJ0050000400"/>
      <w:bookmarkEnd w:id="426"/>
      <w:r>
        <w:rPr>
          <w:rFonts w:ascii="Arial" w:eastAsia="Arial" w:hAnsi="Arial" w:cs="Arial"/>
          <w:i/>
          <w:color w:val="000000"/>
          <w:sz w:val="20"/>
        </w:rPr>
        <w:t>Gen. Motors Corp. v. New A.C. Chevrolet, Inc.</w:t>
      </w:r>
      <w:r>
        <w:rPr>
          <w:rFonts w:ascii="Arial" w:eastAsia="Arial" w:hAnsi="Arial" w:cs="Arial"/>
          <w:color w:val="000000"/>
          <w:sz w:val="20"/>
        </w:rPr>
        <w:t>, 263 F.3d 296, 329 (3d Cir. 2001).</w:t>
      </w:r>
    </w:p>
    <w:p w14:paraId="1314FC5B" w14:textId="77777777" w:rsidR="00D041A2" w:rsidRDefault="00000000">
      <w:pPr>
        <w:pStyle w:val="Normal3"/>
        <w:widowControl w:val="0"/>
        <w:spacing w:before="200" w:line="260" w:lineRule="atLeast"/>
        <w:jc w:val="both"/>
      </w:pPr>
      <w:bookmarkStart w:id="427" w:name="Bookmark_para_21_1"/>
      <w:bookmarkEnd w:id="427"/>
      <w:r>
        <w:rPr>
          <w:rFonts w:ascii="Arial" w:eastAsia="Arial" w:hAnsi="Arial" w:cs="Arial"/>
          <w:color w:val="000000"/>
          <w:sz w:val="20"/>
        </w:rPr>
        <w:t xml:space="preserve">Solomon also argues that the District Court erred in admitting portions of her deposition testimony at trial. She objected on the basis that the School District did not make timely pretrial designations of the deposition testimony, but the School District was not required to do so for testimony used for impeachment purposes. Solomon also argues on appeal that despite an </w:t>
      </w:r>
      <w:r>
        <w:rPr>
          <w:rFonts w:ascii="Arial" w:eastAsia="Arial" w:hAnsi="Arial" w:cs="Arial"/>
          <w:i/>
          <w:color w:val="000000"/>
          <w:sz w:val="20"/>
        </w:rPr>
        <w:t>in limine</w:t>
      </w:r>
      <w:r>
        <w:rPr>
          <w:rFonts w:ascii="Arial" w:eastAsia="Arial" w:hAnsi="Arial" w:cs="Arial"/>
          <w:color w:val="000000"/>
          <w:sz w:val="20"/>
        </w:rPr>
        <w:t xml:space="preserve"> order, the School District included in the deposition excerpts it presented to the jury her testimony about a compromise offer by the School District and  [**11] her receipt of Social Security disability benefits. </w:t>
      </w:r>
      <w:bookmarkStart w:id="428" w:name="Bookmark_I598880X28T4WN0030000400"/>
      <w:bookmarkEnd w:id="428"/>
      <w:r>
        <w:rPr>
          <w:rFonts w:ascii="Arial" w:eastAsia="Arial" w:hAnsi="Arial" w:cs="Arial"/>
          <w:i/>
          <w:color w:val="000000"/>
          <w:sz w:val="20"/>
        </w:rPr>
        <w:t>See</w:t>
      </w:r>
      <w:r>
        <w:rPr>
          <w:rFonts w:ascii="Arial" w:eastAsia="Arial" w:hAnsi="Arial" w:cs="Arial"/>
          <w:color w:val="000000"/>
          <w:sz w:val="20"/>
        </w:rPr>
        <w:t xml:space="preserve"> Fed. R. Civ. Proc. 68(b); Fed. R. Evid. 408. But the references to the Rule 68 offer and Solomon's disability benefits were brief and isolated. </w:t>
      </w:r>
      <w:r>
        <w:rPr>
          <w:rFonts w:ascii="Arial" w:eastAsia="Arial" w:hAnsi="Arial" w:cs="Arial"/>
          <w:i/>
          <w:color w:val="000000"/>
          <w:sz w:val="20"/>
        </w:rPr>
        <w:t xml:space="preserve">See </w:t>
      </w:r>
      <w:bookmarkStart w:id="429" w:name="Bookmark_I598880X28T4WN0020000400"/>
      <w:bookmarkEnd w:id="429"/>
      <w:r>
        <w:rPr>
          <w:rFonts w:ascii="Arial" w:eastAsia="Arial" w:hAnsi="Arial" w:cs="Arial"/>
          <w:i/>
          <w:color w:val="000000"/>
          <w:sz w:val="20"/>
        </w:rPr>
        <w:t>Anastasio v. Schering Corp.</w:t>
      </w:r>
      <w:r>
        <w:rPr>
          <w:rFonts w:ascii="Arial" w:eastAsia="Arial" w:hAnsi="Arial" w:cs="Arial"/>
          <w:color w:val="000000"/>
          <w:sz w:val="20"/>
        </w:rPr>
        <w:t>, 838 F.2d 701, 706 (3d Cir. 1988). The record reflects that when the testimony was presented, Solomon did not ask for a curative instruction. Given the ample evidence that Solomon was offered a reasonable accommodation, any error was harmless.</w:t>
      </w:r>
    </w:p>
    <w:p w14:paraId="2721F50B" w14:textId="77777777" w:rsidR="00D041A2" w:rsidRDefault="00000000">
      <w:pPr>
        <w:pStyle w:val="Normal3"/>
        <w:widowControl w:val="0"/>
        <w:spacing w:before="200" w:line="260" w:lineRule="atLeast"/>
        <w:jc w:val="both"/>
      </w:pPr>
      <w:bookmarkStart w:id="430" w:name="Bookmark_para_22_1"/>
      <w:bookmarkEnd w:id="430"/>
      <w:r>
        <w:rPr>
          <w:rFonts w:ascii="Arial" w:eastAsia="Arial" w:hAnsi="Arial" w:cs="Arial"/>
          <w:color w:val="000000"/>
          <w:sz w:val="20"/>
        </w:rPr>
        <w:t xml:space="preserve">Solomon argues that the District Court's jury instructions were misleading and provided inadequate guidance for her disparate-treatment claim. </w:t>
      </w:r>
      <w:bookmarkStart w:id="431" w:name="Bookmark_I598880X28T4WN0050000400"/>
      <w:bookmarkEnd w:id="431"/>
      <w:r>
        <w:rPr>
          <w:rFonts w:ascii="Arial" w:eastAsia="Arial" w:hAnsi="Arial" w:cs="Arial"/>
          <w:color w:val="000000"/>
          <w:sz w:val="20"/>
        </w:rPr>
        <w:t xml:space="preserve">The District Court agreed to include a disparate-treatment instruction at Solomon's request, although not with the specific language she submitted. </w:t>
      </w:r>
      <w:bookmarkStart w:id="432" w:name="Bookmark_LNHNREFclscc9_1"/>
      <w:bookmarkEnd w:id="432"/>
      <w:r>
        <w:rPr>
          <w:rFonts w:ascii="Arial" w:eastAsia="Arial" w:hAnsi="Arial" w:cs="Arial"/>
          <w:color w:val="000000"/>
          <w:sz w:val="20"/>
        </w:rPr>
        <w:t xml:space="preserve">Disparate-treatment claims focus on whether and the extent to which a party is treated differently on the basis of a protected status. </w:t>
      </w:r>
      <w:r>
        <w:rPr>
          <w:rFonts w:ascii="Arial" w:eastAsia="Arial" w:hAnsi="Arial" w:cs="Arial"/>
          <w:i/>
          <w:color w:val="000000"/>
          <w:sz w:val="20"/>
        </w:rPr>
        <w:t xml:space="preserve">See, e.g., </w:t>
      </w:r>
      <w:bookmarkStart w:id="433" w:name="Bookmark_I598880X28T4WN0040000400"/>
      <w:bookmarkEnd w:id="433"/>
      <w:r>
        <w:rPr>
          <w:rFonts w:ascii="Arial" w:eastAsia="Arial" w:hAnsi="Arial" w:cs="Arial"/>
          <w:i/>
          <w:color w:val="000000"/>
          <w:sz w:val="20"/>
        </w:rPr>
        <w:t>DeLuca v. Winer Indus., Inc.</w:t>
      </w:r>
      <w:r>
        <w:rPr>
          <w:rFonts w:ascii="Arial" w:eastAsia="Arial" w:hAnsi="Arial" w:cs="Arial"/>
          <w:color w:val="000000"/>
          <w:sz w:val="20"/>
        </w:rPr>
        <w:t xml:space="preserve">, 53 F.3d 793, 797-98 (7th Cir. 1995). </w:t>
      </w:r>
      <w:bookmarkStart w:id="434" w:name="Bookmark_I598880X2N1R7S0020000400"/>
      <w:bookmarkEnd w:id="434"/>
      <w:r>
        <w:rPr>
          <w:rFonts w:ascii="Arial" w:eastAsia="Arial" w:hAnsi="Arial" w:cs="Arial"/>
          <w:color w:val="000000"/>
          <w:sz w:val="20"/>
        </w:rPr>
        <w:t xml:space="preserve">Solomon's claims were based on the School District's failure to grant her an accommodation. Such a claim challenges actions and policies that are facially neutral. </w:t>
      </w:r>
      <w:r>
        <w:rPr>
          <w:rFonts w:ascii="Arial" w:eastAsia="Arial" w:hAnsi="Arial" w:cs="Arial"/>
          <w:i/>
          <w:color w:val="000000"/>
          <w:sz w:val="20"/>
        </w:rPr>
        <w:t xml:space="preserve">See </w:t>
      </w:r>
      <w:bookmarkStart w:id="435" w:name="Bookmark_I598880X2N1R7S0010000400"/>
      <w:bookmarkEnd w:id="435"/>
      <w:r>
        <w:rPr>
          <w:rFonts w:ascii="Arial" w:eastAsia="Arial" w:hAnsi="Arial" w:cs="Arial"/>
          <w:i/>
          <w:color w:val="000000"/>
          <w:sz w:val="20"/>
        </w:rPr>
        <w:t>McGary v. City of Portland</w:t>
      </w:r>
      <w:r>
        <w:rPr>
          <w:rFonts w:ascii="Arial" w:eastAsia="Arial" w:hAnsi="Arial" w:cs="Arial"/>
          <w:color w:val="000000"/>
          <w:sz w:val="20"/>
        </w:rPr>
        <w:t>, 386 F.3d 1259, 1266 (9th Cir. 2004)  [**12] (</w:t>
      </w:r>
      <w:bookmarkStart w:id="436" w:name="Bookmark_LNHNREFclscc10_1"/>
      <w:bookmarkEnd w:id="436"/>
      <w:r>
        <w:rPr>
          <w:rFonts w:ascii="Arial" w:eastAsia="Arial" w:hAnsi="Arial" w:cs="Arial"/>
          <w:color w:val="000000"/>
          <w:sz w:val="20"/>
        </w:rPr>
        <w:t>"[T]he crux of a reasonable accommodation claim is a facially neutral requirement that is consistently enforced."). The District Court's inclusion of a disparate-treatment instruction, which Solomon requested, was unnecessary but did not affect the outcome and is not a basis to alter the judgment or for a new trial.</w:t>
      </w:r>
    </w:p>
    <w:p w14:paraId="5CC2737F" w14:textId="77777777" w:rsidR="00D041A2" w:rsidRDefault="00000000">
      <w:pPr>
        <w:pStyle w:val="Normal3"/>
        <w:widowControl w:val="0"/>
        <w:spacing w:before="240" w:line="260" w:lineRule="atLeast"/>
      </w:pPr>
      <w:r>
        <w:br/>
      </w:r>
      <w:r>
        <w:rPr>
          <w:rFonts w:ascii="Arial" w:eastAsia="Arial" w:hAnsi="Arial" w:cs="Arial"/>
          <w:b/>
          <w:color w:val="000000"/>
          <w:sz w:val="20"/>
        </w:rPr>
        <w:t>IV.</w:t>
      </w:r>
    </w:p>
    <w:p w14:paraId="2AD5BA70" w14:textId="77777777" w:rsidR="00D041A2" w:rsidRDefault="00000000">
      <w:pPr>
        <w:pStyle w:val="Normal3"/>
        <w:widowControl w:val="0"/>
        <w:spacing w:before="240" w:line="260" w:lineRule="atLeast"/>
      </w:pPr>
      <w:r>
        <w:br/>
      </w:r>
      <w:r>
        <w:rPr>
          <w:rFonts w:ascii="Arial" w:eastAsia="Arial" w:hAnsi="Arial" w:cs="Arial"/>
          <w:i/>
          <w:color w:val="000000"/>
          <w:sz w:val="20"/>
        </w:rPr>
        <w:t>Conclusion</w:t>
      </w:r>
    </w:p>
    <w:p w14:paraId="645E125B" w14:textId="77777777" w:rsidR="00D041A2" w:rsidRDefault="00000000">
      <w:pPr>
        <w:pStyle w:val="Normal3"/>
        <w:widowControl w:val="0"/>
        <w:spacing w:before="200" w:line="260" w:lineRule="atLeast"/>
        <w:jc w:val="both"/>
      </w:pPr>
      <w:bookmarkStart w:id="437" w:name="Bookmark_para_23_1"/>
      <w:bookmarkEnd w:id="437"/>
      <w:r>
        <w:rPr>
          <w:rFonts w:ascii="Arial" w:eastAsia="Arial" w:hAnsi="Arial" w:cs="Arial"/>
          <w:color w:val="000000"/>
          <w:sz w:val="20"/>
        </w:rPr>
        <w:t>Therefore, we will affirm the District Court's denial of Solomon's motion to alter or amend the judgment or, alternatively, for new trial.</w:t>
      </w:r>
    </w:p>
    <w:p w14:paraId="07F32BB1" w14:textId="77777777" w:rsidR="00D041A2" w:rsidRDefault="00D041A2">
      <w:pPr>
        <w:pStyle w:val="Normal3"/>
      </w:pPr>
    </w:p>
    <w:p w14:paraId="16DFD7BB" w14:textId="35442F4C" w:rsidR="00D041A2" w:rsidRDefault="00000000">
      <w:pPr>
        <w:pStyle w:val="Normal3"/>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65408" behindDoc="0" locked="0" layoutInCell="1" allowOverlap="1" wp14:anchorId="30DE08D3" wp14:editId="1C424455">
                <wp:simplePos x="0" y="0"/>
                <wp:positionH relativeFrom="column">
                  <wp:posOffset>0</wp:posOffset>
                </wp:positionH>
                <wp:positionV relativeFrom="paragraph">
                  <wp:posOffset>127000</wp:posOffset>
                </wp:positionV>
                <wp:extent cx="6502400" cy="0"/>
                <wp:effectExtent l="9525" t="12700" r="12700" b="6350"/>
                <wp:wrapNone/>
                <wp:docPr id="185903643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CC04B"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463DDC7" w14:textId="77777777" w:rsidR="00D041A2" w:rsidRDefault="00D041A2">
      <w:pPr>
        <w:pStyle w:val="Normal4"/>
        <w:sectPr w:rsidR="00D041A2">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gutter="0"/>
          <w:cols w:space="720"/>
          <w:titlePg/>
        </w:sectPr>
      </w:pPr>
    </w:p>
    <w:p w14:paraId="263FE1A7" w14:textId="77777777" w:rsidR="00D041A2" w:rsidRDefault="00D041A2">
      <w:pPr>
        <w:pStyle w:val="Normal4"/>
      </w:pPr>
    </w:p>
    <w:p w14:paraId="7BC08CA5" w14:textId="77777777" w:rsidR="00D041A2" w:rsidRDefault="00000000">
      <w:pPr>
        <w:pStyle w:val="Heading13"/>
        <w:keepNext w:val="0"/>
        <w:widowControl w:val="0"/>
        <w:spacing w:after="200" w:line="340" w:lineRule="atLeast"/>
        <w:jc w:val="center"/>
      </w:pPr>
      <w:r>
        <w:rPr>
          <w:rFonts w:eastAsia="Arial"/>
          <w:color w:val="000000"/>
          <w:sz w:val="28"/>
        </w:rPr>
        <w:t>Ellis v. Ethicon, Inc.</w:t>
      </w:r>
    </w:p>
    <w:p w14:paraId="24E09300" w14:textId="77777777" w:rsidR="00D041A2" w:rsidRDefault="00000000">
      <w:pPr>
        <w:pStyle w:val="Normal4"/>
        <w:widowControl w:val="0"/>
        <w:spacing w:before="120" w:line="260" w:lineRule="atLeast"/>
        <w:jc w:val="center"/>
      </w:pPr>
      <w:r>
        <w:rPr>
          <w:rFonts w:ascii="Arial" w:eastAsia="Arial" w:hAnsi="Arial" w:cs="Arial"/>
          <w:color w:val="000000"/>
          <w:sz w:val="20"/>
        </w:rPr>
        <w:t>United States Court of Appeals for the Third Circuit</w:t>
      </w:r>
    </w:p>
    <w:p w14:paraId="5674209E" w14:textId="77777777" w:rsidR="00D041A2" w:rsidRDefault="00000000">
      <w:pPr>
        <w:pStyle w:val="Normal4"/>
        <w:widowControl w:val="0"/>
        <w:spacing w:before="120" w:line="260" w:lineRule="atLeast"/>
        <w:jc w:val="center"/>
      </w:pPr>
      <w:r>
        <w:rPr>
          <w:rFonts w:ascii="Arial" w:eastAsia="Arial" w:hAnsi="Arial" w:cs="Arial"/>
          <w:color w:val="000000"/>
          <w:sz w:val="20"/>
        </w:rPr>
        <w:t>June 25, 2013, Argued; July 9, 2013, Opinion Filed</w:t>
      </w:r>
    </w:p>
    <w:p w14:paraId="40144163" w14:textId="77777777" w:rsidR="00D041A2" w:rsidRDefault="00000000">
      <w:pPr>
        <w:pStyle w:val="Normal4"/>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Nos. 10-1919, 12-1361</w:t>
      </w:r>
    </w:p>
    <w:p w14:paraId="641D53B2" w14:textId="77777777" w:rsidR="00D041A2" w:rsidRDefault="00D041A2">
      <w:pPr>
        <w:pStyle w:val="Normal4"/>
        <w:widowControl w:val="0"/>
        <w:spacing w:line="240" w:lineRule="atLeast"/>
        <w:jc w:val="both"/>
      </w:pPr>
      <w:bookmarkStart w:id="438" w:name="Bookmark_5"/>
      <w:bookmarkEnd w:id="438"/>
    </w:p>
    <w:p w14:paraId="5420C09C" w14:textId="77777777" w:rsidR="00D041A2" w:rsidRDefault="00000000">
      <w:pPr>
        <w:pStyle w:val="Normal4"/>
        <w:widowControl w:val="0"/>
        <w:spacing w:before="200" w:line="240" w:lineRule="atLeast"/>
      </w:pPr>
      <w:bookmarkStart w:id="439" w:name="Reporter_3"/>
      <w:bookmarkEnd w:id="439"/>
      <w:r>
        <w:rPr>
          <w:rFonts w:ascii="Arial" w:eastAsia="Arial" w:hAnsi="Arial" w:cs="Arial"/>
          <w:b/>
          <w:color w:val="000000"/>
          <w:sz w:val="18"/>
        </w:rPr>
        <w:t>Reporter</w:t>
      </w:r>
    </w:p>
    <w:p w14:paraId="0789FE90" w14:textId="77777777" w:rsidR="00D041A2" w:rsidRDefault="00000000">
      <w:pPr>
        <w:pStyle w:val="Normal4"/>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529 Fed. Appx. 310 *; 2013 U.S. App. LEXIS 14014 **; 28 Am. Disabilities Cas. (BNA) 614; 2013 WL 3481585</w:t>
      </w:r>
    </w:p>
    <w:p w14:paraId="53F77E47" w14:textId="77777777" w:rsidR="00D041A2" w:rsidRDefault="00000000">
      <w:pPr>
        <w:pStyle w:val="Normal4"/>
        <w:widowControl w:val="0"/>
        <w:spacing w:before="120" w:line="260" w:lineRule="atLeast"/>
      </w:pPr>
      <w:r>
        <w:rPr>
          <w:rFonts w:ascii="Arial" w:eastAsia="Arial" w:hAnsi="Arial" w:cs="Arial"/>
          <w:color w:val="000000"/>
          <w:sz w:val="20"/>
        </w:rPr>
        <w:t>THERESA M. ELLIS; SCOTT A. ZUKOWSKI v. ETHICON, INC.; JOHNSON &amp; JOHNSON, INC.; JOHN DOES, jointly, severally, and/or in the alternative, Ethicon, Inc., Appellant in 10-1919 Theresa Ellis, Appellant in 12-1361</w:t>
      </w:r>
    </w:p>
    <w:p w14:paraId="58B44AD3" w14:textId="77777777" w:rsidR="00D041A2" w:rsidRDefault="00000000">
      <w:pPr>
        <w:pStyle w:val="Normal4"/>
        <w:widowControl w:val="0"/>
        <w:spacing w:before="240" w:line="260" w:lineRule="atLeast"/>
        <w:jc w:val="both"/>
      </w:pPr>
      <w:bookmarkStart w:id="440" w:name="Notice_2"/>
      <w:bookmarkEnd w:id="440"/>
      <w:r>
        <w:rPr>
          <w:rFonts w:ascii="Arial" w:eastAsia="Arial" w:hAnsi="Arial" w:cs="Arial"/>
          <w:b/>
          <w:color w:val="000000"/>
          <w:sz w:val="20"/>
        </w:rPr>
        <w:t>Notice:</w:t>
      </w:r>
      <w:r>
        <w:rPr>
          <w:rFonts w:ascii="Arial" w:eastAsia="Arial" w:hAnsi="Arial" w:cs="Arial"/>
          <w:color w:val="000000"/>
          <w:sz w:val="20"/>
        </w:rPr>
        <w:t> </w:t>
      </w:r>
      <w:bookmarkStart w:id="441" w:name="Bookmark_para_1_3"/>
      <w:bookmarkEnd w:id="441"/>
      <w:r>
        <w:rPr>
          <w:rFonts w:ascii="Arial" w:eastAsia="Arial" w:hAnsi="Arial" w:cs="Arial"/>
          <w:color w:val="000000"/>
          <w:sz w:val="20"/>
        </w:rPr>
        <w:t>NOT PRECEDENTIAL OPINION UNDER THIRD CIRCUIT INTERNAL OPERATING PROCEDURE RULE 5.7. SUCH OPINIONS ARE NOT REGARDED AS PRECEDENTS WHICH BIND THE COURT.</w:t>
      </w:r>
    </w:p>
    <w:p w14:paraId="17A7631C" w14:textId="77777777" w:rsidR="00D041A2" w:rsidRDefault="00000000">
      <w:pPr>
        <w:pStyle w:val="Normal4"/>
        <w:widowControl w:val="0"/>
        <w:spacing w:before="200" w:line="260" w:lineRule="atLeast"/>
        <w:jc w:val="both"/>
      </w:pPr>
      <w:bookmarkStart w:id="442" w:name="Bookmark_para_2_3"/>
      <w:bookmarkEnd w:id="442"/>
      <w:r>
        <w:rPr>
          <w:rFonts w:ascii="Arial" w:eastAsia="Arial" w:hAnsi="Arial" w:cs="Arial"/>
          <w:color w:val="000000"/>
          <w:sz w:val="20"/>
        </w:rPr>
        <w:t>PLEASE REFER TO FEDERAL RULES OF APPELLATE PROCEDURE RULE 32.1 GOVERNING THE CITATION TO UNPUBLISHED OPINIONS.</w:t>
      </w:r>
    </w:p>
    <w:p w14:paraId="0B91F694" w14:textId="77777777" w:rsidR="00D041A2" w:rsidRDefault="00000000">
      <w:pPr>
        <w:pStyle w:val="Normal4"/>
        <w:widowControl w:val="0"/>
        <w:spacing w:before="240" w:line="260" w:lineRule="atLeast"/>
      </w:pPr>
      <w:bookmarkStart w:id="443" w:name="Subsequent_History_0"/>
      <w:bookmarkEnd w:id="443"/>
      <w:r>
        <w:rPr>
          <w:rFonts w:ascii="Arial" w:eastAsia="Arial" w:hAnsi="Arial" w:cs="Arial"/>
          <w:b/>
          <w:color w:val="000000"/>
          <w:sz w:val="20"/>
        </w:rPr>
        <w:t>Subsequent History:</w:t>
      </w:r>
      <w:r>
        <w:rPr>
          <w:rFonts w:ascii="Arial" w:eastAsia="Arial" w:hAnsi="Arial" w:cs="Arial"/>
          <w:color w:val="000000"/>
          <w:sz w:val="20"/>
        </w:rPr>
        <w:t> Motion granted by, Settled by Ellis v. Ethicon, 2014 U.S. Dist. LEXIS 186881 (D.N.J., June 2, 2014)</w:t>
      </w:r>
    </w:p>
    <w:p w14:paraId="79AD313A" w14:textId="77777777" w:rsidR="00D041A2" w:rsidRDefault="00000000">
      <w:pPr>
        <w:pStyle w:val="Normal4"/>
        <w:widowControl w:val="0"/>
        <w:spacing w:before="240" w:line="260" w:lineRule="atLeast"/>
        <w:jc w:val="both"/>
      </w:pPr>
      <w:bookmarkStart w:id="444" w:name="Prior_History_3"/>
      <w:bookmarkEnd w:id="444"/>
      <w:r>
        <w:rPr>
          <w:rFonts w:ascii="Arial" w:eastAsia="Arial" w:hAnsi="Arial" w:cs="Arial"/>
          <w:b/>
          <w:color w:val="000000"/>
          <w:sz w:val="20"/>
        </w:rPr>
        <w:t>Prior History:</w:t>
      </w:r>
      <w:r>
        <w:rPr>
          <w:rFonts w:ascii="Arial" w:eastAsia="Arial" w:hAnsi="Arial" w:cs="Arial"/>
          <w:color w:val="000000"/>
          <w:sz w:val="20"/>
        </w:rPr>
        <w:t>  [**1] </w:t>
      </w:r>
      <w:bookmarkStart w:id="445" w:name="Bookmark_para_3_3"/>
      <w:bookmarkEnd w:id="445"/>
      <w:r>
        <w:rPr>
          <w:rFonts w:ascii="Arial" w:eastAsia="Arial" w:hAnsi="Arial" w:cs="Arial"/>
          <w:color w:val="000000"/>
          <w:sz w:val="20"/>
        </w:rPr>
        <w:t>On Appeal from the United States District Court for the District of New Jersey. (D.C. Civil No. 3-05-cv-00726). District Judges: Honorable Freda L. Wolfson, Honorable Peter G. Sheridan.</w:t>
      </w:r>
    </w:p>
    <w:p w14:paraId="04467762" w14:textId="77777777" w:rsidR="00D041A2" w:rsidRDefault="00000000">
      <w:pPr>
        <w:pStyle w:val="Normal4"/>
        <w:widowControl w:val="0"/>
        <w:spacing w:before="120" w:line="260" w:lineRule="atLeast"/>
      </w:pPr>
      <w:r>
        <w:rPr>
          <w:rFonts w:ascii="Arial" w:eastAsia="Arial" w:hAnsi="Arial" w:cs="Arial"/>
          <w:color w:val="000000"/>
          <w:sz w:val="20"/>
        </w:rPr>
        <w:t>Ellis v. Ethicon, Inc., 2009 U.S. Dist. LEXIS 106620 (D.N.J., Nov. 13, 2009)</w:t>
      </w:r>
    </w:p>
    <w:p w14:paraId="1E5EA114" w14:textId="77777777" w:rsidR="00D041A2" w:rsidRDefault="00000000">
      <w:pPr>
        <w:pStyle w:val="Normal4"/>
        <w:widowControl w:val="0"/>
        <w:spacing w:before="240" w:line="260" w:lineRule="atLeast"/>
      </w:pPr>
      <w:bookmarkStart w:id="446" w:name="Counsel_3"/>
      <w:bookmarkEnd w:id="446"/>
      <w:r>
        <w:rPr>
          <w:rFonts w:ascii="Arial" w:eastAsia="Arial" w:hAnsi="Arial" w:cs="Arial"/>
          <w:b/>
          <w:color w:val="000000"/>
          <w:sz w:val="20"/>
        </w:rPr>
        <w:t>Counsel:</w:t>
      </w:r>
      <w:r>
        <w:rPr>
          <w:rFonts w:ascii="Arial" w:eastAsia="Arial" w:hAnsi="Arial" w:cs="Arial"/>
          <w:color w:val="000000"/>
          <w:sz w:val="20"/>
        </w:rPr>
        <w:t> Francis X. Dee (ARGUED), McElroy, Deutsch, Mulvaney &amp; Carpenter, LLP, Newark, New Jersey, Counsel for Ethicon, Inc., Appellant in No. 10-1919.</w:t>
      </w:r>
    </w:p>
    <w:p w14:paraId="2F5631C4" w14:textId="77777777" w:rsidR="00D041A2" w:rsidRDefault="00000000">
      <w:pPr>
        <w:pStyle w:val="Normal4"/>
        <w:widowControl w:val="0"/>
        <w:spacing w:before="120" w:line="260" w:lineRule="atLeast"/>
      </w:pPr>
      <w:r>
        <w:rPr>
          <w:rFonts w:ascii="Arial" w:eastAsia="Arial" w:hAnsi="Arial" w:cs="Arial"/>
          <w:color w:val="000000"/>
          <w:sz w:val="20"/>
        </w:rPr>
        <w:t>Michael L. Foreman(ARGUED), The Pennsylvania State University, The Dickinson School of Law, Civil Rights Appellate Clinic, State College, PA, Amicus Counsel on behalf of Theresa M. Ellis, Appellant in No. 12-1361.</w:t>
      </w:r>
    </w:p>
    <w:p w14:paraId="18BFFA35" w14:textId="77777777" w:rsidR="00D041A2" w:rsidRDefault="00000000">
      <w:pPr>
        <w:pStyle w:val="Normal4"/>
        <w:widowControl w:val="0"/>
        <w:spacing w:before="240" w:line="260" w:lineRule="atLeast"/>
      </w:pPr>
      <w:bookmarkStart w:id="447" w:name="Judges_3"/>
      <w:bookmarkEnd w:id="447"/>
      <w:r>
        <w:rPr>
          <w:rFonts w:ascii="Arial" w:eastAsia="Arial" w:hAnsi="Arial" w:cs="Arial"/>
          <w:b/>
          <w:color w:val="000000"/>
          <w:sz w:val="20"/>
        </w:rPr>
        <w:t>Judges:</w:t>
      </w:r>
      <w:r>
        <w:rPr>
          <w:rFonts w:ascii="Arial" w:eastAsia="Arial" w:hAnsi="Arial" w:cs="Arial"/>
          <w:color w:val="000000"/>
          <w:sz w:val="20"/>
        </w:rPr>
        <w:t> Before: FUENTES, FISHER and CHAGARES, Circuit Judges.</w:t>
      </w:r>
    </w:p>
    <w:p w14:paraId="17EE7A1B" w14:textId="77777777" w:rsidR="00D041A2" w:rsidRDefault="00000000">
      <w:pPr>
        <w:pStyle w:val="Normal4"/>
        <w:widowControl w:val="0"/>
        <w:spacing w:before="240" w:line="260" w:lineRule="atLeast"/>
      </w:pPr>
      <w:bookmarkStart w:id="448" w:name="Opinion_by_2"/>
      <w:bookmarkEnd w:id="448"/>
      <w:r>
        <w:rPr>
          <w:rFonts w:ascii="Arial" w:eastAsia="Arial" w:hAnsi="Arial" w:cs="Arial"/>
          <w:b/>
          <w:color w:val="000000"/>
          <w:sz w:val="20"/>
        </w:rPr>
        <w:t>Opinion by:</w:t>
      </w:r>
      <w:r>
        <w:rPr>
          <w:rFonts w:ascii="Arial" w:eastAsia="Arial" w:hAnsi="Arial" w:cs="Arial"/>
          <w:color w:val="000000"/>
          <w:sz w:val="20"/>
        </w:rPr>
        <w:t> FUENTES</w:t>
      </w:r>
    </w:p>
    <w:p w14:paraId="32CF0FC9" w14:textId="77777777" w:rsidR="00D041A2" w:rsidRDefault="00000000">
      <w:pPr>
        <w:pStyle w:val="Normal4"/>
        <w:keepNext/>
        <w:widowControl w:val="0"/>
        <w:spacing w:before="240" w:line="340" w:lineRule="atLeast"/>
      </w:pPr>
      <w:bookmarkStart w:id="449" w:name="Opinion_3"/>
      <w:bookmarkEnd w:id="449"/>
      <w:r>
        <w:rPr>
          <w:rFonts w:ascii="Arial" w:eastAsia="Arial" w:hAnsi="Arial" w:cs="Arial"/>
          <w:b/>
          <w:color w:val="000000"/>
          <w:sz w:val="28"/>
        </w:rPr>
        <w:t>Opinion</w:t>
      </w:r>
    </w:p>
    <w:p w14:paraId="4C9D71C7" w14:textId="70972A79" w:rsidR="00D041A2" w:rsidRDefault="004D4403">
      <w:pPr>
        <w:pStyle w:val="Normal4"/>
        <w:spacing w:line="60" w:lineRule="exact"/>
      </w:pPr>
      <w:r>
        <w:rPr>
          <w:noProof/>
        </w:rPr>
        <mc:AlternateContent>
          <mc:Choice Requires="wps">
            <w:drawing>
              <wp:anchor distT="0" distB="0" distL="114300" distR="114300" simplePos="0" relativeHeight="251666432" behindDoc="0" locked="0" layoutInCell="1" allowOverlap="1" wp14:anchorId="51055A0C" wp14:editId="63EF5B87">
                <wp:simplePos x="0" y="0"/>
                <wp:positionH relativeFrom="column">
                  <wp:posOffset>0</wp:posOffset>
                </wp:positionH>
                <wp:positionV relativeFrom="paragraph">
                  <wp:posOffset>25400</wp:posOffset>
                </wp:positionV>
                <wp:extent cx="3187700" cy="0"/>
                <wp:effectExtent l="19050" t="15875" r="12700" b="12700"/>
                <wp:wrapTopAndBottom/>
                <wp:docPr id="175698253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BDC3D"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F22BE60" w14:textId="77777777" w:rsidR="00D041A2" w:rsidRDefault="00D041A2">
      <w:pPr>
        <w:pStyle w:val="Normal4"/>
        <w:spacing w:line="120" w:lineRule="exact"/>
      </w:pPr>
    </w:p>
    <w:p w14:paraId="02EE55FA" w14:textId="77777777" w:rsidR="00D041A2" w:rsidRDefault="00000000">
      <w:pPr>
        <w:pStyle w:val="Normal4"/>
        <w:widowControl w:val="0"/>
        <w:spacing w:before="240" w:line="260" w:lineRule="atLeast"/>
      </w:pPr>
      <w:r>
        <w:br/>
      </w:r>
      <w:r>
        <w:rPr>
          <w:rFonts w:ascii="Arial" w:eastAsia="Arial" w:hAnsi="Arial" w:cs="Arial"/>
          <w:color w:val="000000"/>
          <w:sz w:val="20"/>
        </w:rPr>
        <w:t> [*311]  OPINION OF THE COURT</w:t>
      </w:r>
    </w:p>
    <w:p w14:paraId="0C64F6EB" w14:textId="77777777" w:rsidR="00D041A2" w:rsidRDefault="00000000">
      <w:pPr>
        <w:pStyle w:val="Normal4"/>
        <w:widowControl w:val="0"/>
        <w:spacing w:before="200" w:line="260" w:lineRule="atLeast"/>
        <w:jc w:val="both"/>
      </w:pPr>
      <w:bookmarkStart w:id="450" w:name="Bookmark_para_4_3"/>
      <w:bookmarkEnd w:id="450"/>
      <w:r>
        <w:rPr>
          <w:rFonts w:ascii="Arial" w:eastAsia="Arial" w:hAnsi="Arial" w:cs="Arial"/>
          <w:color w:val="000000"/>
          <w:sz w:val="20"/>
        </w:rPr>
        <w:t xml:space="preserve">FUENTES, </w:t>
      </w:r>
      <w:r>
        <w:rPr>
          <w:rFonts w:ascii="Arial" w:eastAsia="Arial" w:hAnsi="Arial" w:cs="Arial"/>
          <w:color w:val="000000"/>
          <w:sz w:val="20"/>
          <w:u w:val="single"/>
        </w:rPr>
        <w:t>Circuit Judge</w:t>
      </w:r>
      <w:r>
        <w:rPr>
          <w:rFonts w:ascii="Arial" w:eastAsia="Arial" w:hAnsi="Arial" w:cs="Arial"/>
          <w:color w:val="000000"/>
          <w:sz w:val="20"/>
        </w:rPr>
        <w:t>:</w:t>
      </w:r>
    </w:p>
    <w:p w14:paraId="18615777" w14:textId="77777777" w:rsidR="00D041A2" w:rsidRDefault="00000000">
      <w:pPr>
        <w:pStyle w:val="Normal4"/>
        <w:widowControl w:val="0"/>
        <w:spacing w:before="200" w:line="260" w:lineRule="atLeast"/>
        <w:jc w:val="both"/>
      </w:pPr>
      <w:bookmarkStart w:id="451" w:name="Bookmark_para_5_3"/>
      <w:bookmarkEnd w:id="451"/>
      <w:r>
        <w:rPr>
          <w:rFonts w:ascii="Arial" w:eastAsia="Arial" w:hAnsi="Arial" w:cs="Arial"/>
          <w:color w:val="000000"/>
          <w:sz w:val="20"/>
        </w:rPr>
        <w:t>These consolidated appeals arose from a complaint that Theresa M. Ellis ("Ellis") and her husband, Scott A. Zukowski, filed against Ethicon, Inc. ("Ethicon") in 2005, claiming that Ethicon had violated the Americans with Disabilities Act ("ADA") by failing to provide Ellis with reasonable accommodations for her disability of mild traumatic brain injury ("MTBI"). In No. 10-1919, Ethicon, Ellis's former employer, appeals the decision of Judge Freda L. Wolfson of the United States District Court for the District of New Jersey denying its motion for judgment  [**2] as a matter of law or for a new trial. In No. 12-1361, Ellis appeals the ruling of Judge Peter G. Sheridan to deny her application for emergency relief in connection with her request for front pay until reinstatement.</w:t>
      </w:r>
    </w:p>
    <w:p w14:paraId="69651C47" w14:textId="77777777" w:rsidR="00D041A2" w:rsidRDefault="00000000">
      <w:pPr>
        <w:pStyle w:val="Normal4"/>
        <w:widowControl w:val="0"/>
        <w:spacing w:before="200" w:line="260" w:lineRule="atLeast"/>
        <w:jc w:val="both"/>
      </w:pPr>
      <w:bookmarkStart w:id="452" w:name="Bookmark_para_6_3"/>
      <w:bookmarkEnd w:id="452"/>
      <w:r>
        <w:rPr>
          <w:rFonts w:ascii="Arial" w:eastAsia="Arial" w:hAnsi="Arial" w:cs="Arial"/>
          <w:color w:val="000000"/>
          <w:sz w:val="20"/>
        </w:rPr>
        <w:t>Ellis was involved in a serious car accident in January of 1999, causing her to take a short-term disability leave from Ethicon. Ellis returned to her job as an engineer at Ethicon from September 1999 to April 2001, at which time she complained of increased pain, dizziness, and difficulty concentrating. She was treated by a neurologist who diagnosed Ellis with MTBI resulting from the car accident. Ellis began a second period of short-term disability leave. In preparation for her return to full-time work, Ellis's doctors recommended to Ethicon that Ellis work from home three days a week and obtain a job coach. Ethicon communicated that it could not accept these accommodations. When Ellis's second short-term disability leave ended on October 21, 2001, Ethicon rolled Ellis into a long-term disability program, which effectively terminated her. Ellis then obtained a job at Aventis, a company similar to Ethicon, where she worked until August of 2004.</w:t>
      </w:r>
    </w:p>
    <w:p w14:paraId="66FAB941" w14:textId="77777777" w:rsidR="00D041A2" w:rsidRDefault="00000000">
      <w:pPr>
        <w:pStyle w:val="Normal4"/>
        <w:widowControl w:val="0"/>
        <w:spacing w:before="200" w:line="260" w:lineRule="atLeast"/>
        <w:jc w:val="both"/>
      </w:pPr>
      <w:bookmarkStart w:id="453" w:name="Bookmark_para_7_3"/>
      <w:bookmarkEnd w:id="453"/>
      <w:r>
        <w:rPr>
          <w:rFonts w:ascii="Arial" w:eastAsia="Arial" w:hAnsi="Arial" w:cs="Arial"/>
          <w:color w:val="000000"/>
          <w:sz w:val="20"/>
        </w:rPr>
        <w:t>At the jury trial, both parties  [**3] disputed their respective participation in the interactive process to provide Ellis with reasonable accommodations under the ADA. The jury returned a verdict for Ellis, finding that she was disabled and qualified for relief under the ADA, and that Ethicon had failed to provide Ellis reasonable accommodations. The jury recommended an award of back pay and front pay. The District Court awarded Ellis back pay and ordered Ethicon to reinstate her as a quality engineer or to a comparable position but denied Ellis front pay because she had failed to mitigate her damages by not making any reasonable effort to secure employment after she left Aventis.</w:t>
      </w:r>
    </w:p>
    <w:p w14:paraId="3BA1D286" w14:textId="77777777" w:rsidR="00D041A2" w:rsidRDefault="00000000">
      <w:pPr>
        <w:pStyle w:val="Normal4"/>
        <w:widowControl w:val="0"/>
        <w:spacing w:before="200" w:line="260" w:lineRule="atLeast"/>
        <w:jc w:val="both"/>
      </w:pPr>
      <w:bookmarkStart w:id="454" w:name="Bookmark_para_8_3"/>
      <w:bookmarkEnd w:id="454"/>
      <w:r>
        <w:rPr>
          <w:rFonts w:ascii="Arial" w:eastAsia="Arial" w:hAnsi="Arial" w:cs="Arial"/>
          <w:color w:val="000000"/>
          <w:sz w:val="20"/>
        </w:rPr>
        <w:t>After these proceedings, Ethicon offered Ellis reinstatement on two separate occasions, but both times Ellis refused the offers. On September 30, 2011, Ellis filed an application for emergency relief seeking front pay until her reinstatement. The case was reassigned to Judge Sheridan who denied Ellis's application.</w:t>
      </w:r>
    </w:p>
    <w:p w14:paraId="4A162556" w14:textId="77777777" w:rsidR="00D041A2" w:rsidRDefault="00000000">
      <w:pPr>
        <w:pStyle w:val="Normal4"/>
        <w:widowControl w:val="0"/>
        <w:spacing w:before="200" w:line="260" w:lineRule="atLeast"/>
        <w:jc w:val="both"/>
      </w:pPr>
      <w:bookmarkStart w:id="455" w:name="Bookmark_para_9_3"/>
      <w:bookmarkStart w:id="456" w:name="Bookmark_I59171VY28T5030020000400"/>
      <w:bookmarkStart w:id="457" w:name="Bookmark_I59171VY28T5030040000400"/>
      <w:bookmarkEnd w:id="455"/>
      <w:bookmarkEnd w:id="456"/>
      <w:bookmarkEnd w:id="457"/>
      <w:r>
        <w:rPr>
          <w:rFonts w:ascii="Arial" w:eastAsia="Arial" w:hAnsi="Arial" w:cs="Arial"/>
          <w:color w:val="000000"/>
          <w:sz w:val="20"/>
        </w:rPr>
        <w:t xml:space="preserve">We have jurisdiction over these appeals pursuant to 28 U.S.C. § 1291. </w:t>
      </w:r>
      <w:bookmarkStart w:id="458" w:name="Bookmark_I59171VY2D6MTB0010000400"/>
      <w:bookmarkEnd w:id="458"/>
      <w:r>
        <w:rPr>
          <w:rFonts w:ascii="Arial" w:eastAsia="Arial" w:hAnsi="Arial" w:cs="Arial"/>
          <w:color w:val="000000"/>
          <w:sz w:val="20"/>
        </w:rPr>
        <w:t xml:space="preserve">We exercise plenary review over a district court's denial of judgment as a matter of law. </w:t>
      </w:r>
      <w:bookmarkStart w:id="459" w:name="Bookmark_I59171VY28T5030010000400"/>
      <w:bookmarkEnd w:id="459"/>
      <w:r>
        <w:rPr>
          <w:rFonts w:ascii="Arial" w:eastAsia="Arial" w:hAnsi="Arial" w:cs="Arial"/>
          <w:i/>
          <w:color w:val="000000"/>
          <w:sz w:val="20"/>
        </w:rPr>
        <w:t>Eshelman v. Agere Sys., Inc.,</w:t>
      </w:r>
      <w:r>
        <w:rPr>
          <w:rFonts w:ascii="Arial" w:eastAsia="Arial" w:hAnsi="Arial" w:cs="Arial"/>
          <w:color w:val="000000"/>
          <w:sz w:val="20"/>
        </w:rPr>
        <w:t xml:space="preserve"> 554 F.3d 426, 433 (3d Cir. 2009). "In reviewing  [**4] the grant of a judgment as a matter of law . . . following a jury verdict, we must view the evidence in the light most favorable to the  [*312]  non-moving party, and determine whether the record contains the minimum quantum of evidence from which a jury might reasonably afford relief." </w:t>
      </w:r>
      <w:bookmarkStart w:id="460" w:name="Bookmark_I59171VY28T5030030000400"/>
      <w:bookmarkEnd w:id="460"/>
      <w:r>
        <w:rPr>
          <w:rFonts w:ascii="Arial" w:eastAsia="Arial" w:hAnsi="Arial" w:cs="Arial"/>
          <w:i/>
          <w:color w:val="000000"/>
          <w:sz w:val="20"/>
        </w:rPr>
        <w:t>Buczek v. Cont'l Cas. Ins. Co.,</w:t>
      </w:r>
      <w:r>
        <w:rPr>
          <w:rFonts w:ascii="Arial" w:eastAsia="Arial" w:hAnsi="Arial" w:cs="Arial"/>
          <w:color w:val="000000"/>
          <w:sz w:val="20"/>
        </w:rPr>
        <w:t xml:space="preserve"> 378 F.3d 284, 288 (3d Cir. 2004) (quotations omitted). </w:t>
      </w:r>
      <w:bookmarkStart w:id="461" w:name="Bookmark_I59171VY2D6MTB0010000400_2"/>
      <w:bookmarkEnd w:id="461"/>
      <w:r>
        <w:rPr>
          <w:rFonts w:ascii="Arial" w:eastAsia="Arial" w:hAnsi="Arial" w:cs="Arial"/>
          <w:color w:val="000000"/>
          <w:sz w:val="20"/>
        </w:rPr>
        <w:t xml:space="preserve">We review a district court's denial of a request for injunctive relief for an abuse of discretion, </w:t>
      </w:r>
      <w:bookmarkStart w:id="462" w:name="Bookmark_I59171VY28T5030050000400"/>
      <w:bookmarkEnd w:id="462"/>
      <w:r>
        <w:rPr>
          <w:rFonts w:ascii="Arial" w:eastAsia="Arial" w:hAnsi="Arial" w:cs="Arial"/>
          <w:i/>
          <w:color w:val="000000"/>
          <w:sz w:val="20"/>
        </w:rPr>
        <w:t>Pappan Enters., Inc. v. Hardee's Food Sys., Inc.,</w:t>
      </w:r>
      <w:r>
        <w:rPr>
          <w:rFonts w:ascii="Arial" w:eastAsia="Arial" w:hAnsi="Arial" w:cs="Arial"/>
          <w:color w:val="000000"/>
          <w:sz w:val="20"/>
        </w:rPr>
        <w:t xml:space="preserve"> 143 F.3d 800, 803 (3d Cir. 1998), and we recognize that a preliminary injunction "is an extraordinary remedy." </w:t>
      </w:r>
      <w:bookmarkStart w:id="463" w:name="Bookmark_I59171VY2D6MTB0020000400"/>
      <w:bookmarkEnd w:id="463"/>
      <w:r>
        <w:rPr>
          <w:rFonts w:ascii="Arial" w:eastAsia="Arial" w:hAnsi="Arial" w:cs="Arial"/>
          <w:i/>
          <w:color w:val="000000"/>
          <w:sz w:val="20"/>
        </w:rPr>
        <w:t>NutraSweet Co. v. Vit-Mar Enters., Inc.,</w:t>
      </w:r>
      <w:r>
        <w:rPr>
          <w:rFonts w:ascii="Arial" w:eastAsia="Arial" w:hAnsi="Arial" w:cs="Arial"/>
          <w:color w:val="000000"/>
          <w:sz w:val="20"/>
        </w:rPr>
        <w:t xml:space="preserve"> 176 F.3d 151, 153 (3d Cir. 1999).</w:t>
      </w:r>
    </w:p>
    <w:p w14:paraId="4EA33918" w14:textId="77777777" w:rsidR="00D041A2" w:rsidRDefault="00000000">
      <w:pPr>
        <w:pStyle w:val="Normal4"/>
        <w:widowControl w:val="0"/>
        <w:spacing w:before="200" w:line="260" w:lineRule="atLeast"/>
        <w:jc w:val="both"/>
      </w:pPr>
      <w:bookmarkStart w:id="464" w:name="Bookmark_para_10_3"/>
      <w:bookmarkEnd w:id="464"/>
      <w:r>
        <w:rPr>
          <w:rFonts w:ascii="Arial" w:eastAsia="Arial" w:hAnsi="Arial" w:cs="Arial"/>
          <w:color w:val="000000"/>
          <w:sz w:val="20"/>
        </w:rPr>
        <w:t>On appeal, Ethicon argues that the District Court erred by denying its motion for judgment as a matter of law or, alternatively, a new trial. Ethicon claims that the District Court wrongly limited its cross examination on the basis of attorney-client privilege, that the evidence reveals that Ethicon complied with its ADA obligations by engaging in the interactive process to provide Ellis reasonable accommodations, that Ellis failed to prove that she was disabled or qualified under the ADA, and that  [**5] reinstatement was an improper remedy.</w:t>
      </w:r>
    </w:p>
    <w:p w14:paraId="66D23A4A" w14:textId="77777777" w:rsidR="00D041A2" w:rsidRDefault="00000000">
      <w:pPr>
        <w:pStyle w:val="Normal4"/>
        <w:widowControl w:val="0"/>
        <w:spacing w:before="200" w:line="260" w:lineRule="atLeast"/>
        <w:jc w:val="both"/>
      </w:pPr>
      <w:bookmarkStart w:id="465" w:name="Bookmark_para_11_2"/>
      <w:bookmarkEnd w:id="465"/>
      <w:r>
        <w:rPr>
          <w:rFonts w:ascii="Arial" w:eastAsia="Arial" w:hAnsi="Arial" w:cs="Arial"/>
          <w:color w:val="000000"/>
          <w:sz w:val="20"/>
        </w:rPr>
        <w:t>After a careful review of the record and the arguments on appeal, we find no basis to disturb either Judge Wolfson's opinion denying Ethicon's motion for judgment as a matter of law or for a new trial, or Judge Sheridan's ruling denying Ellis's application for emergency relief. We agree that there was sufficient evidence that Ellis is eligible for relief under the ADA as a disabled and a qualified individual, that Ethicon violated the ADA by failing to engage in the interactive process and to provide Ellis reasonable accommodations, and that reinstatement is a proper remedy. We, therefore, decline to disturb the jury's verdict. We also conclude that the District Court did not abuse its discretion in limiting Ethicon's cross examination on the basis of attorney-client privilege. Finally, we hold that the extraordinary remedy of granting Ellis's application for emergency relief is not warranted in these circumstances and that Judge Sheridan's decision to deny this application was proper. Accordingly, we hereby affirm substantially for the reasons stated by the District Court.</w:t>
      </w:r>
    </w:p>
    <w:p w14:paraId="2A130A4B" w14:textId="77777777" w:rsidR="00D041A2" w:rsidRDefault="00D041A2">
      <w:pPr>
        <w:pStyle w:val="Normal4"/>
      </w:pPr>
    </w:p>
    <w:p w14:paraId="377E97D1" w14:textId="2F42CD5F" w:rsidR="00D041A2" w:rsidRDefault="00000000">
      <w:pPr>
        <w:pStyle w:val="Normal4"/>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67456" behindDoc="0" locked="0" layoutInCell="1" allowOverlap="1" wp14:anchorId="555C5E91" wp14:editId="511BB6DB">
                <wp:simplePos x="0" y="0"/>
                <wp:positionH relativeFrom="column">
                  <wp:posOffset>0</wp:posOffset>
                </wp:positionH>
                <wp:positionV relativeFrom="paragraph">
                  <wp:posOffset>127000</wp:posOffset>
                </wp:positionV>
                <wp:extent cx="6502400" cy="0"/>
                <wp:effectExtent l="9525" t="12700" r="12700" b="6350"/>
                <wp:wrapNone/>
                <wp:docPr id="160336538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EE5B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E930C17" w14:textId="77777777" w:rsidR="00D041A2" w:rsidRDefault="00D041A2">
      <w:pPr>
        <w:pStyle w:val="Normal5"/>
        <w:sectPr w:rsidR="00D041A2">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gutter="0"/>
          <w:cols w:space="720"/>
          <w:titlePg/>
        </w:sectPr>
      </w:pPr>
    </w:p>
    <w:p w14:paraId="3A4375B2" w14:textId="77777777" w:rsidR="00D041A2" w:rsidRDefault="00D041A2">
      <w:pPr>
        <w:pStyle w:val="Normal5"/>
      </w:pPr>
    </w:p>
    <w:p w14:paraId="4906EF00" w14:textId="77777777" w:rsidR="00D041A2" w:rsidRDefault="00000000">
      <w:pPr>
        <w:pStyle w:val="Heading14"/>
        <w:keepNext w:val="0"/>
        <w:widowControl w:val="0"/>
        <w:spacing w:after="200" w:line="340" w:lineRule="atLeast"/>
        <w:jc w:val="center"/>
      </w:pPr>
      <w:r>
        <w:rPr>
          <w:rFonts w:eastAsia="Arial"/>
          <w:color w:val="000000"/>
          <w:sz w:val="28"/>
        </w:rPr>
        <w:t>Stebbins v. Legal Aid of Ark.</w:t>
      </w:r>
    </w:p>
    <w:p w14:paraId="2A0BBBD4" w14:textId="77777777" w:rsidR="00D041A2" w:rsidRDefault="00000000">
      <w:pPr>
        <w:pStyle w:val="Normal5"/>
        <w:widowControl w:val="0"/>
        <w:spacing w:before="120" w:line="260" w:lineRule="atLeast"/>
        <w:jc w:val="center"/>
      </w:pPr>
      <w:r>
        <w:rPr>
          <w:rFonts w:ascii="Arial" w:eastAsia="Arial" w:hAnsi="Arial" w:cs="Arial"/>
          <w:color w:val="000000"/>
          <w:sz w:val="20"/>
        </w:rPr>
        <w:t>United States Court of Appeals for the Eighth Circuit</w:t>
      </w:r>
    </w:p>
    <w:p w14:paraId="1F316BEA" w14:textId="77777777" w:rsidR="00D041A2" w:rsidRDefault="00000000">
      <w:pPr>
        <w:pStyle w:val="Normal5"/>
        <w:widowControl w:val="0"/>
        <w:spacing w:before="120" w:line="260" w:lineRule="atLeast"/>
        <w:jc w:val="center"/>
      </w:pPr>
      <w:r>
        <w:rPr>
          <w:rFonts w:ascii="Arial" w:eastAsia="Arial" w:hAnsi="Arial" w:cs="Arial"/>
          <w:color w:val="000000"/>
          <w:sz w:val="20"/>
        </w:rPr>
        <w:t>May 15, 2013, Submitted; May 21, 2013, Filed</w:t>
      </w:r>
    </w:p>
    <w:p w14:paraId="4605B6D1" w14:textId="77777777" w:rsidR="00D041A2" w:rsidRDefault="00000000">
      <w:pPr>
        <w:pStyle w:val="Normal5"/>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12-3981</w:t>
      </w:r>
    </w:p>
    <w:p w14:paraId="64433C5A" w14:textId="77777777" w:rsidR="00D041A2" w:rsidRDefault="00D041A2">
      <w:pPr>
        <w:pStyle w:val="Normal5"/>
        <w:widowControl w:val="0"/>
        <w:spacing w:line="240" w:lineRule="atLeast"/>
        <w:jc w:val="both"/>
      </w:pPr>
      <w:bookmarkStart w:id="466" w:name="Bookmark_6"/>
      <w:bookmarkEnd w:id="466"/>
    </w:p>
    <w:p w14:paraId="026F2D07" w14:textId="77777777" w:rsidR="00D041A2" w:rsidRDefault="00000000">
      <w:pPr>
        <w:pStyle w:val="Normal5"/>
        <w:widowControl w:val="0"/>
        <w:spacing w:before="200" w:line="240" w:lineRule="atLeast"/>
      </w:pPr>
      <w:bookmarkStart w:id="467" w:name="Reporter_4"/>
      <w:bookmarkEnd w:id="467"/>
      <w:r>
        <w:rPr>
          <w:rFonts w:ascii="Arial" w:eastAsia="Arial" w:hAnsi="Arial" w:cs="Arial"/>
          <w:b/>
          <w:color w:val="000000"/>
          <w:sz w:val="18"/>
        </w:rPr>
        <w:t>Reporter</w:t>
      </w:r>
    </w:p>
    <w:p w14:paraId="7E1F2155" w14:textId="77777777" w:rsidR="00D041A2" w:rsidRDefault="00000000">
      <w:pPr>
        <w:pStyle w:val="Normal5"/>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512 Fed. Appx. 662 *; 2013 U.S. App. LEXIS 10164 **; 2013 WL 2158660</w:t>
      </w:r>
    </w:p>
    <w:p w14:paraId="0B4EB824" w14:textId="77777777" w:rsidR="00D041A2" w:rsidRDefault="00000000">
      <w:pPr>
        <w:pStyle w:val="Normal5"/>
        <w:widowControl w:val="0"/>
        <w:spacing w:before="120" w:line="260" w:lineRule="atLeast"/>
      </w:pPr>
      <w:r>
        <w:rPr>
          <w:rFonts w:ascii="Arial" w:eastAsia="Arial" w:hAnsi="Arial" w:cs="Arial"/>
          <w:color w:val="000000"/>
          <w:sz w:val="20"/>
        </w:rPr>
        <w:t>David Anthony Stebbins, Plaintiff - Appellant v. Legal Aid of Arkansas, Defendant - Appellee</w:t>
      </w:r>
    </w:p>
    <w:p w14:paraId="65FAE3AA" w14:textId="77777777" w:rsidR="00D041A2" w:rsidRDefault="00000000">
      <w:pPr>
        <w:pStyle w:val="Normal5"/>
        <w:widowControl w:val="0"/>
        <w:spacing w:before="240" w:line="260" w:lineRule="atLeast"/>
        <w:jc w:val="both"/>
      </w:pPr>
      <w:bookmarkStart w:id="468" w:name="Notice_3"/>
      <w:bookmarkEnd w:id="468"/>
      <w:r>
        <w:rPr>
          <w:rFonts w:ascii="Arial" w:eastAsia="Arial" w:hAnsi="Arial" w:cs="Arial"/>
          <w:b/>
          <w:color w:val="000000"/>
          <w:sz w:val="20"/>
        </w:rPr>
        <w:t>Notice:</w:t>
      </w:r>
      <w:r>
        <w:rPr>
          <w:rFonts w:ascii="Arial" w:eastAsia="Arial" w:hAnsi="Arial" w:cs="Arial"/>
          <w:color w:val="000000"/>
          <w:sz w:val="20"/>
        </w:rPr>
        <w:t> </w:t>
      </w:r>
      <w:bookmarkStart w:id="469" w:name="Bookmark_para_1_4"/>
      <w:bookmarkEnd w:id="469"/>
      <w:r>
        <w:rPr>
          <w:rFonts w:ascii="Arial" w:eastAsia="Arial" w:hAnsi="Arial" w:cs="Arial"/>
          <w:color w:val="000000"/>
          <w:sz w:val="20"/>
        </w:rPr>
        <w:t>PLEASE REFER TO FEDERAL RULES OF APPELLATE PROCEDURE RULE 32.1 GOVERNING THE CITATION TO UNPUBLISHED OPINIONS.</w:t>
      </w:r>
    </w:p>
    <w:p w14:paraId="64FCDF80" w14:textId="77777777" w:rsidR="00D041A2" w:rsidRDefault="00000000">
      <w:pPr>
        <w:pStyle w:val="Normal5"/>
        <w:widowControl w:val="0"/>
        <w:spacing w:before="240" w:line="260" w:lineRule="atLeast"/>
        <w:jc w:val="both"/>
      </w:pPr>
      <w:bookmarkStart w:id="470" w:name="Prior_History_4"/>
      <w:bookmarkEnd w:id="470"/>
      <w:r>
        <w:rPr>
          <w:rFonts w:ascii="Arial" w:eastAsia="Arial" w:hAnsi="Arial" w:cs="Arial"/>
          <w:b/>
          <w:color w:val="000000"/>
          <w:sz w:val="20"/>
        </w:rPr>
        <w:t>Prior History:</w:t>
      </w:r>
      <w:r>
        <w:rPr>
          <w:rFonts w:ascii="Arial" w:eastAsia="Arial" w:hAnsi="Arial" w:cs="Arial"/>
          <w:color w:val="000000"/>
          <w:sz w:val="20"/>
        </w:rPr>
        <w:t>  [**1] </w:t>
      </w:r>
      <w:bookmarkStart w:id="471" w:name="Bookmark_para_2_4"/>
      <w:bookmarkEnd w:id="471"/>
      <w:r>
        <w:rPr>
          <w:rFonts w:ascii="Arial" w:eastAsia="Arial" w:hAnsi="Arial" w:cs="Arial"/>
          <w:color w:val="000000"/>
          <w:sz w:val="20"/>
        </w:rPr>
        <w:t>Appeal from United States District Court for the Western District of Arkansas - Harrison.</w:t>
      </w:r>
    </w:p>
    <w:p w14:paraId="54171D2C" w14:textId="77777777" w:rsidR="00D041A2" w:rsidRDefault="00000000">
      <w:pPr>
        <w:pStyle w:val="Normal5"/>
        <w:widowControl w:val="0"/>
        <w:spacing w:before="120" w:line="260" w:lineRule="atLeast"/>
      </w:pPr>
      <w:r>
        <w:rPr>
          <w:rFonts w:ascii="Arial" w:eastAsia="Arial" w:hAnsi="Arial" w:cs="Arial"/>
          <w:color w:val="000000"/>
          <w:sz w:val="20"/>
        </w:rPr>
        <w:t>Stebbins v. Legal Aid, 2012 U.S. Dist. LEXIS 158797 (W.D. Ark., Nov. 6, 2012)</w:t>
      </w:r>
    </w:p>
    <w:p w14:paraId="15C6FB80" w14:textId="77777777" w:rsidR="00D041A2" w:rsidRDefault="00000000">
      <w:pPr>
        <w:pStyle w:val="Normal5"/>
        <w:widowControl w:val="0"/>
        <w:spacing w:before="240" w:line="260" w:lineRule="atLeast"/>
      </w:pPr>
      <w:bookmarkStart w:id="472" w:name="Counsel_4"/>
      <w:bookmarkEnd w:id="472"/>
      <w:r>
        <w:rPr>
          <w:rFonts w:ascii="Arial" w:eastAsia="Arial" w:hAnsi="Arial" w:cs="Arial"/>
          <w:b/>
          <w:color w:val="000000"/>
          <w:sz w:val="20"/>
        </w:rPr>
        <w:t>Counsel:</w:t>
      </w:r>
      <w:r>
        <w:rPr>
          <w:rFonts w:ascii="Arial" w:eastAsia="Arial" w:hAnsi="Arial" w:cs="Arial"/>
          <w:color w:val="000000"/>
          <w:sz w:val="20"/>
        </w:rPr>
        <w:t> David Anthony Stebbins, Plaintiff - Appellant, Pro se, Harrison, AR.</w:t>
      </w:r>
    </w:p>
    <w:p w14:paraId="0DAB212A" w14:textId="77777777" w:rsidR="00D041A2" w:rsidRDefault="00000000">
      <w:pPr>
        <w:pStyle w:val="Normal5"/>
        <w:widowControl w:val="0"/>
        <w:spacing w:before="120" w:line="260" w:lineRule="atLeast"/>
      </w:pPr>
      <w:r>
        <w:rPr>
          <w:rFonts w:ascii="Arial" w:eastAsia="Arial" w:hAnsi="Arial" w:cs="Arial"/>
          <w:color w:val="000000"/>
          <w:sz w:val="20"/>
        </w:rPr>
        <w:t>For Legal Aid of Arkansas, Defendant - Appellee: Constance G. Clark, J. David Dixon, Don A. Taylor, DAVIS &amp; CLARK, Fayetteville, AR.</w:t>
      </w:r>
    </w:p>
    <w:p w14:paraId="7923FC8E" w14:textId="77777777" w:rsidR="00D041A2" w:rsidRDefault="00000000">
      <w:pPr>
        <w:pStyle w:val="Normal5"/>
        <w:widowControl w:val="0"/>
        <w:spacing w:before="240" w:line="260" w:lineRule="atLeast"/>
      </w:pPr>
      <w:bookmarkStart w:id="473" w:name="Judges_4"/>
      <w:bookmarkEnd w:id="473"/>
      <w:r>
        <w:rPr>
          <w:rFonts w:ascii="Arial" w:eastAsia="Arial" w:hAnsi="Arial" w:cs="Arial"/>
          <w:b/>
          <w:color w:val="000000"/>
          <w:sz w:val="20"/>
        </w:rPr>
        <w:t>Judges:</w:t>
      </w:r>
      <w:r>
        <w:rPr>
          <w:rFonts w:ascii="Arial" w:eastAsia="Arial" w:hAnsi="Arial" w:cs="Arial"/>
          <w:color w:val="000000"/>
          <w:sz w:val="20"/>
        </w:rPr>
        <w:t> Before BYE, ARNOLD, and SHEPHERD, Circuit Judges.</w:t>
      </w:r>
    </w:p>
    <w:p w14:paraId="749CCB8B" w14:textId="77777777" w:rsidR="00D041A2" w:rsidRDefault="00000000">
      <w:pPr>
        <w:pStyle w:val="Normal5"/>
        <w:keepNext/>
        <w:widowControl w:val="0"/>
        <w:spacing w:before="240" w:line="340" w:lineRule="atLeast"/>
      </w:pPr>
      <w:bookmarkStart w:id="474" w:name="Opinion_4"/>
      <w:bookmarkEnd w:id="474"/>
      <w:r>
        <w:rPr>
          <w:rFonts w:ascii="Arial" w:eastAsia="Arial" w:hAnsi="Arial" w:cs="Arial"/>
          <w:b/>
          <w:color w:val="000000"/>
          <w:sz w:val="28"/>
        </w:rPr>
        <w:t>Opinion</w:t>
      </w:r>
    </w:p>
    <w:p w14:paraId="3E398C5B" w14:textId="30220183" w:rsidR="00D041A2" w:rsidRDefault="004D4403">
      <w:pPr>
        <w:pStyle w:val="Normal5"/>
        <w:spacing w:line="60" w:lineRule="exact"/>
      </w:pPr>
      <w:r>
        <w:rPr>
          <w:noProof/>
        </w:rPr>
        <mc:AlternateContent>
          <mc:Choice Requires="wps">
            <w:drawing>
              <wp:anchor distT="0" distB="0" distL="114300" distR="114300" simplePos="0" relativeHeight="251668480" behindDoc="0" locked="0" layoutInCell="1" allowOverlap="1" wp14:anchorId="53A4C335" wp14:editId="154917C8">
                <wp:simplePos x="0" y="0"/>
                <wp:positionH relativeFrom="column">
                  <wp:posOffset>0</wp:posOffset>
                </wp:positionH>
                <wp:positionV relativeFrom="paragraph">
                  <wp:posOffset>25400</wp:posOffset>
                </wp:positionV>
                <wp:extent cx="3187700" cy="0"/>
                <wp:effectExtent l="19050" t="15875" r="12700" b="12700"/>
                <wp:wrapTopAndBottom/>
                <wp:docPr id="49608944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288D0" id="Line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0CA5873" w14:textId="77777777" w:rsidR="00D041A2" w:rsidRDefault="00D041A2">
      <w:pPr>
        <w:pStyle w:val="Normal5"/>
      </w:pPr>
    </w:p>
    <w:p w14:paraId="2DB00201" w14:textId="77777777" w:rsidR="00D041A2" w:rsidRDefault="00000000">
      <w:pPr>
        <w:pStyle w:val="Normal5"/>
        <w:widowControl w:val="0"/>
        <w:spacing w:before="200" w:line="260" w:lineRule="atLeast"/>
        <w:jc w:val="both"/>
      </w:pPr>
      <w:bookmarkStart w:id="475" w:name="Bookmark_para_3_4"/>
      <w:bookmarkEnd w:id="475"/>
      <w:r>
        <w:rPr>
          <w:rFonts w:ascii="Arial" w:eastAsia="Arial" w:hAnsi="Arial" w:cs="Arial"/>
          <w:color w:val="000000"/>
          <w:sz w:val="20"/>
        </w:rPr>
        <w:t> [*663]  PER CURIAM.</w:t>
      </w:r>
    </w:p>
    <w:p w14:paraId="5449AC1D" w14:textId="77777777" w:rsidR="00D041A2" w:rsidRDefault="00000000">
      <w:pPr>
        <w:pStyle w:val="Normal5"/>
        <w:widowControl w:val="0"/>
        <w:spacing w:before="200" w:line="260" w:lineRule="atLeast"/>
        <w:jc w:val="both"/>
      </w:pPr>
      <w:bookmarkStart w:id="476" w:name="Bookmark_para_4_4"/>
      <w:bookmarkStart w:id="477" w:name="Bookmark_I58MDHX92D6NC40020000400"/>
      <w:bookmarkEnd w:id="476"/>
      <w:bookmarkEnd w:id="477"/>
      <w:r>
        <w:rPr>
          <w:rFonts w:ascii="Arial" w:eastAsia="Arial" w:hAnsi="Arial" w:cs="Arial"/>
          <w:color w:val="000000"/>
          <w:sz w:val="20"/>
        </w:rPr>
        <w:t xml:space="preserve">David Stebbins brought this suit claiming that Legal Aid of Arkansas (LAA) refused to represent him in various legal matters because of his disability, failed to accommodate his disability with modifications to its policies, and retaliated against him, all in violation of the Americans with Disabilities Act (ADA). The district court </w:t>
      </w:r>
      <w:r>
        <w:rPr>
          <w:rFonts w:ascii="Arial" w:eastAsia="Arial" w:hAnsi="Arial" w:cs="Arial"/>
          <w:vertAlign w:val="superscript"/>
        </w:rPr>
        <w:footnoteReference w:customMarkFollows="1" w:id="30"/>
        <w:t>1</w:t>
      </w:r>
      <w:r>
        <w:rPr>
          <w:rFonts w:ascii="Arial" w:eastAsia="Arial" w:hAnsi="Arial" w:cs="Arial"/>
          <w:color w:val="000000"/>
          <w:sz w:val="20"/>
        </w:rPr>
        <w:t xml:space="preserve"> denied his summary judgment motions, granted LAA's summary judgment motions, and dismissed the case. Stebbins appeals. After careful consideration, </w:t>
      </w:r>
      <w:r>
        <w:rPr>
          <w:rFonts w:ascii="Arial" w:eastAsia="Arial" w:hAnsi="Arial" w:cs="Arial"/>
          <w:color w:val="000000"/>
          <w:sz w:val="20"/>
          <w:u w:val="single"/>
        </w:rPr>
        <w:t xml:space="preserve">see </w:t>
      </w:r>
      <w:bookmarkStart w:id="479" w:name="Bookmark_I58MDHX92D6NC40010000400"/>
      <w:bookmarkEnd w:id="479"/>
      <w:r>
        <w:rPr>
          <w:rFonts w:ascii="Arial" w:eastAsia="Arial" w:hAnsi="Arial" w:cs="Arial"/>
          <w:color w:val="000000"/>
          <w:sz w:val="20"/>
          <w:u w:val="single"/>
        </w:rPr>
        <w:t>Myers v. Lutsen Mts. Corp.</w:t>
      </w:r>
      <w:r>
        <w:rPr>
          <w:rFonts w:ascii="Arial" w:eastAsia="Arial" w:hAnsi="Arial" w:cs="Arial"/>
          <w:color w:val="000000"/>
          <w:sz w:val="20"/>
        </w:rPr>
        <w:t>, 587 F.3d 891, 892 (8th Cir. 2009) (de novo review), we affirm.</w:t>
      </w:r>
    </w:p>
    <w:p w14:paraId="295CC6E1" w14:textId="77777777" w:rsidR="00D041A2" w:rsidRDefault="00000000">
      <w:pPr>
        <w:pStyle w:val="Normal5"/>
        <w:widowControl w:val="0"/>
        <w:spacing w:before="200" w:line="260" w:lineRule="atLeast"/>
        <w:jc w:val="both"/>
      </w:pPr>
      <w:bookmarkStart w:id="480" w:name="Bookmark_para_5_4"/>
      <w:bookmarkStart w:id="481" w:name="Bookmark_I58MDHX92D6NC40040000400"/>
      <w:bookmarkStart w:id="482" w:name="Bookmark_I58MDHX92SF80V0010000400"/>
      <w:bookmarkEnd w:id="480"/>
      <w:bookmarkEnd w:id="481"/>
      <w:bookmarkEnd w:id="482"/>
      <w:r>
        <w:rPr>
          <w:rFonts w:ascii="Arial" w:eastAsia="Arial" w:hAnsi="Arial" w:cs="Arial"/>
          <w:color w:val="000000"/>
          <w:sz w:val="20"/>
        </w:rPr>
        <w:t xml:space="preserve">First,  [**2] we agree that Stebbins did not meet his summary judgment burden as to the discrimination and failure-to-modify claims; but even if he had, Title III of the ADA does not provide for private actions seeking damages—the sole remedy that he requested. </w:t>
      </w:r>
      <w:r>
        <w:rPr>
          <w:rFonts w:ascii="Arial" w:eastAsia="Arial" w:hAnsi="Arial" w:cs="Arial"/>
          <w:color w:val="000000"/>
          <w:sz w:val="20"/>
          <w:u w:val="single"/>
        </w:rPr>
        <w:t>See</w:t>
      </w:r>
      <w:r>
        <w:rPr>
          <w:rFonts w:ascii="Arial" w:eastAsia="Arial" w:hAnsi="Arial" w:cs="Arial"/>
          <w:color w:val="000000"/>
          <w:sz w:val="20"/>
        </w:rPr>
        <w:t xml:space="preserve"> 42 U.S.C. § 12188(a) (unless enforced by Attorney General, only remedy for violation of Title III of ADA is injunctive relief); </w:t>
      </w:r>
      <w:bookmarkStart w:id="483" w:name="Bookmark_I58MDHX92D6NC40030000400"/>
      <w:bookmarkEnd w:id="483"/>
      <w:r>
        <w:rPr>
          <w:rFonts w:ascii="Arial" w:eastAsia="Arial" w:hAnsi="Arial" w:cs="Arial"/>
          <w:color w:val="000000"/>
          <w:sz w:val="20"/>
          <w:u w:val="single"/>
        </w:rPr>
        <w:t>Goodwin v. C.N.J., Inc.</w:t>
      </w:r>
      <w:r>
        <w:rPr>
          <w:rFonts w:ascii="Arial" w:eastAsia="Arial" w:hAnsi="Arial" w:cs="Arial"/>
          <w:color w:val="000000"/>
          <w:sz w:val="20"/>
        </w:rPr>
        <w:t xml:space="preserve">, 436 F.3d 44, 50 (1st Cir. 2006) (§ 12188(a) does not contemplate damages awards in suits brought by private parties; listing cases). </w:t>
      </w:r>
      <w:bookmarkStart w:id="484" w:name="Bookmark_I58MDHX92SF80V0050000400"/>
      <w:bookmarkEnd w:id="484"/>
      <w:r>
        <w:rPr>
          <w:rFonts w:ascii="Arial" w:eastAsia="Arial" w:hAnsi="Arial" w:cs="Arial"/>
          <w:color w:val="000000"/>
          <w:sz w:val="20"/>
        </w:rPr>
        <w:t xml:space="preserve">Second, even assuming that Stebbins made a prima facie case of retaliation, </w:t>
      </w:r>
      <w:r>
        <w:rPr>
          <w:rFonts w:ascii="Arial" w:eastAsia="Arial" w:hAnsi="Arial" w:cs="Arial"/>
          <w:color w:val="000000"/>
          <w:sz w:val="20"/>
          <w:u w:val="single"/>
        </w:rPr>
        <w:t xml:space="preserve">see </w:t>
      </w:r>
      <w:bookmarkStart w:id="485" w:name="Bookmark_I58MDHX92D6NC40050000400"/>
      <w:bookmarkEnd w:id="485"/>
      <w:r>
        <w:rPr>
          <w:rFonts w:ascii="Arial" w:eastAsia="Arial" w:hAnsi="Arial" w:cs="Arial"/>
          <w:color w:val="000000"/>
          <w:sz w:val="20"/>
          <w:u w:val="single"/>
        </w:rPr>
        <w:t>Mershon v. St. Louis Univ.</w:t>
      </w:r>
      <w:r>
        <w:rPr>
          <w:rFonts w:ascii="Arial" w:eastAsia="Arial" w:hAnsi="Arial" w:cs="Arial"/>
          <w:color w:val="000000"/>
          <w:sz w:val="20"/>
        </w:rPr>
        <w:t xml:space="preserve">, 442 F.3d 1069, 1074 (8th Cir. 2006) (absent direct evidence, ADA retaliation claims are analyzed under framework of </w:t>
      </w:r>
      <w:bookmarkStart w:id="486" w:name="Bookmark_I58MDHX92SF80V0020000400"/>
      <w:bookmarkEnd w:id="486"/>
      <w:r>
        <w:rPr>
          <w:rFonts w:ascii="Arial" w:eastAsia="Arial" w:hAnsi="Arial" w:cs="Arial"/>
          <w:color w:val="000000"/>
          <w:sz w:val="20"/>
          <w:u w:val="single"/>
        </w:rPr>
        <w:t>McDonnell Douglas Corp. v. Green</w:t>
      </w:r>
      <w:r>
        <w:rPr>
          <w:rFonts w:ascii="Arial" w:eastAsia="Arial" w:hAnsi="Arial" w:cs="Arial"/>
          <w:color w:val="000000"/>
          <w:sz w:val="20"/>
        </w:rPr>
        <w:t xml:space="preserve">, 411 U.S. 792, 93 S. Ct. 1817, 36 L. Ed. 2d 668 (1973)), we conclude that LAA proffered legitimate reasons for declining to represent him, including that (1) he had not properly applied  [*664]  for LAA's legal services, and (2) a conflict of interest existed between him and LAA based on this ongoing lawsuit. </w:t>
      </w:r>
      <w:bookmarkStart w:id="487" w:name="Bookmark_I58MDHX92SF80V0050000400_2"/>
      <w:bookmarkEnd w:id="487"/>
      <w:r>
        <w:rPr>
          <w:rFonts w:ascii="Arial" w:eastAsia="Arial" w:hAnsi="Arial" w:cs="Arial"/>
          <w:color w:val="000000"/>
          <w:sz w:val="20"/>
        </w:rPr>
        <w:t xml:space="preserve">Nothing in the record beyond Stebbins's own assumptions and speculation suggests that those reasons were a pretext for retaliation. </w:t>
      </w:r>
      <w:r>
        <w:rPr>
          <w:rFonts w:ascii="Arial" w:eastAsia="Arial" w:hAnsi="Arial" w:cs="Arial"/>
          <w:color w:val="000000"/>
          <w:sz w:val="20"/>
          <w:u w:val="single"/>
        </w:rPr>
        <w:t xml:space="preserve">See </w:t>
      </w:r>
      <w:bookmarkStart w:id="488" w:name="Bookmark_I58MDHX92SF80V0040000400"/>
      <w:bookmarkEnd w:id="488"/>
      <w:r>
        <w:rPr>
          <w:rFonts w:ascii="Arial" w:eastAsia="Arial" w:hAnsi="Arial" w:cs="Arial"/>
          <w:color w:val="000000"/>
          <w:sz w:val="20"/>
          <w:u w:val="single"/>
        </w:rPr>
        <w:t>Green v. Franklin Nat'l Bank of Minneapolis</w:t>
      </w:r>
      <w:r>
        <w:rPr>
          <w:rFonts w:ascii="Arial" w:eastAsia="Arial" w:hAnsi="Arial" w:cs="Arial"/>
          <w:color w:val="000000"/>
          <w:sz w:val="20"/>
        </w:rPr>
        <w:t>, 459 F.3d 903, 917 (8th Cir. 2006)  [**3] (plaintiff's discrimination claim failed when her evidence of pretext was "entirely speculative").</w:t>
      </w:r>
    </w:p>
    <w:p w14:paraId="67466041" w14:textId="77777777" w:rsidR="00D041A2" w:rsidRDefault="00000000">
      <w:pPr>
        <w:pStyle w:val="Normal5"/>
        <w:widowControl w:val="0"/>
        <w:spacing w:before="200" w:line="260" w:lineRule="atLeast"/>
        <w:jc w:val="both"/>
      </w:pPr>
      <w:bookmarkStart w:id="489" w:name="Bookmark_para_6_4"/>
      <w:bookmarkStart w:id="490" w:name="Bookmark_I58MDHX92D6NC50020000400"/>
      <w:bookmarkEnd w:id="489"/>
      <w:bookmarkEnd w:id="490"/>
      <w:r>
        <w:rPr>
          <w:rFonts w:ascii="Arial" w:eastAsia="Arial" w:hAnsi="Arial" w:cs="Arial"/>
          <w:color w:val="000000"/>
          <w:sz w:val="20"/>
        </w:rPr>
        <w:t xml:space="preserve">Stebbins also challenges various discovery rulings made by the magistrate judge. We may not review them, however, because Stebbins did not file objections to those rulings in the district court. </w:t>
      </w:r>
      <w:r>
        <w:rPr>
          <w:rFonts w:ascii="Arial" w:eastAsia="Arial" w:hAnsi="Arial" w:cs="Arial"/>
          <w:color w:val="000000"/>
          <w:sz w:val="20"/>
          <w:u w:val="single"/>
        </w:rPr>
        <w:t>See</w:t>
      </w:r>
      <w:r>
        <w:rPr>
          <w:rFonts w:ascii="Arial" w:eastAsia="Arial" w:hAnsi="Arial" w:cs="Arial"/>
          <w:color w:val="000000"/>
          <w:sz w:val="20"/>
        </w:rPr>
        <w:t xml:space="preserve"> Fed. R. Civ. P. 72(a); </w:t>
      </w:r>
      <w:bookmarkStart w:id="491" w:name="Bookmark_I58MDHX92D6NC50010000400"/>
      <w:bookmarkEnd w:id="491"/>
      <w:r>
        <w:rPr>
          <w:rFonts w:ascii="Arial" w:eastAsia="Arial" w:hAnsi="Arial" w:cs="Arial"/>
          <w:color w:val="000000"/>
          <w:sz w:val="20"/>
          <w:u w:val="single"/>
        </w:rPr>
        <w:t>McDonald v. City of St. Paul</w:t>
      </w:r>
      <w:r>
        <w:rPr>
          <w:rFonts w:ascii="Arial" w:eastAsia="Arial" w:hAnsi="Arial" w:cs="Arial"/>
          <w:color w:val="000000"/>
          <w:sz w:val="20"/>
        </w:rPr>
        <w:t>, 679 F.3d 698, 709 (8th Cir. 2012) (magistrate judge's order denying discovery motion was unreviewable because party failed to file objection in district court).</w:t>
      </w:r>
    </w:p>
    <w:p w14:paraId="11E79880" w14:textId="77777777" w:rsidR="00D041A2" w:rsidRDefault="00000000">
      <w:pPr>
        <w:pStyle w:val="Normal5"/>
        <w:widowControl w:val="0"/>
        <w:spacing w:before="200" w:line="260" w:lineRule="atLeast"/>
        <w:jc w:val="both"/>
      </w:pPr>
      <w:bookmarkStart w:id="492" w:name="Bookmark_para_7_4"/>
      <w:bookmarkEnd w:id="492"/>
      <w:r>
        <w:rPr>
          <w:rFonts w:ascii="Arial" w:eastAsia="Arial" w:hAnsi="Arial" w:cs="Arial"/>
          <w:color w:val="000000"/>
          <w:sz w:val="20"/>
        </w:rPr>
        <w:t xml:space="preserve">We therefore affirm the judgment of the district court. </w:t>
      </w:r>
      <w:r>
        <w:rPr>
          <w:rFonts w:ascii="Arial" w:eastAsia="Arial" w:hAnsi="Arial" w:cs="Arial"/>
          <w:color w:val="000000"/>
          <w:sz w:val="20"/>
          <w:u w:val="single"/>
        </w:rPr>
        <w:t>See</w:t>
      </w:r>
      <w:r>
        <w:rPr>
          <w:rFonts w:ascii="Arial" w:eastAsia="Arial" w:hAnsi="Arial" w:cs="Arial"/>
          <w:color w:val="000000"/>
          <w:sz w:val="20"/>
        </w:rPr>
        <w:t xml:space="preserve"> 8th Cir. R. 47B. We deny Stebbins's pending motion.</w:t>
      </w:r>
    </w:p>
    <w:p w14:paraId="7CD215C7" w14:textId="77777777" w:rsidR="00D041A2" w:rsidRDefault="00D041A2">
      <w:pPr>
        <w:pStyle w:val="Normal5"/>
      </w:pPr>
    </w:p>
    <w:p w14:paraId="229A64BD" w14:textId="64ED8745" w:rsidR="00D041A2" w:rsidRDefault="00000000">
      <w:pPr>
        <w:pStyle w:val="Normal5"/>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69504" behindDoc="0" locked="0" layoutInCell="1" allowOverlap="1" wp14:anchorId="72E19C9F" wp14:editId="57A80C52">
                <wp:simplePos x="0" y="0"/>
                <wp:positionH relativeFrom="column">
                  <wp:posOffset>0</wp:posOffset>
                </wp:positionH>
                <wp:positionV relativeFrom="paragraph">
                  <wp:posOffset>127000</wp:posOffset>
                </wp:positionV>
                <wp:extent cx="6502400" cy="0"/>
                <wp:effectExtent l="9525" t="12700" r="12700" b="6350"/>
                <wp:wrapNone/>
                <wp:docPr id="87247287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B6EDF" id="Line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8175A70" w14:textId="77777777" w:rsidR="00D041A2" w:rsidRDefault="00D041A2">
      <w:pPr>
        <w:pStyle w:val="Normal6"/>
        <w:sectPr w:rsidR="00D041A2">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gutter="0"/>
          <w:cols w:space="720"/>
          <w:titlePg/>
        </w:sectPr>
      </w:pPr>
    </w:p>
    <w:p w14:paraId="52F541DE" w14:textId="77777777" w:rsidR="00D041A2" w:rsidRDefault="00D041A2">
      <w:pPr>
        <w:pStyle w:val="Normal6"/>
      </w:pPr>
    </w:p>
    <w:p w14:paraId="25ECD0EB" w14:textId="77777777" w:rsidR="00D041A2" w:rsidRDefault="00000000">
      <w:pPr>
        <w:pStyle w:val="Heading15"/>
        <w:keepNext w:val="0"/>
        <w:widowControl w:val="0"/>
        <w:spacing w:after="200" w:line="340" w:lineRule="atLeast"/>
        <w:jc w:val="center"/>
      </w:pPr>
      <w:r>
        <w:rPr>
          <w:rFonts w:eastAsia="Arial"/>
          <w:color w:val="000000"/>
          <w:sz w:val="28"/>
        </w:rPr>
        <w:t>Koessel v. Sublette County Sheriff's Dep't</w:t>
      </w:r>
    </w:p>
    <w:p w14:paraId="09179719" w14:textId="77777777" w:rsidR="00D041A2" w:rsidRDefault="00000000">
      <w:pPr>
        <w:pStyle w:val="Normal6"/>
        <w:widowControl w:val="0"/>
        <w:spacing w:before="120" w:line="260" w:lineRule="atLeast"/>
        <w:jc w:val="center"/>
      </w:pPr>
      <w:r>
        <w:rPr>
          <w:rFonts w:ascii="Arial" w:eastAsia="Arial" w:hAnsi="Arial" w:cs="Arial"/>
          <w:color w:val="000000"/>
          <w:sz w:val="20"/>
        </w:rPr>
        <w:t>United States Court of Appeals for the Tenth Circuit</w:t>
      </w:r>
    </w:p>
    <w:p w14:paraId="690C57BF" w14:textId="77777777" w:rsidR="00D041A2" w:rsidRDefault="00000000">
      <w:pPr>
        <w:pStyle w:val="Normal6"/>
        <w:widowControl w:val="0"/>
        <w:spacing w:before="120" w:line="260" w:lineRule="atLeast"/>
        <w:jc w:val="center"/>
      </w:pPr>
      <w:r>
        <w:rPr>
          <w:rFonts w:ascii="Arial" w:eastAsia="Arial" w:hAnsi="Arial" w:cs="Arial"/>
          <w:color w:val="000000"/>
          <w:sz w:val="20"/>
        </w:rPr>
        <w:t>May 14, 2013, Decided</w:t>
      </w:r>
    </w:p>
    <w:p w14:paraId="198F2709" w14:textId="77777777" w:rsidR="00D041A2" w:rsidRDefault="00000000">
      <w:pPr>
        <w:pStyle w:val="Normal6"/>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11-8099</w:t>
      </w:r>
    </w:p>
    <w:p w14:paraId="23D94649" w14:textId="77777777" w:rsidR="00D041A2" w:rsidRDefault="00D041A2">
      <w:pPr>
        <w:pStyle w:val="Normal6"/>
        <w:widowControl w:val="0"/>
        <w:spacing w:line="240" w:lineRule="atLeast"/>
        <w:jc w:val="both"/>
      </w:pPr>
      <w:bookmarkStart w:id="493" w:name="Bookmark_7"/>
      <w:bookmarkEnd w:id="493"/>
    </w:p>
    <w:p w14:paraId="616A12F8" w14:textId="77777777" w:rsidR="00D041A2" w:rsidRDefault="00000000">
      <w:pPr>
        <w:pStyle w:val="Normal6"/>
        <w:widowControl w:val="0"/>
        <w:spacing w:before="200" w:line="240" w:lineRule="atLeast"/>
      </w:pPr>
      <w:bookmarkStart w:id="494" w:name="Reporter_5"/>
      <w:bookmarkEnd w:id="494"/>
      <w:r>
        <w:rPr>
          <w:rFonts w:ascii="Arial" w:eastAsia="Arial" w:hAnsi="Arial" w:cs="Arial"/>
          <w:b/>
          <w:color w:val="000000"/>
          <w:sz w:val="18"/>
        </w:rPr>
        <w:t>Reporter</w:t>
      </w:r>
    </w:p>
    <w:p w14:paraId="3D6693A1" w14:textId="77777777" w:rsidR="00D041A2" w:rsidRDefault="00000000">
      <w:pPr>
        <w:pStyle w:val="Normal6"/>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717 F.3d 736 *; 2013 U.S. App. LEXIS 9677 **; 27 Am. Disabilities Cas. (BNA) 1569; 15 Accom. Disabilities Dec. (CCH) P15-184; 2013 WL 1960568</w:t>
      </w:r>
    </w:p>
    <w:p w14:paraId="233A51AB" w14:textId="77777777" w:rsidR="00D041A2" w:rsidRDefault="00000000">
      <w:pPr>
        <w:pStyle w:val="Normal6"/>
        <w:widowControl w:val="0"/>
        <w:spacing w:before="120" w:line="260" w:lineRule="atLeast"/>
      </w:pPr>
      <w:r>
        <w:rPr>
          <w:rFonts w:ascii="Arial" w:eastAsia="Arial" w:hAnsi="Arial" w:cs="Arial"/>
          <w:color w:val="000000"/>
          <w:sz w:val="20"/>
        </w:rPr>
        <w:t>KEVIN L. KOESSEL, Plaintiff-Appellant, v. SUBLETTE COUNTY SHERIFF'S DEPARTMENT; BOARD OF COUNTY COMMISSIONERS SUBLETTE COUNTY WYOMING; WAYNE M. BARDIN; WILLIAM W. CRAMER; JOHN P. LINN; JOEL E. BOUSMAN, in the individual and official capacities, Defendants-Appellees.</w:t>
      </w:r>
    </w:p>
    <w:p w14:paraId="0F5BE038" w14:textId="77777777" w:rsidR="00D041A2" w:rsidRDefault="00000000">
      <w:pPr>
        <w:pStyle w:val="Normal6"/>
        <w:widowControl w:val="0"/>
        <w:spacing w:before="240" w:line="260" w:lineRule="atLeast"/>
        <w:jc w:val="both"/>
      </w:pPr>
      <w:bookmarkStart w:id="495" w:name="Prior_History_5"/>
      <w:bookmarkEnd w:id="495"/>
      <w:r>
        <w:rPr>
          <w:rFonts w:ascii="Arial" w:eastAsia="Arial" w:hAnsi="Arial" w:cs="Arial"/>
          <w:b/>
          <w:color w:val="000000"/>
          <w:sz w:val="20"/>
        </w:rPr>
        <w:t>Prior History:</w:t>
      </w:r>
      <w:r>
        <w:rPr>
          <w:rFonts w:ascii="Arial" w:eastAsia="Arial" w:hAnsi="Arial" w:cs="Arial"/>
          <w:color w:val="000000"/>
          <w:sz w:val="20"/>
        </w:rPr>
        <w:t>  [**1] </w:t>
      </w:r>
      <w:bookmarkStart w:id="496" w:name="Bookmark_para_1_5"/>
      <w:bookmarkEnd w:id="496"/>
      <w:r>
        <w:rPr>
          <w:rFonts w:ascii="Arial" w:eastAsia="Arial" w:hAnsi="Arial" w:cs="Arial"/>
          <w:color w:val="000000"/>
          <w:sz w:val="20"/>
        </w:rPr>
        <w:t>APPEAL FROM THE UNITED STATES DISTRICT COURT FOR THE DISTRICT OF WYOMING. (D.C. NO. 11-CV-00058-NDF).</w:t>
      </w:r>
    </w:p>
    <w:p w14:paraId="52B588AD" w14:textId="77777777" w:rsidR="00D041A2" w:rsidRDefault="00000000">
      <w:pPr>
        <w:pStyle w:val="Normal6"/>
        <w:widowControl w:val="0"/>
        <w:spacing w:before="240" w:line="260" w:lineRule="atLeast"/>
      </w:pPr>
      <w:bookmarkStart w:id="497" w:name="Counsel_5"/>
      <w:bookmarkEnd w:id="497"/>
      <w:r>
        <w:rPr>
          <w:rFonts w:ascii="Arial" w:eastAsia="Arial" w:hAnsi="Arial" w:cs="Arial"/>
          <w:b/>
          <w:color w:val="000000"/>
          <w:sz w:val="20"/>
        </w:rPr>
        <w:t>Counsel:</w:t>
      </w:r>
      <w:r>
        <w:rPr>
          <w:rFonts w:ascii="Arial" w:eastAsia="Arial" w:hAnsi="Arial" w:cs="Arial"/>
          <w:color w:val="000000"/>
          <w:sz w:val="20"/>
        </w:rPr>
        <w:t> Stephen H. Kline(Melinda S. McCorkle with him on the reply brief) Kline Law Office, P.C., Cheyenne, Wyoming, for Appellant.</w:t>
      </w:r>
    </w:p>
    <w:p w14:paraId="194947DE" w14:textId="77777777" w:rsidR="00D041A2" w:rsidRDefault="00000000">
      <w:pPr>
        <w:pStyle w:val="Normal6"/>
        <w:widowControl w:val="0"/>
        <w:spacing w:before="120" w:line="260" w:lineRule="atLeast"/>
      </w:pPr>
      <w:r>
        <w:rPr>
          <w:rFonts w:ascii="Arial" w:eastAsia="Arial" w:hAnsi="Arial" w:cs="Arial"/>
          <w:color w:val="000000"/>
          <w:sz w:val="20"/>
        </w:rPr>
        <w:t>Richard Rideout, Law Offices of Richard Rideout, PC (with Gregory A. Phillips, Wyoming Attorney General, John D. Rossetti, Deputy Attorney General, and Thomas W. Rumpke, Senior Assistant Attorney General on the brief for Appellee Wayne M. Bardin in his individual capacity), Cheyenne, Wyoming, for Appellees.</w:t>
      </w:r>
    </w:p>
    <w:p w14:paraId="2B56BC28" w14:textId="77777777" w:rsidR="00D041A2" w:rsidRDefault="00000000">
      <w:pPr>
        <w:pStyle w:val="Normal6"/>
        <w:widowControl w:val="0"/>
        <w:spacing w:before="240" w:line="260" w:lineRule="atLeast"/>
      </w:pPr>
      <w:bookmarkStart w:id="498" w:name="Judges_5"/>
      <w:bookmarkEnd w:id="498"/>
      <w:r>
        <w:rPr>
          <w:rFonts w:ascii="Arial" w:eastAsia="Arial" w:hAnsi="Arial" w:cs="Arial"/>
          <w:b/>
          <w:color w:val="000000"/>
          <w:sz w:val="20"/>
        </w:rPr>
        <w:t>Judges:</w:t>
      </w:r>
      <w:r>
        <w:rPr>
          <w:rFonts w:ascii="Arial" w:eastAsia="Arial" w:hAnsi="Arial" w:cs="Arial"/>
          <w:color w:val="000000"/>
          <w:sz w:val="20"/>
        </w:rPr>
        <w:t> Before TYMKOVICH, EBEL, and O'BRIEN, Circuit Judges.</w:t>
      </w:r>
    </w:p>
    <w:p w14:paraId="397D2053" w14:textId="77777777" w:rsidR="00D041A2" w:rsidRDefault="00000000">
      <w:pPr>
        <w:pStyle w:val="Normal6"/>
        <w:widowControl w:val="0"/>
        <w:spacing w:before="240" w:line="260" w:lineRule="atLeast"/>
      </w:pPr>
      <w:bookmarkStart w:id="499" w:name="Opinion_by_3"/>
      <w:bookmarkEnd w:id="499"/>
      <w:r>
        <w:rPr>
          <w:rFonts w:ascii="Arial" w:eastAsia="Arial" w:hAnsi="Arial" w:cs="Arial"/>
          <w:b/>
          <w:color w:val="000000"/>
          <w:sz w:val="20"/>
        </w:rPr>
        <w:t>Opinion by:</w:t>
      </w:r>
      <w:r>
        <w:rPr>
          <w:rFonts w:ascii="Arial" w:eastAsia="Arial" w:hAnsi="Arial" w:cs="Arial"/>
          <w:color w:val="000000"/>
          <w:sz w:val="20"/>
        </w:rPr>
        <w:t> TYMKOVICH</w:t>
      </w:r>
    </w:p>
    <w:p w14:paraId="104DE92C" w14:textId="77777777" w:rsidR="00D041A2" w:rsidRDefault="00000000">
      <w:pPr>
        <w:pStyle w:val="Normal6"/>
        <w:keepNext/>
        <w:widowControl w:val="0"/>
        <w:spacing w:before="240" w:line="340" w:lineRule="atLeast"/>
      </w:pPr>
      <w:bookmarkStart w:id="500" w:name="Opinion_5"/>
      <w:bookmarkEnd w:id="500"/>
      <w:r>
        <w:rPr>
          <w:rFonts w:ascii="Arial" w:eastAsia="Arial" w:hAnsi="Arial" w:cs="Arial"/>
          <w:b/>
          <w:color w:val="000000"/>
          <w:sz w:val="28"/>
        </w:rPr>
        <w:t>Opinion</w:t>
      </w:r>
    </w:p>
    <w:p w14:paraId="17F6E85F" w14:textId="11F4F673" w:rsidR="00D041A2" w:rsidRDefault="004D4403">
      <w:pPr>
        <w:pStyle w:val="Normal6"/>
        <w:spacing w:line="60" w:lineRule="exact"/>
      </w:pPr>
      <w:r>
        <w:rPr>
          <w:noProof/>
        </w:rPr>
        <mc:AlternateContent>
          <mc:Choice Requires="wps">
            <w:drawing>
              <wp:anchor distT="0" distB="0" distL="114300" distR="114300" simplePos="0" relativeHeight="251670528" behindDoc="0" locked="0" layoutInCell="1" allowOverlap="1" wp14:anchorId="54426DD5" wp14:editId="3C472F79">
                <wp:simplePos x="0" y="0"/>
                <wp:positionH relativeFrom="column">
                  <wp:posOffset>0</wp:posOffset>
                </wp:positionH>
                <wp:positionV relativeFrom="paragraph">
                  <wp:posOffset>25400</wp:posOffset>
                </wp:positionV>
                <wp:extent cx="3187700" cy="0"/>
                <wp:effectExtent l="19050" t="15875" r="12700" b="12700"/>
                <wp:wrapTopAndBottom/>
                <wp:docPr id="56107949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70DE9" id="Line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63D3E81" w14:textId="77777777" w:rsidR="00D041A2" w:rsidRDefault="00D041A2">
      <w:pPr>
        <w:pStyle w:val="Normal6"/>
      </w:pPr>
    </w:p>
    <w:p w14:paraId="2693CB55" w14:textId="77777777" w:rsidR="00D041A2" w:rsidRDefault="00000000">
      <w:pPr>
        <w:pStyle w:val="Normal6"/>
        <w:widowControl w:val="0"/>
        <w:spacing w:before="200" w:line="260" w:lineRule="atLeast"/>
        <w:jc w:val="both"/>
      </w:pPr>
      <w:bookmarkStart w:id="501" w:name="Bookmark_para_2_5"/>
      <w:bookmarkEnd w:id="501"/>
      <w:r>
        <w:rPr>
          <w:rFonts w:ascii="Arial" w:eastAsia="Arial" w:hAnsi="Arial" w:cs="Arial"/>
          <w:color w:val="000000"/>
          <w:sz w:val="20"/>
        </w:rPr>
        <w:t xml:space="preserve"> [*740]  </w:t>
      </w:r>
      <w:r>
        <w:rPr>
          <w:rFonts w:ascii="Arial" w:eastAsia="Arial" w:hAnsi="Arial" w:cs="Arial"/>
          <w:b/>
          <w:color w:val="000000"/>
          <w:sz w:val="20"/>
        </w:rPr>
        <w:t>TYMKOVICH</w:t>
      </w:r>
      <w:r>
        <w:rPr>
          <w:rFonts w:ascii="Arial" w:eastAsia="Arial" w:hAnsi="Arial" w:cs="Arial"/>
          <w:color w:val="000000"/>
          <w:sz w:val="20"/>
        </w:rPr>
        <w:t>, Circuit Judge.</w:t>
      </w:r>
    </w:p>
    <w:p w14:paraId="0EEC4816" w14:textId="77777777" w:rsidR="00D041A2" w:rsidRDefault="00000000">
      <w:pPr>
        <w:pStyle w:val="Normal6"/>
        <w:widowControl w:val="0"/>
        <w:spacing w:before="200" w:line="260" w:lineRule="atLeast"/>
        <w:jc w:val="both"/>
      </w:pPr>
      <w:bookmarkStart w:id="502" w:name="Bookmark_para_3_5"/>
      <w:bookmarkEnd w:id="502"/>
      <w:r>
        <w:rPr>
          <w:rFonts w:ascii="Arial" w:eastAsia="Arial" w:hAnsi="Arial" w:cs="Arial"/>
          <w:color w:val="000000"/>
          <w:sz w:val="20"/>
        </w:rPr>
        <w:t>Kevin Koessel was terminated from his position as a deputy sheriff in Sublette County, Wyoming, due to concerns about the lingering effects of a stroke he suffered. In response, Koessel brought a suit in district court against the Sheriff and the County alleging they violated the Americans with Disabilities Act (ADA), breached his employment contract, and violated his substantive and procedural due process rights.</w:t>
      </w:r>
    </w:p>
    <w:p w14:paraId="19961D0E" w14:textId="77777777" w:rsidR="00D041A2" w:rsidRDefault="00000000">
      <w:pPr>
        <w:pStyle w:val="Normal6"/>
        <w:widowControl w:val="0"/>
        <w:spacing w:before="200" w:line="260" w:lineRule="atLeast"/>
        <w:jc w:val="both"/>
      </w:pPr>
      <w:bookmarkStart w:id="503" w:name="Bookmark_para_4_5"/>
      <w:bookmarkEnd w:id="503"/>
      <w:r>
        <w:rPr>
          <w:rFonts w:ascii="Arial" w:eastAsia="Arial" w:hAnsi="Arial" w:cs="Arial"/>
          <w:color w:val="000000"/>
          <w:sz w:val="20"/>
        </w:rPr>
        <w:t>The district court granted the Defendants' motion for summary judgment, finding there were no genuine issues of material fact for a jury.</w:t>
      </w:r>
    </w:p>
    <w:p w14:paraId="2EE56A3E" w14:textId="77777777" w:rsidR="00D041A2" w:rsidRDefault="00000000">
      <w:pPr>
        <w:pStyle w:val="Normal6"/>
        <w:widowControl w:val="0"/>
        <w:spacing w:before="200" w:line="260" w:lineRule="atLeast"/>
        <w:jc w:val="both"/>
      </w:pPr>
      <w:bookmarkStart w:id="504" w:name="Bookmark_para_5_5"/>
      <w:bookmarkEnd w:id="504"/>
      <w:r>
        <w:rPr>
          <w:rFonts w:ascii="Arial" w:eastAsia="Arial" w:hAnsi="Arial" w:cs="Arial"/>
          <w:color w:val="000000"/>
          <w:sz w:val="20"/>
        </w:rPr>
        <w:t>We agree with the district  [**2] court that the Defendants' are entitled to summary judgment on all of Koessel's claims. Accordingly, exercising jurisdiction under 28 U.S.C. § 1291, we AFFIRM the district court's judgment.</w:t>
      </w:r>
    </w:p>
    <w:p w14:paraId="3229A34B" w14:textId="77777777" w:rsidR="00D041A2" w:rsidRDefault="00000000">
      <w:pPr>
        <w:pStyle w:val="Normal6"/>
        <w:widowControl w:val="0"/>
        <w:spacing w:before="240" w:line="260" w:lineRule="atLeast"/>
      </w:pPr>
      <w:r>
        <w:br/>
      </w:r>
      <w:r>
        <w:rPr>
          <w:rFonts w:ascii="Arial" w:eastAsia="Arial" w:hAnsi="Arial" w:cs="Arial"/>
          <w:b/>
          <w:color w:val="000000"/>
          <w:sz w:val="20"/>
        </w:rPr>
        <w:t>I. Background</w:t>
      </w:r>
    </w:p>
    <w:p w14:paraId="026A34C3" w14:textId="77777777" w:rsidR="00D041A2" w:rsidRDefault="00000000">
      <w:pPr>
        <w:pStyle w:val="Normal6"/>
        <w:widowControl w:val="0"/>
        <w:spacing w:before="200" w:line="260" w:lineRule="atLeast"/>
        <w:jc w:val="both"/>
      </w:pPr>
      <w:bookmarkStart w:id="505" w:name="Bookmark_para_6_5"/>
      <w:bookmarkEnd w:id="505"/>
      <w:r>
        <w:rPr>
          <w:rFonts w:ascii="Arial" w:eastAsia="Arial" w:hAnsi="Arial" w:cs="Arial"/>
          <w:color w:val="000000"/>
          <w:sz w:val="20"/>
        </w:rPr>
        <w:t>Koessel joined the Sublette County Sheriff's Office as a patrol officer in April 2002. In December 2007, while still a patrol officer, Koessel suffered a stroke. He was placed on administrative leave while he recovered. As part of his treatment, he dropped his smoking habit and began physical therapy. In April 2008, Koessel returned to the Sheriff's Office part time, in a temporary office job in which he conducted vehicle registration checks and approved field reports. After several months of these duties, in August 2008, Koessel's doctor cleared him for full-time work, 40-hours per week, but restricted him from working overtime. Returning full-time, Koessel continued the desk assignment, although he was authorized to make routine traffic stops while on his daily commute.</w:t>
      </w:r>
    </w:p>
    <w:p w14:paraId="3F76DF60" w14:textId="77777777" w:rsidR="00D041A2" w:rsidRDefault="00000000">
      <w:pPr>
        <w:pStyle w:val="Normal6"/>
        <w:widowControl w:val="0"/>
        <w:spacing w:before="200" w:line="260" w:lineRule="atLeast"/>
        <w:jc w:val="both"/>
      </w:pPr>
      <w:bookmarkStart w:id="506" w:name="Bookmark_para_7_5"/>
      <w:bookmarkEnd w:id="506"/>
      <w:r>
        <w:rPr>
          <w:rFonts w:ascii="Arial" w:eastAsia="Arial" w:hAnsi="Arial" w:cs="Arial"/>
          <w:color w:val="000000"/>
          <w:sz w:val="20"/>
        </w:rPr>
        <w:t>During this time, some officers in the Sheriff's Office reported concerns about Koessel's behavior and performance to the Sheriff, Wayne Bardin. For example, in one report, a captain overheard a situation where Koessel  [**3] became flustered while making a traffic stop because he could not remember a word. The captain suggested to Sheriff Bardin that Koessel not be allowed to initiate traffic stops, but only perform backup duties—a suggestion that Bardin followed. Other officers reported Koessel would lose his temper while on the job. On at least one occasion, Koessel left work early because of blood pressure problems.</w:t>
      </w:r>
    </w:p>
    <w:p w14:paraId="4E644B1B" w14:textId="77777777" w:rsidR="00D041A2" w:rsidRDefault="00000000">
      <w:pPr>
        <w:pStyle w:val="Normal6"/>
        <w:widowControl w:val="0"/>
        <w:spacing w:before="200" w:line="260" w:lineRule="atLeast"/>
        <w:jc w:val="both"/>
      </w:pPr>
      <w:bookmarkStart w:id="507" w:name="Bookmark_para_8_4"/>
      <w:bookmarkEnd w:id="507"/>
      <w:r>
        <w:rPr>
          <w:rFonts w:ascii="Arial" w:eastAsia="Arial" w:hAnsi="Arial" w:cs="Arial"/>
          <w:color w:val="000000"/>
          <w:sz w:val="20"/>
        </w:rPr>
        <w:t>These concerns led Sheriff Bardin to place Koessel on administrative leave in April 2009 and order him to undergo an independent medical examination, which was conducted by Dr. Gerald Moress, a neurologist. Sheriff Bardin sent Dr. Moress a letter explaining his concerns about Koessel, in particular Koessel's lapses of memory and blood pressure problems. After conducting an evaluation of Koessel, Dr. Moress made the following finding: "Strictly from a neurological standpoint he would be able to work, but there are potential problems to cognitive functioning that may have resulted from the stroke  [*741]  and should be investigated." App. 125. Dr. Moress recommended Koessel be examined by a neuropsychologist.</w:t>
      </w:r>
    </w:p>
    <w:p w14:paraId="78A2247F" w14:textId="77777777" w:rsidR="00D041A2" w:rsidRDefault="00000000">
      <w:pPr>
        <w:pStyle w:val="Normal6"/>
        <w:widowControl w:val="0"/>
        <w:spacing w:before="200" w:line="260" w:lineRule="atLeast"/>
        <w:jc w:val="both"/>
      </w:pPr>
      <w:bookmarkStart w:id="508" w:name="Bookmark_para_9_4"/>
      <w:bookmarkEnd w:id="508"/>
      <w:r>
        <w:rPr>
          <w:rFonts w:ascii="Arial" w:eastAsia="Arial" w:hAnsi="Arial" w:cs="Arial"/>
          <w:color w:val="000000"/>
          <w:sz w:val="20"/>
        </w:rPr>
        <w:t xml:space="preserve">Koessel saw a psychologist, Dr. Michael Enright, who performed a psychological fitness for duty  [**4] evaluation. Though Koessel's scores on a standard psychological test were unchanged from when he first took the test several years earlier (before the stroke), Dr. Enright found that Koessel's symptoms of "mild to moderate fatigue, episodes of lightheadedness and episodes of emotional disinhibition (weeping)" could interfere with the performance of some of his patrol officer duties. </w:t>
      </w:r>
      <w:r>
        <w:rPr>
          <w:rFonts w:ascii="Arial" w:eastAsia="Arial" w:hAnsi="Arial" w:cs="Arial"/>
          <w:i/>
          <w:color w:val="000000"/>
          <w:sz w:val="20"/>
        </w:rPr>
        <w:t>Id</w:t>
      </w:r>
      <w:r>
        <w:rPr>
          <w:rFonts w:ascii="Arial" w:eastAsia="Arial" w:hAnsi="Arial" w:cs="Arial"/>
          <w:color w:val="000000"/>
          <w:sz w:val="20"/>
        </w:rPr>
        <w:t>. at 130-31. Dr. Enright recommended Koessel be placed in a low-stress position, one in which he did not have regular contact with the public.</w:t>
      </w:r>
    </w:p>
    <w:p w14:paraId="7F5F063B" w14:textId="77777777" w:rsidR="00D041A2" w:rsidRDefault="00000000">
      <w:pPr>
        <w:pStyle w:val="Normal6"/>
        <w:widowControl w:val="0"/>
        <w:spacing w:before="200" w:line="260" w:lineRule="atLeast"/>
        <w:jc w:val="both"/>
      </w:pPr>
      <w:bookmarkStart w:id="509" w:name="Bookmark_para_10_4"/>
      <w:bookmarkEnd w:id="509"/>
      <w:r>
        <w:rPr>
          <w:rFonts w:ascii="Arial" w:eastAsia="Arial" w:hAnsi="Arial" w:cs="Arial"/>
          <w:color w:val="000000"/>
          <w:sz w:val="20"/>
        </w:rPr>
        <w:t>On May 20, 2009, Koessel returned to work from administrative leave—this time as an assistant to the Emergency Management Coordinator, who was housed in the Sheriff's Office. This was not intended to be a permanent position, but a temporary one. On June 17, 2009, Sheriff Bardin informed Koessel that the County Board of Commissioners had not approved additional funds for the position, and again placed Koessel on administrative leave.</w:t>
      </w:r>
    </w:p>
    <w:p w14:paraId="7B7F0D6D" w14:textId="77777777" w:rsidR="00D041A2" w:rsidRDefault="00000000">
      <w:pPr>
        <w:pStyle w:val="Normal6"/>
        <w:widowControl w:val="0"/>
        <w:spacing w:before="200" w:line="260" w:lineRule="atLeast"/>
        <w:jc w:val="both"/>
      </w:pPr>
      <w:bookmarkStart w:id="510" w:name="Bookmark_para_11_3"/>
      <w:bookmarkEnd w:id="510"/>
      <w:r>
        <w:rPr>
          <w:rFonts w:ascii="Arial" w:eastAsia="Arial" w:hAnsi="Arial" w:cs="Arial"/>
          <w:color w:val="000000"/>
          <w:sz w:val="20"/>
        </w:rPr>
        <w:t>On August 12, 2009, Koessel received a letter from Bardin, terminating his employment. It stated in part:</w:t>
      </w:r>
    </w:p>
    <w:p w14:paraId="54330283" w14:textId="77777777" w:rsidR="00D041A2" w:rsidRDefault="00000000">
      <w:pPr>
        <w:pStyle w:val="Normal6"/>
        <w:widowControl w:val="0"/>
        <w:spacing w:before="200" w:line="260" w:lineRule="atLeast"/>
        <w:ind w:left="400"/>
        <w:jc w:val="both"/>
      </w:pPr>
      <w:bookmarkStart w:id="511" w:name="Bookmark_para_12_2"/>
      <w:bookmarkEnd w:id="511"/>
      <w:r>
        <w:rPr>
          <w:rFonts w:ascii="Arial" w:eastAsia="Arial" w:hAnsi="Arial" w:cs="Arial"/>
          <w:color w:val="000000"/>
          <w:sz w:val="20"/>
        </w:rPr>
        <w:t>Sublette County Sheriff's Office is in receipt of the report from Dr. Michael Enright, dated April 24, 2009, stating, in part, that  [**5] you are not physically fit to perform the duties of a Sublette County Deputy Sheriff. After careful consideration the Sheriff's department has determined that there are no available positions in the Sheriff's Department for which you are medically cleared to perform. For safety purposes and to prevent injury to you or to the public at large, this office has no alternative but to discharge you from duty.</w:t>
      </w:r>
    </w:p>
    <w:p w14:paraId="43F4356E" w14:textId="77777777" w:rsidR="00D041A2" w:rsidRDefault="00000000">
      <w:pPr>
        <w:pStyle w:val="Normal6"/>
        <w:widowControl w:val="0"/>
        <w:spacing w:line="260" w:lineRule="atLeast"/>
        <w:jc w:val="both"/>
      </w:pPr>
      <w:r>
        <w:rPr>
          <w:rFonts w:ascii="Arial" w:eastAsia="Arial" w:hAnsi="Arial" w:cs="Arial"/>
          <w:color w:val="000000"/>
          <w:sz w:val="20"/>
        </w:rPr>
        <w:t>App. 133. The letter also informed Koessel that he had five days to file a written request for a hearing to dispute his termination. Koessel never filed a request, and he was terminated.</w:t>
      </w:r>
    </w:p>
    <w:p w14:paraId="0AB28EA3" w14:textId="77777777" w:rsidR="00D041A2" w:rsidRDefault="00000000">
      <w:pPr>
        <w:pStyle w:val="Normal6"/>
        <w:widowControl w:val="0"/>
        <w:spacing w:before="200" w:line="260" w:lineRule="atLeast"/>
        <w:jc w:val="both"/>
      </w:pPr>
      <w:bookmarkStart w:id="512" w:name="Bookmark_para_13_2"/>
      <w:bookmarkEnd w:id="512"/>
      <w:r>
        <w:rPr>
          <w:rFonts w:ascii="Arial" w:eastAsia="Arial" w:hAnsi="Arial" w:cs="Arial"/>
          <w:color w:val="000000"/>
          <w:sz w:val="20"/>
        </w:rPr>
        <w:t>Over a year later, Koessel sued the Sheriff's Office, Sheriff Bardin, the Sublette County Board of Commissioners, and the County Commissioners ("Defendants"). He alleged violations of the ADA, breach of contract, and violations of 42 U.S.C. § 1983 involving rights under the Fifth and Fourteenth Amendments (procedural and substantive due process).</w:t>
      </w:r>
    </w:p>
    <w:p w14:paraId="7F16B63D" w14:textId="77777777" w:rsidR="00D041A2" w:rsidRDefault="00000000">
      <w:pPr>
        <w:pStyle w:val="Normal6"/>
        <w:widowControl w:val="0"/>
        <w:spacing w:before="200" w:line="260" w:lineRule="atLeast"/>
        <w:jc w:val="both"/>
      </w:pPr>
      <w:bookmarkStart w:id="513" w:name="Bookmark_para_14_2"/>
      <w:bookmarkEnd w:id="513"/>
      <w:r>
        <w:rPr>
          <w:rFonts w:ascii="Arial" w:eastAsia="Arial" w:hAnsi="Arial" w:cs="Arial"/>
          <w:color w:val="000000"/>
          <w:sz w:val="20"/>
        </w:rPr>
        <w:t>After discovery, the Defendants filed a motion for summary judgment. On the ADA claim, the district court noted that a prima facie case required Koessel to show (1) he was disabled within the meaning of the ADA, (2) he was able to perform the essential functions  [**6] of his job with or without reasonable accommodation, and (3) he suffered discrimination by an employer because of his disability. The district court found that Koessel's claim faltered on the second element, whether he could perform his job with or without reasonable accommodation. The court concluded Koessel could not make a prima facie case of an ADA violation because he put forward no evidence contradicting Dr. Enright's report—which evidence was necessary to establish that Koessel was qualified to perform his job. The court also granted summary judgment on the breach of contract and due process claims, holding that the Defendants followed appropriate procedures in terminating Koessel and made their decision in good faith.</w:t>
      </w:r>
    </w:p>
    <w:p w14:paraId="255A36C0" w14:textId="77777777" w:rsidR="00D041A2" w:rsidRDefault="00000000">
      <w:pPr>
        <w:pStyle w:val="Normal6"/>
        <w:widowControl w:val="0"/>
        <w:spacing w:before="240" w:line="260" w:lineRule="atLeast"/>
      </w:pPr>
      <w:r>
        <w:br/>
      </w:r>
      <w:r>
        <w:rPr>
          <w:rFonts w:ascii="Arial" w:eastAsia="Arial" w:hAnsi="Arial" w:cs="Arial"/>
          <w:b/>
          <w:color w:val="000000"/>
          <w:sz w:val="20"/>
        </w:rPr>
        <w:t>II. Analysis</w:t>
      </w:r>
    </w:p>
    <w:p w14:paraId="10F32F81" w14:textId="77777777" w:rsidR="00D041A2" w:rsidRDefault="00000000">
      <w:pPr>
        <w:pStyle w:val="Normal6"/>
        <w:widowControl w:val="0"/>
        <w:spacing w:before="200" w:line="260" w:lineRule="atLeast"/>
        <w:jc w:val="both"/>
      </w:pPr>
      <w:bookmarkStart w:id="514" w:name="Bookmark_para_15_2"/>
      <w:bookmarkEnd w:id="514"/>
      <w:r>
        <w:rPr>
          <w:rFonts w:ascii="Arial" w:eastAsia="Arial" w:hAnsi="Arial" w:cs="Arial"/>
          <w:color w:val="000000"/>
          <w:sz w:val="20"/>
        </w:rPr>
        <w:t>Koessel argues the district court erred in granting the Defendants' motion for  [*742]  summary judgment, claiming fact disputes existed on all of his claims.</w:t>
      </w:r>
    </w:p>
    <w:p w14:paraId="5C7233D7" w14:textId="77777777" w:rsidR="00D041A2" w:rsidRDefault="00000000">
      <w:pPr>
        <w:pStyle w:val="Normal6"/>
        <w:widowControl w:val="0"/>
        <w:spacing w:before="200" w:line="260" w:lineRule="atLeast"/>
        <w:jc w:val="both"/>
      </w:pPr>
      <w:bookmarkStart w:id="515" w:name="Bookmark_para_16_2"/>
      <w:bookmarkStart w:id="516" w:name="Bookmark_I58JVYF32D6NJN0020000400"/>
      <w:bookmarkStart w:id="517" w:name="Bookmark_I58JVYF32D6NJN0040000400"/>
      <w:bookmarkStart w:id="518" w:name="Bookmark_I58JVYF328T4430010000400"/>
      <w:bookmarkStart w:id="519" w:name="Bookmark_LNHNREFclscc1_2"/>
      <w:bookmarkEnd w:id="515"/>
      <w:bookmarkEnd w:id="516"/>
      <w:bookmarkEnd w:id="517"/>
      <w:bookmarkEnd w:id="518"/>
      <w:bookmarkEnd w:id="519"/>
      <w:r>
        <w:rPr>
          <w:rFonts w:ascii="Arial" w:eastAsia="Arial" w:hAnsi="Arial" w:cs="Arial"/>
          <w:color w:val="000000"/>
          <w:sz w:val="20"/>
        </w:rPr>
        <w:t xml:space="preserve">We review the district court's order granting summary judgment de novo. </w:t>
      </w:r>
      <w:bookmarkStart w:id="520" w:name="Bookmark_I58JVYF32D6NJN0010000400"/>
      <w:bookmarkEnd w:id="520"/>
      <w:r>
        <w:rPr>
          <w:rFonts w:ascii="Arial" w:eastAsia="Arial" w:hAnsi="Arial" w:cs="Arial"/>
          <w:i/>
          <w:color w:val="000000"/>
          <w:sz w:val="20"/>
        </w:rPr>
        <w:t>Simms v. Okla. ex rel. Dep't of Mental Health &amp; Substance Abuse Servs</w:t>
      </w:r>
      <w:r>
        <w:rPr>
          <w:rFonts w:ascii="Arial" w:eastAsia="Arial" w:hAnsi="Arial" w:cs="Arial"/>
          <w:color w:val="000000"/>
          <w:sz w:val="20"/>
        </w:rPr>
        <w:t xml:space="preserve">., 165 F.3d 1321, 1326 (10th Cir. 1999). </w:t>
      </w:r>
      <w:bookmarkStart w:id="521" w:name="Bookmark_LNHNREFclscc2_2"/>
      <w:bookmarkEnd w:id="521"/>
      <w:r>
        <w:rPr>
          <w:rFonts w:ascii="Arial" w:eastAsia="Arial" w:hAnsi="Arial" w:cs="Arial"/>
          <w:color w:val="000000"/>
          <w:sz w:val="20"/>
        </w:rPr>
        <w:t xml:space="preserve">"Summary judgment is appropriate when there is no genuine issue of material fact and the movant is entitled to judgment as  [**7] a matter of law." </w:t>
      </w:r>
      <w:bookmarkStart w:id="522" w:name="Bookmark_I58JVYF32D6NJN0030000400"/>
      <w:bookmarkEnd w:id="522"/>
      <w:r>
        <w:rPr>
          <w:rFonts w:ascii="Arial" w:eastAsia="Arial" w:hAnsi="Arial" w:cs="Arial"/>
          <w:i/>
          <w:color w:val="000000"/>
          <w:sz w:val="20"/>
        </w:rPr>
        <w:t>McCarty v. Gilchrist</w:t>
      </w:r>
      <w:r>
        <w:rPr>
          <w:rFonts w:ascii="Arial" w:eastAsia="Arial" w:hAnsi="Arial" w:cs="Arial"/>
          <w:color w:val="000000"/>
          <w:sz w:val="20"/>
        </w:rPr>
        <w:t xml:space="preserve">, 646 F.3d 1281, 1284-85 (10th Cir. 2011). "There is no genuine issue of material fact unless the evidence, construed in the light most favorable to the non-moving party, is such that a reasonable jury could return a verdict for the non-moving party." </w:t>
      </w:r>
      <w:bookmarkStart w:id="523" w:name="Bookmark_I58JVYF32D6NJN0050000400"/>
      <w:bookmarkEnd w:id="523"/>
      <w:r>
        <w:rPr>
          <w:rFonts w:ascii="Arial" w:eastAsia="Arial" w:hAnsi="Arial" w:cs="Arial"/>
          <w:i/>
          <w:color w:val="000000"/>
          <w:sz w:val="20"/>
        </w:rPr>
        <w:t>Bones v. Honeywell Int'l, Inc</w:t>
      </w:r>
      <w:r>
        <w:rPr>
          <w:rFonts w:ascii="Arial" w:eastAsia="Arial" w:hAnsi="Arial" w:cs="Arial"/>
          <w:color w:val="000000"/>
          <w:sz w:val="20"/>
        </w:rPr>
        <w:t>., 366 F.3d 869, 875 (10th Cir. 2004).</w:t>
      </w:r>
    </w:p>
    <w:p w14:paraId="243B9FFD" w14:textId="77777777" w:rsidR="00D041A2" w:rsidRDefault="00000000">
      <w:pPr>
        <w:pStyle w:val="Normal6"/>
        <w:widowControl w:val="0"/>
        <w:spacing w:before="240" w:line="260" w:lineRule="atLeast"/>
      </w:pPr>
      <w:r>
        <w:br/>
      </w:r>
      <w:r>
        <w:rPr>
          <w:rFonts w:ascii="Arial" w:eastAsia="Arial" w:hAnsi="Arial" w:cs="Arial"/>
          <w:b/>
          <w:i/>
          <w:color w:val="000000"/>
          <w:sz w:val="20"/>
        </w:rPr>
        <w:t>A. ADA Claim</w:t>
      </w:r>
    </w:p>
    <w:p w14:paraId="1E75816F" w14:textId="77777777" w:rsidR="00D041A2" w:rsidRDefault="00000000">
      <w:pPr>
        <w:pStyle w:val="Normal6"/>
        <w:widowControl w:val="0"/>
        <w:spacing w:before="200" w:line="260" w:lineRule="atLeast"/>
        <w:jc w:val="both"/>
      </w:pPr>
      <w:bookmarkStart w:id="524" w:name="Bookmark_para_17_2"/>
      <w:bookmarkEnd w:id="524"/>
      <w:r>
        <w:rPr>
          <w:rFonts w:ascii="Arial" w:eastAsia="Arial" w:hAnsi="Arial" w:cs="Arial"/>
          <w:color w:val="000000"/>
          <w:sz w:val="20"/>
        </w:rPr>
        <w:t>Koessel first contends the district court erred in dismissing his ADA claim, maintaining the Defendants fired him on the basis of a perceived disability when he was in fact not disabled.</w:t>
      </w:r>
    </w:p>
    <w:p w14:paraId="1CF32E9B" w14:textId="77777777" w:rsidR="00D041A2" w:rsidRDefault="00000000">
      <w:pPr>
        <w:pStyle w:val="Normal6"/>
        <w:widowControl w:val="0"/>
        <w:spacing w:before="200" w:line="260" w:lineRule="atLeast"/>
        <w:jc w:val="both"/>
      </w:pPr>
      <w:bookmarkStart w:id="525" w:name="Bookmark_para_18_2"/>
      <w:bookmarkStart w:id="526" w:name="Bookmark_I53M09FM5HR00053NT70008N"/>
      <w:bookmarkStart w:id="527" w:name="Bookmark_I58JVYF328T4430030000400"/>
      <w:bookmarkStart w:id="528" w:name="Bookmark_LNHNREFclscc3_2"/>
      <w:bookmarkEnd w:id="525"/>
      <w:bookmarkEnd w:id="526"/>
      <w:bookmarkEnd w:id="527"/>
      <w:bookmarkEnd w:id="528"/>
      <w:r>
        <w:rPr>
          <w:rFonts w:ascii="Arial" w:eastAsia="Arial" w:hAnsi="Arial" w:cs="Arial"/>
          <w:color w:val="000000"/>
          <w:sz w:val="20"/>
        </w:rPr>
        <w:t xml:space="preserve">The ADA protects individuals with physical disabilities or mental impairments that substantially limit major life activities, as well as individuals who are merely perceived to have such impairments. 42 U.S.C. § 12102(1)(C). </w:t>
      </w:r>
      <w:bookmarkStart w:id="529" w:name="Bookmark_LNHNREFclscc4_2"/>
      <w:bookmarkEnd w:id="529"/>
      <w:r>
        <w:rPr>
          <w:rFonts w:ascii="Arial" w:eastAsia="Arial" w:hAnsi="Arial" w:cs="Arial"/>
          <w:color w:val="000000"/>
          <w:sz w:val="20"/>
        </w:rPr>
        <w:t xml:space="preserve">To establish a prima facie case of discrimination under the ADA, Koessel must show (1) he is disabled (or perceived as disabled) as defined by the ADA, (2) he is qualified to perform the essential functions of his job with or without reasonable accommodation, and (3) he suffered discrimination as a result of his disability. </w:t>
      </w:r>
      <w:bookmarkStart w:id="530" w:name="Bookmark_I58JVYF328T4430020000400"/>
      <w:bookmarkEnd w:id="530"/>
      <w:r>
        <w:rPr>
          <w:rFonts w:ascii="Arial" w:eastAsia="Arial" w:hAnsi="Arial" w:cs="Arial"/>
          <w:i/>
          <w:color w:val="000000"/>
          <w:sz w:val="20"/>
        </w:rPr>
        <w:t>Justice v. Crown Cork &amp; Seal Co</w:t>
      </w:r>
      <w:r>
        <w:rPr>
          <w:rFonts w:ascii="Arial" w:eastAsia="Arial" w:hAnsi="Arial" w:cs="Arial"/>
          <w:color w:val="000000"/>
          <w:sz w:val="20"/>
        </w:rPr>
        <w:t>., 527 F.3d 1080, 1086 (10th Cir. 2008).</w:t>
      </w:r>
    </w:p>
    <w:p w14:paraId="384FBB63" w14:textId="77777777" w:rsidR="00D041A2" w:rsidRDefault="00000000">
      <w:pPr>
        <w:pStyle w:val="Normal6"/>
        <w:widowControl w:val="0"/>
        <w:spacing w:before="200" w:line="260" w:lineRule="atLeast"/>
        <w:jc w:val="both"/>
      </w:pPr>
      <w:bookmarkStart w:id="531" w:name="Bookmark_para_19_2"/>
      <w:bookmarkStart w:id="532" w:name="Bookmark_I58JVYF328T4430050000400"/>
      <w:bookmarkStart w:id="533" w:name="Bookmark_LNHNREFclscc5_2"/>
      <w:bookmarkEnd w:id="531"/>
      <w:bookmarkEnd w:id="532"/>
      <w:bookmarkEnd w:id="533"/>
      <w:r>
        <w:rPr>
          <w:rFonts w:ascii="Arial" w:eastAsia="Arial" w:hAnsi="Arial" w:cs="Arial"/>
          <w:color w:val="000000"/>
          <w:sz w:val="20"/>
        </w:rPr>
        <w:t xml:space="preserve">A person is perceived as  [**8] disabled when an employer regards the employee as suffering from a physical or mental impairment that substantially limits his or her ability to work. </w:t>
      </w:r>
      <w:r>
        <w:rPr>
          <w:rFonts w:ascii="Arial" w:eastAsia="Arial" w:hAnsi="Arial" w:cs="Arial"/>
          <w:i/>
          <w:color w:val="000000"/>
          <w:sz w:val="20"/>
        </w:rPr>
        <w:t>Id</w:t>
      </w:r>
      <w:r>
        <w:rPr>
          <w:rFonts w:ascii="Arial" w:eastAsia="Arial" w:hAnsi="Arial" w:cs="Arial"/>
          <w:color w:val="000000"/>
          <w:sz w:val="20"/>
        </w:rPr>
        <w:t>. An individual may qualify as disabled under the "regarded as" provision of the ADA in two ways:</w:t>
      </w:r>
    </w:p>
    <w:p w14:paraId="65D49EF4" w14:textId="77777777" w:rsidR="00D041A2" w:rsidRDefault="00000000">
      <w:pPr>
        <w:pStyle w:val="Normal6"/>
        <w:widowControl w:val="0"/>
        <w:spacing w:before="200" w:line="260" w:lineRule="atLeast"/>
        <w:ind w:left="400"/>
        <w:jc w:val="both"/>
      </w:pPr>
      <w:bookmarkStart w:id="534" w:name="Bookmark_para_20_2"/>
      <w:bookmarkStart w:id="535" w:name="Bookmark_I58JVYF328T4430050000400_2"/>
      <w:bookmarkEnd w:id="534"/>
      <w:bookmarkEnd w:id="535"/>
      <w:r>
        <w:rPr>
          <w:rFonts w:ascii="Arial" w:eastAsia="Arial" w:hAnsi="Arial" w:cs="Arial"/>
          <w:color w:val="000000"/>
          <w:sz w:val="20"/>
        </w:rPr>
        <w:t xml:space="preserve">(1) a covered entity mistakenly believes that a person has a physical impairment that substantially limits one or more major life activities, or (2) a covered entity mistakenly believes that an actual, nonlimiting impairment substantially limits one or more major life activities. </w:t>
      </w:r>
      <w:bookmarkStart w:id="536" w:name="Bookmark_I58JVYF328T4440020000400"/>
      <w:bookmarkStart w:id="537" w:name="Bookmark_I58JVYF328T4430040000400"/>
      <w:bookmarkEnd w:id="536"/>
      <w:bookmarkEnd w:id="537"/>
      <w:r>
        <w:rPr>
          <w:rFonts w:ascii="Arial" w:eastAsia="Arial" w:hAnsi="Arial" w:cs="Arial"/>
          <w:i/>
          <w:color w:val="000000"/>
          <w:sz w:val="20"/>
        </w:rPr>
        <w:t>Sutton v. United Air Lines, Inc</w:t>
      </w:r>
      <w:r>
        <w:rPr>
          <w:rFonts w:ascii="Arial" w:eastAsia="Arial" w:hAnsi="Arial" w:cs="Arial"/>
          <w:color w:val="000000"/>
          <w:sz w:val="20"/>
        </w:rPr>
        <w:t xml:space="preserve">., 527 U.S. 471, 489, 119 S. Ct. 2139, 144 L. Ed. 2d 450 (1999); </w:t>
      </w:r>
      <w:r>
        <w:rPr>
          <w:rFonts w:ascii="Arial" w:eastAsia="Arial" w:hAnsi="Arial" w:cs="Arial"/>
          <w:i/>
          <w:color w:val="000000"/>
          <w:sz w:val="20"/>
        </w:rPr>
        <w:t>see also</w:t>
      </w:r>
      <w:r>
        <w:rPr>
          <w:rFonts w:ascii="Arial" w:eastAsia="Arial" w:hAnsi="Arial" w:cs="Arial"/>
          <w:color w:val="000000"/>
          <w:sz w:val="20"/>
        </w:rPr>
        <w:t xml:space="preserve"> 29 C.F.R. § 1630.2(l) (defining "regarded as having such an impairment"). </w:t>
      </w:r>
      <w:bookmarkStart w:id="538" w:name="Bookmark_I58JVYF328T4440020000400_2"/>
      <w:bookmarkEnd w:id="538"/>
      <w:r>
        <w:rPr>
          <w:rFonts w:ascii="Arial" w:eastAsia="Arial" w:hAnsi="Arial" w:cs="Arial"/>
          <w:color w:val="000000"/>
          <w:sz w:val="20"/>
        </w:rPr>
        <w:t xml:space="preserve">In either event, our focus is on an employer's subjective state of mind: did the employer mistakenly believe that the plaintiff was substantially limited in performing a major life activity? </w:t>
      </w:r>
      <w:bookmarkStart w:id="539" w:name="Bookmark_I58JVYF328T4440010000400"/>
      <w:bookmarkEnd w:id="539"/>
      <w:r>
        <w:rPr>
          <w:rFonts w:ascii="Arial" w:eastAsia="Arial" w:hAnsi="Arial" w:cs="Arial"/>
          <w:i/>
          <w:color w:val="000000"/>
          <w:sz w:val="20"/>
        </w:rPr>
        <w:t>Sutton</w:t>
      </w:r>
      <w:r>
        <w:rPr>
          <w:rFonts w:ascii="Arial" w:eastAsia="Arial" w:hAnsi="Arial" w:cs="Arial"/>
          <w:color w:val="000000"/>
          <w:sz w:val="20"/>
        </w:rPr>
        <w:t>, 527 U.S. at 489, 119 S. Ct. 2139.</w:t>
      </w:r>
    </w:p>
    <w:p w14:paraId="28E2D640" w14:textId="77777777" w:rsidR="00D041A2" w:rsidRDefault="00000000">
      <w:pPr>
        <w:pStyle w:val="Normal6"/>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(internal quotation marks omitted).</w:t>
      </w:r>
    </w:p>
    <w:p w14:paraId="21422666" w14:textId="77777777" w:rsidR="00D041A2" w:rsidRDefault="00000000">
      <w:pPr>
        <w:pStyle w:val="Normal6"/>
        <w:widowControl w:val="0"/>
        <w:spacing w:before="200" w:line="260" w:lineRule="atLeast"/>
        <w:jc w:val="both"/>
      </w:pPr>
      <w:bookmarkStart w:id="540" w:name="Bookmark_para_21_2"/>
      <w:bookmarkEnd w:id="540"/>
      <w:r>
        <w:rPr>
          <w:rFonts w:ascii="Arial" w:eastAsia="Arial" w:hAnsi="Arial" w:cs="Arial"/>
          <w:color w:val="000000"/>
          <w:sz w:val="20"/>
        </w:rPr>
        <w:t>If Koessel cannot show that there is a genuine issue of triable fact as to any of the elements of the prima facie case, then the Defendants are entitled to summary judgment. We agree with the district court that Koessel failed  [**9] to demonstrate he could still perform the essential functions of the job with or without reasonable accommodation, and thus cannot meet the second element. We therefore need not address the first or third elements of his ADA claim.</w:t>
      </w:r>
    </w:p>
    <w:p w14:paraId="01C7E609" w14:textId="77777777" w:rsidR="00D041A2" w:rsidRDefault="00000000">
      <w:pPr>
        <w:pStyle w:val="Normal6"/>
        <w:widowControl w:val="0"/>
        <w:spacing w:before="240" w:line="260" w:lineRule="atLeast"/>
      </w:pPr>
      <w:r>
        <w:br/>
      </w:r>
      <w:r>
        <w:rPr>
          <w:rFonts w:ascii="Arial" w:eastAsia="Arial" w:hAnsi="Arial" w:cs="Arial"/>
          <w:i/>
          <w:color w:val="000000"/>
          <w:sz w:val="20"/>
        </w:rPr>
        <w:t>1. Essential Functions</w:t>
      </w:r>
    </w:p>
    <w:p w14:paraId="6CD0859D" w14:textId="77777777" w:rsidR="00D041A2" w:rsidRDefault="00000000">
      <w:pPr>
        <w:pStyle w:val="Normal6"/>
        <w:widowControl w:val="0"/>
        <w:spacing w:before="200" w:line="260" w:lineRule="atLeast"/>
        <w:jc w:val="both"/>
      </w:pPr>
      <w:bookmarkStart w:id="541" w:name="Bookmark_para_22_2"/>
      <w:bookmarkEnd w:id="541"/>
      <w:r>
        <w:rPr>
          <w:rFonts w:ascii="Arial" w:eastAsia="Arial" w:hAnsi="Arial" w:cs="Arial"/>
          <w:color w:val="000000"/>
          <w:sz w:val="20"/>
        </w:rPr>
        <w:t>The district court based its summary judgment decision on Koessel's purported failure to establish that he is qualified to perform the essential functions of the job with or without reasonable accommodation. According to the district court, Koessel failed to present any evidence contradicting Dr. Enright's assessment that Koessel should not be placed in a position where he could be exposed to extreme  [*743]  stress—a restriction that disqualified him from patrol duty.</w:t>
      </w:r>
    </w:p>
    <w:p w14:paraId="16A2C789" w14:textId="77777777" w:rsidR="00D041A2" w:rsidRDefault="00000000">
      <w:pPr>
        <w:pStyle w:val="Normal6"/>
        <w:widowControl w:val="0"/>
        <w:spacing w:before="200" w:line="260" w:lineRule="atLeast"/>
        <w:jc w:val="both"/>
      </w:pPr>
      <w:bookmarkStart w:id="542" w:name="Bookmark_para_23_2"/>
      <w:bookmarkStart w:id="543" w:name="Bookmark_I58JVYF328T4440040000400"/>
      <w:bookmarkStart w:id="544" w:name="Bookmark_I58JVYF32D6NJP0030000400"/>
      <w:bookmarkStart w:id="545" w:name="Bookmark_LNHNREFclscc6_2"/>
      <w:bookmarkEnd w:id="542"/>
      <w:bookmarkEnd w:id="543"/>
      <w:bookmarkEnd w:id="544"/>
      <w:bookmarkEnd w:id="545"/>
      <w:r>
        <w:rPr>
          <w:rFonts w:ascii="Arial" w:eastAsia="Arial" w:hAnsi="Arial" w:cs="Arial"/>
          <w:color w:val="000000"/>
          <w:sz w:val="20"/>
        </w:rPr>
        <w:t xml:space="preserve">Our cases place the burden on the plaintiff to show his qualification for a job, </w:t>
      </w:r>
      <w:bookmarkStart w:id="546" w:name="Bookmark_I58JVYF328T4440030000400"/>
      <w:bookmarkEnd w:id="546"/>
      <w:r>
        <w:rPr>
          <w:rFonts w:ascii="Arial" w:eastAsia="Arial" w:hAnsi="Arial" w:cs="Arial"/>
          <w:i/>
          <w:color w:val="000000"/>
          <w:sz w:val="20"/>
        </w:rPr>
        <w:t>Hennagir v. Utah Dep't of Corr</w:t>
      </w:r>
      <w:r>
        <w:rPr>
          <w:rFonts w:ascii="Arial" w:eastAsia="Arial" w:hAnsi="Arial" w:cs="Arial"/>
          <w:color w:val="000000"/>
          <w:sz w:val="20"/>
        </w:rPr>
        <w:t xml:space="preserve">., 587 F.3d 1255, 1262 (10th Cir. 2009), which is a mixed question of law and fact, </w:t>
      </w:r>
      <w:bookmarkStart w:id="547" w:name="Bookmark_I58JVYF328T4440050000400"/>
      <w:bookmarkEnd w:id="547"/>
      <w:r>
        <w:rPr>
          <w:rFonts w:ascii="Arial" w:eastAsia="Arial" w:hAnsi="Arial" w:cs="Arial"/>
          <w:i/>
          <w:color w:val="000000"/>
          <w:sz w:val="20"/>
        </w:rPr>
        <w:t>McKenzie v. Dovala</w:t>
      </w:r>
      <w:r>
        <w:rPr>
          <w:rFonts w:ascii="Arial" w:eastAsia="Arial" w:hAnsi="Arial" w:cs="Arial"/>
          <w:color w:val="000000"/>
          <w:sz w:val="20"/>
        </w:rPr>
        <w:t xml:space="preserve">, 242 F.3d 967, 975-76 (10th Cir. 2001). A job function is "essential" if it is fundamental to a position and all employees in the position must perform it. </w:t>
      </w:r>
      <w:bookmarkStart w:id="548" w:name="Bookmark_I58JVYF32D6NJP0020000400"/>
      <w:bookmarkEnd w:id="548"/>
      <w:r>
        <w:rPr>
          <w:rFonts w:ascii="Arial" w:eastAsia="Arial" w:hAnsi="Arial" w:cs="Arial"/>
          <w:i/>
          <w:color w:val="000000"/>
          <w:sz w:val="20"/>
        </w:rPr>
        <w:t>Hennagir</w:t>
      </w:r>
      <w:r>
        <w:rPr>
          <w:rFonts w:ascii="Arial" w:eastAsia="Arial" w:hAnsi="Arial" w:cs="Arial"/>
          <w:color w:val="000000"/>
          <w:sz w:val="20"/>
        </w:rPr>
        <w:t>, 587 F.3d at 1262.</w:t>
      </w:r>
    </w:p>
    <w:p w14:paraId="7DCD81BF" w14:textId="77777777" w:rsidR="00D041A2" w:rsidRDefault="00000000">
      <w:pPr>
        <w:pStyle w:val="Normal6"/>
        <w:widowControl w:val="0"/>
        <w:spacing w:before="200" w:line="260" w:lineRule="atLeast"/>
        <w:jc w:val="both"/>
      </w:pPr>
      <w:bookmarkStart w:id="549" w:name="Bookmark_para_24_1"/>
      <w:bookmarkEnd w:id="549"/>
      <w:r>
        <w:rPr>
          <w:rFonts w:ascii="Arial" w:eastAsia="Arial" w:hAnsi="Arial" w:cs="Arial"/>
          <w:color w:val="000000"/>
          <w:sz w:val="20"/>
        </w:rPr>
        <w:t>According to the Defendants, Koessel's impairments interfered with at least three essential  [**10] job functions: (1) preserving the peace at public gatherings, neighborhood disputes and family quarrels; (2) conferring with prosecutors and testifying in court; and (3) apprehending suspects. In support of their argument, they point to the report prepared by Dr. Enright, which recommended Koessel be placed in a low-stress position that did not require frequent contact with the public. In his report, Dr. Enright referred to the job description for a Sublette County deputy and found that Koessel's symptoms could interfere with the required job functions.</w:t>
      </w:r>
    </w:p>
    <w:p w14:paraId="4FF77851" w14:textId="77777777" w:rsidR="00D041A2" w:rsidRDefault="00000000">
      <w:pPr>
        <w:pStyle w:val="Normal6"/>
        <w:widowControl w:val="0"/>
        <w:spacing w:before="200" w:line="260" w:lineRule="atLeast"/>
        <w:jc w:val="both"/>
      </w:pPr>
      <w:bookmarkStart w:id="550" w:name="Bookmark_para_25_1"/>
      <w:bookmarkEnd w:id="550"/>
      <w:r>
        <w:rPr>
          <w:rFonts w:ascii="Arial" w:eastAsia="Arial" w:hAnsi="Arial" w:cs="Arial"/>
          <w:color w:val="000000"/>
          <w:sz w:val="20"/>
        </w:rPr>
        <w:t>Koessel does not dispute that these are essential job functions, but maintains that he was able to perform them. In support of this argument, he points to several pieces of evidence: (1) his personal physician cleared him to return to work full time in August 2008; (2) he performed 35 traffic stops without incident after returning to work and before he was placed on administrative leave; (3) he drove a patrol vehicle 40 miles each way on his commute without incident between his return to work and his termination; (4) the neurologist, Dr. Moress, found no physical reason Koessel could not perform his job; and (5) the psychologist, Dr.  [**11] Enright, said Koessel's performance on standard psychological tests was unchanged from his performance before his stroke.</w:t>
      </w:r>
    </w:p>
    <w:p w14:paraId="63CFA60C" w14:textId="77777777" w:rsidR="00D041A2" w:rsidRDefault="00000000">
      <w:pPr>
        <w:pStyle w:val="Normal6"/>
        <w:widowControl w:val="0"/>
        <w:spacing w:before="200" w:line="260" w:lineRule="atLeast"/>
        <w:jc w:val="both"/>
      </w:pPr>
      <w:bookmarkStart w:id="551" w:name="Bookmark_para_26_1"/>
      <w:bookmarkEnd w:id="551"/>
      <w:r>
        <w:rPr>
          <w:rFonts w:ascii="Arial" w:eastAsia="Arial" w:hAnsi="Arial" w:cs="Arial"/>
          <w:color w:val="000000"/>
          <w:sz w:val="20"/>
        </w:rPr>
        <w:t xml:space="preserve">But even accepting this evidence in the light most favorable to Koessel, it only shows he was physically fit for his job, not that he could cope with high-stress situations. Koessel introduced no evidence disputing Dr. Enright's findings that he suffered lingering </w:t>
      </w:r>
      <w:r>
        <w:rPr>
          <w:rFonts w:ascii="Arial" w:eastAsia="Arial" w:hAnsi="Arial" w:cs="Arial"/>
          <w:i/>
          <w:color w:val="000000"/>
          <w:sz w:val="20"/>
        </w:rPr>
        <w:t>psychological</w:t>
      </w:r>
      <w:r>
        <w:rPr>
          <w:rFonts w:ascii="Arial" w:eastAsia="Arial" w:hAnsi="Arial" w:cs="Arial"/>
          <w:color w:val="000000"/>
          <w:sz w:val="20"/>
        </w:rPr>
        <w:t xml:space="preserve"> deficits that would interfere with his ability to perform his job. Indeed, concerns about lingering cognitive problems were the reason that Dr. Moress, the neurologist, referred Koessel to a psychologist. Thus, the fact that Dr. Moress did not find anything </w:t>
      </w:r>
      <w:r>
        <w:rPr>
          <w:rFonts w:ascii="Arial" w:eastAsia="Arial" w:hAnsi="Arial" w:cs="Arial"/>
          <w:i/>
          <w:color w:val="000000"/>
          <w:sz w:val="20"/>
        </w:rPr>
        <w:t>physically</w:t>
      </w:r>
      <w:r>
        <w:rPr>
          <w:rFonts w:ascii="Arial" w:eastAsia="Arial" w:hAnsi="Arial" w:cs="Arial"/>
          <w:color w:val="000000"/>
          <w:sz w:val="20"/>
        </w:rPr>
        <w:t xml:space="preserve"> wrong with Koessel does not contradict Dr. Enright's conclusion. A psychologist's report reaching the opposite conclusion to that of Dr. Enright might have created a sufficiently debatable question to send to a jury. But Koessel produced nothing to contradict Dr. Enright's report. And that report advised the County that Koessel be placed in a position that does "not require him to confront members of the public in the usual day-to-day activities of a patrol officer or direct supervisory positions as Sergeant." App. 131.</w:t>
      </w:r>
    </w:p>
    <w:p w14:paraId="30220668" w14:textId="77777777" w:rsidR="00D041A2" w:rsidRDefault="00000000">
      <w:pPr>
        <w:pStyle w:val="Normal6"/>
        <w:widowControl w:val="0"/>
        <w:spacing w:before="200" w:line="260" w:lineRule="atLeast"/>
        <w:jc w:val="both"/>
      </w:pPr>
      <w:bookmarkStart w:id="552" w:name="Bookmark_para_27_1"/>
      <w:bookmarkEnd w:id="552"/>
      <w:r>
        <w:rPr>
          <w:rFonts w:ascii="Arial" w:eastAsia="Arial" w:hAnsi="Arial" w:cs="Arial"/>
          <w:color w:val="000000"/>
          <w:sz w:val="20"/>
        </w:rPr>
        <w:t>Koessel  [**12] unsuccessfully tries to undermine the reliability of Dr. Enright's assessment. Koessel argues Dr. Enright's conclusion was based solely on a letter from Sheriff Bardin containing unsupported allegations. But Koessel admitted during his deposition that he reported his symptoms to Dr. Enright. Koessel also claims his scores on a standard psychological test did not change from the first time he took the test (which was prior to his stroke), proof he contends that he could still perform the essential functions of the job. Yet Koessel does not explain or introduce evidence showing that the problems Dr. Enright focused on—fatigue, lightheadedness, emotional disinhibition—would have been revealed by the psychological  [*744]  test. Thus, there is no support for his argument that the test results conflict with Dr. Enright's conclusion.</w:t>
      </w:r>
    </w:p>
    <w:p w14:paraId="245C9AC6" w14:textId="77777777" w:rsidR="00D041A2" w:rsidRDefault="00000000">
      <w:pPr>
        <w:pStyle w:val="Normal6"/>
        <w:widowControl w:val="0"/>
        <w:spacing w:before="200" w:line="260" w:lineRule="atLeast"/>
        <w:jc w:val="both"/>
      </w:pPr>
      <w:bookmarkStart w:id="553" w:name="Bookmark_para_28_1"/>
      <w:bookmarkStart w:id="554" w:name="Bookmark_I58JVYF32D6NJP0050000400"/>
      <w:bookmarkStart w:id="555" w:name="Bookmark_I58JVYF32D6NJR0020000400"/>
      <w:bookmarkEnd w:id="553"/>
      <w:bookmarkEnd w:id="554"/>
      <w:bookmarkEnd w:id="555"/>
      <w:r>
        <w:rPr>
          <w:rFonts w:ascii="Arial" w:eastAsia="Arial" w:hAnsi="Arial" w:cs="Arial"/>
          <w:color w:val="000000"/>
          <w:sz w:val="20"/>
        </w:rPr>
        <w:t xml:space="preserve">That Koessel's examination results were not wholly negative does not mean a jury question remains. Koessel relies on </w:t>
      </w:r>
      <w:bookmarkStart w:id="556" w:name="Bookmark_I58JVYF32D6NJP0040000400"/>
      <w:bookmarkEnd w:id="556"/>
      <w:r>
        <w:rPr>
          <w:rFonts w:ascii="Arial" w:eastAsia="Arial" w:hAnsi="Arial" w:cs="Arial"/>
          <w:i/>
          <w:color w:val="000000"/>
          <w:sz w:val="20"/>
        </w:rPr>
        <w:t>McKenzie</w:t>
      </w:r>
      <w:r>
        <w:rPr>
          <w:rFonts w:ascii="Arial" w:eastAsia="Arial" w:hAnsi="Arial" w:cs="Arial"/>
          <w:color w:val="000000"/>
          <w:sz w:val="20"/>
        </w:rPr>
        <w:t xml:space="preserve">, 242 F.3d at 975-76, where we reversed a district court's grant of summary judgment in part because the plaintiff's employer had not ordered her to undergo a psychological examination. There, we found that in the absence of an individualized assessment,  [**13] there was a question of fact regarding whether she could perform the essential functions of her job. </w:t>
      </w:r>
      <w:bookmarkStart w:id="557" w:name="Bookmark_I58JVYF32D6NJR0010000400"/>
      <w:bookmarkEnd w:id="557"/>
      <w:r>
        <w:rPr>
          <w:rFonts w:ascii="Arial" w:eastAsia="Arial" w:hAnsi="Arial" w:cs="Arial"/>
          <w:i/>
          <w:color w:val="000000"/>
          <w:sz w:val="20"/>
        </w:rPr>
        <w:t>Id</w:t>
      </w:r>
      <w:r>
        <w:rPr>
          <w:rFonts w:ascii="Arial" w:eastAsia="Arial" w:hAnsi="Arial" w:cs="Arial"/>
          <w:color w:val="000000"/>
          <w:sz w:val="20"/>
        </w:rPr>
        <w:t>. at 975. But here, Sheriff Bardin ordered Koessel to undergo not one but two individualized assessments. And the examinations came as a result of observations by fellow officers concerning on-the-job dizziness, memory lapses, and frustration. The medical examinations indicated Koessel could physically perform his duties, but both doctors also concluded he suffered (or could suffer) lingering cognitive and psychological problems. Dr. Enright, in particular, concluded that these problems could interfere with several essential job functions of a patrol officer and recommended Koessel not be placed in high-stress situations or allowed significant public interaction.</w:t>
      </w:r>
    </w:p>
    <w:p w14:paraId="0FAA735A" w14:textId="77777777" w:rsidR="00D041A2" w:rsidRDefault="00000000">
      <w:pPr>
        <w:pStyle w:val="Normal6"/>
        <w:widowControl w:val="0"/>
        <w:spacing w:before="200" w:line="260" w:lineRule="atLeast"/>
        <w:jc w:val="both"/>
      </w:pPr>
      <w:bookmarkStart w:id="558" w:name="Bookmark_para_29_1"/>
      <w:bookmarkStart w:id="559" w:name="Bookmark_I58JVYF32D6NJR0040000400"/>
      <w:bookmarkEnd w:id="558"/>
      <w:bookmarkEnd w:id="559"/>
      <w:r>
        <w:rPr>
          <w:rFonts w:ascii="Arial" w:eastAsia="Arial" w:hAnsi="Arial" w:cs="Arial"/>
          <w:color w:val="000000"/>
          <w:sz w:val="20"/>
        </w:rPr>
        <w:t xml:space="preserve">Finally, even though Koessel performed several essential duties after his stroke without incident, this does not undermine the district court's decision. </w:t>
      </w:r>
      <w:bookmarkStart w:id="560" w:name="Bookmark_LNHNREFclscc7_2"/>
      <w:bookmarkEnd w:id="560"/>
      <w:r>
        <w:rPr>
          <w:rFonts w:ascii="Arial" w:eastAsia="Arial" w:hAnsi="Arial" w:cs="Arial"/>
          <w:color w:val="000000"/>
          <w:sz w:val="20"/>
        </w:rPr>
        <w:t xml:space="preserve">Employers may set standards for exceptional situations if the need to perform in an emergency is a realistic component of a job. </w:t>
      </w:r>
      <w:bookmarkStart w:id="561" w:name="Bookmark_I58JVYF32D6NJR0030000400"/>
      <w:bookmarkEnd w:id="561"/>
      <w:r>
        <w:rPr>
          <w:rFonts w:ascii="Arial" w:eastAsia="Arial" w:hAnsi="Arial" w:cs="Arial"/>
          <w:i/>
          <w:color w:val="000000"/>
          <w:sz w:val="20"/>
        </w:rPr>
        <w:t>Wilkerson v. Shinseki</w:t>
      </w:r>
      <w:r>
        <w:rPr>
          <w:rFonts w:ascii="Arial" w:eastAsia="Arial" w:hAnsi="Arial" w:cs="Arial"/>
          <w:color w:val="000000"/>
          <w:sz w:val="20"/>
        </w:rPr>
        <w:t>, 606 F.3d 1256, 1264-65 (10th Cir. 2010). Sheriff's deputies frequently are required to perform their duties in emergencies  [**14] and other tense, stressful situations. Yet Koessel introduced no evidence that he encountered any such situations after his stroke. Thus, his successful performance of his duties in routine traffic stops does not undermine Dr. Enright's conclusion that he could have trouble performing in high-stress situations.</w:t>
      </w:r>
    </w:p>
    <w:p w14:paraId="1917F9DF" w14:textId="77777777" w:rsidR="00D041A2" w:rsidRDefault="00000000">
      <w:pPr>
        <w:pStyle w:val="Normal6"/>
        <w:widowControl w:val="0"/>
        <w:spacing w:before="200" w:line="260" w:lineRule="atLeast"/>
        <w:jc w:val="both"/>
      </w:pPr>
      <w:bookmarkStart w:id="562" w:name="Bookmark_para_30_1"/>
      <w:bookmarkEnd w:id="562"/>
      <w:r>
        <w:rPr>
          <w:rFonts w:ascii="Arial" w:eastAsia="Arial" w:hAnsi="Arial" w:cs="Arial"/>
          <w:color w:val="000000"/>
          <w:sz w:val="20"/>
        </w:rPr>
        <w:t>In short, Koessel has not provided any evidence casting Dr. Enright's assessment into doubt. Accordingly, the district court did not err by concluding Koessel failed to make a prima facie case that he could perform the essential functions of his job.</w:t>
      </w:r>
    </w:p>
    <w:p w14:paraId="47D9A000" w14:textId="77777777" w:rsidR="00D041A2" w:rsidRDefault="00000000">
      <w:pPr>
        <w:pStyle w:val="Normal6"/>
        <w:widowControl w:val="0"/>
        <w:spacing w:before="240" w:line="260" w:lineRule="atLeast"/>
      </w:pPr>
      <w:r>
        <w:br/>
      </w:r>
      <w:r>
        <w:rPr>
          <w:rFonts w:ascii="Arial" w:eastAsia="Arial" w:hAnsi="Arial" w:cs="Arial"/>
          <w:i/>
          <w:color w:val="000000"/>
          <w:sz w:val="20"/>
        </w:rPr>
        <w:t>2. Reasonable Accommodation</w:t>
      </w:r>
    </w:p>
    <w:p w14:paraId="02DBFE7D" w14:textId="77777777" w:rsidR="00D041A2" w:rsidRDefault="00000000">
      <w:pPr>
        <w:pStyle w:val="Normal6"/>
        <w:widowControl w:val="0"/>
        <w:spacing w:before="200" w:line="260" w:lineRule="atLeast"/>
        <w:jc w:val="both"/>
      </w:pPr>
      <w:bookmarkStart w:id="563" w:name="Bookmark_para_31_1"/>
      <w:bookmarkStart w:id="564" w:name="Bookmark_I58JVYF328T4450010000400"/>
      <w:bookmarkStart w:id="565" w:name="Bookmark_I58JVYF328T4450030000400"/>
      <w:bookmarkEnd w:id="563"/>
      <w:bookmarkEnd w:id="564"/>
      <w:bookmarkEnd w:id="565"/>
      <w:r>
        <w:rPr>
          <w:rFonts w:ascii="Arial" w:eastAsia="Arial" w:hAnsi="Arial" w:cs="Arial"/>
          <w:color w:val="000000"/>
          <w:sz w:val="20"/>
        </w:rPr>
        <w:t xml:space="preserve">While we agree with the district court that Koessel did not establish he could perform the essential functions of a patrol officer, we must still consider whether the County made an effort to reasonably accommodate him. </w:t>
      </w:r>
      <w:bookmarkStart w:id="566" w:name="Bookmark_I58JVYF32D6NJR0050000400"/>
      <w:bookmarkEnd w:id="566"/>
      <w:r>
        <w:rPr>
          <w:rFonts w:ascii="Arial" w:eastAsia="Arial" w:hAnsi="Arial" w:cs="Arial"/>
          <w:i/>
          <w:color w:val="000000"/>
          <w:sz w:val="20"/>
        </w:rPr>
        <w:t>Wilkerson</w:t>
      </w:r>
      <w:r>
        <w:rPr>
          <w:rFonts w:ascii="Arial" w:eastAsia="Arial" w:hAnsi="Arial" w:cs="Arial"/>
          <w:color w:val="000000"/>
          <w:sz w:val="20"/>
        </w:rPr>
        <w:t>, 606 F.3d at 1265 (</w:t>
      </w:r>
      <w:bookmarkStart w:id="567" w:name="Bookmark_LNHNREFclscc8_2"/>
      <w:bookmarkEnd w:id="567"/>
      <w:r>
        <w:rPr>
          <w:rFonts w:ascii="Arial" w:eastAsia="Arial" w:hAnsi="Arial" w:cs="Arial"/>
          <w:color w:val="000000"/>
          <w:sz w:val="20"/>
        </w:rPr>
        <w:t xml:space="preserve">"[B]efore an individual can be deemed not 'otherwise qualified' the employer must make an effort to accommodate the employee's disability."). </w:t>
      </w:r>
      <w:bookmarkStart w:id="568" w:name="Bookmark_I58JVYF328T4450050000400"/>
      <w:bookmarkEnd w:id="568"/>
      <w:r>
        <w:rPr>
          <w:rFonts w:ascii="Arial" w:eastAsia="Arial" w:hAnsi="Arial" w:cs="Arial"/>
          <w:color w:val="000000"/>
          <w:sz w:val="20"/>
        </w:rPr>
        <w:t xml:space="preserve">The ADA requires at least two forms of accommodation, as relevant here: (1) a modification of the particular job performed by the employee, or (2) reassignment to another job that can be performed with or without the first  [**15] type of accommodation. </w:t>
      </w:r>
      <w:bookmarkStart w:id="569" w:name="Bookmark_I58JVYF328T4450020000400"/>
      <w:bookmarkEnd w:id="569"/>
      <w:r>
        <w:rPr>
          <w:rFonts w:ascii="Arial" w:eastAsia="Arial" w:hAnsi="Arial" w:cs="Arial"/>
          <w:i/>
          <w:color w:val="000000"/>
          <w:sz w:val="20"/>
        </w:rPr>
        <w:t>Gonzagowski v. Widnall</w:t>
      </w:r>
      <w:r>
        <w:rPr>
          <w:rFonts w:ascii="Arial" w:eastAsia="Arial" w:hAnsi="Arial" w:cs="Arial"/>
          <w:color w:val="000000"/>
          <w:sz w:val="20"/>
        </w:rPr>
        <w:t xml:space="preserve">, 115 F.3d 744, 747 (10th Cir. 1997). </w:t>
      </w:r>
      <w:bookmarkStart w:id="570" w:name="Bookmark_I58JVYF328T4450050000400_2"/>
      <w:bookmarkEnd w:id="570"/>
      <w:r>
        <w:rPr>
          <w:rFonts w:ascii="Arial" w:eastAsia="Arial" w:hAnsi="Arial" w:cs="Arial"/>
          <w:color w:val="000000"/>
          <w:sz w:val="20"/>
        </w:rPr>
        <w:t xml:space="preserve">Moreover, as a precondition to suit, employees have the burden to request accommodation unless the employer has "foreclosed the interactive process through its policies or explicit actions . . . ." </w:t>
      </w:r>
      <w:bookmarkStart w:id="571" w:name="Bookmark_I58JVYF328T4450040000400"/>
      <w:bookmarkEnd w:id="571"/>
      <w:r>
        <w:rPr>
          <w:rFonts w:ascii="Arial" w:eastAsia="Arial" w:hAnsi="Arial" w:cs="Arial"/>
          <w:i/>
          <w:color w:val="000000"/>
          <w:sz w:val="20"/>
        </w:rPr>
        <w:t>Davoll v. Webb</w:t>
      </w:r>
      <w:r>
        <w:rPr>
          <w:rFonts w:ascii="Arial" w:eastAsia="Arial" w:hAnsi="Arial" w:cs="Arial"/>
          <w:color w:val="000000"/>
          <w:sz w:val="20"/>
        </w:rPr>
        <w:t xml:space="preserve">, 194 F.3d 1116, 1133 (10th Cir. 1999); </w:t>
      </w:r>
      <w:r>
        <w:rPr>
          <w:rFonts w:ascii="Arial" w:eastAsia="Arial" w:hAnsi="Arial" w:cs="Arial"/>
          <w:i/>
          <w:color w:val="000000"/>
          <w:sz w:val="20"/>
        </w:rPr>
        <w:t xml:space="preserve">see also </w:t>
      </w:r>
      <w:bookmarkStart w:id="572" w:name="Bookmark_I58JVYF328T4460010000400"/>
      <w:bookmarkEnd w:id="572"/>
      <w:r>
        <w:rPr>
          <w:rFonts w:ascii="Arial" w:eastAsia="Arial" w:hAnsi="Arial" w:cs="Arial"/>
          <w:i/>
          <w:color w:val="000000"/>
          <w:sz w:val="20"/>
        </w:rPr>
        <w:t>EEOC v. C.R. England, Inc</w:t>
      </w:r>
      <w:r>
        <w:rPr>
          <w:rFonts w:ascii="Arial" w:eastAsia="Arial" w:hAnsi="Arial" w:cs="Arial"/>
          <w:color w:val="000000"/>
          <w:sz w:val="20"/>
        </w:rPr>
        <w:t>., 644 F.3d 1028, 1049 (10th Cir. 2011) ("[B]efore an employer's duty to provide reasonable accommodations—or even to participate in the 'interactive process'—is triggered under the ADA, the employee must make an adequate request, thereby putting the employer on notice.").</w:t>
      </w:r>
    </w:p>
    <w:p w14:paraId="4CBEB6C2" w14:textId="77777777" w:rsidR="00D041A2" w:rsidRDefault="00000000">
      <w:pPr>
        <w:pStyle w:val="Normal6"/>
        <w:widowControl w:val="0"/>
        <w:spacing w:before="200" w:line="260" w:lineRule="atLeast"/>
        <w:jc w:val="both"/>
      </w:pPr>
      <w:bookmarkStart w:id="573" w:name="Bookmark_para_32_1"/>
      <w:bookmarkEnd w:id="573"/>
      <w:r>
        <w:rPr>
          <w:rFonts w:ascii="Arial" w:eastAsia="Arial" w:hAnsi="Arial" w:cs="Arial"/>
          <w:color w:val="000000"/>
          <w:sz w:val="20"/>
        </w:rPr>
        <w:t xml:space="preserve">Koessel did not request the first type of accommodation. He argues this is  [*745]  because he could perform his duties without a modification. This does not excuse his failure to request accommodation. </w:t>
      </w:r>
      <w:bookmarkStart w:id="574" w:name="Bookmark_LNHNREFclscc9_2"/>
      <w:bookmarkEnd w:id="574"/>
      <w:r>
        <w:rPr>
          <w:rFonts w:ascii="Arial" w:eastAsia="Arial" w:hAnsi="Arial" w:cs="Arial"/>
          <w:color w:val="000000"/>
          <w:sz w:val="20"/>
        </w:rPr>
        <w:t xml:space="preserve">It is not the employer's responsibility to anticipate the employee's needs and affirmatively offer accommodation if the employer is otherwise open to such requests. </w:t>
      </w:r>
      <w:r>
        <w:rPr>
          <w:rFonts w:ascii="Arial" w:eastAsia="Arial" w:hAnsi="Arial" w:cs="Arial"/>
          <w:i/>
          <w:color w:val="000000"/>
          <w:sz w:val="20"/>
        </w:rPr>
        <w:t>See id</w:t>
      </w:r>
      <w:r>
        <w:rPr>
          <w:rFonts w:ascii="Arial" w:eastAsia="Arial" w:hAnsi="Arial" w:cs="Arial"/>
          <w:color w:val="000000"/>
          <w:sz w:val="20"/>
        </w:rPr>
        <w:t>. And Koessel does not argue the County foreclosed the interactive process by its policies or explicit actions.</w:t>
      </w:r>
    </w:p>
    <w:p w14:paraId="4B7616E8" w14:textId="77777777" w:rsidR="00D041A2" w:rsidRDefault="00000000">
      <w:pPr>
        <w:pStyle w:val="Normal6"/>
        <w:widowControl w:val="0"/>
        <w:spacing w:before="200" w:line="260" w:lineRule="atLeast"/>
        <w:jc w:val="both"/>
      </w:pPr>
      <w:bookmarkStart w:id="575" w:name="Bookmark_para_33_1"/>
      <w:bookmarkStart w:id="576" w:name="Bookmark_I58JVYF328T4460040000400"/>
      <w:bookmarkEnd w:id="575"/>
      <w:bookmarkEnd w:id="576"/>
      <w:r>
        <w:rPr>
          <w:rFonts w:ascii="Arial" w:eastAsia="Arial" w:hAnsi="Arial" w:cs="Arial"/>
          <w:color w:val="000000"/>
          <w:sz w:val="20"/>
        </w:rPr>
        <w:t>Koessel claims he did request reassignment after learning that he would not be returning  [**16] to his position as a patrol officer.</w:t>
      </w:r>
      <w:bookmarkStart w:id="577" w:name="Bookmark_LNHNREFclscc10_2"/>
      <w:bookmarkEnd w:id="577"/>
      <w:r>
        <w:rPr>
          <w:rFonts w:ascii="Arial" w:eastAsia="Arial" w:hAnsi="Arial" w:cs="Arial"/>
          <w:color w:val="000000"/>
          <w:sz w:val="20"/>
        </w:rPr>
        <w:t xml:space="preserve"> Employers have a duty to reassign, but only when it is reasonable under the circumstances. </w:t>
      </w:r>
      <w:bookmarkStart w:id="578" w:name="Bookmark_I58JVYF32D6NJS0010000400"/>
      <w:bookmarkStart w:id="579" w:name="Bookmark_I58JVYF328T4460030000400"/>
      <w:bookmarkEnd w:id="578"/>
      <w:bookmarkEnd w:id="579"/>
      <w:r>
        <w:rPr>
          <w:rFonts w:ascii="Arial" w:eastAsia="Arial" w:hAnsi="Arial" w:cs="Arial"/>
          <w:i/>
          <w:color w:val="000000"/>
          <w:sz w:val="20"/>
        </w:rPr>
        <w:t>Smith v. Midland Brake, Inc</w:t>
      </w:r>
      <w:r>
        <w:rPr>
          <w:rFonts w:ascii="Arial" w:eastAsia="Arial" w:hAnsi="Arial" w:cs="Arial"/>
          <w:color w:val="000000"/>
          <w:sz w:val="20"/>
        </w:rPr>
        <w:t xml:space="preserve">., 180 F.3d 1154, 1171 (10th Cir. 1999) (en banc). </w:t>
      </w:r>
      <w:bookmarkStart w:id="580" w:name="Bookmark_I58JVYF32D6NJS0010000400_2"/>
      <w:bookmarkStart w:id="581" w:name="Bookmark_I58JVYF32D6NJS0030000400"/>
      <w:bookmarkEnd w:id="580"/>
      <w:bookmarkEnd w:id="581"/>
      <w:r>
        <w:rPr>
          <w:rFonts w:ascii="Arial" w:eastAsia="Arial" w:hAnsi="Arial" w:cs="Arial"/>
          <w:color w:val="000000"/>
          <w:sz w:val="20"/>
        </w:rPr>
        <w:t xml:space="preserve">Typically, this means employers are only required to reassign employees to existing vacant positions. </w:t>
      </w:r>
      <w:bookmarkStart w:id="582" w:name="Bookmark_I58JVYF328T4460050000400"/>
      <w:bookmarkEnd w:id="582"/>
      <w:r>
        <w:rPr>
          <w:rFonts w:ascii="Arial" w:eastAsia="Arial" w:hAnsi="Arial" w:cs="Arial"/>
          <w:i/>
          <w:color w:val="000000"/>
          <w:sz w:val="20"/>
        </w:rPr>
        <w:t>Id</w:t>
      </w:r>
      <w:r>
        <w:rPr>
          <w:rFonts w:ascii="Arial" w:eastAsia="Arial" w:hAnsi="Arial" w:cs="Arial"/>
          <w:color w:val="000000"/>
          <w:sz w:val="20"/>
        </w:rPr>
        <w:t xml:space="preserve">. at 1174-75. </w:t>
      </w:r>
      <w:bookmarkStart w:id="583" w:name="Bookmark_I58JVYF32D6NJS0030000400_2"/>
      <w:bookmarkStart w:id="584" w:name="Bookmark_I58JVYF32D6NJS0050000400"/>
      <w:bookmarkEnd w:id="583"/>
      <w:bookmarkEnd w:id="584"/>
      <w:r>
        <w:rPr>
          <w:rFonts w:ascii="Arial" w:eastAsia="Arial" w:hAnsi="Arial" w:cs="Arial"/>
          <w:color w:val="000000"/>
          <w:sz w:val="20"/>
        </w:rPr>
        <w:t xml:space="preserve">A position is vacant when a similarly situated, non-disabled employee would be able to apply for it. </w:t>
      </w:r>
      <w:bookmarkStart w:id="585" w:name="Bookmark_I58JVYF32D6NJS0020000400"/>
      <w:bookmarkEnd w:id="585"/>
      <w:r>
        <w:rPr>
          <w:rFonts w:ascii="Arial" w:eastAsia="Arial" w:hAnsi="Arial" w:cs="Arial"/>
          <w:i/>
          <w:color w:val="000000"/>
          <w:sz w:val="20"/>
        </w:rPr>
        <w:t>Duvall v. Georgia-Pacific Consumer Prods., L.P</w:t>
      </w:r>
      <w:r>
        <w:rPr>
          <w:rFonts w:ascii="Arial" w:eastAsia="Arial" w:hAnsi="Arial" w:cs="Arial"/>
          <w:color w:val="000000"/>
          <w:sz w:val="20"/>
        </w:rPr>
        <w:t xml:space="preserve">., 607 F.3d 1255, 1263 (10th Cir. 2010). </w:t>
      </w:r>
      <w:bookmarkStart w:id="586" w:name="Bookmark_I58JVYF32D6NJS0050000400_2"/>
      <w:bookmarkEnd w:id="586"/>
      <w:r>
        <w:rPr>
          <w:rFonts w:ascii="Arial" w:eastAsia="Arial" w:hAnsi="Arial" w:cs="Arial"/>
          <w:color w:val="000000"/>
          <w:sz w:val="20"/>
        </w:rPr>
        <w:t xml:space="preserve">And while employers need not promote an employee when they reassign him, they are required to consider only lateral transfers or, if none are available, demotions. </w:t>
      </w:r>
      <w:bookmarkStart w:id="587" w:name="Bookmark_I58JVYF32D6NJT0020000400"/>
      <w:bookmarkStart w:id="588" w:name="Bookmark_I58JVYF32D6NJS0040000400"/>
      <w:bookmarkEnd w:id="587"/>
      <w:bookmarkEnd w:id="588"/>
      <w:r>
        <w:rPr>
          <w:rFonts w:ascii="Arial" w:eastAsia="Arial" w:hAnsi="Arial" w:cs="Arial"/>
          <w:i/>
          <w:color w:val="000000"/>
          <w:sz w:val="20"/>
        </w:rPr>
        <w:t>Midland Brake</w:t>
      </w:r>
      <w:r>
        <w:rPr>
          <w:rFonts w:ascii="Arial" w:eastAsia="Arial" w:hAnsi="Arial" w:cs="Arial"/>
          <w:color w:val="000000"/>
          <w:sz w:val="20"/>
        </w:rPr>
        <w:t xml:space="preserve">, 180 F.3d at 1176-77. </w:t>
      </w:r>
      <w:bookmarkStart w:id="589" w:name="Bookmark_I58JVYF32D6NJT0020000400_2"/>
      <w:bookmarkEnd w:id="589"/>
      <w:r>
        <w:rPr>
          <w:rFonts w:ascii="Arial" w:eastAsia="Arial" w:hAnsi="Arial" w:cs="Arial"/>
          <w:color w:val="000000"/>
          <w:sz w:val="20"/>
        </w:rPr>
        <w:t xml:space="preserve">Koessel bears the burden of identifying a specific vacant position to which he could have reasonably been reassigned. </w:t>
      </w:r>
      <w:bookmarkStart w:id="590" w:name="Bookmark_I58JVYF32D6NJT0010000400"/>
      <w:bookmarkEnd w:id="590"/>
      <w:r>
        <w:rPr>
          <w:rFonts w:ascii="Arial" w:eastAsia="Arial" w:hAnsi="Arial" w:cs="Arial"/>
          <w:i/>
          <w:color w:val="000000"/>
          <w:sz w:val="20"/>
        </w:rPr>
        <w:t>Duvall</w:t>
      </w:r>
      <w:r>
        <w:rPr>
          <w:rFonts w:ascii="Arial" w:eastAsia="Arial" w:hAnsi="Arial" w:cs="Arial"/>
          <w:color w:val="000000"/>
          <w:sz w:val="20"/>
        </w:rPr>
        <w:t>, 607 F.3d at 1263.</w:t>
      </w:r>
    </w:p>
    <w:p w14:paraId="0C599861" w14:textId="77777777" w:rsidR="00D041A2" w:rsidRDefault="00000000">
      <w:pPr>
        <w:pStyle w:val="Normal6"/>
        <w:widowControl w:val="0"/>
        <w:spacing w:before="200" w:line="260" w:lineRule="atLeast"/>
        <w:jc w:val="both"/>
      </w:pPr>
      <w:bookmarkStart w:id="591" w:name="Bookmark_para_34_1"/>
      <w:bookmarkEnd w:id="591"/>
      <w:r>
        <w:rPr>
          <w:rFonts w:ascii="Arial" w:eastAsia="Arial" w:hAnsi="Arial" w:cs="Arial"/>
          <w:color w:val="000000"/>
          <w:sz w:val="20"/>
        </w:rPr>
        <w:t xml:space="preserve">Koessel has identified no such position. </w:t>
      </w:r>
      <w:bookmarkStart w:id="592" w:name="Bookmark_I58JVYF32D6NJT0040000400"/>
      <w:bookmarkEnd w:id="592"/>
      <w:r>
        <w:rPr>
          <w:rFonts w:ascii="Arial" w:eastAsia="Arial" w:hAnsi="Arial" w:cs="Arial"/>
          <w:color w:val="000000"/>
          <w:sz w:val="20"/>
        </w:rPr>
        <w:t xml:space="preserve">He claims the County assigned him to an emergency management position and then cut funding for it. But the record reflects that this was only a temporary position, and the County lacked the funds to make it permanent. Koessel provides no evidence that this position was anything more than a temporary one  [**17] subject to available funding. </w:t>
      </w:r>
      <w:r>
        <w:rPr>
          <w:rFonts w:ascii="Arial" w:eastAsia="Arial" w:hAnsi="Arial" w:cs="Arial"/>
          <w:i/>
          <w:color w:val="000000"/>
          <w:sz w:val="20"/>
        </w:rPr>
        <w:t xml:space="preserve">Cf. </w:t>
      </w:r>
      <w:bookmarkStart w:id="593" w:name="Bookmark_I58JVYF32D6NJT0030000400"/>
      <w:bookmarkEnd w:id="593"/>
      <w:r>
        <w:rPr>
          <w:rFonts w:ascii="Arial" w:eastAsia="Arial" w:hAnsi="Arial" w:cs="Arial"/>
          <w:i/>
          <w:color w:val="000000"/>
          <w:sz w:val="20"/>
        </w:rPr>
        <w:t>Hendricks-Robinson v. Excel Corp</w:t>
      </w:r>
      <w:r>
        <w:rPr>
          <w:rFonts w:ascii="Arial" w:eastAsia="Arial" w:hAnsi="Arial" w:cs="Arial"/>
          <w:color w:val="000000"/>
          <w:sz w:val="20"/>
        </w:rPr>
        <w:t>., 154 F.3d 685, 697 (7th Cir. 1998) (</w:t>
      </w:r>
      <w:bookmarkStart w:id="594" w:name="Bookmark_LNHNREFclscc11_1"/>
      <w:bookmarkEnd w:id="594"/>
      <w:r>
        <w:rPr>
          <w:rFonts w:ascii="Arial" w:eastAsia="Arial" w:hAnsi="Arial" w:cs="Arial"/>
          <w:color w:val="000000"/>
          <w:sz w:val="20"/>
        </w:rPr>
        <w:t xml:space="preserve">employer has no duty under ADA to convert temporary jobs "available to disabled employees who are recuperating from </w:t>
      </w:r>
      <w:r>
        <w:rPr>
          <w:rFonts w:ascii="Arial" w:eastAsia="Arial" w:hAnsi="Arial" w:cs="Arial"/>
          <w:i/>
          <w:color w:val="000000"/>
          <w:sz w:val="20"/>
        </w:rPr>
        <w:t>temporary</w:t>
      </w:r>
      <w:r>
        <w:rPr>
          <w:rFonts w:ascii="Arial" w:eastAsia="Arial" w:hAnsi="Arial" w:cs="Arial"/>
          <w:color w:val="000000"/>
          <w:sz w:val="20"/>
        </w:rPr>
        <w:t xml:space="preserve"> restrictions" into permanent jobs for permanently restricted employees). Nor does he identify any other positions to which he could have been reassigned.</w:t>
      </w:r>
    </w:p>
    <w:p w14:paraId="64376966" w14:textId="77777777" w:rsidR="00D041A2" w:rsidRDefault="00000000">
      <w:pPr>
        <w:pStyle w:val="Normal6"/>
        <w:widowControl w:val="0"/>
        <w:spacing w:before="200" w:line="260" w:lineRule="atLeast"/>
        <w:jc w:val="both"/>
      </w:pPr>
      <w:bookmarkStart w:id="595" w:name="Bookmark_para_35_1"/>
      <w:bookmarkEnd w:id="595"/>
      <w:r>
        <w:rPr>
          <w:rFonts w:ascii="Arial" w:eastAsia="Arial" w:hAnsi="Arial" w:cs="Arial"/>
          <w:color w:val="000000"/>
          <w:sz w:val="20"/>
        </w:rPr>
        <w:t>In sum, Koessel has failed to create a genuine issue of material fact on the second element of a prima facie ADA case: he has not shown that he could perform the essential elements of the job with or without reasonable accommodation. Accordingly, the district court did not err in granting summary judgment on the ADA claim.</w:t>
      </w:r>
    </w:p>
    <w:p w14:paraId="3CD355AE" w14:textId="77777777" w:rsidR="00D041A2" w:rsidRDefault="00000000">
      <w:pPr>
        <w:pStyle w:val="Normal6"/>
        <w:widowControl w:val="0"/>
        <w:spacing w:before="240" w:line="260" w:lineRule="atLeast"/>
      </w:pPr>
      <w:r>
        <w:br/>
      </w:r>
      <w:r>
        <w:rPr>
          <w:rFonts w:ascii="Arial" w:eastAsia="Arial" w:hAnsi="Arial" w:cs="Arial"/>
          <w:b/>
          <w:i/>
          <w:color w:val="000000"/>
          <w:sz w:val="20"/>
        </w:rPr>
        <w:t>B. Breach of Contract</w:t>
      </w:r>
    </w:p>
    <w:p w14:paraId="128AD612" w14:textId="77777777" w:rsidR="00D041A2" w:rsidRDefault="00000000">
      <w:pPr>
        <w:pStyle w:val="Normal6"/>
        <w:widowControl w:val="0"/>
        <w:spacing w:before="200" w:line="260" w:lineRule="atLeast"/>
        <w:jc w:val="both"/>
      </w:pPr>
      <w:bookmarkStart w:id="596" w:name="Bookmark_para_36_1"/>
      <w:bookmarkEnd w:id="596"/>
      <w:r>
        <w:rPr>
          <w:rFonts w:ascii="Arial" w:eastAsia="Arial" w:hAnsi="Arial" w:cs="Arial"/>
          <w:color w:val="000000"/>
          <w:sz w:val="20"/>
        </w:rPr>
        <w:t xml:space="preserve">Koessel also appeals the district court's grant of summary judgment on the breach of contract claim. Although Koessel had no written employment contract with the Sheriff's Office, </w:t>
      </w:r>
      <w:bookmarkStart w:id="597" w:name="Bookmark_LNHNREFclscc12_1"/>
      <w:bookmarkEnd w:id="597"/>
      <w:r>
        <w:rPr>
          <w:rFonts w:ascii="Arial" w:eastAsia="Arial" w:hAnsi="Arial" w:cs="Arial"/>
          <w:color w:val="000000"/>
          <w:sz w:val="20"/>
        </w:rPr>
        <w:t>Wyoming law provides that a sheriff's deputy "shall not be discharged from employment, reduced in rank or suspended without pay except for cause and after notice and opportunity for a hearing." Wyo. Stat. Ann. § 18-3-611(b) (2009). The district court found that this statute created an implied  [**18] contract, but that the County complied with the terms of the contract (which were provided by statute) by having cause for Koessel's termination and providing him with notice and an opportunity for a hearing.</w:t>
      </w:r>
    </w:p>
    <w:p w14:paraId="73432C8E" w14:textId="77777777" w:rsidR="00D041A2" w:rsidRDefault="00000000">
      <w:pPr>
        <w:pStyle w:val="Normal6"/>
        <w:widowControl w:val="0"/>
        <w:spacing w:before="200" w:line="260" w:lineRule="atLeast"/>
        <w:jc w:val="both"/>
      </w:pPr>
      <w:bookmarkStart w:id="598" w:name="Bookmark_para_37_1"/>
      <w:bookmarkEnd w:id="598"/>
      <w:r>
        <w:rPr>
          <w:rFonts w:ascii="Arial" w:eastAsia="Arial" w:hAnsi="Arial" w:cs="Arial"/>
          <w:color w:val="000000"/>
          <w:sz w:val="20"/>
        </w:rPr>
        <w:t>The County disputes the district court's conclusion that Wyoming law created an implied contract; rather, the County contends that it removed Koessel from at-will employment, but nevertheless gave him the right to notice and a hearing. With or without an implied contract, § 18-3-611 governs the process of termination: Koessel could be terminated only for cause and had a right to notice and a hearing prior to termination.</w:t>
      </w:r>
    </w:p>
    <w:p w14:paraId="73113061" w14:textId="77777777" w:rsidR="00D041A2" w:rsidRDefault="00000000">
      <w:pPr>
        <w:pStyle w:val="Normal6"/>
        <w:widowControl w:val="0"/>
        <w:spacing w:before="240" w:line="260" w:lineRule="atLeast"/>
      </w:pPr>
      <w:r>
        <w:br/>
      </w:r>
      <w:r>
        <w:rPr>
          <w:rFonts w:ascii="Arial" w:eastAsia="Arial" w:hAnsi="Arial" w:cs="Arial"/>
          <w:color w:val="000000"/>
          <w:sz w:val="20"/>
        </w:rPr>
        <w:t xml:space="preserve"> [*746]  </w:t>
      </w:r>
      <w:r>
        <w:rPr>
          <w:rFonts w:ascii="Arial" w:eastAsia="Arial" w:hAnsi="Arial" w:cs="Arial"/>
          <w:i/>
          <w:color w:val="000000"/>
          <w:sz w:val="20"/>
        </w:rPr>
        <w:t>1. Cause for Termination</w:t>
      </w:r>
    </w:p>
    <w:p w14:paraId="7579EF8C" w14:textId="77777777" w:rsidR="00D041A2" w:rsidRDefault="00000000">
      <w:pPr>
        <w:pStyle w:val="Normal6"/>
        <w:widowControl w:val="0"/>
        <w:spacing w:before="200" w:line="260" w:lineRule="atLeast"/>
        <w:jc w:val="both"/>
      </w:pPr>
      <w:bookmarkStart w:id="599" w:name="Bookmark_para_38_1"/>
      <w:bookmarkStart w:id="600" w:name="Bookmark_I58JVYF32D6NJV0010000400"/>
      <w:bookmarkStart w:id="601" w:name="Bookmark_I58JVYF32D6NJV0030000400"/>
      <w:bookmarkStart w:id="602" w:name="Bookmark_LNHNREFclscc13_1"/>
      <w:bookmarkEnd w:id="599"/>
      <w:bookmarkEnd w:id="600"/>
      <w:bookmarkEnd w:id="601"/>
      <w:bookmarkEnd w:id="602"/>
      <w:r>
        <w:rPr>
          <w:rFonts w:ascii="Arial" w:eastAsia="Arial" w:hAnsi="Arial" w:cs="Arial"/>
          <w:color w:val="000000"/>
          <w:sz w:val="20"/>
        </w:rPr>
        <w:t xml:space="preserve">The Wyoming Supreme Court has defined "cause" under § 18-3-611 as "a cause or justification which bears a reasonable relationship to the deputy sheriff's ability and fitness to perform and discharge the duties of his or her position." </w:t>
      </w:r>
      <w:bookmarkStart w:id="603" w:name="Bookmark_I58JVYF32D6NJT0050000400"/>
      <w:bookmarkEnd w:id="603"/>
      <w:r>
        <w:rPr>
          <w:rFonts w:ascii="Arial" w:eastAsia="Arial" w:hAnsi="Arial" w:cs="Arial"/>
          <w:i/>
          <w:color w:val="000000"/>
          <w:sz w:val="20"/>
        </w:rPr>
        <w:t>Lucero v. Mathews</w:t>
      </w:r>
      <w:r>
        <w:rPr>
          <w:rFonts w:ascii="Arial" w:eastAsia="Arial" w:hAnsi="Arial" w:cs="Arial"/>
          <w:color w:val="000000"/>
          <w:sz w:val="20"/>
        </w:rPr>
        <w:t xml:space="preserve">, 901 P.2d 1115, 1123 (Wyo. 1995). Showing an employee was terminated without cause is essentially the same as showing the employer terminated him in bad faith. </w:t>
      </w:r>
      <w:bookmarkStart w:id="604" w:name="Bookmark_I58JVYF32D6NJV0020000400"/>
      <w:bookmarkEnd w:id="604"/>
      <w:r>
        <w:rPr>
          <w:rFonts w:ascii="Arial" w:eastAsia="Arial" w:hAnsi="Arial" w:cs="Arial"/>
          <w:i/>
          <w:color w:val="000000"/>
          <w:sz w:val="20"/>
        </w:rPr>
        <w:t>Sheaffer v. State ex rel. Univ. of Wyo</w:t>
      </w:r>
      <w:r>
        <w:rPr>
          <w:rFonts w:ascii="Arial" w:eastAsia="Arial" w:hAnsi="Arial" w:cs="Arial"/>
          <w:color w:val="000000"/>
          <w:sz w:val="20"/>
        </w:rPr>
        <w:t xml:space="preserve">., 2009 WY 19, 202 P.3d 1030, 1043 (Wyo. 2009). The court looks to whether the employer gave "fair and honest  [**19] reasons . . . that are not trivial, arbitrary or capricious, unrelated to business needs or goals, or pretextual." </w:t>
      </w:r>
      <w:r>
        <w:rPr>
          <w:rFonts w:ascii="Arial" w:eastAsia="Arial" w:hAnsi="Arial" w:cs="Arial"/>
          <w:i/>
          <w:color w:val="000000"/>
          <w:sz w:val="20"/>
        </w:rPr>
        <w:t>Id</w:t>
      </w:r>
      <w:r>
        <w:rPr>
          <w:rFonts w:ascii="Arial" w:eastAsia="Arial" w:hAnsi="Arial" w:cs="Arial"/>
          <w:color w:val="000000"/>
          <w:sz w:val="20"/>
        </w:rPr>
        <w:t>. (citation omitted).</w:t>
      </w:r>
    </w:p>
    <w:p w14:paraId="61E7C6DE" w14:textId="77777777" w:rsidR="00D041A2" w:rsidRDefault="00000000">
      <w:pPr>
        <w:pStyle w:val="Normal6"/>
        <w:widowControl w:val="0"/>
        <w:spacing w:before="200" w:line="260" w:lineRule="atLeast"/>
        <w:jc w:val="both"/>
      </w:pPr>
      <w:bookmarkStart w:id="605" w:name="Bookmark_para_39_1"/>
      <w:bookmarkEnd w:id="605"/>
      <w:r>
        <w:rPr>
          <w:rFonts w:ascii="Arial" w:eastAsia="Arial" w:hAnsi="Arial" w:cs="Arial"/>
          <w:color w:val="000000"/>
          <w:sz w:val="20"/>
        </w:rPr>
        <w:t>Koessel introduces no evidence the County or the Sheriff acted in bad faith. Indeed, the evidence shows that Sheriff Bardin was concerned about Koessel's performance from at least the time the captain spoke with him; and this concern underlay Bardin's decision to send Koessel to the neurologist and psychologist. Koessel repeats the argument he made on his ADA claim—that the results of his examinations said he was physically fit to return to work and he did his job without complaint for a year after his stroke. He claims the "real" reason he was terminated was the County's fear of liability arising from his operation of a county vehicle.</w:t>
      </w:r>
    </w:p>
    <w:p w14:paraId="13C519FA" w14:textId="77777777" w:rsidR="00D041A2" w:rsidRDefault="00000000">
      <w:pPr>
        <w:pStyle w:val="Normal6"/>
        <w:widowControl w:val="0"/>
        <w:spacing w:before="200" w:line="260" w:lineRule="atLeast"/>
        <w:jc w:val="both"/>
      </w:pPr>
      <w:bookmarkStart w:id="606" w:name="Bookmark_para_40_1"/>
      <w:bookmarkEnd w:id="606"/>
      <w:r>
        <w:rPr>
          <w:rFonts w:ascii="Arial" w:eastAsia="Arial" w:hAnsi="Arial" w:cs="Arial"/>
          <w:color w:val="000000"/>
          <w:sz w:val="20"/>
        </w:rPr>
        <w:t>Even if this is true, it does not show the County or the Sheriff acted in bad faith. Koessel does not explain why fear over his inability to operate a vehicle was an arbitrary or illegitimate reason for terminating him. In context, the County's liability concerns are entirely consistent with the Sheriff's concerns about Koessel's fitness for duty as a patrol officer—the County could incur liability if Koessel's known  [**20] symptoms resulted in injury to himself or others. Nor does Koessel show the County's rationale was pretextual. The evidence shows that the County, after a series of complaints from fellow officers, investigated whether Koessel was, in fact, impaired. The results of that investigation—reports from the two specialists who examined Koessel—supported the County's stated reasons for his termination. Koessel has thus failed to demonstrate the County lacked cause to terminate him.</w:t>
      </w:r>
    </w:p>
    <w:p w14:paraId="0B8251CF" w14:textId="77777777" w:rsidR="00D041A2" w:rsidRDefault="00000000">
      <w:pPr>
        <w:pStyle w:val="Normal6"/>
        <w:widowControl w:val="0"/>
        <w:spacing w:before="240" w:line="260" w:lineRule="atLeast"/>
      </w:pPr>
      <w:r>
        <w:br/>
      </w:r>
      <w:r>
        <w:rPr>
          <w:rFonts w:ascii="Arial" w:eastAsia="Arial" w:hAnsi="Arial" w:cs="Arial"/>
          <w:i/>
          <w:color w:val="000000"/>
          <w:sz w:val="20"/>
        </w:rPr>
        <w:t>2. Adequate Notice</w:t>
      </w:r>
    </w:p>
    <w:p w14:paraId="21891857" w14:textId="77777777" w:rsidR="00D041A2" w:rsidRDefault="00000000">
      <w:pPr>
        <w:pStyle w:val="Normal6"/>
        <w:widowControl w:val="0"/>
        <w:spacing w:before="200" w:line="260" w:lineRule="atLeast"/>
        <w:jc w:val="both"/>
      </w:pPr>
      <w:bookmarkStart w:id="607" w:name="Bookmark_para_41_0"/>
      <w:bookmarkEnd w:id="607"/>
      <w:r>
        <w:rPr>
          <w:rFonts w:ascii="Arial" w:eastAsia="Arial" w:hAnsi="Arial" w:cs="Arial"/>
          <w:color w:val="000000"/>
          <w:sz w:val="20"/>
        </w:rPr>
        <w:t>Koessel argues the notice he received was inadequate because it did not specify exactly how he was unfit for duty or from what disability he suffered, depriving him of a meaningful opportunity to challenge his termination. The County argues the Sheriff's letter included a sufficient description of the grounds for termination.</w:t>
      </w:r>
    </w:p>
    <w:p w14:paraId="2377868B" w14:textId="77777777" w:rsidR="00D041A2" w:rsidRDefault="00000000">
      <w:pPr>
        <w:pStyle w:val="Normal6"/>
        <w:widowControl w:val="0"/>
        <w:spacing w:before="200" w:line="260" w:lineRule="atLeast"/>
        <w:jc w:val="both"/>
      </w:pPr>
      <w:bookmarkStart w:id="608" w:name="Bookmark_para_42_0"/>
      <w:bookmarkStart w:id="609" w:name="Bookmark_I58JVYF32D6NJV0050000400"/>
      <w:bookmarkStart w:id="610" w:name="Bookmark_LNHNREFclscc14_1"/>
      <w:bookmarkEnd w:id="608"/>
      <w:bookmarkEnd w:id="609"/>
      <w:bookmarkEnd w:id="610"/>
      <w:r>
        <w:rPr>
          <w:rFonts w:ascii="Arial" w:eastAsia="Arial" w:hAnsi="Arial" w:cs="Arial"/>
          <w:color w:val="000000"/>
          <w:sz w:val="20"/>
        </w:rPr>
        <w:t xml:space="preserve">Under § 18-3-611, a sheriff's deputy must a be given notice and an opportunity to be heard. </w:t>
      </w:r>
      <w:bookmarkStart w:id="611" w:name="Bookmark_I58JVYF328T4470020000400"/>
      <w:bookmarkEnd w:id="611"/>
      <w:r>
        <w:rPr>
          <w:rFonts w:ascii="Arial" w:eastAsia="Arial" w:hAnsi="Arial" w:cs="Arial"/>
          <w:color w:val="000000"/>
          <w:sz w:val="20"/>
        </w:rPr>
        <w:t xml:space="preserve">The notice should be "specific" and give the deputy a "real and meaningful opportunity to respond to </w:t>
      </w:r>
      <w:r>
        <w:rPr>
          <w:rFonts w:ascii="Arial" w:eastAsia="Arial" w:hAnsi="Arial" w:cs="Arial"/>
          <w:i/>
          <w:color w:val="000000"/>
          <w:sz w:val="20"/>
        </w:rPr>
        <w:t>every</w:t>
      </w:r>
      <w:r>
        <w:rPr>
          <w:rFonts w:ascii="Arial" w:eastAsia="Arial" w:hAnsi="Arial" w:cs="Arial"/>
          <w:color w:val="000000"/>
          <w:sz w:val="20"/>
        </w:rPr>
        <w:t xml:space="preserve"> charge or allegation that is being brought against him and which will be used as a cause for his termination." </w:t>
      </w:r>
      <w:bookmarkStart w:id="612" w:name="Bookmark_I58JVYF32D6NJV0040000400"/>
      <w:bookmarkEnd w:id="612"/>
      <w:r>
        <w:rPr>
          <w:rFonts w:ascii="Arial" w:eastAsia="Arial" w:hAnsi="Arial" w:cs="Arial"/>
          <w:i/>
          <w:color w:val="000000"/>
          <w:sz w:val="20"/>
        </w:rPr>
        <w:t>Lucero</w:t>
      </w:r>
      <w:r>
        <w:rPr>
          <w:rFonts w:ascii="Arial" w:eastAsia="Arial" w:hAnsi="Arial" w:cs="Arial"/>
          <w:color w:val="000000"/>
          <w:sz w:val="20"/>
        </w:rPr>
        <w:t xml:space="preserve">, 901 P.2d at 1121 (emphasis in original). The Wyoming Supreme  [**21] Court has equated the type of notice and hearing required under § 18-3-611 to be the same type required by due process. </w:t>
      </w:r>
      <w:bookmarkStart w:id="613" w:name="Bookmark_I58JVYF328T4470020000400_2"/>
      <w:bookmarkEnd w:id="613"/>
      <w:r>
        <w:rPr>
          <w:rFonts w:ascii="Arial" w:eastAsia="Arial" w:hAnsi="Arial" w:cs="Arial"/>
          <w:i/>
          <w:color w:val="000000"/>
          <w:sz w:val="20"/>
        </w:rPr>
        <w:t xml:space="preserve">See </w:t>
      </w:r>
      <w:bookmarkStart w:id="614" w:name="Bookmark_I58JVYF328T4470010000400"/>
      <w:bookmarkEnd w:id="614"/>
      <w:r>
        <w:rPr>
          <w:rFonts w:ascii="Arial" w:eastAsia="Arial" w:hAnsi="Arial" w:cs="Arial"/>
          <w:i/>
          <w:color w:val="000000"/>
          <w:sz w:val="20"/>
        </w:rPr>
        <w:t>id</w:t>
      </w:r>
      <w:r>
        <w:rPr>
          <w:rFonts w:ascii="Arial" w:eastAsia="Arial" w:hAnsi="Arial" w:cs="Arial"/>
          <w:color w:val="000000"/>
          <w:sz w:val="20"/>
        </w:rPr>
        <w:t>. at 1120 (noting that the "pretermination hearing opportunity, which necessarily includes notice and a hearing, is not only a by-product of § 18-3-611, but is also a function of constitutional law").</w:t>
      </w:r>
    </w:p>
    <w:p w14:paraId="3B713A2B" w14:textId="77777777" w:rsidR="00D041A2" w:rsidRDefault="00000000">
      <w:pPr>
        <w:pStyle w:val="Normal6"/>
        <w:widowControl w:val="0"/>
        <w:spacing w:before="200" w:line="260" w:lineRule="atLeast"/>
        <w:jc w:val="both"/>
      </w:pPr>
      <w:bookmarkStart w:id="615" w:name="Bookmark_para_43_0"/>
      <w:bookmarkEnd w:id="615"/>
      <w:r>
        <w:rPr>
          <w:rFonts w:ascii="Arial" w:eastAsia="Arial" w:hAnsi="Arial" w:cs="Arial"/>
          <w:color w:val="000000"/>
          <w:sz w:val="20"/>
        </w:rPr>
        <w:t>Sheriff Bardin's letter informed Koessel of his pending termination and stated the following: (1) Dr. Enright had concluded Koessel was not physically fit to perform  [*747]  the duties of his job;</w:t>
      </w:r>
      <w:r>
        <w:rPr>
          <w:rFonts w:ascii="Arial" w:eastAsia="Arial" w:hAnsi="Arial" w:cs="Arial"/>
          <w:vertAlign w:val="superscript"/>
        </w:rPr>
        <w:footnoteReference w:customMarkFollows="1" w:id="31"/>
        <w:t>1</w:t>
      </w:r>
      <w:r>
        <w:rPr>
          <w:rFonts w:ascii="Arial" w:eastAsia="Arial" w:hAnsi="Arial" w:cs="Arial"/>
          <w:color w:val="000000"/>
          <w:sz w:val="20"/>
        </w:rPr>
        <w:t xml:space="preserve"> (2) there were no positions in the Sheriff's Office Koessel could perform; and (3) Koessel was being terminated for safety purposes and to prevent injury both to himself and to members of the public.</w:t>
      </w:r>
    </w:p>
    <w:p w14:paraId="01D15BE4" w14:textId="77777777" w:rsidR="00D041A2" w:rsidRDefault="00000000">
      <w:pPr>
        <w:pStyle w:val="Normal6"/>
        <w:widowControl w:val="0"/>
        <w:spacing w:before="200" w:line="260" w:lineRule="atLeast"/>
        <w:jc w:val="both"/>
      </w:pPr>
      <w:bookmarkStart w:id="617" w:name="Bookmark_para_44_0"/>
      <w:bookmarkEnd w:id="617"/>
      <w:r>
        <w:rPr>
          <w:rFonts w:ascii="Arial" w:eastAsia="Arial" w:hAnsi="Arial" w:cs="Arial"/>
          <w:color w:val="000000"/>
          <w:sz w:val="20"/>
        </w:rPr>
        <w:t>This notice was adequate. The basis for Koessel's dismissal was the lingering effects of his stroke. The letter informed Koessel that the evidence against him consisted of Dr. Enright's report—which, Koessel stated at his deposition, he had received, reviewed, and discussed with Sheriff Bardin. This report explained Koessel's symptoms and how they could interfere with his duties. Had Koessel desired to dispute the termination decision, the letter provided him with all he needed to know: He had to challenge Dr. Enright's report.</w:t>
      </w:r>
    </w:p>
    <w:p w14:paraId="57BEEC41" w14:textId="77777777" w:rsidR="00D041A2" w:rsidRDefault="00000000">
      <w:pPr>
        <w:pStyle w:val="Normal6"/>
        <w:widowControl w:val="0"/>
        <w:spacing w:before="200" w:line="260" w:lineRule="atLeast"/>
        <w:jc w:val="both"/>
      </w:pPr>
      <w:bookmarkStart w:id="618" w:name="Bookmark_para_45_0"/>
      <w:bookmarkEnd w:id="618"/>
      <w:r>
        <w:rPr>
          <w:rFonts w:ascii="Arial" w:eastAsia="Arial" w:hAnsi="Arial" w:cs="Arial"/>
          <w:color w:val="000000"/>
          <w:sz w:val="20"/>
        </w:rPr>
        <w:t>Koessel objects to the notice on the grounds that it did not particularly inform him the County was concerned about his ability to safely operate a vehicle. That is not required. Wyoming law requires Koessel to be informed of every charge or allegation that will be grounds for termination. There is only one allegation here: that he was physically or mentally unfit for the job, and thus he was being terminated for safety purposes. The County need not  [**23] have informed Koessel of every duty that could be impaired due to his disability, and Koessel cites no authority for such a proposition. Koessel knew enough to mount a challenge to the grounds of his termination if he had chosen to do so.</w:t>
      </w:r>
    </w:p>
    <w:p w14:paraId="527A5CD2" w14:textId="77777777" w:rsidR="00D041A2" w:rsidRDefault="00000000">
      <w:pPr>
        <w:pStyle w:val="Normal6"/>
        <w:widowControl w:val="0"/>
        <w:spacing w:before="240" w:line="260" w:lineRule="atLeast"/>
      </w:pPr>
      <w:r>
        <w:br/>
      </w:r>
      <w:r>
        <w:rPr>
          <w:rFonts w:ascii="Arial" w:eastAsia="Arial" w:hAnsi="Arial" w:cs="Arial"/>
          <w:i/>
          <w:color w:val="000000"/>
          <w:sz w:val="20"/>
        </w:rPr>
        <w:t>3. Right to a Hearing</w:t>
      </w:r>
    </w:p>
    <w:p w14:paraId="3B47C1A6" w14:textId="77777777" w:rsidR="00D041A2" w:rsidRDefault="00000000">
      <w:pPr>
        <w:pStyle w:val="Normal6"/>
        <w:widowControl w:val="0"/>
        <w:spacing w:before="200" w:line="260" w:lineRule="atLeast"/>
        <w:jc w:val="both"/>
      </w:pPr>
      <w:bookmarkStart w:id="619" w:name="Bookmark_para_46_0"/>
      <w:bookmarkEnd w:id="619"/>
      <w:r>
        <w:rPr>
          <w:rFonts w:ascii="Arial" w:eastAsia="Arial" w:hAnsi="Arial" w:cs="Arial"/>
          <w:color w:val="000000"/>
          <w:sz w:val="20"/>
        </w:rPr>
        <w:t>Sheriff Bardin's letter also informed Koessel of his right to a hearing. It repeated twice that he had to request one within five working days, and stated in bold, underlined type that the request had to be in writing. A copy of the Sheriff Department's rules for disciplinary hearings, which explained the hearing process in further detail, was also attached to the letter. Koessel never requested such a hearing. In the absence of a request, the letter satisfied the County's statutory obligation to provide Koessel with a hearing.</w:t>
      </w:r>
    </w:p>
    <w:p w14:paraId="4ADCE395" w14:textId="77777777" w:rsidR="00D041A2" w:rsidRDefault="00000000">
      <w:pPr>
        <w:pStyle w:val="Normal6"/>
        <w:widowControl w:val="0"/>
        <w:spacing w:before="200" w:line="260" w:lineRule="atLeast"/>
        <w:jc w:val="both"/>
      </w:pPr>
      <w:bookmarkStart w:id="620" w:name="Bookmark_para_47_0"/>
      <w:bookmarkEnd w:id="620"/>
      <w:r>
        <w:rPr>
          <w:rFonts w:ascii="Arial" w:eastAsia="Arial" w:hAnsi="Arial" w:cs="Arial"/>
          <w:color w:val="000000"/>
          <w:sz w:val="20"/>
        </w:rPr>
        <w:t>Koessel argues he did not need to request a hearing because the Sheriff's Office breached its implied contract with him, and thus he had no obligation to comply with the terms of the contract. While we need not decide if there was an implied contract here, even if there were, the Sheriff's conduct here would not constitute a breach, let alone a material breach, excusing Koessel's obligation to request a hearing  [**24] if he wished to challenge his termination. Because, as we have already concluded, the Sheriff's Office had cause to terminate Koessel, it would not have breached any implied agreement by beginning the termination process.</w:t>
      </w:r>
    </w:p>
    <w:p w14:paraId="1713A2A6" w14:textId="77777777" w:rsidR="00D041A2" w:rsidRDefault="00000000">
      <w:pPr>
        <w:pStyle w:val="Normal6"/>
        <w:widowControl w:val="0"/>
        <w:spacing w:before="200" w:line="260" w:lineRule="atLeast"/>
        <w:jc w:val="both"/>
      </w:pPr>
      <w:bookmarkStart w:id="621" w:name="Bookmark_para_48_0"/>
      <w:bookmarkEnd w:id="621"/>
      <w:r>
        <w:rPr>
          <w:rFonts w:ascii="Arial" w:eastAsia="Arial" w:hAnsi="Arial" w:cs="Arial"/>
          <w:color w:val="000000"/>
          <w:sz w:val="20"/>
        </w:rPr>
        <w:t>Koessel's breach of contract claim fails because he cannot show he was terminated without cause, received inadequate notice, or was not afforded an opportunity for a hearing.</w:t>
      </w:r>
    </w:p>
    <w:p w14:paraId="675373C6" w14:textId="77777777" w:rsidR="00D041A2" w:rsidRDefault="00000000">
      <w:pPr>
        <w:pStyle w:val="Normal6"/>
        <w:widowControl w:val="0"/>
        <w:spacing w:before="240" w:line="260" w:lineRule="atLeast"/>
      </w:pPr>
      <w:r>
        <w:br/>
      </w:r>
      <w:r>
        <w:rPr>
          <w:rFonts w:ascii="Arial" w:eastAsia="Arial" w:hAnsi="Arial" w:cs="Arial"/>
          <w:b/>
          <w:i/>
          <w:color w:val="000000"/>
          <w:sz w:val="20"/>
        </w:rPr>
        <w:t>C. Procedural Due Process</w:t>
      </w:r>
    </w:p>
    <w:p w14:paraId="078D58FC" w14:textId="77777777" w:rsidR="00D041A2" w:rsidRDefault="00000000">
      <w:pPr>
        <w:pStyle w:val="Normal6"/>
        <w:widowControl w:val="0"/>
        <w:spacing w:before="200" w:line="260" w:lineRule="atLeast"/>
        <w:jc w:val="both"/>
      </w:pPr>
      <w:bookmarkStart w:id="622" w:name="Bookmark_para_49_0"/>
      <w:bookmarkEnd w:id="622"/>
      <w:r>
        <w:rPr>
          <w:rFonts w:ascii="Arial" w:eastAsia="Arial" w:hAnsi="Arial" w:cs="Arial"/>
          <w:color w:val="000000"/>
          <w:sz w:val="20"/>
        </w:rPr>
        <w:t>Koessel next argues the district court erred in granting summary judgment on  [*748]  his procedural due process claim under 42 U.S.C. § 1983.</w:t>
      </w:r>
    </w:p>
    <w:p w14:paraId="549B7E28" w14:textId="77777777" w:rsidR="00D041A2" w:rsidRDefault="00000000">
      <w:pPr>
        <w:pStyle w:val="Normal6"/>
        <w:widowControl w:val="0"/>
        <w:spacing w:before="200" w:line="260" w:lineRule="atLeast"/>
        <w:jc w:val="both"/>
      </w:pPr>
      <w:bookmarkStart w:id="623" w:name="Bookmark_para_50_0"/>
      <w:bookmarkStart w:id="624" w:name="Bookmark_I58JVYF328T4470040000400"/>
      <w:bookmarkEnd w:id="623"/>
      <w:bookmarkEnd w:id="624"/>
      <w:r>
        <w:rPr>
          <w:rFonts w:ascii="Arial" w:eastAsia="Arial" w:hAnsi="Arial" w:cs="Arial"/>
          <w:color w:val="000000"/>
          <w:sz w:val="20"/>
        </w:rPr>
        <w:t>Koessel argues the process afforded him was constitutionally inadequate,</w:t>
      </w:r>
      <w:r>
        <w:rPr>
          <w:rFonts w:ascii="Arial" w:eastAsia="Arial" w:hAnsi="Arial" w:cs="Arial"/>
          <w:vertAlign w:val="superscript"/>
        </w:rPr>
        <w:footnoteReference w:customMarkFollows="1" w:id="32"/>
        <w:t>2</w:t>
      </w:r>
      <w:r>
        <w:rPr>
          <w:rFonts w:ascii="Arial" w:eastAsia="Arial" w:hAnsi="Arial" w:cs="Arial"/>
          <w:color w:val="000000"/>
          <w:sz w:val="20"/>
        </w:rPr>
        <w:t xml:space="preserve"> largely for the same reasons he asserts on his breach of contract claim. </w:t>
      </w:r>
      <w:bookmarkStart w:id="630" w:name="Bookmark_LNHNREFclscc15_1"/>
      <w:bookmarkEnd w:id="630"/>
      <w:r>
        <w:rPr>
          <w:rFonts w:ascii="Arial" w:eastAsia="Arial" w:hAnsi="Arial" w:cs="Arial"/>
          <w:color w:val="000000"/>
          <w:sz w:val="20"/>
        </w:rPr>
        <w:t xml:space="preserve">We assess procedural due process claims in two steps. </w:t>
      </w:r>
      <w:bookmarkStart w:id="631" w:name="Bookmark_I58JVYF328T4470030000400"/>
      <w:bookmarkEnd w:id="631"/>
      <w:r>
        <w:rPr>
          <w:rFonts w:ascii="Arial" w:eastAsia="Arial" w:hAnsi="Arial" w:cs="Arial"/>
          <w:i/>
          <w:color w:val="000000"/>
          <w:sz w:val="20"/>
        </w:rPr>
        <w:t>Riggins v. Goodman</w:t>
      </w:r>
      <w:r>
        <w:rPr>
          <w:rFonts w:ascii="Arial" w:eastAsia="Arial" w:hAnsi="Arial" w:cs="Arial"/>
          <w:color w:val="000000"/>
          <w:sz w:val="20"/>
        </w:rPr>
        <w:t xml:space="preserve">, 572 F.3d 1101, 1108 (10th Cir. 2009). First, we ask whether the plaintiff had a constitutionally protected interest. </w:t>
      </w:r>
      <w:r>
        <w:rPr>
          <w:rFonts w:ascii="Arial" w:eastAsia="Arial" w:hAnsi="Arial" w:cs="Arial"/>
          <w:i/>
          <w:color w:val="000000"/>
          <w:sz w:val="20"/>
        </w:rPr>
        <w:t>Id</w:t>
      </w:r>
      <w:r>
        <w:rPr>
          <w:rFonts w:ascii="Arial" w:eastAsia="Arial" w:hAnsi="Arial" w:cs="Arial"/>
          <w:color w:val="000000"/>
          <w:sz w:val="20"/>
        </w:rPr>
        <w:t xml:space="preserve">. Then, we ask whether the process afforded was adequate to protect that interest. </w:t>
      </w:r>
      <w:r>
        <w:rPr>
          <w:rFonts w:ascii="Arial" w:eastAsia="Arial" w:hAnsi="Arial" w:cs="Arial"/>
          <w:i/>
          <w:color w:val="000000"/>
          <w:sz w:val="20"/>
        </w:rPr>
        <w:t>Id</w:t>
      </w:r>
      <w:r>
        <w:rPr>
          <w:rFonts w:ascii="Arial" w:eastAsia="Arial" w:hAnsi="Arial" w:cs="Arial"/>
          <w:color w:val="000000"/>
          <w:sz w:val="20"/>
        </w:rPr>
        <w:t>.</w:t>
      </w:r>
    </w:p>
    <w:p w14:paraId="6C43B0BA" w14:textId="77777777" w:rsidR="00D041A2" w:rsidRDefault="00000000">
      <w:pPr>
        <w:pStyle w:val="Normal6"/>
        <w:widowControl w:val="0"/>
        <w:spacing w:before="200" w:line="260" w:lineRule="atLeast"/>
        <w:jc w:val="both"/>
      </w:pPr>
      <w:bookmarkStart w:id="632" w:name="Bookmark_para_51_0"/>
      <w:bookmarkEnd w:id="632"/>
      <w:r>
        <w:rPr>
          <w:rFonts w:ascii="Arial" w:eastAsia="Arial" w:hAnsi="Arial" w:cs="Arial"/>
          <w:color w:val="000000"/>
          <w:sz w:val="20"/>
        </w:rPr>
        <w:t xml:space="preserve">The parties do not dispute that Koessel had a protected property interest in continued public employment under Wyo. Stat. § 18-3-611. </w:t>
      </w:r>
      <w:bookmarkStart w:id="633" w:name="Bookmark_I53M09FMBMK00053NT7001V2"/>
      <w:bookmarkStart w:id="634" w:name="Bookmark_I58JVYF328T4480030000400"/>
      <w:bookmarkEnd w:id="633"/>
      <w:bookmarkEnd w:id="634"/>
      <w:r>
        <w:rPr>
          <w:rFonts w:ascii="Arial" w:eastAsia="Arial" w:hAnsi="Arial" w:cs="Arial"/>
          <w:color w:val="000000"/>
          <w:sz w:val="20"/>
        </w:rPr>
        <w:t xml:space="preserve">They dispute whether the process he received was adequate. </w:t>
      </w:r>
      <w:bookmarkStart w:id="635" w:name="Bookmark_LNHNREFclscc18_0"/>
      <w:bookmarkEnd w:id="635"/>
      <w:r>
        <w:rPr>
          <w:rFonts w:ascii="Arial" w:eastAsia="Arial" w:hAnsi="Arial" w:cs="Arial"/>
          <w:color w:val="000000"/>
          <w:sz w:val="20"/>
        </w:rPr>
        <w:t xml:space="preserve">The requirements of due process are essentially the same as those of § 18-3-611: (1) oral or written notice of the charges, (2) an explanation of the evidence, and (3) an opportunity to respond. </w:t>
      </w:r>
      <w:bookmarkStart w:id="636" w:name="Bookmark_I58JVYF328T4480020000400"/>
      <w:bookmarkEnd w:id="636"/>
      <w:r>
        <w:rPr>
          <w:rFonts w:ascii="Arial" w:eastAsia="Arial" w:hAnsi="Arial" w:cs="Arial"/>
          <w:i/>
          <w:color w:val="000000"/>
          <w:sz w:val="20"/>
        </w:rPr>
        <w:t>Montgomery v. City of Ardmore</w:t>
      </w:r>
      <w:r>
        <w:rPr>
          <w:rFonts w:ascii="Arial" w:eastAsia="Arial" w:hAnsi="Arial" w:cs="Arial"/>
          <w:color w:val="000000"/>
          <w:sz w:val="20"/>
        </w:rPr>
        <w:t>, 365 F.3d 926, 936 (10th Cir. 2004).</w:t>
      </w:r>
    </w:p>
    <w:p w14:paraId="7BDFB47F" w14:textId="77777777" w:rsidR="00D041A2" w:rsidRDefault="00000000">
      <w:pPr>
        <w:pStyle w:val="Normal6"/>
        <w:widowControl w:val="0"/>
        <w:spacing w:before="200" w:line="260" w:lineRule="atLeast"/>
        <w:jc w:val="both"/>
      </w:pPr>
      <w:bookmarkStart w:id="637" w:name="Bookmark_para_52_0"/>
      <w:bookmarkStart w:id="638" w:name="Bookmark_I58JVYF328T4480050000400"/>
      <w:bookmarkEnd w:id="637"/>
      <w:bookmarkEnd w:id="638"/>
      <w:r>
        <w:rPr>
          <w:rFonts w:ascii="Arial" w:eastAsia="Arial" w:hAnsi="Arial" w:cs="Arial"/>
          <w:color w:val="000000"/>
          <w:sz w:val="20"/>
        </w:rPr>
        <w:t xml:space="preserve">The only different argument that surfaces in Koessel's due process claim—and not previously addressed in the breach of contract claim—is the nature of the hearing  [**26] offered to him. Koessel argues that the Sheriff's Office did not give him a pretermination hearing as required by </w:t>
      </w:r>
      <w:bookmarkStart w:id="639" w:name="Bookmark_I58JVYF328T4480040000400"/>
      <w:bookmarkEnd w:id="639"/>
      <w:r>
        <w:rPr>
          <w:rFonts w:ascii="Arial" w:eastAsia="Arial" w:hAnsi="Arial" w:cs="Arial"/>
          <w:i/>
          <w:color w:val="000000"/>
          <w:sz w:val="20"/>
        </w:rPr>
        <w:t>Cleveland Board of Education v. Loudermill</w:t>
      </w:r>
      <w:r>
        <w:rPr>
          <w:rFonts w:ascii="Arial" w:eastAsia="Arial" w:hAnsi="Arial" w:cs="Arial"/>
          <w:color w:val="000000"/>
          <w:sz w:val="20"/>
        </w:rPr>
        <w:t>, 470 U.S. 532, 105 S. Ct. 1487, 84 L. Ed. 2d 494 (1985). He contends that he had already been terminated when he received the letter, thereby depriving him of adequate notice and converting the hearing offered in the letter into a constitutionally deficient post-termination hearing.</w:t>
      </w:r>
    </w:p>
    <w:p w14:paraId="501C5FC0" w14:textId="77777777" w:rsidR="00D041A2" w:rsidRDefault="00000000">
      <w:pPr>
        <w:pStyle w:val="Normal6"/>
        <w:widowControl w:val="0"/>
        <w:spacing w:before="200" w:line="260" w:lineRule="atLeast"/>
        <w:jc w:val="both"/>
      </w:pPr>
      <w:bookmarkStart w:id="640" w:name="Bookmark_para_53_0"/>
      <w:bookmarkStart w:id="641" w:name="Bookmark_I53M09FMGFR00053NT7001V3"/>
      <w:bookmarkStart w:id="642" w:name="Bookmark_I58JVYF328T4490020000400"/>
      <w:bookmarkEnd w:id="640"/>
      <w:bookmarkEnd w:id="641"/>
      <w:bookmarkEnd w:id="642"/>
      <w:r>
        <w:rPr>
          <w:rFonts w:ascii="Arial" w:eastAsia="Arial" w:hAnsi="Arial" w:cs="Arial"/>
          <w:color w:val="000000"/>
          <w:sz w:val="20"/>
        </w:rPr>
        <w:t xml:space="preserve">Yet it is clear the letter did not effect Koessel's termination. Our decision in </w:t>
      </w:r>
      <w:r>
        <w:rPr>
          <w:rFonts w:ascii="Arial" w:eastAsia="Arial" w:hAnsi="Arial" w:cs="Arial"/>
          <w:i/>
          <w:color w:val="000000"/>
          <w:sz w:val="20"/>
        </w:rPr>
        <w:t>Riggins</w:t>
      </w:r>
      <w:r>
        <w:rPr>
          <w:rFonts w:ascii="Arial" w:eastAsia="Arial" w:hAnsi="Arial" w:cs="Arial"/>
          <w:color w:val="000000"/>
          <w:sz w:val="20"/>
        </w:rPr>
        <w:t xml:space="preserve"> forecloses Koessel's argument. There, we dismissed a similar argument because the letter the plaintiff received referred to his "proposed termination," stated the termination would be effective later, and informed the plaintiff he had a right to a hearing prior to a final decision. </w:t>
      </w:r>
      <w:bookmarkStart w:id="643" w:name="Bookmark_I58JVYF328T4490010000400"/>
      <w:bookmarkEnd w:id="643"/>
      <w:r>
        <w:rPr>
          <w:rFonts w:ascii="Arial" w:eastAsia="Arial" w:hAnsi="Arial" w:cs="Arial"/>
          <w:color w:val="000000"/>
          <w:sz w:val="20"/>
        </w:rPr>
        <w:t>572 F.3d at 1109-10. Similarly here, Sheriff Bardin's letter referred to Koessel's "impending discharge," indicated that immediate termination would occur only if Koessel failed to request a hearing, and informed Koessel that he could contest the decision. App. 133. The letter's clear implication was that Koessel had not yet been terminated. Consequently, the letter provided sufficient notice of his right to a hearing.</w:t>
      </w:r>
    </w:p>
    <w:p w14:paraId="6B922D14" w14:textId="77777777" w:rsidR="00D041A2" w:rsidRDefault="00000000">
      <w:pPr>
        <w:pStyle w:val="Normal6"/>
        <w:widowControl w:val="0"/>
        <w:spacing w:before="200" w:line="260" w:lineRule="atLeast"/>
        <w:jc w:val="both"/>
      </w:pPr>
      <w:bookmarkStart w:id="644" w:name="Bookmark_para_54_0"/>
      <w:bookmarkEnd w:id="644"/>
      <w:r>
        <w:rPr>
          <w:rFonts w:ascii="Arial" w:eastAsia="Arial" w:hAnsi="Arial" w:cs="Arial"/>
          <w:color w:val="000000"/>
          <w:sz w:val="20"/>
        </w:rPr>
        <w:t xml:space="preserve">Koessel's  [**27] skewed take on the letter is compounded by his misreading of </w:t>
      </w:r>
      <w:r>
        <w:rPr>
          <w:rFonts w:ascii="Arial" w:eastAsia="Arial" w:hAnsi="Arial" w:cs="Arial"/>
          <w:i/>
          <w:color w:val="000000"/>
          <w:sz w:val="20"/>
        </w:rPr>
        <w:t>Loudermill</w:t>
      </w:r>
      <w:r>
        <w:rPr>
          <w:rFonts w:ascii="Arial" w:eastAsia="Arial" w:hAnsi="Arial" w:cs="Arial"/>
          <w:color w:val="000000"/>
          <w:sz w:val="20"/>
        </w:rPr>
        <w:t xml:space="preserve">, which, he insists, requires an informal pretermination hearing, followed by a formal post-termination hearing. </w:t>
      </w:r>
      <w:bookmarkStart w:id="645" w:name="Bookmark_I53M09FMNJK00053NT7001V4"/>
      <w:bookmarkStart w:id="646" w:name="Bookmark_I58JVYF328T4490040000400"/>
      <w:bookmarkEnd w:id="645"/>
      <w:bookmarkEnd w:id="646"/>
      <w:r>
        <w:rPr>
          <w:rFonts w:ascii="Arial" w:eastAsia="Arial" w:hAnsi="Arial" w:cs="Arial"/>
          <w:color w:val="000000"/>
          <w:sz w:val="20"/>
        </w:rPr>
        <w:t xml:space="preserve">Koessel maintains that he was offered the wrong pretermination hearing, a </w:t>
      </w:r>
      <w:r>
        <w:rPr>
          <w:rFonts w:ascii="Arial" w:eastAsia="Arial" w:hAnsi="Arial" w:cs="Arial"/>
          <w:i/>
          <w:color w:val="000000"/>
          <w:sz w:val="20"/>
        </w:rPr>
        <w:t>formal</w:t>
      </w:r>
      <w:r>
        <w:rPr>
          <w:rFonts w:ascii="Arial" w:eastAsia="Arial" w:hAnsi="Arial" w:cs="Arial"/>
          <w:color w:val="000000"/>
          <w:sz w:val="20"/>
        </w:rPr>
        <w:t xml:space="preserve"> one. </w:t>
      </w:r>
      <w:bookmarkStart w:id="647" w:name="Bookmark_LNHNREFclscc19_0"/>
      <w:bookmarkEnd w:id="647"/>
      <w:r>
        <w:rPr>
          <w:rFonts w:ascii="Arial" w:eastAsia="Arial" w:hAnsi="Arial" w:cs="Arial"/>
          <w:color w:val="000000"/>
          <w:sz w:val="20"/>
        </w:rPr>
        <w:t xml:space="preserve">But </w:t>
      </w:r>
      <w:r>
        <w:rPr>
          <w:rFonts w:ascii="Arial" w:eastAsia="Arial" w:hAnsi="Arial" w:cs="Arial"/>
          <w:i/>
          <w:color w:val="000000"/>
          <w:sz w:val="20"/>
        </w:rPr>
        <w:t>Loudermill</w:t>
      </w:r>
      <w:r>
        <w:rPr>
          <w:rFonts w:ascii="Arial" w:eastAsia="Arial" w:hAnsi="Arial" w:cs="Arial"/>
          <w:color w:val="000000"/>
          <w:sz w:val="20"/>
        </w:rPr>
        <w:t xml:space="preserve"> does not stand for the proposition that a state cannot offer a formal hearing prior to termination. </w:t>
      </w:r>
      <w:r>
        <w:rPr>
          <w:rFonts w:ascii="Arial" w:eastAsia="Arial" w:hAnsi="Arial" w:cs="Arial"/>
          <w:i/>
          <w:color w:val="000000"/>
          <w:sz w:val="20"/>
        </w:rPr>
        <w:t>Loudermill</w:t>
      </w:r>
      <w:r>
        <w:rPr>
          <w:rFonts w:ascii="Arial" w:eastAsia="Arial" w:hAnsi="Arial" w:cs="Arial"/>
          <w:color w:val="000000"/>
          <w:sz w:val="20"/>
        </w:rPr>
        <w:t xml:space="preserve"> establishes a floor for pretermination hearings—notice and an opportunity to respond—rather than a ceiling. </w:t>
      </w:r>
      <w:r>
        <w:rPr>
          <w:rFonts w:ascii="Arial" w:eastAsia="Arial" w:hAnsi="Arial" w:cs="Arial"/>
          <w:i/>
          <w:color w:val="000000"/>
          <w:sz w:val="20"/>
        </w:rPr>
        <w:t>See</w:t>
      </w:r>
      <w:r>
        <w:rPr>
          <w:rFonts w:ascii="Arial" w:eastAsia="Arial" w:hAnsi="Arial" w:cs="Arial"/>
          <w:color w:val="000000"/>
          <w:sz w:val="20"/>
        </w:rPr>
        <w:t xml:space="preserve"> </w:t>
      </w:r>
      <w:bookmarkStart w:id="648" w:name="Bookmark_I58JVYF328T4490030000400"/>
      <w:bookmarkEnd w:id="648"/>
      <w:r>
        <w:rPr>
          <w:rFonts w:ascii="Arial" w:eastAsia="Arial" w:hAnsi="Arial" w:cs="Arial"/>
          <w:color w:val="000000"/>
          <w:sz w:val="20"/>
        </w:rPr>
        <w:t>470  [*749]  U.S. at 546. Here, the pretermination hearing contemplated in Sheriff Bardin's letter, following the established rules of the Sheriff's Office, was well above that floor: it provides a deputy with the opportunity to hear the evidence against him and to respond to it, all within the framework of an adversarial proceeding.</w:t>
      </w:r>
    </w:p>
    <w:p w14:paraId="61D83A6C" w14:textId="77777777" w:rsidR="00D041A2" w:rsidRDefault="00000000">
      <w:pPr>
        <w:pStyle w:val="Normal6"/>
        <w:widowControl w:val="0"/>
        <w:spacing w:before="200" w:line="260" w:lineRule="atLeast"/>
        <w:jc w:val="both"/>
      </w:pPr>
      <w:bookmarkStart w:id="649" w:name="Bookmark_para_55_0"/>
      <w:bookmarkEnd w:id="649"/>
      <w:r>
        <w:rPr>
          <w:rFonts w:ascii="Arial" w:eastAsia="Arial" w:hAnsi="Arial" w:cs="Arial"/>
          <w:color w:val="000000"/>
          <w:sz w:val="20"/>
        </w:rPr>
        <w:t xml:space="preserve">Finally, Koessel further misinterprets </w:t>
      </w:r>
      <w:r>
        <w:rPr>
          <w:rFonts w:ascii="Arial" w:eastAsia="Arial" w:hAnsi="Arial" w:cs="Arial"/>
          <w:i/>
          <w:color w:val="000000"/>
          <w:sz w:val="20"/>
        </w:rPr>
        <w:t>Loudermill</w:t>
      </w:r>
      <w:r>
        <w:rPr>
          <w:rFonts w:ascii="Arial" w:eastAsia="Arial" w:hAnsi="Arial" w:cs="Arial"/>
          <w:color w:val="000000"/>
          <w:sz w:val="20"/>
        </w:rPr>
        <w:t xml:space="preserve"> by insisting the hearing offered by the Sheriff's Office cannot have been a pretermination hearing, because then Wyoming law would offer no post-termination hearing. This is not the case. </w:t>
      </w:r>
      <w:bookmarkStart w:id="650" w:name="Bookmark_LNHNREFclscc20_0"/>
      <w:bookmarkEnd w:id="650"/>
      <w:r>
        <w:rPr>
          <w:rFonts w:ascii="Arial" w:eastAsia="Arial" w:hAnsi="Arial" w:cs="Arial"/>
          <w:color w:val="000000"/>
          <w:sz w:val="20"/>
        </w:rPr>
        <w:t xml:space="preserve">Wyoming law provides for judicial review of agency decisions. </w:t>
      </w:r>
      <w:bookmarkStart w:id="651" w:name="Bookmark_I58JVYF32D6NJW0010000400"/>
      <w:bookmarkEnd w:id="651"/>
      <w:r>
        <w:rPr>
          <w:rFonts w:ascii="Arial" w:eastAsia="Arial" w:hAnsi="Arial" w:cs="Arial"/>
          <w:i/>
          <w:color w:val="000000"/>
          <w:sz w:val="20"/>
        </w:rPr>
        <w:t>See</w:t>
      </w:r>
      <w:r>
        <w:rPr>
          <w:rFonts w:ascii="Arial" w:eastAsia="Arial" w:hAnsi="Arial" w:cs="Arial"/>
          <w:color w:val="000000"/>
          <w:sz w:val="20"/>
        </w:rPr>
        <w:t xml:space="preserve"> Wyo. Stat. Ann. § 16-3-114(a) ("[A]ny person aggrieved or adversely  [**28] affected in fact by a final decision of an agency in a contested case . . . is entitled to judicial review in the district court for the county in which the administrative action or inaction was taken."). To the extent the state provides more elaborate procedures </w:t>
      </w:r>
      <w:r>
        <w:rPr>
          <w:rFonts w:ascii="Arial" w:eastAsia="Arial" w:hAnsi="Arial" w:cs="Arial"/>
          <w:i/>
          <w:color w:val="000000"/>
          <w:sz w:val="20"/>
        </w:rPr>
        <w:t>prior</w:t>
      </w:r>
      <w:r>
        <w:rPr>
          <w:rFonts w:ascii="Arial" w:eastAsia="Arial" w:hAnsi="Arial" w:cs="Arial"/>
          <w:color w:val="000000"/>
          <w:sz w:val="20"/>
        </w:rPr>
        <w:t xml:space="preserve"> to termination than are required under </w:t>
      </w:r>
      <w:r>
        <w:rPr>
          <w:rFonts w:ascii="Arial" w:eastAsia="Arial" w:hAnsi="Arial" w:cs="Arial"/>
          <w:i/>
          <w:color w:val="000000"/>
          <w:sz w:val="20"/>
        </w:rPr>
        <w:t>Loudermill</w:t>
      </w:r>
      <w:r>
        <w:rPr>
          <w:rFonts w:ascii="Arial" w:eastAsia="Arial" w:hAnsi="Arial" w:cs="Arial"/>
          <w:color w:val="000000"/>
          <w:sz w:val="20"/>
        </w:rPr>
        <w:t xml:space="preserve">, it need not duplicate them after termination. </w:t>
      </w:r>
      <w:r>
        <w:rPr>
          <w:rFonts w:ascii="Arial" w:eastAsia="Arial" w:hAnsi="Arial" w:cs="Arial"/>
          <w:i/>
          <w:color w:val="000000"/>
          <w:sz w:val="20"/>
        </w:rPr>
        <w:t xml:space="preserve">See </w:t>
      </w:r>
      <w:bookmarkStart w:id="652" w:name="Bookmark_I58JVYF328T4490050000400"/>
      <w:bookmarkEnd w:id="652"/>
      <w:r>
        <w:rPr>
          <w:rFonts w:ascii="Arial" w:eastAsia="Arial" w:hAnsi="Arial" w:cs="Arial"/>
          <w:i/>
          <w:color w:val="000000"/>
          <w:sz w:val="20"/>
        </w:rPr>
        <w:t>Benavidez v. City of Albuquerque</w:t>
      </w:r>
      <w:r>
        <w:rPr>
          <w:rFonts w:ascii="Arial" w:eastAsia="Arial" w:hAnsi="Arial" w:cs="Arial"/>
          <w:color w:val="000000"/>
          <w:sz w:val="20"/>
        </w:rPr>
        <w:t xml:space="preserve">, 101 F.3d 620, 626 (10th Cir. 1996) ("[W]e evaluate the constitutionality of post-termination process in light of the pre-termination procedures it follows."); </w:t>
      </w:r>
      <w:bookmarkStart w:id="653" w:name="Bookmark_I58JVYF32D6NJW0020000400"/>
      <w:bookmarkEnd w:id="653"/>
      <w:r>
        <w:rPr>
          <w:rFonts w:ascii="Arial" w:eastAsia="Arial" w:hAnsi="Arial" w:cs="Arial"/>
          <w:i/>
          <w:color w:val="000000"/>
          <w:sz w:val="20"/>
        </w:rPr>
        <w:t>Calhoun v. Gaines</w:t>
      </w:r>
      <w:r>
        <w:rPr>
          <w:rFonts w:ascii="Arial" w:eastAsia="Arial" w:hAnsi="Arial" w:cs="Arial"/>
          <w:color w:val="000000"/>
          <w:sz w:val="20"/>
        </w:rPr>
        <w:t xml:space="preserve">, 982 F.2d 1470, 1476 (10th Cir. 1992) (noting a "full-blown adversarial post-termination hearing" is required "unless such was included as part of the pretermination proceeding"); </w:t>
      </w:r>
      <w:bookmarkStart w:id="654" w:name="Bookmark_I58JVYF32D6NJW0040000400"/>
      <w:bookmarkEnd w:id="654"/>
      <w:r>
        <w:rPr>
          <w:rFonts w:ascii="Arial" w:eastAsia="Arial" w:hAnsi="Arial" w:cs="Arial"/>
          <w:i/>
          <w:color w:val="000000"/>
          <w:sz w:val="20"/>
        </w:rPr>
        <w:t>Powell v. Mikulecky</w:t>
      </w:r>
      <w:r>
        <w:rPr>
          <w:rFonts w:ascii="Arial" w:eastAsia="Arial" w:hAnsi="Arial" w:cs="Arial"/>
          <w:color w:val="000000"/>
          <w:sz w:val="20"/>
        </w:rPr>
        <w:t>, 891 F.2d 1454, 1458 (10th Cir. 1989) ("The idea of conducting two identical hearings runs counter to traditional principles of adjudication.").</w:t>
      </w:r>
    </w:p>
    <w:p w14:paraId="3F461947" w14:textId="77777777" w:rsidR="00D041A2" w:rsidRDefault="00000000">
      <w:pPr>
        <w:pStyle w:val="Normal6"/>
        <w:widowControl w:val="0"/>
        <w:spacing w:before="200" w:line="260" w:lineRule="atLeast"/>
        <w:jc w:val="both"/>
      </w:pPr>
      <w:bookmarkStart w:id="655" w:name="Bookmark_para_56_0"/>
      <w:bookmarkStart w:id="656" w:name="Bookmark_I58JVYF32D6NJX0020000400"/>
      <w:bookmarkEnd w:id="655"/>
      <w:bookmarkEnd w:id="656"/>
      <w:r>
        <w:rPr>
          <w:rFonts w:ascii="Arial" w:eastAsia="Arial" w:hAnsi="Arial" w:cs="Arial"/>
          <w:color w:val="000000"/>
          <w:sz w:val="20"/>
        </w:rPr>
        <w:t xml:space="preserve">Here, the fact that an impartial state court could have reviewed Sheriff Bardin's termination decision—itself the product of an adversarial proceeding—to see whether it was supported by "substantial evidence," Wyo. Stat. Ann. § 16-3-114(c)(ii)(E), assures us that </w:t>
      </w:r>
      <w:bookmarkStart w:id="657" w:name="Bookmark_LNHNREFclscc21_0"/>
      <w:bookmarkEnd w:id="657"/>
      <w:r>
        <w:rPr>
          <w:rFonts w:ascii="Arial" w:eastAsia="Arial" w:hAnsi="Arial" w:cs="Arial"/>
          <w:color w:val="000000"/>
          <w:sz w:val="20"/>
        </w:rPr>
        <w:t xml:space="preserve">Wyoming law  [**29] offers some sort of post-termination process. </w:t>
      </w:r>
      <w:bookmarkStart w:id="658" w:name="Bookmark_I58JVYF32D6NJX0040000400"/>
      <w:bookmarkEnd w:id="658"/>
      <w:r>
        <w:rPr>
          <w:rFonts w:ascii="Arial" w:eastAsia="Arial" w:hAnsi="Arial" w:cs="Arial"/>
          <w:i/>
          <w:color w:val="000000"/>
          <w:sz w:val="20"/>
        </w:rPr>
        <w:t xml:space="preserve">Cf. </w:t>
      </w:r>
      <w:bookmarkStart w:id="659" w:name="Bookmark_I58JVYF32D6NJX0010000400"/>
      <w:bookmarkEnd w:id="659"/>
      <w:r>
        <w:rPr>
          <w:rFonts w:ascii="Arial" w:eastAsia="Arial" w:hAnsi="Arial" w:cs="Arial"/>
          <w:i/>
          <w:color w:val="000000"/>
          <w:sz w:val="20"/>
        </w:rPr>
        <w:t>McDaniels v. Flick</w:t>
      </w:r>
      <w:r>
        <w:rPr>
          <w:rFonts w:ascii="Arial" w:eastAsia="Arial" w:hAnsi="Arial" w:cs="Arial"/>
          <w:color w:val="000000"/>
          <w:sz w:val="20"/>
        </w:rPr>
        <w:t xml:space="preserve">, 59 F.3d 446, 461 (3d Cir. 1995) (finding sufficient due process guarantees for college professor when college's termination decision could be appealed to state court). Whether, in light of the pretermination process, this post-termination process is constitutionally sufficient is a question we need not reach, as Koessel waived that issue by failing to request his hearing with the Sheriff's Office. </w:t>
      </w:r>
      <w:bookmarkStart w:id="660" w:name="Bookmark_I58JVYF32D6NJX0040000400_2"/>
      <w:bookmarkEnd w:id="660"/>
      <w:r>
        <w:rPr>
          <w:rFonts w:ascii="Arial" w:eastAsia="Arial" w:hAnsi="Arial" w:cs="Arial"/>
          <w:i/>
          <w:color w:val="000000"/>
          <w:sz w:val="20"/>
        </w:rPr>
        <w:t xml:space="preserve">See </w:t>
      </w:r>
      <w:bookmarkStart w:id="661" w:name="Bookmark_I58JVYF32D6NJX0030000400"/>
      <w:bookmarkEnd w:id="661"/>
      <w:r>
        <w:rPr>
          <w:rFonts w:ascii="Arial" w:eastAsia="Arial" w:hAnsi="Arial" w:cs="Arial"/>
          <w:i/>
          <w:color w:val="000000"/>
          <w:sz w:val="20"/>
        </w:rPr>
        <w:t>Sandoval v. City of Boulder</w:t>
      </w:r>
      <w:r>
        <w:rPr>
          <w:rFonts w:ascii="Arial" w:eastAsia="Arial" w:hAnsi="Arial" w:cs="Arial"/>
          <w:color w:val="000000"/>
          <w:sz w:val="20"/>
        </w:rPr>
        <w:t xml:space="preserve">, 388 F.3d 1312, 1329 (10th Cir. 2004) (citation omitted) (noting that due process claim for termination was waived by failing to request hearing); </w:t>
      </w:r>
      <w:r>
        <w:rPr>
          <w:rFonts w:ascii="Arial" w:eastAsia="Arial" w:hAnsi="Arial" w:cs="Arial"/>
          <w:i/>
          <w:color w:val="000000"/>
          <w:sz w:val="20"/>
        </w:rPr>
        <w:t xml:space="preserve">see also </w:t>
      </w:r>
      <w:bookmarkStart w:id="662" w:name="Bookmark_I58JVYF32D6NJX0050000400"/>
      <w:bookmarkEnd w:id="662"/>
      <w:r>
        <w:rPr>
          <w:rFonts w:ascii="Arial" w:eastAsia="Arial" w:hAnsi="Arial" w:cs="Arial"/>
          <w:i/>
          <w:color w:val="000000"/>
          <w:sz w:val="20"/>
        </w:rPr>
        <w:t>Lee v. Regents of Univ. of Cal</w:t>
      </w:r>
      <w:r>
        <w:rPr>
          <w:rFonts w:ascii="Arial" w:eastAsia="Arial" w:hAnsi="Arial" w:cs="Arial"/>
          <w:color w:val="000000"/>
          <w:sz w:val="20"/>
        </w:rPr>
        <w:t>., 221 F. App'x. 711, 714 (10th Cir. 2007) (plaintiff "waived any challenge to the fairness of [his employer's] post-termination hearing procedures because he never requested a post-termination hearing").</w:t>
      </w:r>
    </w:p>
    <w:p w14:paraId="7F447CAD" w14:textId="77777777" w:rsidR="00D041A2" w:rsidRDefault="00000000">
      <w:pPr>
        <w:pStyle w:val="Normal6"/>
        <w:widowControl w:val="0"/>
        <w:spacing w:before="200" w:line="260" w:lineRule="atLeast"/>
        <w:jc w:val="both"/>
      </w:pPr>
      <w:bookmarkStart w:id="663" w:name="Bookmark_para_57_0"/>
      <w:bookmarkEnd w:id="663"/>
      <w:r>
        <w:rPr>
          <w:rFonts w:ascii="Arial" w:eastAsia="Arial" w:hAnsi="Arial" w:cs="Arial"/>
          <w:color w:val="000000"/>
          <w:sz w:val="20"/>
        </w:rPr>
        <w:t>Accordingly, the district court did not err in dismissing the procedural due process claim.</w:t>
      </w:r>
    </w:p>
    <w:p w14:paraId="016FE86C" w14:textId="77777777" w:rsidR="00D041A2" w:rsidRDefault="00000000">
      <w:pPr>
        <w:pStyle w:val="Normal6"/>
        <w:widowControl w:val="0"/>
        <w:spacing w:before="240" w:line="260" w:lineRule="atLeast"/>
      </w:pPr>
      <w:r>
        <w:br/>
      </w:r>
      <w:r>
        <w:rPr>
          <w:rFonts w:ascii="Arial" w:eastAsia="Arial" w:hAnsi="Arial" w:cs="Arial"/>
          <w:b/>
          <w:i/>
          <w:color w:val="000000"/>
          <w:sz w:val="20"/>
        </w:rPr>
        <w:t>D. Substantive Due Process</w:t>
      </w:r>
    </w:p>
    <w:p w14:paraId="3D34162E" w14:textId="77777777" w:rsidR="00D041A2" w:rsidRDefault="00000000">
      <w:pPr>
        <w:pStyle w:val="Normal6"/>
        <w:widowControl w:val="0"/>
        <w:spacing w:before="200" w:line="260" w:lineRule="atLeast"/>
        <w:jc w:val="both"/>
      </w:pPr>
      <w:bookmarkStart w:id="664" w:name="Bookmark_para_58_0"/>
      <w:bookmarkEnd w:id="664"/>
      <w:r>
        <w:rPr>
          <w:rFonts w:ascii="Arial" w:eastAsia="Arial" w:hAnsi="Arial" w:cs="Arial"/>
          <w:color w:val="000000"/>
          <w:sz w:val="20"/>
        </w:rPr>
        <w:t>Koessel's final claim is that his termination violated substantive due process.</w:t>
      </w:r>
    </w:p>
    <w:p w14:paraId="1243BD3B" w14:textId="77777777" w:rsidR="00D041A2" w:rsidRDefault="00000000">
      <w:pPr>
        <w:pStyle w:val="Normal6"/>
        <w:widowControl w:val="0"/>
        <w:spacing w:before="200" w:line="260" w:lineRule="atLeast"/>
        <w:jc w:val="both"/>
      </w:pPr>
      <w:bookmarkStart w:id="665" w:name="Bookmark_para_59_0"/>
      <w:bookmarkStart w:id="666" w:name="Bookmark_I58JVYF328T44B0030000400"/>
      <w:bookmarkStart w:id="667" w:name="Bookmark_I58JVYF328T44B0050000400"/>
      <w:bookmarkStart w:id="668" w:name="Bookmark_LNHNREFclscc22_0"/>
      <w:bookmarkEnd w:id="665"/>
      <w:bookmarkEnd w:id="666"/>
      <w:bookmarkEnd w:id="667"/>
      <w:bookmarkEnd w:id="668"/>
      <w:r>
        <w:rPr>
          <w:rFonts w:ascii="Arial" w:eastAsia="Arial" w:hAnsi="Arial" w:cs="Arial"/>
          <w:color w:val="000000"/>
          <w:sz w:val="20"/>
        </w:rPr>
        <w:t xml:space="preserve">A Fourteenth Amendment substantive due process claim arises when a plaintiff alleges the government deprived him  [**30] of a fundamental right. </w:t>
      </w:r>
      <w:bookmarkStart w:id="669" w:name="Bookmark_I58JVYF32D6NJY0020000400"/>
      <w:bookmarkStart w:id="670" w:name="Bookmark_I58JVYF328T44B0020000400"/>
      <w:bookmarkEnd w:id="669"/>
      <w:bookmarkEnd w:id="670"/>
      <w:r>
        <w:rPr>
          <w:rFonts w:ascii="Arial" w:eastAsia="Arial" w:hAnsi="Arial" w:cs="Arial"/>
          <w:i/>
          <w:color w:val="000000"/>
          <w:sz w:val="20"/>
        </w:rPr>
        <w:t>Williams v. Berney</w:t>
      </w:r>
      <w:r>
        <w:rPr>
          <w:rFonts w:ascii="Arial" w:eastAsia="Arial" w:hAnsi="Arial" w:cs="Arial"/>
          <w:color w:val="000000"/>
          <w:sz w:val="20"/>
        </w:rPr>
        <w:t xml:space="preserve">, 519 F.3d 1216, 1220 (10th Cir. 2008). Substantive due process protects fundamental liberty interests and protects against the exercise of government authority that "shocks the conscience." </w:t>
      </w:r>
      <w:bookmarkStart w:id="671" w:name="Bookmark_I58JVYF328T44B0040000400"/>
      <w:bookmarkEnd w:id="671"/>
      <w:r>
        <w:rPr>
          <w:rFonts w:ascii="Arial" w:eastAsia="Arial" w:hAnsi="Arial" w:cs="Arial"/>
          <w:i/>
          <w:color w:val="000000"/>
          <w:sz w:val="20"/>
        </w:rPr>
        <w:t>Seegmiller v. LaVerkin City</w:t>
      </w:r>
      <w:r>
        <w:rPr>
          <w:rFonts w:ascii="Arial" w:eastAsia="Arial" w:hAnsi="Arial" w:cs="Arial"/>
          <w:color w:val="000000"/>
          <w:sz w:val="20"/>
        </w:rPr>
        <w:t xml:space="preserve">, 528 F.3d 762, 767 (10th Cir. 2008). </w:t>
      </w:r>
      <w:bookmarkStart w:id="672" w:name="Bookmark_I58JVYF32D6NJY0020000400_2"/>
      <w:bookmarkEnd w:id="672"/>
      <w:r>
        <w:rPr>
          <w:rFonts w:ascii="Arial" w:eastAsia="Arial" w:hAnsi="Arial" w:cs="Arial"/>
          <w:color w:val="000000"/>
          <w:sz w:val="20"/>
        </w:rPr>
        <w:t xml:space="preserve">While we have not determined whether public employment is a fundamental liberty interest protected by substantive due process, </w:t>
      </w:r>
      <w:bookmarkStart w:id="673" w:name="Bookmark_I58JVYF32D6NJY0010000400"/>
      <w:bookmarkEnd w:id="673"/>
      <w:r>
        <w:rPr>
          <w:rFonts w:ascii="Arial" w:eastAsia="Arial" w:hAnsi="Arial" w:cs="Arial"/>
          <w:i/>
          <w:color w:val="000000"/>
          <w:sz w:val="20"/>
        </w:rPr>
        <w:t xml:space="preserve">Potts v. Davis </w:t>
      </w:r>
      <w:r>
        <w:rPr>
          <w:rFonts w:ascii="Arial" w:eastAsia="Arial" w:hAnsi="Arial" w:cs="Arial"/>
          <w:color w:val="000000"/>
          <w:sz w:val="20"/>
        </w:rPr>
        <w:t> [*750] </w:t>
      </w:r>
      <w:r>
        <w:rPr>
          <w:rFonts w:ascii="Arial" w:eastAsia="Arial" w:hAnsi="Arial" w:cs="Arial"/>
          <w:i/>
          <w:color w:val="000000"/>
          <w:sz w:val="20"/>
        </w:rPr>
        <w:t xml:space="preserve"> County</w:t>
      </w:r>
      <w:r>
        <w:rPr>
          <w:rFonts w:ascii="Arial" w:eastAsia="Arial" w:hAnsi="Arial" w:cs="Arial"/>
          <w:color w:val="000000"/>
          <w:sz w:val="20"/>
        </w:rPr>
        <w:t>, 551 F.3d 1188, 1193 n.1 (10th Cir. 2009), even if it is, Koessel has not asserted a fundamental liberty interest argument. He argues only that the Defendants' conduct shocks the conscience.</w:t>
      </w:r>
    </w:p>
    <w:p w14:paraId="4BBF2932" w14:textId="77777777" w:rsidR="00D041A2" w:rsidRDefault="00000000">
      <w:pPr>
        <w:pStyle w:val="Normal6"/>
        <w:widowControl w:val="0"/>
        <w:spacing w:before="200" w:line="260" w:lineRule="atLeast"/>
        <w:jc w:val="both"/>
      </w:pPr>
      <w:bookmarkStart w:id="674" w:name="Bookmark_para_60"/>
      <w:bookmarkStart w:id="675" w:name="Bookmark_I58JVYF32D6NJY0040000400"/>
      <w:bookmarkStart w:id="676" w:name="Bookmark_I58JVYF32D6NK00010000400"/>
      <w:bookmarkStart w:id="677" w:name="Bookmark_LNHNREFclscc23_0"/>
      <w:bookmarkEnd w:id="674"/>
      <w:bookmarkEnd w:id="675"/>
      <w:bookmarkEnd w:id="676"/>
      <w:bookmarkEnd w:id="677"/>
      <w:r>
        <w:rPr>
          <w:rFonts w:ascii="Arial" w:eastAsia="Arial" w:hAnsi="Arial" w:cs="Arial"/>
          <w:color w:val="000000"/>
          <w:sz w:val="20"/>
        </w:rPr>
        <w:t xml:space="preserve">To show the Defendants' conduct is conscience shocking, Koessel must prove a government actor abused his or her authority or "employ[ed] it as an instrument of oppression" in a manner that shocks the conscience. </w:t>
      </w:r>
      <w:bookmarkStart w:id="678" w:name="Bookmark_I58JVYF32D6NK00030000400"/>
      <w:bookmarkStart w:id="679" w:name="Bookmark_I58JVYF32D6NJY0030000400"/>
      <w:bookmarkEnd w:id="678"/>
      <w:bookmarkEnd w:id="679"/>
      <w:r>
        <w:rPr>
          <w:rFonts w:ascii="Arial" w:eastAsia="Arial" w:hAnsi="Arial" w:cs="Arial"/>
          <w:i/>
          <w:color w:val="000000"/>
          <w:sz w:val="20"/>
        </w:rPr>
        <w:t>Williams</w:t>
      </w:r>
      <w:r>
        <w:rPr>
          <w:rFonts w:ascii="Arial" w:eastAsia="Arial" w:hAnsi="Arial" w:cs="Arial"/>
          <w:color w:val="000000"/>
          <w:sz w:val="20"/>
        </w:rPr>
        <w:t xml:space="preserve">, 519 F.3d at 1220. The Supreme Court has stated there is "no calibrated yard stick" for assessing whether conduct is conscience shocking, but that it depends on the circumstances of each case. </w:t>
      </w:r>
      <w:bookmarkStart w:id="680" w:name="Bookmark_I58JVYF32D6NJY0050000400"/>
      <w:bookmarkEnd w:id="680"/>
      <w:r>
        <w:rPr>
          <w:rFonts w:ascii="Arial" w:eastAsia="Arial" w:hAnsi="Arial" w:cs="Arial"/>
          <w:i/>
          <w:color w:val="000000"/>
          <w:sz w:val="20"/>
        </w:rPr>
        <w:t>County of Sacramento v. Lewis</w:t>
      </w:r>
      <w:r>
        <w:rPr>
          <w:rFonts w:ascii="Arial" w:eastAsia="Arial" w:hAnsi="Arial" w:cs="Arial"/>
          <w:color w:val="000000"/>
          <w:sz w:val="20"/>
        </w:rPr>
        <w:t xml:space="preserve">, 523 U.S. 833, 847, 850, 118 S. Ct. 1708, 140 L. Ed. 2d 1043 (1998). </w:t>
      </w:r>
      <w:bookmarkStart w:id="681" w:name="Bookmark_I58JVYF32D6NK00030000400_2"/>
      <w:bookmarkStart w:id="682" w:name="Bookmark_I58JVYF32D6NK00050000400"/>
      <w:bookmarkEnd w:id="681"/>
      <w:bookmarkEnd w:id="682"/>
      <w:r>
        <w:rPr>
          <w:rFonts w:ascii="Arial" w:eastAsia="Arial" w:hAnsi="Arial" w:cs="Arial"/>
          <w:color w:val="000000"/>
          <w:sz w:val="20"/>
        </w:rPr>
        <w:t xml:space="preserve">Substantive due process prohibits "only the most egregious official conduct." </w:t>
      </w:r>
      <w:bookmarkStart w:id="683" w:name="Bookmark_I58JVYF32D6NK00020000400"/>
      <w:bookmarkEnd w:id="683"/>
      <w:r>
        <w:rPr>
          <w:rFonts w:ascii="Arial" w:eastAsia="Arial" w:hAnsi="Arial" w:cs="Arial"/>
          <w:i/>
          <w:color w:val="000000"/>
          <w:sz w:val="20"/>
        </w:rPr>
        <w:t>Seegmiller</w:t>
      </w:r>
      <w:r>
        <w:rPr>
          <w:rFonts w:ascii="Arial" w:eastAsia="Arial" w:hAnsi="Arial" w:cs="Arial"/>
          <w:color w:val="000000"/>
          <w:sz w:val="20"/>
        </w:rPr>
        <w:t xml:space="preserve">, 528 F.3d at 767. </w:t>
      </w:r>
      <w:bookmarkStart w:id="684" w:name="Bookmark_I58JVYF32D6NK00050000400_2"/>
      <w:bookmarkEnd w:id="684"/>
      <w:r>
        <w:rPr>
          <w:rFonts w:ascii="Arial" w:eastAsia="Arial" w:hAnsi="Arial" w:cs="Arial"/>
          <w:color w:val="000000"/>
          <w:sz w:val="20"/>
        </w:rPr>
        <w:t xml:space="preserve"> [**31] Even most intentionally inflicted injuries caused by misuse of government authority will not meet this standard. </w:t>
      </w:r>
      <w:bookmarkStart w:id="685" w:name="Bookmark_I58JVYF32D6NK00040000400"/>
      <w:bookmarkEnd w:id="685"/>
      <w:r>
        <w:rPr>
          <w:rFonts w:ascii="Arial" w:eastAsia="Arial" w:hAnsi="Arial" w:cs="Arial"/>
          <w:i/>
          <w:color w:val="000000"/>
          <w:sz w:val="20"/>
        </w:rPr>
        <w:t>Ward v. Anderson</w:t>
      </w:r>
      <w:r>
        <w:rPr>
          <w:rFonts w:ascii="Arial" w:eastAsia="Arial" w:hAnsi="Arial" w:cs="Arial"/>
          <w:color w:val="000000"/>
          <w:sz w:val="20"/>
        </w:rPr>
        <w:t xml:space="preserve">, 494 F.3d 929, 937-38 (10th Cir. 2007); </w:t>
      </w:r>
      <w:r>
        <w:rPr>
          <w:rFonts w:ascii="Arial" w:eastAsia="Arial" w:hAnsi="Arial" w:cs="Arial"/>
          <w:i/>
          <w:color w:val="000000"/>
          <w:sz w:val="20"/>
        </w:rPr>
        <w:t xml:space="preserve">see also </w:t>
      </w:r>
      <w:bookmarkStart w:id="686" w:name="Bookmark_I58JVYF328T44C0010000400"/>
      <w:bookmarkEnd w:id="686"/>
      <w:r>
        <w:rPr>
          <w:rFonts w:ascii="Arial" w:eastAsia="Arial" w:hAnsi="Arial" w:cs="Arial"/>
          <w:i/>
          <w:color w:val="000000"/>
          <w:sz w:val="20"/>
        </w:rPr>
        <w:t>Muskrat v. Deer Creek Pub. Sch</w:t>
      </w:r>
      <w:r>
        <w:rPr>
          <w:rFonts w:ascii="Arial" w:eastAsia="Arial" w:hAnsi="Arial" w:cs="Arial"/>
          <w:color w:val="000000"/>
          <w:sz w:val="20"/>
        </w:rPr>
        <w:t>., No.11-6194, 715 F.3d 775, 2013 U.S. App. LEXIS 8266, 2013 WL 1730882, at * 20 (10th Cir. April 23, 2013) (teacher conduct did not meet standard of "brutal and inhumane abuse of official power" to make out substantive due process claim).</w:t>
      </w:r>
    </w:p>
    <w:p w14:paraId="7F9C35CE" w14:textId="77777777" w:rsidR="00D041A2" w:rsidRDefault="00000000">
      <w:pPr>
        <w:pStyle w:val="Normal6"/>
        <w:widowControl w:val="0"/>
        <w:spacing w:before="200" w:line="260" w:lineRule="atLeast"/>
        <w:jc w:val="both"/>
      </w:pPr>
      <w:bookmarkStart w:id="687" w:name="Bookmark_para_61"/>
      <w:bookmarkStart w:id="688" w:name="Bookmark_I53M09FMTCR00053NT7001V5"/>
      <w:bookmarkStart w:id="689" w:name="Bookmark_I58JVYF328T44C0040000400"/>
      <w:bookmarkStart w:id="690" w:name="Bookmark_LNHNREFclscc24"/>
      <w:bookmarkEnd w:id="687"/>
      <w:bookmarkEnd w:id="688"/>
      <w:bookmarkEnd w:id="689"/>
      <w:bookmarkEnd w:id="690"/>
      <w:r>
        <w:rPr>
          <w:rFonts w:ascii="Arial" w:eastAsia="Arial" w:hAnsi="Arial" w:cs="Arial"/>
          <w:color w:val="000000"/>
          <w:sz w:val="20"/>
        </w:rPr>
        <w:t xml:space="preserve">Whether an action was an abuse of authority depends on several "non-exhaustive factors," such as: (1) the harm results from misconduct by a government official; (2) the official has some authority over the victim; (3) the official abuses that authority; (4) the misconduct exceeds run-of-the-mill negligent conduct, and is intentional or reckless; and (5) the injury suffered is so egregious or outrageous that it shocks the conscience. </w:t>
      </w:r>
      <w:bookmarkStart w:id="691" w:name="Bookmark_I58JVYF328T44C0030000400"/>
      <w:bookmarkEnd w:id="691"/>
      <w:r>
        <w:rPr>
          <w:rFonts w:ascii="Arial" w:eastAsia="Arial" w:hAnsi="Arial" w:cs="Arial"/>
          <w:i/>
          <w:color w:val="000000"/>
          <w:sz w:val="20"/>
        </w:rPr>
        <w:t>Williams</w:t>
      </w:r>
      <w:r>
        <w:rPr>
          <w:rFonts w:ascii="Arial" w:eastAsia="Arial" w:hAnsi="Arial" w:cs="Arial"/>
          <w:color w:val="000000"/>
          <w:sz w:val="20"/>
        </w:rPr>
        <w:t>, 519 F.3d at 1224 (discussing excessive force claim).</w:t>
      </w:r>
    </w:p>
    <w:p w14:paraId="26C92D74" w14:textId="77777777" w:rsidR="00D041A2" w:rsidRDefault="00000000">
      <w:pPr>
        <w:pStyle w:val="Normal6"/>
        <w:widowControl w:val="0"/>
        <w:spacing w:before="200" w:line="260" w:lineRule="atLeast"/>
        <w:jc w:val="both"/>
      </w:pPr>
      <w:bookmarkStart w:id="692" w:name="Bookmark_para_62"/>
      <w:bookmarkEnd w:id="692"/>
      <w:r>
        <w:rPr>
          <w:rFonts w:ascii="Arial" w:eastAsia="Arial" w:hAnsi="Arial" w:cs="Arial"/>
          <w:color w:val="000000"/>
          <w:sz w:val="20"/>
        </w:rPr>
        <w:t>Koessel claims his allegations meet this standard because (1) he was terminated in violation of the ADA, (2) he was terminated without ever having been the subject of a complaint or any discipline, (3) he did not violate any Sheriff's Department fitness policy, (4) he was not told the real reason  [**32] for his termination, (5) no doctor found him incapable of driving, and (6) he regularly drove his county vehicle without incident.</w:t>
      </w:r>
    </w:p>
    <w:p w14:paraId="0EE17A4F" w14:textId="77777777" w:rsidR="00D041A2" w:rsidRDefault="00000000">
      <w:pPr>
        <w:pStyle w:val="Normal6"/>
        <w:widowControl w:val="0"/>
        <w:spacing w:before="200" w:line="260" w:lineRule="atLeast"/>
        <w:jc w:val="both"/>
      </w:pPr>
      <w:bookmarkStart w:id="693" w:name="Bookmark_para_63"/>
      <w:bookmarkEnd w:id="693"/>
      <w:r>
        <w:rPr>
          <w:rFonts w:ascii="Arial" w:eastAsia="Arial" w:hAnsi="Arial" w:cs="Arial"/>
          <w:color w:val="000000"/>
          <w:sz w:val="20"/>
        </w:rPr>
        <w:t>Even if all of this were true—and some of it is contradicted by the record—it does not demonstrate an abuse of government authority, let alone one sufficient to shock the judicial conscience. Again, Koessel has not demonstrated that the Sheriff's Office's reliance on Dr. Enright's report was pretextual. And its reliance, even if incorrect, provided the department with rational reasons for its decision. Thus, there was no misconduct by County officials, the decision was at worst negligent, and the employment injury suffered—loss of a job—was not so egregious as to shock the judicial conscience.</w:t>
      </w:r>
    </w:p>
    <w:p w14:paraId="7B1DE0E4" w14:textId="77777777" w:rsidR="00D041A2" w:rsidRDefault="00000000">
      <w:pPr>
        <w:pStyle w:val="Normal6"/>
        <w:widowControl w:val="0"/>
        <w:spacing w:before="200" w:line="260" w:lineRule="atLeast"/>
        <w:jc w:val="both"/>
      </w:pPr>
      <w:bookmarkStart w:id="694" w:name="Bookmark_para_64"/>
      <w:bookmarkStart w:id="695" w:name="Bookmark_I58JVYF328T44D0010000400"/>
      <w:bookmarkStart w:id="696" w:name="Bookmark_I58JVYF328T44D0030000400"/>
      <w:bookmarkEnd w:id="694"/>
      <w:bookmarkEnd w:id="695"/>
      <w:bookmarkEnd w:id="696"/>
      <w:r>
        <w:rPr>
          <w:rFonts w:ascii="Arial" w:eastAsia="Arial" w:hAnsi="Arial" w:cs="Arial"/>
          <w:color w:val="000000"/>
          <w:sz w:val="20"/>
        </w:rPr>
        <w:t xml:space="preserve">As a final note, our decision in </w:t>
      </w:r>
      <w:bookmarkStart w:id="697" w:name="Bookmark_I58JVYF328T44C0050000400"/>
      <w:bookmarkEnd w:id="697"/>
      <w:r>
        <w:rPr>
          <w:rFonts w:ascii="Arial" w:eastAsia="Arial" w:hAnsi="Arial" w:cs="Arial"/>
          <w:i/>
          <w:color w:val="000000"/>
          <w:sz w:val="20"/>
        </w:rPr>
        <w:t>Curtis v. Oklahoma City Public Schools Board of Education</w:t>
      </w:r>
      <w:r>
        <w:rPr>
          <w:rFonts w:ascii="Arial" w:eastAsia="Arial" w:hAnsi="Arial" w:cs="Arial"/>
          <w:color w:val="000000"/>
          <w:sz w:val="20"/>
        </w:rPr>
        <w:t xml:space="preserve">, 147 F.3d 1200 (10th Cir. 1998), is instructive. In that case, the school board dismissed an employee after a hearing even though the hearing board received no evidence, did not discuss the specific grounds for the employee's termination, and did not state the reasons for its decision. </w:t>
      </w:r>
      <w:bookmarkStart w:id="698" w:name="Bookmark_I53M09FN0GK00053NT70008V"/>
      <w:bookmarkStart w:id="699" w:name="Bookmark_I58JVYF328T44D0050000400"/>
      <w:bookmarkStart w:id="700" w:name="Bookmark_I58JVYF328T44D0020000400"/>
      <w:bookmarkEnd w:id="698"/>
      <w:bookmarkEnd w:id="699"/>
      <w:bookmarkEnd w:id="700"/>
      <w:r>
        <w:rPr>
          <w:rFonts w:ascii="Arial" w:eastAsia="Arial" w:hAnsi="Arial" w:cs="Arial"/>
          <w:i/>
          <w:color w:val="000000"/>
          <w:sz w:val="20"/>
        </w:rPr>
        <w:t>Id</w:t>
      </w:r>
      <w:r>
        <w:rPr>
          <w:rFonts w:ascii="Arial" w:eastAsia="Arial" w:hAnsi="Arial" w:cs="Arial"/>
          <w:color w:val="000000"/>
          <w:sz w:val="20"/>
        </w:rPr>
        <w:t xml:space="preserve">. at 1215. </w:t>
      </w:r>
      <w:bookmarkStart w:id="701" w:name="Bookmark_I58JVYF328T44D0050000400_2"/>
      <w:bookmarkEnd w:id="701"/>
      <w:r>
        <w:rPr>
          <w:rFonts w:ascii="Arial" w:eastAsia="Arial" w:hAnsi="Arial" w:cs="Arial"/>
          <w:color w:val="000000"/>
          <w:sz w:val="20"/>
        </w:rPr>
        <w:t xml:space="preserve">We found that, given the plaintiff's failure to present evidence in his defense  [**33] and his failure to dispute the statements in his employer's termination notice, the superintendent's summary recommendation to the school board provided ample reason for his termination—and thus the employer did not abuse its authority, let alone engage in conscience shocking conduct. </w:t>
      </w:r>
      <w:bookmarkStart w:id="702" w:name="Bookmark_I58JVYF328T44D0040000400"/>
      <w:bookmarkEnd w:id="702"/>
      <w:r>
        <w:rPr>
          <w:rFonts w:ascii="Arial" w:eastAsia="Arial" w:hAnsi="Arial" w:cs="Arial"/>
          <w:i/>
          <w:color w:val="000000"/>
          <w:sz w:val="20"/>
        </w:rPr>
        <w:t>Id</w:t>
      </w:r>
      <w:r>
        <w:rPr>
          <w:rFonts w:ascii="Arial" w:eastAsia="Arial" w:hAnsi="Arial" w:cs="Arial"/>
          <w:color w:val="000000"/>
          <w:sz w:val="20"/>
        </w:rPr>
        <w:t>. at 1215-16. Similarly here, Koessel did not even request a hearing, let alone dispute the  [*751]  allegations in his termination notice or present any evidence in his own defense.</w:t>
      </w:r>
    </w:p>
    <w:p w14:paraId="444993DF" w14:textId="77777777" w:rsidR="00D041A2" w:rsidRDefault="00000000">
      <w:pPr>
        <w:pStyle w:val="Normal6"/>
        <w:widowControl w:val="0"/>
        <w:spacing w:before="200" w:line="260" w:lineRule="atLeast"/>
        <w:jc w:val="both"/>
      </w:pPr>
      <w:bookmarkStart w:id="703" w:name="Bookmark_para_65"/>
      <w:bookmarkEnd w:id="703"/>
      <w:r>
        <w:rPr>
          <w:rFonts w:ascii="Arial" w:eastAsia="Arial" w:hAnsi="Arial" w:cs="Arial"/>
          <w:color w:val="000000"/>
          <w:sz w:val="20"/>
        </w:rPr>
        <w:t>In short, we see no basis for concluding that the County's conduct in terminating Koessel rose to the level of a substantive due process violation.</w:t>
      </w:r>
    </w:p>
    <w:p w14:paraId="55BAB464" w14:textId="77777777" w:rsidR="00D041A2" w:rsidRDefault="00000000">
      <w:pPr>
        <w:pStyle w:val="Normal6"/>
        <w:widowControl w:val="0"/>
        <w:spacing w:before="240" w:line="260" w:lineRule="atLeast"/>
      </w:pPr>
      <w:r>
        <w:br/>
      </w:r>
      <w:r>
        <w:rPr>
          <w:rFonts w:ascii="Arial" w:eastAsia="Arial" w:hAnsi="Arial" w:cs="Arial"/>
          <w:b/>
          <w:color w:val="000000"/>
          <w:sz w:val="20"/>
        </w:rPr>
        <w:t>III. Conclusion</w:t>
      </w:r>
    </w:p>
    <w:p w14:paraId="76A74D1F" w14:textId="77777777" w:rsidR="00D041A2" w:rsidRDefault="00000000">
      <w:pPr>
        <w:pStyle w:val="Normal6"/>
        <w:widowControl w:val="0"/>
        <w:spacing w:before="200" w:line="260" w:lineRule="atLeast"/>
        <w:jc w:val="both"/>
      </w:pPr>
      <w:bookmarkStart w:id="704" w:name="Bookmark_para_66"/>
      <w:bookmarkEnd w:id="704"/>
      <w:r>
        <w:rPr>
          <w:rFonts w:ascii="Arial" w:eastAsia="Arial" w:hAnsi="Arial" w:cs="Arial"/>
          <w:color w:val="000000"/>
          <w:sz w:val="20"/>
        </w:rPr>
        <w:t>For the foregoing reasons, the district court's judgment is AFFIRMED.</w:t>
      </w:r>
    </w:p>
    <w:p w14:paraId="0B469494" w14:textId="77777777" w:rsidR="00D041A2" w:rsidRDefault="00D041A2">
      <w:pPr>
        <w:pStyle w:val="Normal6"/>
      </w:pPr>
    </w:p>
    <w:p w14:paraId="2DBE9E0D" w14:textId="44A6C3B2" w:rsidR="00D041A2" w:rsidRDefault="00000000">
      <w:pPr>
        <w:pStyle w:val="Normal6"/>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71552" behindDoc="0" locked="0" layoutInCell="1" allowOverlap="1" wp14:anchorId="137C57C7" wp14:editId="081FBD1D">
                <wp:simplePos x="0" y="0"/>
                <wp:positionH relativeFrom="column">
                  <wp:posOffset>0</wp:posOffset>
                </wp:positionH>
                <wp:positionV relativeFrom="paragraph">
                  <wp:posOffset>127000</wp:posOffset>
                </wp:positionV>
                <wp:extent cx="6502400" cy="0"/>
                <wp:effectExtent l="9525" t="12700" r="12700" b="6350"/>
                <wp:wrapNone/>
                <wp:docPr id="142706544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191D3"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4C2199D" w14:textId="77777777" w:rsidR="00D041A2" w:rsidRDefault="00D041A2">
      <w:pPr>
        <w:pStyle w:val="Normal7"/>
        <w:sectPr w:rsidR="00D041A2">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gutter="0"/>
          <w:cols w:space="720"/>
          <w:titlePg/>
        </w:sectPr>
      </w:pPr>
    </w:p>
    <w:p w14:paraId="255D5B0D" w14:textId="77777777" w:rsidR="00D041A2" w:rsidRDefault="00D041A2">
      <w:pPr>
        <w:pStyle w:val="Normal7"/>
      </w:pPr>
    </w:p>
    <w:p w14:paraId="097AD259" w14:textId="77777777" w:rsidR="00D041A2" w:rsidRDefault="00000000">
      <w:pPr>
        <w:pStyle w:val="Heading16"/>
        <w:keepNext w:val="0"/>
        <w:widowControl w:val="0"/>
        <w:spacing w:after="200" w:line="340" w:lineRule="atLeast"/>
        <w:jc w:val="center"/>
      </w:pPr>
      <w:r>
        <w:rPr>
          <w:rFonts w:eastAsia="Arial"/>
          <w:color w:val="000000"/>
          <w:sz w:val="28"/>
        </w:rPr>
        <w:t>Defreitas v. Montgomery County Corr. Facility</w:t>
      </w:r>
    </w:p>
    <w:p w14:paraId="47E464E4" w14:textId="77777777" w:rsidR="00D041A2" w:rsidRDefault="00000000">
      <w:pPr>
        <w:pStyle w:val="Normal7"/>
        <w:widowControl w:val="0"/>
        <w:spacing w:before="120" w:line="260" w:lineRule="atLeast"/>
        <w:jc w:val="center"/>
      </w:pPr>
      <w:r>
        <w:rPr>
          <w:rFonts w:ascii="Arial" w:eastAsia="Arial" w:hAnsi="Arial" w:cs="Arial"/>
          <w:color w:val="000000"/>
          <w:sz w:val="20"/>
        </w:rPr>
        <w:t>United States Court of Appeals for the Third Circuit</w:t>
      </w:r>
    </w:p>
    <w:p w14:paraId="1FFF6063" w14:textId="77777777" w:rsidR="00D041A2" w:rsidRDefault="00000000">
      <w:pPr>
        <w:pStyle w:val="Normal7"/>
        <w:widowControl w:val="0"/>
        <w:spacing w:before="120" w:line="260" w:lineRule="atLeast"/>
        <w:jc w:val="center"/>
      </w:pPr>
      <w:r>
        <w:rPr>
          <w:rFonts w:ascii="Arial" w:eastAsia="Arial" w:hAnsi="Arial" w:cs="Arial"/>
          <w:color w:val="000000"/>
          <w:sz w:val="20"/>
        </w:rPr>
        <w:t>April 26, 2013, Submitted Under Third Circuit LAR 34.1(a); May 7, 2013, Filed</w:t>
      </w:r>
    </w:p>
    <w:p w14:paraId="23217C79" w14:textId="77777777" w:rsidR="00D041A2" w:rsidRDefault="00000000">
      <w:pPr>
        <w:pStyle w:val="Normal7"/>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12-3305</w:t>
      </w:r>
    </w:p>
    <w:p w14:paraId="56B104DF" w14:textId="77777777" w:rsidR="00D041A2" w:rsidRDefault="00D041A2">
      <w:pPr>
        <w:pStyle w:val="Normal7"/>
        <w:widowControl w:val="0"/>
        <w:spacing w:line="240" w:lineRule="atLeast"/>
        <w:jc w:val="both"/>
      </w:pPr>
      <w:bookmarkStart w:id="705" w:name="Bookmark_8"/>
      <w:bookmarkEnd w:id="705"/>
    </w:p>
    <w:p w14:paraId="6014D3D3" w14:textId="77777777" w:rsidR="00D041A2" w:rsidRDefault="00000000">
      <w:pPr>
        <w:pStyle w:val="Normal7"/>
        <w:widowControl w:val="0"/>
        <w:spacing w:before="200" w:line="240" w:lineRule="atLeast"/>
      </w:pPr>
      <w:bookmarkStart w:id="706" w:name="Reporter_6"/>
      <w:bookmarkEnd w:id="706"/>
      <w:r>
        <w:rPr>
          <w:rFonts w:ascii="Arial" w:eastAsia="Arial" w:hAnsi="Arial" w:cs="Arial"/>
          <w:b/>
          <w:color w:val="000000"/>
          <w:sz w:val="18"/>
        </w:rPr>
        <w:t>Reporter</w:t>
      </w:r>
    </w:p>
    <w:p w14:paraId="1A0F2650" w14:textId="77777777" w:rsidR="00D041A2" w:rsidRDefault="00000000">
      <w:pPr>
        <w:pStyle w:val="Normal7"/>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525 Fed. Appx. 170 *; 2013 U.S. App. LEXIS 9245 **; 2013 WL 1878842</w:t>
      </w:r>
    </w:p>
    <w:p w14:paraId="523D8AAD" w14:textId="77777777" w:rsidR="00D041A2" w:rsidRDefault="00000000">
      <w:pPr>
        <w:pStyle w:val="Normal7"/>
        <w:widowControl w:val="0"/>
        <w:spacing w:before="120" w:line="260" w:lineRule="atLeast"/>
      </w:pPr>
      <w:r>
        <w:rPr>
          <w:rFonts w:ascii="Arial" w:eastAsia="Arial" w:hAnsi="Arial" w:cs="Arial"/>
          <w:color w:val="000000"/>
          <w:sz w:val="20"/>
        </w:rPr>
        <w:t>KENN A. DEFREITAS, Appellant, v. MONTGOMERY COUNTY CORRECTIONAL FACILITY; MONTGOMERY COUNTY; CORRECTIONAL MEDICAL CARE INC; NIKKI HOLLER, RN IN HER OFFICIAL AND INDIVIDUAL CAPACITY; MARY WILLIAMS, IN HER OFFICIAL AND INDIVIDUAL CAPACITY; MARGARET CARRILO, IN HER OFFICIAL AND INDIVIDUAL CAPACITY; LIEUTENANT BATES, IN HIS OFFICIAL AND INDIVIDUAL CAPACITY; CORPORAL BURGER, IN HIS OFFICIAL AND INDIVIDUAL CAPACITY; CAPTAIN PAUL CARBO, IN HIS OFFICIAL AND INDIVIDUAL CAPACITY; MAJOR ALBERT OTTINGER, IN HIS OFFICIAL AND INDIVIDUAL CAPACITY; ASSISTANT WARDEN CATANIA, IN HIS OFFICIAL AND INDIVIDUAL CAPACITY; ASSISTANT WARDEN JAMES A. FREY, IN HIS OFFICIAL AND INDIVIDUAL CAPACITY; CORPORAL PALMER, IN HIS OFFICIAL AND INDIVIDUAL CAPACITY; DEPUTY WARDEN DENNIS J. MOLYNEAUX, IN HIS OFFICIAL AND INDIVIDUAL CAPACITY; CORRECTIONAL OFFICER GRIFFIN, IN HIS OFFICIAL AND INDIVIDUAL CAPACITY; CORRECTIONAL OFFICER HITTEL, IN HIS OFFICIAL AND INDIVIDUAL CAPACITY; ABC COMPANIES 1-5; JOHN DOES 1-5, IN THEIR OFFICIAL AND INDIVIDUAL CAPACITIES; JANE DOES 1-5, IN THEIR OFFICIAL AND INDIVIDUAL CAPACITIES.</w:t>
      </w:r>
    </w:p>
    <w:p w14:paraId="1DFDF0DB" w14:textId="77777777" w:rsidR="00D041A2" w:rsidRDefault="00000000">
      <w:pPr>
        <w:pStyle w:val="Normal7"/>
        <w:widowControl w:val="0"/>
        <w:spacing w:before="240" w:line="260" w:lineRule="atLeast"/>
        <w:jc w:val="both"/>
      </w:pPr>
      <w:bookmarkStart w:id="707" w:name="Notice_4"/>
      <w:bookmarkEnd w:id="707"/>
      <w:r>
        <w:rPr>
          <w:rFonts w:ascii="Arial" w:eastAsia="Arial" w:hAnsi="Arial" w:cs="Arial"/>
          <w:b/>
          <w:color w:val="000000"/>
          <w:sz w:val="20"/>
        </w:rPr>
        <w:t>Notice:</w:t>
      </w:r>
      <w:r>
        <w:rPr>
          <w:rFonts w:ascii="Arial" w:eastAsia="Arial" w:hAnsi="Arial" w:cs="Arial"/>
          <w:color w:val="000000"/>
          <w:sz w:val="20"/>
        </w:rPr>
        <w:t> </w:t>
      </w:r>
      <w:bookmarkStart w:id="708" w:name="Bookmark_para_1_6"/>
      <w:bookmarkEnd w:id="708"/>
      <w:r>
        <w:rPr>
          <w:rFonts w:ascii="Arial" w:eastAsia="Arial" w:hAnsi="Arial" w:cs="Arial"/>
          <w:color w:val="000000"/>
          <w:sz w:val="20"/>
        </w:rPr>
        <w:t>NOT PRECEDENTIAL OPINION UNDER THIRD CIRCUIT INTERNAL OPERATING PROCEDURE RULE 5.7. SUCH OPINIONS ARE NOT REGARDED AS PRECEDENTS WHICH BIND THE COURT.</w:t>
      </w:r>
    </w:p>
    <w:p w14:paraId="320DCB84" w14:textId="77777777" w:rsidR="00D041A2" w:rsidRDefault="00000000">
      <w:pPr>
        <w:pStyle w:val="Normal7"/>
        <w:widowControl w:val="0"/>
        <w:spacing w:before="200" w:line="260" w:lineRule="atLeast"/>
        <w:jc w:val="both"/>
      </w:pPr>
      <w:bookmarkStart w:id="709" w:name="Bookmark_para_2_6"/>
      <w:bookmarkEnd w:id="709"/>
      <w:r>
        <w:rPr>
          <w:rFonts w:ascii="Arial" w:eastAsia="Arial" w:hAnsi="Arial" w:cs="Arial"/>
          <w:color w:val="000000"/>
          <w:sz w:val="20"/>
        </w:rPr>
        <w:t>PLEASE REFER TO FEDERAL RULES OF APPELLATE PROCEDURE RULE 32.1 GOVERNING THE CITATION TO UNPUBLISHED OPINIONS.</w:t>
      </w:r>
    </w:p>
    <w:p w14:paraId="56454524" w14:textId="77777777" w:rsidR="00D041A2" w:rsidRDefault="00000000">
      <w:pPr>
        <w:pStyle w:val="Normal7"/>
        <w:widowControl w:val="0"/>
        <w:spacing w:before="240" w:line="260" w:lineRule="atLeast"/>
        <w:jc w:val="both"/>
      </w:pPr>
      <w:bookmarkStart w:id="710" w:name="Prior_History_6"/>
      <w:bookmarkEnd w:id="710"/>
      <w:r>
        <w:rPr>
          <w:rFonts w:ascii="Arial" w:eastAsia="Arial" w:hAnsi="Arial" w:cs="Arial"/>
          <w:b/>
          <w:color w:val="000000"/>
          <w:sz w:val="20"/>
        </w:rPr>
        <w:t>Prior History:</w:t>
      </w:r>
      <w:r>
        <w:rPr>
          <w:rFonts w:ascii="Arial" w:eastAsia="Arial" w:hAnsi="Arial" w:cs="Arial"/>
          <w:color w:val="000000"/>
          <w:sz w:val="20"/>
        </w:rPr>
        <w:t>  [**1] </w:t>
      </w:r>
      <w:bookmarkStart w:id="711" w:name="Bookmark_para_3_6"/>
      <w:bookmarkEnd w:id="711"/>
      <w:r>
        <w:rPr>
          <w:rFonts w:ascii="Arial" w:eastAsia="Arial" w:hAnsi="Arial" w:cs="Arial"/>
          <w:color w:val="000000"/>
          <w:sz w:val="20"/>
        </w:rPr>
        <w:t>On Appeal from the United States District Court for the Eastern District of Pennsylvania. (D.C. No. 2-08-cv-5330). District Judge: Hon. Lawrence F. Stengel.</w:t>
      </w:r>
    </w:p>
    <w:p w14:paraId="3A7A6D24" w14:textId="77777777" w:rsidR="00D041A2" w:rsidRDefault="00000000">
      <w:pPr>
        <w:pStyle w:val="Normal7"/>
        <w:widowControl w:val="0"/>
        <w:spacing w:before="120" w:line="260" w:lineRule="atLeast"/>
      </w:pPr>
      <w:r>
        <w:rPr>
          <w:rFonts w:ascii="Arial" w:eastAsia="Arial" w:hAnsi="Arial" w:cs="Arial"/>
          <w:color w:val="000000"/>
          <w:sz w:val="20"/>
        </w:rPr>
        <w:t>Defreitas v. Montgomery County Corr. Facility, 2012 U.S. Dist. LEXIS 99664 (E.D. Pa., July 18, 2012)</w:t>
      </w:r>
    </w:p>
    <w:p w14:paraId="05B9C99C" w14:textId="77777777" w:rsidR="00D041A2" w:rsidRDefault="00000000">
      <w:pPr>
        <w:pStyle w:val="Normal7"/>
        <w:widowControl w:val="0"/>
        <w:spacing w:before="240" w:line="260" w:lineRule="atLeast"/>
      </w:pPr>
      <w:bookmarkStart w:id="712" w:name="Counsel_6"/>
      <w:bookmarkEnd w:id="712"/>
      <w:r>
        <w:rPr>
          <w:rFonts w:ascii="Arial" w:eastAsia="Arial" w:hAnsi="Arial" w:cs="Arial"/>
          <w:b/>
          <w:color w:val="000000"/>
          <w:sz w:val="20"/>
        </w:rPr>
        <w:t>Counsel:</w:t>
      </w:r>
      <w:r>
        <w:rPr>
          <w:rFonts w:ascii="Arial" w:eastAsia="Arial" w:hAnsi="Arial" w:cs="Arial"/>
          <w:color w:val="000000"/>
          <w:sz w:val="20"/>
        </w:rPr>
        <w:t> For KENN A. DEFREITAS, Plaintiff - Appellant: Michael R. Galey, Esq., Fisher &amp; Phillips, Radnor, PA.</w:t>
      </w:r>
    </w:p>
    <w:p w14:paraId="43781CBF" w14:textId="77777777" w:rsidR="00D041A2" w:rsidRDefault="00000000">
      <w:pPr>
        <w:pStyle w:val="Normal7"/>
        <w:widowControl w:val="0"/>
        <w:spacing w:before="120" w:line="260" w:lineRule="atLeast"/>
      </w:pPr>
      <w:r>
        <w:rPr>
          <w:rFonts w:ascii="Arial" w:eastAsia="Arial" w:hAnsi="Arial" w:cs="Arial"/>
          <w:color w:val="000000"/>
          <w:sz w:val="20"/>
        </w:rPr>
        <w:t>For MONTGOMERY COUNTY CORRECTIONAL FACILITY, Defendant - Appellee: Philip W. Newcomer, Esq., Montgomery County Solicitor's Office, Norristown, PA.</w:t>
      </w:r>
    </w:p>
    <w:p w14:paraId="71F39244" w14:textId="77777777" w:rsidR="00D041A2" w:rsidRDefault="00000000">
      <w:pPr>
        <w:pStyle w:val="Normal7"/>
        <w:widowControl w:val="0"/>
        <w:spacing w:before="120" w:line="260" w:lineRule="atLeast"/>
      </w:pPr>
      <w:r>
        <w:rPr>
          <w:rFonts w:ascii="Arial" w:eastAsia="Arial" w:hAnsi="Arial" w:cs="Arial"/>
          <w:color w:val="000000"/>
          <w:sz w:val="20"/>
        </w:rPr>
        <w:t>For MARGARET CARRILO, IN HER OFFICIAL AND INDIVIDUAL CAPACITY, Defendant - Non-Participating: E. Chandler Hosmer, III, Esq., Paul A. Lefebvre, Esq., Marshall, Dennehey, Warner, Coleman &amp; Goggin, King of Prussia, PA.</w:t>
      </w:r>
    </w:p>
    <w:p w14:paraId="283F3477" w14:textId="77777777" w:rsidR="00D041A2" w:rsidRDefault="00000000">
      <w:pPr>
        <w:pStyle w:val="Normal7"/>
        <w:widowControl w:val="0"/>
        <w:spacing w:before="120" w:line="260" w:lineRule="atLeast"/>
      </w:pPr>
      <w:r>
        <w:rPr>
          <w:rFonts w:ascii="Arial" w:eastAsia="Arial" w:hAnsi="Arial" w:cs="Arial"/>
          <w:color w:val="000000"/>
          <w:sz w:val="20"/>
        </w:rPr>
        <w:t>For CORRECTIONAL MEDICAL CARE INC, NIKKI HOLLER, RN IN HER OFFICIAL AND INDIVIDUAL CAPACITY, MARY WILLIAMS, IN HER OFFICIAL AND INDIVIDUAL CAPACITY, Defendants - Appellees: Stewart J. Greenleaf, Jr., Esq., Timothy T. Myers, Esq., Gregory S. Voshell, Esq., Elliott Greenleaf &amp; SiedIkowski, Blue Bell, PA.</w:t>
      </w:r>
    </w:p>
    <w:p w14:paraId="1BCC7327" w14:textId="77777777" w:rsidR="00D041A2" w:rsidRDefault="00000000">
      <w:pPr>
        <w:pStyle w:val="Normal7"/>
        <w:widowControl w:val="0"/>
        <w:spacing w:before="240" w:line="260" w:lineRule="atLeast"/>
      </w:pPr>
      <w:bookmarkStart w:id="713" w:name="Judges_6"/>
      <w:bookmarkEnd w:id="713"/>
      <w:r>
        <w:rPr>
          <w:rFonts w:ascii="Arial" w:eastAsia="Arial" w:hAnsi="Arial" w:cs="Arial"/>
          <w:b/>
          <w:color w:val="000000"/>
          <w:sz w:val="20"/>
        </w:rPr>
        <w:t>Judges:</w:t>
      </w:r>
      <w:r>
        <w:rPr>
          <w:rFonts w:ascii="Arial" w:eastAsia="Arial" w:hAnsi="Arial" w:cs="Arial"/>
          <w:color w:val="000000"/>
          <w:sz w:val="20"/>
        </w:rPr>
        <w:t> Before: JORDAN, GREENBERG and NYGAARD, Circuit Judges.</w:t>
      </w:r>
    </w:p>
    <w:p w14:paraId="0D6A624F" w14:textId="77777777" w:rsidR="00D041A2" w:rsidRDefault="00000000">
      <w:pPr>
        <w:pStyle w:val="Normal7"/>
        <w:widowControl w:val="0"/>
        <w:spacing w:before="240" w:line="260" w:lineRule="atLeast"/>
      </w:pPr>
      <w:bookmarkStart w:id="714" w:name="Opinion_by_4"/>
      <w:bookmarkEnd w:id="714"/>
      <w:r>
        <w:rPr>
          <w:rFonts w:ascii="Arial" w:eastAsia="Arial" w:hAnsi="Arial" w:cs="Arial"/>
          <w:b/>
          <w:color w:val="000000"/>
          <w:sz w:val="20"/>
        </w:rPr>
        <w:t>Opinion by:</w:t>
      </w:r>
      <w:r>
        <w:rPr>
          <w:rFonts w:ascii="Arial" w:eastAsia="Arial" w:hAnsi="Arial" w:cs="Arial"/>
          <w:color w:val="000000"/>
          <w:sz w:val="20"/>
        </w:rPr>
        <w:t> JORDAN</w:t>
      </w:r>
    </w:p>
    <w:p w14:paraId="454A1A96" w14:textId="77777777" w:rsidR="00D041A2" w:rsidRDefault="00000000">
      <w:pPr>
        <w:pStyle w:val="Normal7"/>
        <w:keepNext/>
        <w:widowControl w:val="0"/>
        <w:spacing w:before="240" w:line="340" w:lineRule="atLeast"/>
      </w:pPr>
      <w:bookmarkStart w:id="715" w:name="Opinion_6"/>
      <w:bookmarkEnd w:id="715"/>
      <w:r>
        <w:rPr>
          <w:rFonts w:ascii="Arial" w:eastAsia="Arial" w:hAnsi="Arial" w:cs="Arial"/>
          <w:b/>
          <w:color w:val="000000"/>
          <w:sz w:val="28"/>
        </w:rPr>
        <w:t>Opinion</w:t>
      </w:r>
    </w:p>
    <w:p w14:paraId="46EAB493" w14:textId="59C65A8C" w:rsidR="00D041A2" w:rsidRDefault="004D4403">
      <w:pPr>
        <w:pStyle w:val="Normal7"/>
        <w:spacing w:line="60" w:lineRule="exact"/>
      </w:pPr>
      <w:r>
        <w:rPr>
          <w:noProof/>
        </w:rPr>
        <mc:AlternateContent>
          <mc:Choice Requires="wps">
            <w:drawing>
              <wp:anchor distT="0" distB="0" distL="114300" distR="114300" simplePos="0" relativeHeight="251672576" behindDoc="0" locked="0" layoutInCell="1" allowOverlap="1" wp14:anchorId="24402724" wp14:editId="1F8C05C7">
                <wp:simplePos x="0" y="0"/>
                <wp:positionH relativeFrom="column">
                  <wp:posOffset>0</wp:posOffset>
                </wp:positionH>
                <wp:positionV relativeFrom="paragraph">
                  <wp:posOffset>25400</wp:posOffset>
                </wp:positionV>
                <wp:extent cx="3187700" cy="0"/>
                <wp:effectExtent l="19050" t="15875" r="12700" b="12700"/>
                <wp:wrapTopAndBottom/>
                <wp:docPr id="124902447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45A65"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51E3B34" w14:textId="77777777" w:rsidR="00D041A2" w:rsidRDefault="00D041A2">
      <w:pPr>
        <w:pStyle w:val="Normal7"/>
        <w:spacing w:line="120" w:lineRule="exact"/>
      </w:pPr>
    </w:p>
    <w:p w14:paraId="63D1FE86" w14:textId="77777777" w:rsidR="00D041A2" w:rsidRDefault="00000000">
      <w:pPr>
        <w:pStyle w:val="Normal7"/>
        <w:widowControl w:val="0"/>
        <w:spacing w:before="240" w:line="260" w:lineRule="atLeast"/>
      </w:pPr>
      <w:r>
        <w:br/>
      </w:r>
      <w:r>
        <w:rPr>
          <w:rFonts w:ascii="Arial" w:eastAsia="Arial" w:hAnsi="Arial" w:cs="Arial"/>
          <w:color w:val="000000"/>
          <w:sz w:val="20"/>
        </w:rPr>
        <w:t> [*172]  OPINION OF THE COURT</w:t>
      </w:r>
    </w:p>
    <w:p w14:paraId="0A1E4335" w14:textId="77777777" w:rsidR="00D041A2" w:rsidRDefault="00000000">
      <w:pPr>
        <w:pStyle w:val="Normal7"/>
        <w:widowControl w:val="0"/>
        <w:spacing w:before="200" w:line="260" w:lineRule="atLeast"/>
        <w:jc w:val="both"/>
      </w:pPr>
      <w:bookmarkStart w:id="716" w:name="Bookmark_para_4_6"/>
      <w:bookmarkEnd w:id="716"/>
      <w:r>
        <w:rPr>
          <w:rFonts w:ascii="Arial" w:eastAsia="Arial" w:hAnsi="Arial" w:cs="Arial"/>
          <w:color w:val="000000"/>
          <w:sz w:val="20"/>
        </w:rPr>
        <w:t xml:space="preserve">JORDAN, </w:t>
      </w:r>
      <w:r>
        <w:rPr>
          <w:rFonts w:ascii="Arial" w:eastAsia="Arial" w:hAnsi="Arial" w:cs="Arial"/>
          <w:i/>
          <w:color w:val="000000"/>
          <w:sz w:val="20"/>
        </w:rPr>
        <w:t>Circuit Judge.</w:t>
      </w:r>
    </w:p>
    <w:p w14:paraId="46050AA4" w14:textId="77777777" w:rsidR="00D041A2" w:rsidRDefault="00000000">
      <w:pPr>
        <w:pStyle w:val="Normal7"/>
        <w:widowControl w:val="0"/>
        <w:spacing w:before="200" w:line="260" w:lineRule="atLeast"/>
        <w:jc w:val="both"/>
      </w:pPr>
      <w:bookmarkStart w:id="717" w:name="Bookmark_para_5_6"/>
      <w:bookmarkEnd w:id="717"/>
      <w:r>
        <w:rPr>
          <w:rFonts w:ascii="Arial" w:eastAsia="Arial" w:hAnsi="Arial" w:cs="Arial"/>
          <w:color w:val="000000"/>
          <w:sz w:val="20"/>
        </w:rPr>
        <w:t xml:space="preserve">Kenn A. Defreitas appeals the grant of summary judgment by the United States District Court for the Eastern District of Pennsylvania to Montgomery County, Montgomery County Correctional  [**2] Facility, and Correctional Medical Care, Inc. (collectively, "Appellees") on Defreitas's claims for cruel and unusual punishment under the Eighth Amendment and for discrimination under the Americans with Disabilities Act, 42 U.S.C. § 12101, </w:t>
      </w:r>
      <w:r>
        <w:rPr>
          <w:rFonts w:ascii="Arial" w:eastAsia="Arial" w:hAnsi="Arial" w:cs="Arial"/>
          <w:i/>
          <w:color w:val="000000"/>
          <w:sz w:val="20"/>
        </w:rPr>
        <w:t>et seq.</w:t>
      </w:r>
      <w:r>
        <w:rPr>
          <w:rFonts w:ascii="Arial" w:eastAsia="Arial" w:hAnsi="Arial" w:cs="Arial"/>
          <w:color w:val="000000"/>
          <w:sz w:val="20"/>
        </w:rPr>
        <w:t>, and the Rehabilitation Act § 504, 29 U.S.C. § 794. For the reasons that follow, we will affirm.</w:t>
      </w:r>
    </w:p>
    <w:p w14:paraId="4A760CDF" w14:textId="77777777" w:rsidR="00D041A2" w:rsidRDefault="00000000">
      <w:pPr>
        <w:pStyle w:val="Normal7"/>
        <w:widowControl w:val="0"/>
        <w:spacing w:before="240" w:line="260" w:lineRule="atLeast"/>
      </w:pPr>
      <w:r>
        <w:br/>
      </w:r>
      <w:r>
        <w:rPr>
          <w:rFonts w:ascii="Arial" w:eastAsia="Arial" w:hAnsi="Arial" w:cs="Arial"/>
          <w:b/>
          <w:color w:val="000000"/>
          <w:sz w:val="20"/>
        </w:rPr>
        <w:t>I. Background</w:t>
      </w:r>
    </w:p>
    <w:p w14:paraId="2DD891F1" w14:textId="77777777" w:rsidR="00D041A2" w:rsidRDefault="00000000">
      <w:pPr>
        <w:pStyle w:val="Normal7"/>
        <w:widowControl w:val="0"/>
        <w:spacing w:before="200" w:line="260" w:lineRule="atLeast"/>
        <w:jc w:val="both"/>
      </w:pPr>
      <w:bookmarkStart w:id="718" w:name="Bookmark_para_6_6"/>
      <w:bookmarkEnd w:id="718"/>
      <w:r>
        <w:rPr>
          <w:rFonts w:ascii="Arial" w:eastAsia="Arial" w:hAnsi="Arial" w:cs="Arial"/>
          <w:color w:val="000000"/>
          <w:sz w:val="20"/>
        </w:rPr>
        <w:t xml:space="preserve">Defreitas was arrested for simple assault and began his incarceration in pre-trial detention at Montgomery County Correctional Facility ("MCCF") on July 18, 2008. He is an above-the-knee amputee, and, until December 2008, he used crutches to assist his mobility. After that time, he had use of a prosthetic leg. During Defreitas's incarceration, MCCF housed him with the general population. </w:t>
      </w:r>
      <w:r>
        <w:rPr>
          <w:rFonts w:ascii="Arial" w:eastAsia="Arial" w:hAnsi="Arial" w:cs="Arial"/>
          <w:vertAlign w:val="superscript"/>
        </w:rPr>
        <w:footnoteReference w:customMarkFollows="1" w:id="33"/>
        <w:t>1</w:t>
      </w:r>
      <w:r>
        <w:rPr>
          <w:rFonts w:ascii="Arial" w:eastAsia="Arial" w:hAnsi="Arial" w:cs="Arial"/>
          <w:color w:val="000000"/>
          <w:sz w:val="20"/>
        </w:rPr>
        <w:t xml:space="preserve"> He claims that on various occasions Appellees denied him access to prison benefits and medical treatment and that they otherwise discriminated against him because of his status as an amputee.</w:t>
      </w:r>
    </w:p>
    <w:p w14:paraId="6863969A" w14:textId="77777777" w:rsidR="00D041A2" w:rsidRDefault="00000000">
      <w:pPr>
        <w:pStyle w:val="Normal7"/>
        <w:widowControl w:val="0"/>
        <w:spacing w:before="200" w:line="260" w:lineRule="atLeast"/>
        <w:jc w:val="both"/>
      </w:pPr>
      <w:bookmarkStart w:id="720" w:name="Bookmark_para_7_6"/>
      <w:bookmarkEnd w:id="720"/>
      <w:r>
        <w:rPr>
          <w:rFonts w:ascii="Arial" w:eastAsia="Arial" w:hAnsi="Arial" w:cs="Arial"/>
          <w:color w:val="000000"/>
          <w:sz w:val="20"/>
        </w:rPr>
        <w:t xml:space="preserve"> [*173]  He first claims that Appellees improperly denied him access to various recreation activities. MCCF offers to inmates in the  [**3] general population "yard recreation, ... gym recreation, and ... weight room recreation." (App. at 261.) Defreitas used the yard and weight room several times prior to September 14, 2008. On that day, however, MCCF restricted him from participating in yard, gym, and weight room activities, explaining that he was not permitted to bring his crutches into the yard because they could be used as weapons or to manipulate the low hanging razor wire on the yard's wall and thus breach the security of the facility. In addition to that denial, Correctional Medical Care, Inc.'s ("CMC") </w:t>
      </w:r>
      <w:r>
        <w:rPr>
          <w:rFonts w:ascii="Arial" w:eastAsia="Arial" w:hAnsi="Arial" w:cs="Arial"/>
          <w:vertAlign w:val="superscript"/>
        </w:rPr>
        <w:footnoteReference w:customMarkFollows="1" w:id="34"/>
        <w:t>2</w:t>
      </w:r>
      <w:r>
        <w:rPr>
          <w:rFonts w:ascii="Arial" w:eastAsia="Arial" w:hAnsi="Arial" w:cs="Arial"/>
          <w:color w:val="000000"/>
          <w:sz w:val="20"/>
        </w:rPr>
        <w:t xml:space="preserve"> Medical Director decided that Defreitas could not use the gym or weight room because he used crutches for mobility.</w:t>
      </w:r>
    </w:p>
    <w:p w14:paraId="4F9579CC" w14:textId="77777777" w:rsidR="00D041A2" w:rsidRDefault="00000000">
      <w:pPr>
        <w:pStyle w:val="Normal7"/>
        <w:widowControl w:val="0"/>
        <w:spacing w:before="200" w:line="260" w:lineRule="atLeast"/>
        <w:jc w:val="both"/>
      </w:pPr>
      <w:bookmarkStart w:id="722" w:name="Bookmark_para_8_5"/>
      <w:bookmarkEnd w:id="722"/>
      <w:r>
        <w:rPr>
          <w:rFonts w:ascii="Arial" w:eastAsia="Arial" w:hAnsi="Arial" w:cs="Arial"/>
          <w:color w:val="000000"/>
          <w:sz w:val="20"/>
        </w:rPr>
        <w:t xml:space="preserve">In an effort to access the yard, gym, and weight room, Defreitas filed a grievance form. </w:t>
      </w:r>
      <w:r>
        <w:rPr>
          <w:rFonts w:ascii="Arial" w:eastAsia="Arial" w:hAnsi="Arial" w:cs="Arial"/>
          <w:vertAlign w:val="superscript"/>
        </w:rPr>
        <w:footnoteReference w:customMarkFollows="1" w:id="35"/>
        <w:t>3</w:t>
      </w:r>
      <w:r>
        <w:rPr>
          <w:rFonts w:ascii="Arial" w:eastAsia="Arial" w:hAnsi="Arial" w:cs="Arial"/>
          <w:color w:val="000000"/>
          <w:sz w:val="20"/>
        </w:rPr>
        <w:t xml:space="preserve"> An employee of CMC wrote in response, "[m]edical, per protocol, cannot allow you gym or weight room. Yard is not our jurisdiction." (App. at 1085.) Dissatisfied, Defreitas filed a grievance appeal on September 25, 2008. At the grievance appeal meeting, an MCCF officer explained the security concerns associated with the crutches and offered to  [**4] move Defreitas to the medical housing unit where he could have wheelchair access to a yard. Defreitas rejected that offer because the medical unit inmates had limited access to library materials and religious resources, and he insisted that MCCF build a ramp to the general population yard so that he could access it by wheel chair. MCCF declined the request, but agreed to have his condition reviewed by the medical department. On October 8, 2008, MCCF explained that it would permit Defreitas to go to the yard alone on his crutches every morning from 7:30 to 8:30 A.M., and that it would permit him to use the gym and weight room. From October 8 to December 19, 2008, Defreitas made several visits to the yard and weight room with his crutches.</w:t>
      </w:r>
    </w:p>
    <w:p w14:paraId="346E5782" w14:textId="77777777" w:rsidR="00D041A2" w:rsidRDefault="00000000">
      <w:pPr>
        <w:pStyle w:val="Normal7"/>
        <w:widowControl w:val="0"/>
        <w:spacing w:before="200" w:line="260" w:lineRule="atLeast"/>
        <w:jc w:val="both"/>
      </w:pPr>
      <w:bookmarkStart w:id="724" w:name="Bookmark_para_9_5"/>
      <w:bookmarkEnd w:id="724"/>
      <w:r>
        <w:rPr>
          <w:rFonts w:ascii="Arial" w:eastAsia="Arial" w:hAnsi="Arial" w:cs="Arial"/>
          <w:color w:val="000000"/>
          <w:sz w:val="20"/>
        </w:rPr>
        <w:t xml:space="preserve">Defreitas also complained that, despite his repeated requests, Appellees delayed for five months his receiving a prosthetic leg. On July 22, 2008, during his intake at MCCF, Defreitas discussed his request for a prosthetic leg, and he continued to discuss it with CMC on August 12 and November 3, 2008. Until about six weeks before he received his prosthesis, he did not submit a grievance form to have the matter considered by Appellees. Instead, he privately contacted Peter Michener, who appears to be a third-party prosthesis provider who had worked with Defreitas before in fitting a prosthetic leg, in an attempt to obtain a prosthesis. Eventually, in early November 2008, Mr. Michener was able to visit Defreitas in prison for a fitting, and, on December 19, 2008, he received his prosthetic leg. </w:t>
      </w:r>
      <w:r>
        <w:rPr>
          <w:rFonts w:ascii="Arial" w:eastAsia="Arial" w:hAnsi="Arial" w:cs="Arial"/>
          <w:vertAlign w:val="superscript"/>
        </w:rPr>
        <w:footnoteReference w:customMarkFollows="1" w:id="36"/>
        <w:t>4</w:t>
      </w:r>
      <w:r>
        <w:rPr>
          <w:rFonts w:ascii="Arial" w:eastAsia="Arial" w:hAnsi="Arial" w:cs="Arial"/>
          <w:color w:val="000000"/>
          <w:sz w:val="20"/>
        </w:rPr>
        <w:t xml:space="preserve"> After that, he  [*174]  was given access to the yard, gym, and weight room without restrictions.</w:t>
      </w:r>
    </w:p>
    <w:p w14:paraId="081FEC3F" w14:textId="77777777" w:rsidR="00D041A2" w:rsidRDefault="00000000">
      <w:pPr>
        <w:pStyle w:val="Normal7"/>
        <w:widowControl w:val="0"/>
        <w:spacing w:before="200" w:line="260" w:lineRule="atLeast"/>
        <w:jc w:val="both"/>
      </w:pPr>
      <w:bookmarkStart w:id="726" w:name="Bookmark_para_10_5"/>
      <w:bookmarkEnd w:id="726"/>
      <w:r>
        <w:rPr>
          <w:rFonts w:ascii="Arial" w:eastAsia="Arial" w:hAnsi="Arial" w:cs="Arial"/>
          <w:color w:val="000000"/>
          <w:sz w:val="20"/>
        </w:rPr>
        <w:t xml:space="preserve">Defreitas had other complaints about Appellees' alleged failure to accommodate his disability. He contends that he was forced to hop from his cell to the day room to get his meal tray because he could not use his crutches and carry the tray at the same time. He says that he was subjected to ridicule by correctional officers, noting an incident where an officer pushed his leg release button during a pat-down search. </w:t>
      </w:r>
      <w:r>
        <w:rPr>
          <w:rFonts w:ascii="Arial" w:eastAsia="Arial" w:hAnsi="Arial" w:cs="Arial"/>
          <w:vertAlign w:val="superscript"/>
        </w:rPr>
        <w:footnoteReference w:customMarkFollows="1" w:id="37"/>
        <w:t>5</w:t>
      </w:r>
      <w:r>
        <w:rPr>
          <w:rFonts w:ascii="Arial" w:eastAsia="Arial" w:hAnsi="Arial" w:cs="Arial"/>
          <w:color w:val="000000"/>
          <w:sz w:val="20"/>
        </w:rPr>
        <w:t xml:space="preserve"> He also contends that he slipped on numerous occasions due to the slippery condition of the floors because he was housed next to showers. And he contends that those showers were inadequately equipped for his use, so that he "twisted [his] shoulder a few times trying to catch [him]self from hitting the ground." (App. at 1284.)  [**7] Defreitas never filed grievance forms about those complaints but, despite that failure, and upon Defreitas's request, Appellees moved his housing location several times in an attempt to remedy his problems with the allegedly slippery conditions. Lastly, he complains that he was forced to submit numerous request forms to receive treatment for his medical conditions, though he filed no grievances in that regard either.</w:t>
      </w:r>
    </w:p>
    <w:p w14:paraId="4BB6F471" w14:textId="77777777" w:rsidR="00D041A2" w:rsidRDefault="00000000">
      <w:pPr>
        <w:pStyle w:val="Normal7"/>
        <w:widowControl w:val="0"/>
        <w:spacing w:before="200" w:line="260" w:lineRule="atLeast"/>
        <w:jc w:val="both"/>
      </w:pPr>
      <w:bookmarkStart w:id="728" w:name="Bookmark_para_11_4"/>
      <w:bookmarkEnd w:id="728"/>
      <w:r>
        <w:rPr>
          <w:rFonts w:ascii="Arial" w:eastAsia="Arial" w:hAnsi="Arial" w:cs="Arial"/>
          <w:color w:val="000000"/>
          <w:sz w:val="20"/>
        </w:rPr>
        <w:t xml:space="preserve">On November 7, 2008, Defreitas filed a </w:t>
      </w:r>
      <w:r>
        <w:rPr>
          <w:rFonts w:ascii="Arial" w:eastAsia="Arial" w:hAnsi="Arial" w:cs="Arial"/>
          <w:i/>
          <w:color w:val="000000"/>
          <w:sz w:val="20"/>
        </w:rPr>
        <w:t>pro se</w:t>
      </w:r>
      <w:r>
        <w:rPr>
          <w:rFonts w:ascii="Arial" w:eastAsia="Arial" w:hAnsi="Arial" w:cs="Arial"/>
          <w:color w:val="000000"/>
          <w:sz w:val="20"/>
        </w:rPr>
        <w:t xml:space="preserve"> complaint against Appellees and certain individuals working in the prison (collectively, with Appellees, "Defendants"), asserting claims related to his inability to go to the yard, gym, and weight room. </w:t>
      </w:r>
      <w:r>
        <w:rPr>
          <w:rFonts w:ascii="Arial" w:eastAsia="Arial" w:hAnsi="Arial" w:cs="Arial"/>
          <w:vertAlign w:val="superscript"/>
        </w:rPr>
        <w:footnoteReference w:customMarkFollows="1" w:id="38"/>
        <w:t>6</w:t>
      </w:r>
      <w:r>
        <w:rPr>
          <w:rFonts w:ascii="Arial" w:eastAsia="Arial" w:hAnsi="Arial" w:cs="Arial"/>
          <w:color w:val="000000"/>
          <w:sz w:val="20"/>
        </w:rPr>
        <w:t xml:space="preserve"> On August 6, 2009, after being released from prison, Defreitas, by that time represented by counsel, filed an amended complaint alleging a violation of 42 U.S.C. § 1983 for cruel and unusual punishment (Count 1); a violation of the Americans with Disabilities Act (the "ADA") and of § 504 of the Rehabilitation Act (the "RA") (Count 2); retaliation under § 1983 (Count 3); retaliation under the ADA and RA (Count 4); and intentional infliction  [**8] of emotional distress (Count 5). In response, Defendants filed motions to dismiss, and the District Court dismissed Defreitas's amended complaint against the individual defendants, Counts 3, 4, and 5 as to all Defendants, and Count 2 as to CMC. Thus, the two remaining causes of action were as follows: Count 1 (§ 1983 - cruel and unusual punishment) against Montgomery County, MCCF, and CMC, and Count 2 (ADA and RA claims) against Montgomery County and MCCF. Subsequently, the parties filed motions for summary judgment.</w:t>
      </w:r>
    </w:p>
    <w:p w14:paraId="44CC7ECC" w14:textId="77777777" w:rsidR="00D041A2" w:rsidRDefault="00000000">
      <w:pPr>
        <w:pStyle w:val="Normal7"/>
        <w:widowControl w:val="0"/>
        <w:spacing w:before="200" w:line="260" w:lineRule="atLeast"/>
        <w:jc w:val="both"/>
      </w:pPr>
      <w:bookmarkStart w:id="732" w:name="Bookmark_para_12_3"/>
      <w:bookmarkEnd w:id="732"/>
      <w:r>
        <w:rPr>
          <w:rFonts w:ascii="Arial" w:eastAsia="Arial" w:hAnsi="Arial" w:cs="Arial"/>
          <w:color w:val="000000"/>
          <w:sz w:val="20"/>
        </w:rPr>
        <w:t>The  [**9] District Court concluded that Defreitas failed to exhaust his administrative remedies concerning complaints about procuring his prosthesis, shower and housing issues, denial of medical care, and officer harassment. The Court then held that there was insufficient evidence to create a genuine dispute of material fact with respect to Defreitas's § 1983, ADA, and RA claims regarding the exhausted issues. Accordingly, it entered an order denying Defreitas's motion for summary judgment  [*175]  and granting summary judgment to Appellees.</w:t>
      </w:r>
    </w:p>
    <w:p w14:paraId="74293997" w14:textId="77777777" w:rsidR="00D041A2" w:rsidRDefault="00000000">
      <w:pPr>
        <w:pStyle w:val="Normal7"/>
        <w:widowControl w:val="0"/>
        <w:spacing w:before="200" w:line="260" w:lineRule="atLeast"/>
        <w:jc w:val="both"/>
      </w:pPr>
      <w:bookmarkStart w:id="733" w:name="Bookmark_para_13_3"/>
      <w:bookmarkEnd w:id="733"/>
      <w:r>
        <w:rPr>
          <w:rFonts w:ascii="Arial" w:eastAsia="Arial" w:hAnsi="Arial" w:cs="Arial"/>
          <w:color w:val="000000"/>
          <w:sz w:val="20"/>
        </w:rPr>
        <w:t>This timely appeal followed.</w:t>
      </w:r>
    </w:p>
    <w:p w14:paraId="6C933BC1" w14:textId="77777777" w:rsidR="00D041A2" w:rsidRDefault="00000000">
      <w:pPr>
        <w:pStyle w:val="Normal7"/>
        <w:widowControl w:val="0"/>
        <w:spacing w:before="240" w:line="260" w:lineRule="atLeast"/>
      </w:pPr>
      <w:r>
        <w:br/>
      </w:r>
      <w:r>
        <w:rPr>
          <w:rFonts w:ascii="Arial" w:eastAsia="Arial" w:hAnsi="Arial" w:cs="Arial"/>
          <w:b/>
          <w:color w:val="000000"/>
          <w:sz w:val="20"/>
        </w:rPr>
        <w:t>II. Discussion</w:t>
      </w:r>
      <w:r>
        <w:rPr>
          <w:rFonts w:ascii="Arial" w:eastAsia="Arial" w:hAnsi="Arial" w:cs="Arial"/>
          <w:vertAlign w:val="superscript"/>
        </w:rPr>
        <w:footnoteReference w:customMarkFollows="1" w:id="39"/>
        <w:t>7</w:t>
      </w:r>
    </w:p>
    <w:p w14:paraId="67685C83" w14:textId="77777777" w:rsidR="00D041A2" w:rsidRDefault="00000000">
      <w:pPr>
        <w:pStyle w:val="Normal7"/>
        <w:widowControl w:val="0"/>
        <w:spacing w:before="200" w:line="260" w:lineRule="atLeast"/>
        <w:jc w:val="both"/>
      </w:pPr>
      <w:bookmarkStart w:id="747" w:name="Bookmark_para_14_3"/>
      <w:bookmarkEnd w:id="747"/>
      <w:r>
        <w:rPr>
          <w:rFonts w:ascii="Arial" w:eastAsia="Arial" w:hAnsi="Arial" w:cs="Arial"/>
          <w:color w:val="000000"/>
          <w:sz w:val="20"/>
        </w:rPr>
        <w:t>In his appeal, Defreitas argues that the District Court erred in concluding that he failed to exhaust his administrative remedies for his claims, except as to those claims relating to denial of use of the yard, gym, and weight room. Defreitas also argues that, on the merits, the Court failed to view the evidence in the light most favorable to him and that there was ample evidence to create a genuine dispute of material fact for each of his claims. We disagree on all points.</w:t>
      </w:r>
    </w:p>
    <w:p w14:paraId="29B2021B" w14:textId="77777777" w:rsidR="00D041A2" w:rsidRDefault="00000000">
      <w:pPr>
        <w:pStyle w:val="Normal7"/>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Failure to Exhaust Administrative Remedies</w:t>
      </w:r>
    </w:p>
    <w:p w14:paraId="2D078A98" w14:textId="77777777" w:rsidR="00D041A2" w:rsidRDefault="00000000">
      <w:pPr>
        <w:pStyle w:val="Normal7"/>
        <w:widowControl w:val="0"/>
        <w:spacing w:before="200" w:line="260" w:lineRule="atLeast"/>
        <w:jc w:val="both"/>
      </w:pPr>
      <w:bookmarkStart w:id="748" w:name="Bookmark_para_15_3"/>
      <w:bookmarkStart w:id="749" w:name="Bookmark_I58HD0992D6ND10020000400"/>
      <w:bookmarkStart w:id="750" w:name="Bookmark_I58HD0992D6ND10040000400"/>
      <w:bookmarkStart w:id="751" w:name="Bookmark_LNHNREFclscc2_3"/>
      <w:bookmarkEnd w:id="748"/>
      <w:bookmarkEnd w:id="749"/>
      <w:bookmarkEnd w:id="750"/>
      <w:bookmarkEnd w:id="751"/>
      <w:r>
        <w:rPr>
          <w:rFonts w:ascii="Arial" w:eastAsia="Arial" w:hAnsi="Arial" w:cs="Arial"/>
          <w:color w:val="000000"/>
          <w:sz w:val="20"/>
        </w:rPr>
        <w:t xml:space="preserve">The Prison Litigation Reform Act of 1995 ("PLRA") requires that, before bringing claims under § 1983 or any other federal law, prisoners must first exhaust the administrative remedies that are available. 42 U.S.C. § 1997e(a). </w:t>
      </w:r>
      <w:r>
        <w:rPr>
          <w:rFonts w:ascii="Arial" w:eastAsia="Arial" w:hAnsi="Arial" w:cs="Arial"/>
          <w:vertAlign w:val="superscript"/>
        </w:rPr>
        <w:footnoteReference w:customMarkFollows="1" w:id="40"/>
        <w:t>8</w:t>
      </w:r>
      <w:r>
        <w:rPr>
          <w:rFonts w:ascii="Arial" w:eastAsia="Arial" w:hAnsi="Arial" w:cs="Arial"/>
          <w:color w:val="000000"/>
          <w:sz w:val="20"/>
        </w:rPr>
        <w:t xml:space="preserve"> We have stated that prison grievance procedures are administrative  [**11] remedies that must be exhausted under the PLRA before bringing suit. </w:t>
      </w:r>
      <w:bookmarkStart w:id="754" w:name="Bookmark_I58HD0992D6ND10010000400"/>
      <w:bookmarkEnd w:id="754"/>
      <w:r>
        <w:rPr>
          <w:rFonts w:ascii="Arial" w:eastAsia="Arial" w:hAnsi="Arial" w:cs="Arial"/>
          <w:i/>
          <w:color w:val="000000"/>
          <w:sz w:val="20"/>
        </w:rPr>
        <w:t>Concepcion v. Morton</w:t>
      </w:r>
      <w:r>
        <w:rPr>
          <w:rFonts w:ascii="Arial" w:eastAsia="Arial" w:hAnsi="Arial" w:cs="Arial"/>
          <w:color w:val="000000"/>
          <w:sz w:val="20"/>
        </w:rPr>
        <w:t xml:space="preserve">, 306 F.3d 1347, 1348-49 (3d Cir. 2002). When presented with a complaint in which some claims have been exhausted through administrative means but others have not, courts are to proceed only with the claims that have been exhausted and dismiss those that have not been. </w:t>
      </w:r>
      <w:r>
        <w:rPr>
          <w:rFonts w:ascii="Arial" w:eastAsia="Arial" w:hAnsi="Arial" w:cs="Arial"/>
          <w:i/>
          <w:color w:val="000000"/>
          <w:sz w:val="20"/>
        </w:rPr>
        <w:t xml:space="preserve">See </w:t>
      </w:r>
      <w:bookmarkStart w:id="755" w:name="Bookmark_I58HD0992D6ND10030000400"/>
      <w:bookmarkEnd w:id="755"/>
      <w:r>
        <w:rPr>
          <w:rFonts w:ascii="Arial" w:eastAsia="Arial" w:hAnsi="Arial" w:cs="Arial"/>
          <w:i/>
          <w:color w:val="000000"/>
          <w:sz w:val="20"/>
        </w:rPr>
        <w:t>Jones v. Bock</w:t>
      </w:r>
      <w:r>
        <w:rPr>
          <w:rFonts w:ascii="Arial" w:eastAsia="Arial" w:hAnsi="Arial" w:cs="Arial"/>
          <w:color w:val="000000"/>
          <w:sz w:val="20"/>
        </w:rPr>
        <w:t>, 549 U.S. 199, 219-24, 127 S. Ct. 910, 166 L. Ed. 2d 798 (2007) (explaining that PLRA requires claim-by-claim dismissal, not dismissal of entire action when some claims are not exhausted).</w:t>
      </w:r>
    </w:p>
    <w:p w14:paraId="155CB952" w14:textId="77777777" w:rsidR="00D041A2" w:rsidRDefault="00000000">
      <w:pPr>
        <w:pStyle w:val="Normal7"/>
        <w:widowControl w:val="0"/>
        <w:spacing w:before="200" w:line="260" w:lineRule="atLeast"/>
        <w:jc w:val="both"/>
      </w:pPr>
      <w:bookmarkStart w:id="756" w:name="Bookmark_para_16_3"/>
      <w:bookmarkEnd w:id="756"/>
      <w:r>
        <w:rPr>
          <w:rFonts w:ascii="Arial" w:eastAsia="Arial" w:hAnsi="Arial" w:cs="Arial"/>
          <w:color w:val="000000"/>
          <w:sz w:val="20"/>
        </w:rPr>
        <w:t>Defreitas's original complaint only alleged claims related to his access to the yard, gym, and weight room, and there is no dispute that he exhausted his administrative remedies for those claims, as he filed a formal grievance and completed the appeals process. Defreitas later filed an amended complaint after he was released from custody,  [**12] and in that amended complaint he added § 1983, ADA, and RA claims for the poor shower conditions, housing him near the showers, failure to procure his prosthetic leg, requiring him to hop to receive his meals, failure to timely respond to his medical requests, and prison officers making jokes about his leg. There is no dispute that Defreitas did not complete the appeals process for any of those added claims. Despite that failure, Defreitas argues that he was not required  [*176]  to file those grievances and exhaust his administrative remedies because he was no longer in prison when he filed his amended complaint.</w:t>
      </w:r>
    </w:p>
    <w:p w14:paraId="213E38F0" w14:textId="77777777" w:rsidR="00D041A2" w:rsidRDefault="00000000">
      <w:pPr>
        <w:pStyle w:val="Normal7"/>
        <w:widowControl w:val="0"/>
        <w:spacing w:before="200" w:line="260" w:lineRule="atLeast"/>
        <w:jc w:val="both"/>
      </w:pPr>
      <w:bookmarkStart w:id="757" w:name="Bookmark_para_17_3"/>
      <w:bookmarkStart w:id="758" w:name="Bookmark_I58HD09928T43P0010000400"/>
      <w:bookmarkEnd w:id="757"/>
      <w:bookmarkEnd w:id="758"/>
      <w:r>
        <w:rPr>
          <w:rFonts w:ascii="Arial" w:eastAsia="Arial" w:hAnsi="Arial" w:cs="Arial"/>
          <w:color w:val="000000"/>
          <w:sz w:val="20"/>
        </w:rPr>
        <w:t xml:space="preserve">He is mistaken. </w:t>
      </w:r>
      <w:bookmarkStart w:id="759" w:name="Bookmark_I58HD09928T43P0030000400"/>
      <w:bookmarkEnd w:id="759"/>
      <w:r>
        <w:rPr>
          <w:rFonts w:ascii="Arial" w:eastAsia="Arial" w:hAnsi="Arial" w:cs="Arial"/>
          <w:color w:val="000000"/>
          <w:sz w:val="20"/>
        </w:rPr>
        <w:t xml:space="preserve">As the District Court explained, we have held that </w:t>
      </w:r>
      <w:bookmarkStart w:id="760" w:name="Bookmark_LNHNREFclscc4_3"/>
      <w:bookmarkEnd w:id="760"/>
      <w:r>
        <w:rPr>
          <w:rFonts w:ascii="Arial" w:eastAsia="Arial" w:hAnsi="Arial" w:cs="Arial"/>
          <w:color w:val="000000"/>
          <w:sz w:val="20"/>
        </w:rPr>
        <w:t xml:space="preserve">the exhaustion requirement will continue to apply, even after a prisoner has been released, when the former prisoner amends a complaint filed while he was in prison. </w:t>
      </w:r>
      <w:bookmarkStart w:id="761" w:name="Bookmark_I58HD0992D6ND10050000400"/>
      <w:bookmarkEnd w:id="761"/>
      <w:r>
        <w:rPr>
          <w:rFonts w:ascii="Arial" w:eastAsia="Arial" w:hAnsi="Arial" w:cs="Arial"/>
          <w:i/>
          <w:color w:val="000000"/>
          <w:sz w:val="20"/>
        </w:rPr>
        <w:t>Ahmed v. Dragovich</w:t>
      </w:r>
      <w:r>
        <w:rPr>
          <w:rFonts w:ascii="Arial" w:eastAsia="Arial" w:hAnsi="Arial" w:cs="Arial"/>
          <w:color w:val="000000"/>
          <w:sz w:val="20"/>
        </w:rPr>
        <w:t xml:space="preserve">, 297 F.3d 201, 210 (3d Cir. 2002). </w:t>
      </w:r>
      <w:bookmarkStart w:id="762" w:name="Bookmark_I58HD09928T43P0030000400_2"/>
      <w:bookmarkEnd w:id="762"/>
      <w:r>
        <w:rPr>
          <w:rFonts w:ascii="Arial" w:eastAsia="Arial" w:hAnsi="Arial" w:cs="Arial"/>
          <w:vertAlign w:val="superscript"/>
        </w:rPr>
        <w:footnoteReference w:customMarkFollows="1" w:id="41"/>
        <w:t>9</w:t>
      </w:r>
      <w:r>
        <w:rPr>
          <w:rFonts w:ascii="Arial" w:eastAsia="Arial" w:hAnsi="Arial" w:cs="Arial"/>
          <w:color w:val="000000"/>
          <w:sz w:val="20"/>
        </w:rPr>
        <w:t xml:space="preserve"> Specifically, in </w:t>
      </w:r>
      <w:r>
        <w:rPr>
          <w:rFonts w:ascii="Arial" w:eastAsia="Arial" w:hAnsi="Arial" w:cs="Arial"/>
          <w:i/>
          <w:color w:val="000000"/>
          <w:sz w:val="20"/>
        </w:rPr>
        <w:t>Ahmed</w:t>
      </w:r>
      <w:r>
        <w:rPr>
          <w:rFonts w:ascii="Arial" w:eastAsia="Arial" w:hAnsi="Arial" w:cs="Arial"/>
          <w:color w:val="000000"/>
          <w:sz w:val="20"/>
        </w:rPr>
        <w:t xml:space="preserve">, we stated that, "[a]lthough Ahmed would have been free of the strictures of the PLRA if he had filed a timely complaint after his release from prison, he is bound by the PLRA because his suit was filed on July 29, 1998, almost three years before he was released from prison.  [**13] It follows that the proffered amendments [to his complaint containing unexhausted claims] would have been futile ... ." </w:t>
      </w:r>
      <w:r>
        <w:rPr>
          <w:rFonts w:ascii="Arial" w:eastAsia="Arial" w:hAnsi="Arial" w:cs="Arial"/>
          <w:i/>
          <w:color w:val="000000"/>
          <w:sz w:val="20"/>
        </w:rPr>
        <w:t>Id.</w:t>
      </w:r>
      <w:r>
        <w:rPr>
          <w:rFonts w:ascii="Arial" w:eastAsia="Arial" w:hAnsi="Arial" w:cs="Arial"/>
          <w:color w:val="000000"/>
          <w:sz w:val="20"/>
        </w:rPr>
        <w:t xml:space="preserve"> Put another way, </w:t>
      </w:r>
      <w:bookmarkStart w:id="765" w:name="Bookmark_LNHNREFclscc5_3"/>
      <w:bookmarkEnd w:id="765"/>
      <w:r>
        <w:rPr>
          <w:rFonts w:ascii="Arial" w:eastAsia="Arial" w:hAnsi="Arial" w:cs="Arial"/>
          <w:color w:val="000000"/>
          <w:sz w:val="20"/>
        </w:rPr>
        <w:t xml:space="preserve">a plaintiff's status as a prisoner for purposes of the PLRA is judged as of the time he files his original complaint. At that time, Defreitas only complied with the exhaustion requirement with respect to his claims for the yard, gym, and weight room. Accordingly, the District Court did not err in concluding that he could only proceed with those exhausted claims, </w:t>
      </w:r>
      <w:r>
        <w:rPr>
          <w:rFonts w:ascii="Arial" w:eastAsia="Arial" w:hAnsi="Arial" w:cs="Arial"/>
          <w:vertAlign w:val="superscript"/>
        </w:rPr>
        <w:footnoteReference w:customMarkFollows="1" w:id="42"/>
        <w:t>10</w:t>
      </w:r>
      <w:r>
        <w:rPr>
          <w:rFonts w:ascii="Arial" w:eastAsia="Arial" w:hAnsi="Arial" w:cs="Arial"/>
          <w:color w:val="000000"/>
          <w:sz w:val="20"/>
        </w:rPr>
        <w:t xml:space="preserve"> and summary judgment in favor of Appellees was proper on the other claims.</w:t>
      </w:r>
    </w:p>
    <w:p w14:paraId="6B1B00DD" w14:textId="77777777" w:rsidR="00D041A2" w:rsidRDefault="00000000">
      <w:pPr>
        <w:pStyle w:val="Normal7"/>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Section 1983 Claims</w:t>
      </w:r>
    </w:p>
    <w:p w14:paraId="05FD088A" w14:textId="77777777" w:rsidR="00D041A2" w:rsidRDefault="00000000">
      <w:pPr>
        <w:pStyle w:val="Normal7"/>
        <w:widowControl w:val="0"/>
        <w:spacing w:before="200" w:line="260" w:lineRule="atLeast"/>
        <w:jc w:val="both"/>
      </w:pPr>
      <w:bookmarkStart w:id="768" w:name="Bookmark_para_18_3"/>
      <w:bookmarkEnd w:id="768"/>
      <w:r>
        <w:rPr>
          <w:rFonts w:ascii="Arial" w:eastAsia="Arial" w:hAnsi="Arial" w:cs="Arial"/>
          <w:color w:val="000000"/>
          <w:sz w:val="20"/>
        </w:rPr>
        <w:t>Defreitas next argues that the District Court erred in granting Appellees summary judgment on his § 1983 claims under the Eighth Amendment for cruel and  [**15] unusual punishment. As noted above, the only claims that Defreitas exhausted were those related to his denial of access to the yard, gym, and weight room. Therefore, we focus on only those claims.</w:t>
      </w:r>
    </w:p>
    <w:p w14:paraId="573D3920" w14:textId="77777777" w:rsidR="00D041A2" w:rsidRDefault="00000000">
      <w:pPr>
        <w:pStyle w:val="Normal7"/>
        <w:widowControl w:val="0"/>
        <w:spacing w:before="200" w:line="260" w:lineRule="atLeast"/>
        <w:jc w:val="both"/>
      </w:pPr>
      <w:bookmarkStart w:id="769" w:name="Bookmark_para_19_3"/>
      <w:bookmarkStart w:id="770" w:name="Bookmark_I58HD09928T43P0050000400"/>
      <w:bookmarkStart w:id="771" w:name="Bookmark_I58HD09928T43R0020000400"/>
      <w:bookmarkStart w:id="772" w:name="Bookmark_LNHNREFclscc7_3"/>
      <w:bookmarkEnd w:id="769"/>
      <w:bookmarkEnd w:id="770"/>
      <w:bookmarkEnd w:id="771"/>
      <w:bookmarkEnd w:id="772"/>
      <w:r>
        <w:rPr>
          <w:rFonts w:ascii="Arial" w:eastAsia="Arial" w:hAnsi="Arial" w:cs="Arial"/>
          <w:color w:val="000000"/>
          <w:sz w:val="20"/>
        </w:rPr>
        <w:t xml:space="preserve">To bring a § 1983 claim against a local government or government entity (including a private corporation, like CMC, that is alleged to be acting under color of state law, </w:t>
      </w:r>
      <w:r>
        <w:rPr>
          <w:rFonts w:ascii="Arial" w:eastAsia="Arial" w:hAnsi="Arial" w:cs="Arial"/>
          <w:i/>
          <w:color w:val="000000"/>
          <w:sz w:val="20"/>
        </w:rPr>
        <w:t xml:space="preserve">see </w:t>
      </w:r>
      <w:bookmarkStart w:id="773" w:name="Bookmark_I58HD09928T43P0040000400"/>
      <w:bookmarkEnd w:id="773"/>
      <w:r>
        <w:rPr>
          <w:rFonts w:ascii="Arial" w:eastAsia="Arial" w:hAnsi="Arial" w:cs="Arial"/>
          <w:i/>
          <w:color w:val="000000"/>
          <w:sz w:val="20"/>
        </w:rPr>
        <w:t>Natale v. Camden Cnty. Corr. Facility</w:t>
      </w:r>
      <w:r>
        <w:rPr>
          <w:rFonts w:ascii="Arial" w:eastAsia="Arial" w:hAnsi="Arial" w:cs="Arial"/>
          <w:color w:val="000000"/>
          <w:sz w:val="20"/>
        </w:rPr>
        <w:t xml:space="preserve">, 318 F.3d 575, 583-84 (3d Cir. 2003)) for the actions of an employee of one of those entities, a plaintiff cannot rely upon respondeat superior liability, but he must show that the entity had a policy or custom that caused his deprivation of a constitutional right. </w:t>
      </w:r>
      <w:bookmarkStart w:id="774" w:name="Bookmark_I58HD09928T43R0040000400"/>
      <w:bookmarkStart w:id="775" w:name="Bookmark_I58HD09928T43R0010000400"/>
      <w:bookmarkEnd w:id="774"/>
      <w:bookmarkEnd w:id="775"/>
      <w:r>
        <w:rPr>
          <w:rFonts w:ascii="Arial" w:eastAsia="Arial" w:hAnsi="Arial" w:cs="Arial"/>
          <w:i/>
          <w:color w:val="000000"/>
          <w:sz w:val="20"/>
        </w:rPr>
        <w:t>Monell v. Dep't. of Soc. Servs. of N.Y.</w:t>
      </w:r>
      <w:r>
        <w:rPr>
          <w:rFonts w:ascii="Arial" w:eastAsia="Arial" w:hAnsi="Arial" w:cs="Arial"/>
          <w:color w:val="000000"/>
          <w:sz w:val="20"/>
        </w:rPr>
        <w:t xml:space="preserve">, 436 U.S. 658, 694, 98 S. Ct. 2018, 56 L. Ed. 2d 611 (1978). "A  [*177]  policy is made when a decisionmaker possess[ing] final authority to establish municipal policy with respect to the action issues a final proclamation, policy or edict. </w:t>
      </w:r>
      <w:bookmarkStart w:id="776" w:name="Bookmark_I58HD09928T43R0040000400_2"/>
      <w:bookmarkEnd w:id="776"/>
      <w:r>
        <w:rPr>
          <w:rFonts w:ascii="Arial" w:eastAsia="Arial" w:hAnsi="Arial" w:cs="Arial"/>
          <w:color w:val="000000"/>
          <w:sz w:val="20"/>
        </w:rPr>
        <w:t xml:space="preserve">A custom is an act that has not been formally approved by an appropriate decisionmaker, but that is so widespread as to have the force of law." </w:t>
      </w:r>
      <w:bookmarkStart w:id="777" w:name="Bookmark_I58HD09928T43R0030000400"/>
      <w:bookmarkEnd w:id="777"/>
      <w:r>
        <w:rPr>
          <w:rFonts w:ascii="Arial" w:eastAsia="Arial" w:hAnsi="Arial" w:cs="Arial"/>
          <w:i/>
          <w:color w:val="000000"/>
          <w:sz w:val="20"/>
        </w:rPr>
        <w:t>Natale</w:t>
      </w:r>
      <w:r>
        <w:rPr>
          <w:rFonts w:ascii="Arial" w:eastAsia="Arial" w:hAnsi="Arial" w:cs="Arial"/>
          <w:color w:val="000000"/>
          <w:sz w:val="20"/>
        </w:rPr>
        <w:t xml:space="preserve">, 318 F.3d at 584 (alteration in original) (citation and internal quotation marks omitted). A policy or custom can be established in three  [**16] ways: (1) the entity or supervisor promulgates an applicable policy statement and the act the plaintiff complains of is the implementation of that policy; (2) the policymaker, without a formally announced policy, violates federal law itself; or (3) the "the policymaker has failed to act affirmatively at all, [though] the need to take some action to control the agents of the government is so obvious, and the inadequacy of existing practice so likely to result in the violation of constitutional rights, that the policymaker can reasonably be said to have been deliberately indifferent to the need." </w:t>
      </w:r>
      <w:r>
        <w:rPr>
          <w:rFonts w:ascii="Arial" w:eastAsia="Arial" w:hAnsi="Arial" w:cs="Arial"/>
          <w:i/>
          <w:color w:val="000000"/>
          <w:sz w:val="20"/>
        </w:rPr>
        <w:t>Id.</w:t>
      </w:r>
      <w:r>
        <w:rPr>
          <w:rFonts w:ascii="Arial" w:eastAsia="Arial" w:hAnsi="Arial" w:cs="Arial"/>
          <w:color w:val="000000"/>
          <w:sz w:val="20"/>
        </w:rPr>
        <w:t xml:space="preserve"> (alteration in original) (internal quotation marks omitted).</w:t>
      </w:r>
    </w:p>
    <w:p w14:paraId="62C553CB" w14:textId="77777777" w:rsidR="00D041A2" w:rsidRDefault="00000000">
      <w:pPr>
        <w:pStyle w:val="Normal7"/>
        <w:widowControl w:val="0"/>
        <w:spacing w:before="200" w:line="260" w:lineRule="atLeast"/>
        <w:jc w:val="both"/>
      </w:pPr>
      <w:bookmarkStart w:id="778" w:name="Bookmark_para_20_3"/>
      <w:bookmarkStart w:id="779" w:name="Bookmark_I58HD09928T43S0010000400"/>
      <w:bookmarkStart w:id="780" w:name="Bookmark_I58HD09928T43S0050000400"/>
      <w:bookmarkStart w:id="781" w:name="Bookmark_I5PX5RBKXX3000VWWV700284"/>
      <w:bookmarkStart w:id="782" w:name="Bookmark_I58HD0992D6ND20020000400"/>
      <w:bookmarkEnd w:id="778"/>
      <w:bookmarkEnd w:id="779"/>
      <w:bookmarkEnd w:id="780"/>
      <w:bookmarkEnd w:id="781"/>
      <w:bookmarkEnd w:id="782"/>
      <w:r>
        <w:rPr>
          <w:rFonts w:ascii="Arial" w:eastAsia="Arial" w:hAnsi="Arial" w:cs="Arial"/>
          <w:color w:val="000000"/>
          <w:sz w:val="20"/>
        </w:rPr>
        <w:t xml:space="preserve">Although Defreitas and the District Court viewed his constitutional claims as predicated upon the Eighth Amendment, because his claims regarding denial of access to the yard, gym, and weight room stem from his pretrial detention as well as from his incarceration after he was convicted and sentenced, </w:t>
      </w:r>
      <w:r>
        <w:rPr>
          <w:rFonts w:ascii="Arial" w:eastAsia="Arial" w:hAnsi="Arial" w:cs="Arial"/>
          <w:vertAlign w:val="superscript"/>
        </w:rPr>
        <w:footnoteReference w:customMarkFollows="1" w:id="43"/>
        <w:t>11</w:t>
      </w:r>
      <w:r>
        <w:rPr>
          <w:rFonts w:ascii="Arial" w:eastAsia="Arial" w:hAnsi="Arial" w:cs="Arial"/>
          <w:color w:val="000000"/>
          <w:sz w:val="20"/>
        </w:rPr>
        <w:t xml:space="preserve"> they are more properly viewed as arising under the Fourteenth Amendment for the pretrial period, </w:t>
      </w:r>
      <w:bookmarkStart w:id="784" w:name="Bookmark_I58HD09928T43R0050000400"/>
      <w:bookmarkEnd w:id="784"/>
      <w:r>
        <w:rPr>
          <w:rFonts w:ascii="Arial" w:eastAsia="Arial" w:hAnsi="Arial" w:cs="Arial"/>
          <w:i/>
          <w:color w:val="000000"/>
          <w:sz w:val="20"/>
        </w:rPr>
        <w:t>Hubbard v. Taylor</w:t>
      </w:r>
      <w:r>
        <w:rPr>
          <w:rFonts w:ascii="Arial" w:eastAsia="Arial" w:hAnsi="Arial" w:cs="Arial"/>
          <w:color w:val="000000"/>
          <w:sz w:val="20"/>
        </w:rPr>
        <w:t>, 538 F.3d 229, 231 (3d Cir. 2008) (</w:t>
      </w:r>
      <w:bookmarkStart w:id="785" w:name="Bookmark_LNHNREFclscc8_3"/>
      <w:bookmarkEnd w:id="785"/>
      <w:r>
        <w:rPr>
          <w:rFonts w:ascii="Arial" w:eastAsia="Arial" w:hAnsi="Arial" w:cs="Arial"/>
          <w:color w:val="000000"/>
          <w:sz w:val="20"/>
        </w:rPr>
        <w:t xml:space="preserve">"[W]hen pretrial detainees challenge their conditions of confinement, we must consider  [**17] whether there has been a violation of the Due Process Clause of the Fourteenth Amendment."), and under the Eighth Amendment for conditions after he was convicted and sentenced, </w:t>
      </w:r>
      <w:bookmarkStart w:id="786" w:name="Bookmark_I58HD09928T43S0020000400"/>
      <w:bookmarkEnd w:id="786"/>
      <w:r>
        <w:rPr>
          <w:rFonts w:ascii="Arial" w:eastAsia="Arial" w:hAnsi="Arial" w:cs="Arial"/>
          <w:i/>
          <w:color w:val="000000"/>
          <w:sz w:val="20"/>
        </w:rPr>
        <w:t>Ingraham v. Wright,</w:t>
      </w:r>
      <w:r>
        <w:rPr>
          <w:rFonts w:ascii="Arial" w:eastAsia="Arial" w:hAnsi="Arial" w:cs="Arial"/>
          <w:color w:val="000000"/>
          <w:sz w:val="20"/>
        </w:rPr>
        <w:t xml:space="preserve"> 430 U.S. 651, 671, n. 40, 97 S. Ct. 1401, 51 L. Ed. 2d 711 (1977) (</w:t>
      </w:r>
      <w:bookmarkStart w:id="787" w:name="Bookmark_LNHNREFclscc9_3"/>
      <w:bookmarkEnd w:id="787"/>
      <w:r>
        <w:rPr>
          <w:rFonts w:ascii="Arial" w:eastAsia="Arial" w:hAnsi="Arial" w:cs="Arial"/>
          <w:color w:val="000000"/>
          <w:sz w:val="20"/>
        </w:rPr>
        <w:t xml:space="preserve">"Eighth Amendment scrutiny is appropriate only after the State has complied with the constitutional guarantees traditionally associated with criminal prosecutions."). </w:t>
      </w:r>
      <w:bookmarkStart w:id="788" w:name="Bookmark_I58HD0992D6ND20040000400"/>
      <w:bookmarkStart w:id="789" w:name="Bookmark_LNHNREFclscc10_3"/>
      <w:bookmarkEnd w:id="788"/>
      <w:bookmarkEnd w:id="789"/>
      <w:r>
        <w:rPr>
          <w:rFonts w:ascii="Arial" w:eastAsia="Arial" w:hAnsi="Arial" w:cs="Arial"/>
          <w:color w:val="000000"/>
          <w:sz w:val="20"/>
        </w:rPr>
        <w:t xml:space="preserve">Under the Fourteenth Amendment, the conditions imposed upon a detainee must not amount to "punishment." </w:t>
      </w:r>
      <w:bookmarkStart w:id="790" w:name="Bookmark_I58HD09928T43S0040000400"/>
      <w:bookmarkEnd w:id="790"/>
      <w:r>
        <w:rPr>
          <w:rFonts w:ascii="Arial" w:eastAsia="Arial" w:hAnsi="Arial" w:cs="Arial"/>
          <w:i/>
          <w:color w:val="000000"/>
          <w:sz w:val="20"/>
        </w:rPr>
        <w:t>Bell v. Wolfish</w:t>
      </w:r>
      <w:r>
        <w:rPr>
          <w:rFonts w:ascii="Arial" w:eastAsia="Arial" w:hAnsi="Arial" w:cs="Arial"/>
          <w:color w:val="000000"/>
          <w:sz w:val="20"/>
        </w:rPr>
        <w:t xml:space="preserve">, 441 U.S. 520, 535, 99 S. Ct. 1861, 60 L. Ed. 2d 447 (1979). We have distilled the teachings of </w:t>
      </w:r>
      <w:r>
        <w:rPr>
          <w:rFonts w:ascii="Arial" w:eastAsia="Arial" w:hAnsi="Arial" w:cs="Arial"/>
          <w:i/>
          <w:color w:val="000000"/>
          <w:sz w:val="20"/>
        </w:rPr>
        <w:t>Bell</w:t>
      </w:r>
      <w:r>
        <w:rPr>
          <w:rFonts w:ascii="Arial" w:eastAsia="Arial" w:hAnsi="Arial" w:cs="Arial"/>
          <w:color w:val="000000"/>
          <w:sz w:val="20"/>
        </w:rPr>
        <w:t xml:space="preserve"> into a two-part test: A condition of confinement will not amount to punishment when "legitimate purposes are served by the[] conditions, and ... the[] conditions are rationally related to these purposes." </w:t>
      </w:r>
      <w:bookmarkStart w:id="791" w:name="Bookmark_I58HD0992D6ND20010000400"/>
      <w:bookmarkEnd w:id="791"/>
      <w:r>
        <w:rPr>
          <w:rFonts w:ascii="Arial" w:eastAsia="Arial" w:hAnsi="Arial" w:cs="Arial"/>
          <w:i/>
          <w:color w:val="000000"/>
          <w:sz w:val="20"/>
        </w:rPr>
        <w:t>Hubbard</w:t>
      </w:r>
      <w:r>
        <w:rPr>
          <w:rFonts w:ascii="Arial" w:eastAsia="Arial" w:hAnsi="Arial" w:cs="Arial"/>
          <w:color w:val="000000"/>
          <w:sz w:val="20"/>
        </w:rPr>
        <w:t xml:space="preserve">, 538 F.3d at 232 (internal quotation marks omitted). </w:t>
      </w:r>
      <w:bookmarkStart w:id="792" w:name="Bookmark_I58HD0992D6ND20040000400_2"/>
      <w:bookmarkEnd w:id="792"/>
      <w:r>
        <w:rPr>
          <w:rFonts w:ascii="Arial" w:eastAsia="Arial" w:hAnsi="Arial" w:cs="Arial"/>
          <w:color w:val="000000"/>
          <w:sz w:val="20"/>
        </w:rPr>
        <w:t xml:space="preserve">As for claims under the Eighth Amendment's protection against cruel and unusual punishment, a prisoner asserting a violation of that Amendment "must demonstrate that prison conditions deprived him of life's minimum necessities, that the deprivation was sufficiently serious, and that a prison official acted with deliberate indifference in subjecting  [**18] him to that deprivation." </w:t>
      </w:r>
      <w:bookmarkStart w:id="793" w:name="Bookmark_I58HD0992D6ND20030000400"/>
      <w:bookmarkEnd w:id="793"/>
      <w:r>
        <w:rPr>
          <w:rFonts w:ascii="Arial" w:eastAsia="Arial" w:hAnsi="Arial" w:cs="Arial"/>
          <w:i/>
          <w:color w:val="000000"/>
          <w:sz w:val="20"/>
        </w:rPr>
        <w:t>Renchenski v. Williams</w:t>
      </w:r>
      <w:r>
        <w:rPr>
          <w:rFonts w:ascii="Arial" w:eastAsia="Arial" w:hAnsi="Arial" w:cs="Arial"/>
          <w:color w:val="000000"/>
          <w:sz w:val="20"/>
        </w:rPr>
        <w:t>, 622 F.3d 315, 338 (3d Cir. 2010) (internal quotation marks omitted).</w:t>
      </w:r>
    </w:p>
    <w:p w14:paraId="472C846A" w14:textId="77777777" w:rsidR="00D041A2" w:rsidRDefault="00000000">
      <w:pPr>
        <w:pStyle w:val="Normal7"/>
        <w:widowControl w:val="0"/>
        <w:spacing w:before="200" w:line="260" w:lineRule="atLeast"/>
        <w:jc w:val="both"/>
      </w:pPr>
      <w:bookmarkStart w:id="794" w:name="Bookmark_para_21_3"/>
      <w:bookmarkEnd w:id="794"/>
      <w:r>
        <w:rPr>
          <w:rFonts w:ascii="Arial" w:eastAsia="Arial" w:hAnsi="Arial" w:cs="Arial"/>
          <w:color w:val="000000"/>
          <w:sz w:val="20"/>
        </w:rPr>
        <w:t xml:space="preserve">Defreitas fails to show any genuine dispute of material fact as to either the existence of a policy or custom or the deprivation of his constitutional rights. Although Defreitas identified evidence that, when he was denied access to the yard, gym, and weight room, various prison officers and medical personnel told him that it was "policy" or "protocol" to not  [*178]  allow persons with crutches in those areas, he adduced no evidence that any of the policymakers for Appellees established such a policy. And, in fact, Defreitas did not believe that the prison was acting pursuant to a set policy but that his restricted access was due to MCCF officers' being "inept." (App. at 384.) Indeed, in his testimony he stressed the haphazard access he had to those recreational facilities since beginning his  [**19] confinement, which belies any argument that MCCF officers were acting pursuant to a policy or custom. </w:t>
      </w:r>
      <w:r>
        <w:rPr>
          <w:rFonts w:ascii="Arial" w:eastAsia="Arial" w:hAnsi="Arial" w:cs="Arial"/>
          <w:vertAlign w:val="superscript"/>
        </w:rPr>
        <w:footnoteReference w:customMarkFollows="1" w:id="44"/>
        <w:t>12</w:t>
      </w:r>
    </w:p>
    <w:p w14:paraId="11E09F0B" w14:textId="77777777" w:rsidR="00D041A2" w:rsidRDefault="00000000">
      <w:pPr>
        <w:pStyle w:val="Normal7"/>
        <w:widowControl w:val="0"/>
        <w:spacing w:before="200" w:line="260" w:lineRule="atLeast"/>
        <w:jc w:val="both"/>
      </w:pPr>
      <w:bookmarkStart w:id="796" w:name="Bookmark_para_22_3"/>
      <w:bookmarkEnd w:id="796"/>
      <w:r>
        <w:rPr>
          <w:rFonts w:ascii="Arial" w:eastAsia="Arial" w:hAnsi="Arial" w:cs="Arial"/>
          <w:color w:val="000000"/>
          <w:sz w:val="20"/>
        </w:rPr>
        <w:t>Even if Defreitas could overcome that evidentiary deficiency, his deprivation of the ability to use the yard, gym, and weight room as used by the general population did not amount to "punishment" under the Fourteenth Amendment. As explained below, Appellees' denial of his use of those forms of recreation were for legitimate purposes - that is, fear that Defreitas would use his crutches as weapons or to manipulate the low-hanging razor wire on the prison walls. Thus, Appellees' restriction on Defreitas's use of crutches in those areas was for legitimate purposes and rationally related to those purposes. And his claim thus fails under the Fourteenth Amendment's protections against pretrial detainee punishment.</w:t>
      </w:r>
    </w:p>
    <w:p w14:paraId="714215E0" w14:textId="77777777" w:rsidR="00D041A2" w:rsidRDefault="00000000">
      <w:pPr>
        <w:pStyle w:val="Normal7"/>
        <w:widowControl w:val="0"/>
        <w:spacing w:before="200" w:line="260" w:lineRule="atLeast"/>
        <w:jc w:val="both"/>
      </w:pPr>
      <w:bookmarkStart w:id="797" w:name="Bookmark_para_23_3"/>
      <w:bookmarkEnd w:id="797"/>
      <w:r>
        <w:rPr>
          <w:rFonts w:ascii="Arial" w:eastAsia="Arial" w:hAnsi="Arial" w:cs="Arial"/>
          <w:color w:val="000000"/>
          <w:sz w:val="20"/>
        </w:rPr>
        <w:t>His claim fails under the Eighth Amendment as well. The District Court correctly  [**20] concluded that the punishment he identifies as "cruel and unusual" — that is, his deprivation of the ability to use the yard, gym, and weight room as used by the general population — fails as a matter of law. (</w:t>
      </w:r>
      <w:r>
        <w:rPr>
          <w:rFonts w:ascii="Arial" w:eastAsia="Arial" w:hAnsi="Arial" w:cs="Arial"/>
          <w:i/>
          <w:color w:val="000000"/>
          <w:sz w:val="20"/>
        </w:rPr>
        <w:t>See</w:t>
      </w:r>
      <w:r>
        <w:rPr>
          <w:rFonts w:ascii="Arial" w:eastAsia="Arial" w:hAnsi="Arial" w:cs="Arial"/>
          <w:color w:val="000000"/>
          <w:sz w:val="20"/>
        </w:rPr>
        <w:t xml:space="preserve"> App. at 27-29.) Indeed, contrary to any successful claim that Appellees were "deliberately indifferent" to Defreitas's denial of access to the yard, gym, and weight room, the record reflects that Appellees actively worked with Defreitas through the grievance process to permit him access to those areas. Defreitas has thus failed to show a genuine dispute of material fact as to his Eighth-Amendment-based § 1983 claims.</w:t>
      </w:r>
    </w:p>
    <w:p w14:paraId="0F4E2B03" w14:textId="77777777" w:rsidR="00D041A2" w:rsidRDefault="00000000">
      <w:pPr>
        <w:pStyle w:val="Normal7"/>
        <w:widowControl w:val="0"/>
        <w:spacing w:before="120" w:line="260" w:lineRule="atLeast"/>
      </w:pPr>
      <w:r>
        <w:rPr>
          <w:rFonts w:ascii="Arial" w:eastAsia="Arial" w:hAnsi="Arial" w:cs="Arial"/>
          <w:color w:val="000000"/>
          <w:sz w:val="20"/>
        </w:rPr>
        <w:t xml:space="preserve">C. </w:t>
      </w:r>
      <w:r>
        <w:rPr>
          <w:rFonts w:ascii="Arial" w:eastAsia="Arial" w:hAnsi="Arial" w:cs="Arial"/>
          <w:i/>
          <w:color w:val="000000"/>
          <w:sz w:val="20"/>
        </w:rPr>
        <w:t>ADA and RA Claims</w:t>
      </w:r>
    </w:p>
    <w:p w14:paraId="44D4D6A6" w14:textId="77777777" w:rsidR="00D041A2" w:rsidRDefault="00000000">
      <w:pPr>
        <w:pStyle w:val="Normal7"/>
        <w:widowControl w:val="0"/>
        <w:spacing w:before="200" w:line="260" w:lineRule="atLeast"/>
        <w:jc w:val="both"/>
      </w:pPr>
      <w:bookmarkStart w:id="798" w:name="Bookmark_para_24_2"/>
      <w:bookmarkStart w:id="799" w:name="Bookmark_I5PX5RBM2R7000VWWV700285"/>
      <w:bookmarkStart w:id="800" w:name="Bookmark_I58HD0992HM6DN0010000400"/>
      <w:bookmarkStart w:id="801" w:name="Bookmark_I58HD0992HM6DN0030000400"/>
      <w:bookmarkEnd w:id="798"/>
      <w:bookmarkEnd w:id="799"/>
      <w:bookmarkEnd w:id="800"/>
      <w:bookmarkEnd w:id="801"/>
      <w:r>
        <w:rPr>
          <w:rFonts w:ascii="Arial" w:eastAsia="Arial" w:hAnsi="Arial" w:cs="Arial"/>
          <w:color w:val="000000"/>
          <w:sz w:val="20"/>
        </w:rPr>
        <w:t xml:space="preserve">With respect to his ADA and RA claims, Defreitas argues that the District Court erred because it failed to view the evidence in the light most favorable to him. </w:t>
      </w:r>
      <w:bookmarkStart w:id="802" w:name="Bookmark_LNHNREFclscc11_2"/>
      <w:bookmarkEnd w:id="802"/>
      <w:r>
        <w:rPr>
          <w:rFonts w:ascii="Arial" w:eastAsia="Arial" w:hAnsi="Arial" w:cs="Arial"/>
          <w:color w:val="000000"/>
          <w:sz w:val="20"/>
        </w:rPr>
        <w:t xml:space="preserve">To make a </w:t>
      </w:r>
      <w:r>
        <w:rPr>
          <w:rFonts w:ascii="Arial" w:eastAsia="Arial" w:hAnsi="Arial" w:cs="Arial"/>
          <w:i/>
          <w:color w:val="000000"/>
          <w:sz w:val="20"/>
        </w:rPr>
        <w:t>prima facie</w:t>
      </w:r>
      <w:r>
        <w:rPr>
          <w:rFonts w:ascii="Arial" w:eastAsia="Arial" w:hAnsi="Arial" w:cs="Arial"/>
          <w:color w:val="000000"/>
          <w:sz w:val="20"/>
        </w:rPr>
        <w:t xml:space="preserve"> case under ADA or the RA, </w:t>
      </w:r>
      <w:r>
        <w:rPr>
          <w:rFonts w:ascii="Arial" w:eastAsia="Arial" w:hAnsi="Arial" w:cs="Arial"/>
          <w:vertAlign w:val="superscript"/>
        </w:rPr>
        <w:footnoteReference w:customMarkFollows="1" w:id="45"/>
        <w:t>13</w:t>
      </w:r>
      <w:r>
        <w:rPr>
          <w:rFonts w:ascii="Arial" w:eastAsia="Arial" w:hAnsi="Arial" w:cs="Arial"/>
          <w:color w:val="000000"/>
          <w:sz w:val="20"/>
        </w:rPr>
        <w:t xml:space="preserve"> the plaintiff must establish that:</w:t>
      </w:r>
    </w:p>
    <w:p w14:paraId="343B7FDD" w14:textId="77777777" w:rsidR="00D041A2" w:rsidRDefault="00000000">
      <w:pPr>
        <w:pStyle w:val="Normal7"/>
        <w:widowControl w:val="0"/>
        <w:spacing w:before="200" w:line="260" w:lineRule="atLeast"/>
        <w:ind w:left="400"/>
        <w:jc w:val="both"/>
      </w:pPr>
      <w:bookmarkStart w:id="806" w:name="Bookmark_para_25_2"/>
      <w:bookmarkStart w:id="807" w:name="Bookmark_I58HD0992HM6DN0010000400_2"/>
      <w:bookmarkEnd w:id="806"/>
      <w:bookmarkEnd w:id="807"/>
      <w:r>
        <w:rPr>
          <w:rFonts w:ascii="Arial" w:eastAsia="Arial" w:hAnsi="Arial" w:cs="Arial"/>
          <w:color w:val="000000"/>
          <w:sz w:val="20"/>
        </w:rPr>
        <w:t>(1) he is a qualified individual; (2) with a disability; (3) he was excluded from participation in or denied the benefits of the services, programs, or activities of a public entity, or was subjected to discrimination by any such entity; (4) by reason of his disability.</w:t>
      </w:r>
    </w:p>
    <w:p w14:paraId="69A507CA" w14:textId="77777777" w:rsidR="00D041A2" w:rsidRDefault="00000000">
      <w:pPr>
        <w:pStyle w:val="Normal7"/>
        <w:widowControl w:val="0"/>
        <w:spacing w:before="200" w:line="260" w:lineRule="atLeast"/>
        <w:jc w:val="both"/>
      </w:pPr>
      <w:bookmarkStart w:id="808" w:name="Bookmark_I58HD0992HM6DN0010000400_3"/>
      <w:bookmarkStart w:id="809" w:name="Bookmark_I58HD0992D6ND20050000400"/>
      <w:bookmarkEnd w:id="808"/>
      <w:bookmarkEnd w:id="809"/>
      <w:r>
        <w:rPr>
          <w:rFonts w:ascii="Arial" w:eastAsia="Arial" w:hAnsi="Arial" w:cs="Arial"/>
          <w:i/>
          <w:color w:val="000000"/>
          <w:sz w:val="20"/>
        </w:rPr>
        <w:t>Bowers v. Nat'l Collegiate Athletic Ass'n</w:t>
      </w:r>
      <w:r>
        <w:rPr>
          <w:rFonts w:ascii="Arial" w:eastAsia="Arial" w:hAnsi="Arial" w:cs="Arial"/>
          <w:color w:val="000000"/>
          <w:sz w:val="20"/>
        </w:rPr>
        <w:t xml:space="preserve">, 475 F.3d. 524, 553 n.32 (3d Cir. 2007).  [**21] Defreitas argues that he was discriminated against because of his status as an amputee. </w:t>
      </w:r>
      <w:bookmarkStart w:id="810" w:name="Bookmark_I58HD0992HM6DN0050000400"/>
      <w:bookmarkEnd w:id="810"/>
      <w:r>
        <w:rPr>
          <w:rFonts w:ascii="Arial" w:eastAsia="Arial" w:hAnsi="Arial" w:cs="Arial"/>
          <w:color w:val="000000"/>
          <w:sz w:val="20"/>
        </w:rPr>
        <w:t xml:space="preserve">He also argues that MCCF failed to make reasonable accommodations for his disability. </w:t>
      </w:r>
      <w:bookmarkStart w:id="811" w:name="Bookmark_LNHNREFclscc12_2"/>
      <w:bookmarkEnd w:id="811"/>
      <w:r>
        <w:rPr>
          <w:rFonts w:ascii="Arial" w:eastAsia="Arial" w:hAnsi="Arial" w:cs="Arial"/>
          <w:i/>
          <w:color w:val="000000"/>
          <w:sz w:val="20"/>
        </w:rPr>
        <w:t>See</w:t>
      </w:r>
      <w:r>
        <w:rPr>
          <w:rFonts w:ascii="Arial" w:eastAsia="Arial" w:hAnsi="Arial" w:cs="Arial"/>
          <w:color w:val="000000"/>
          <w:sz w:val="20"/>
        </w:rPr>
        <w:t xml:space="preserve"> 28 C.F.R. § 35.130(b)(7) (requiring public entities to make reasonable accommodations to avoid discriminating on the basis of disability). </w:t>
      </w:r>
      <w:r>
        <w:rPr>
          <w:rFonts w:ascii="Arial" w:eastAsia="Arial" w:hAnsi="Arial" w:cs="Arial"/>
          <w:vertAlign w:val="superscript"/>
        </w:rPr>
        <w:footnoteReference w:customMarkFollows="1" w:id="46"/>
        <w:t>14</w:t>
      </w:r>
    </w:p>
    <w:p w14:paraId="7B28CDA9" w14:textId="77777777" w:rsidR="00D041A2" w:rsidRDefault="00000000">
      <w:pPr>
        <w:pStyle w:val="Normal7"/>
        <w:widowControl w:val="0"/>
        <w:spacing w:before="200" w:line="260" w:lineRule="atLeast"/>
        <w:jc w:val="both"/>
      </w:pPr>
      <w:bookmarkStart w:id="815" w:name="Bookmark_para_26_2"/>
      <w:bookmarkEnd w:id="815"/>
      <w:r>
        <w:rPr>
          <w:rFonts w:ascii="Arial" w:eastAsia="Arial" w:hAnsi="Arial" w:cs="Arial"/>
          <w:color w:val="000000"/>
          <w:sz w:val="20"/>
        </w:rPr>
        <w:t xml:space="preserve"> [*179]  </w:t>
      </w:r>
      <w:bookmarkStart w:id="816" w:name="Bookmark_I58HD0992HM6DP0020000400"/>
      <w:bookmarkEnd w:id="816"/>
      <w:r>
        <w:rPr>
          <w:rFonts w:ascii="Arial" w:eastAsia="Arial" w:hAnsi="Arial" w:cs="Arial"/>
          <w:color w:val="000000"/>
          <w:sz w:val="20"/>
        </w:rPr>
        <w:t xml:space="preserve">There is no dispute that Defreitas qualified as an individual with a disability, and that he was denied the benefit of using the yard, gym, and weight room for a limited time. As explained by the District Court, however, the record is devoid of evidence, other than Defreitas's own conclusory journal entries in which he stated he was being discriminated against, that Appellees denied Defreitas such access because he was an amputee. The denial of that access was because of legitimate concerns as to the security and the safety  [**22] of others since his crutches could be used as weapons or to manipulate the low hanging razor wire on the yard's wall. Those concerns are entitled to deference because </w:t>
      </w:r>
      <w:bookmarkStart w:id="817" w:name="Bookmark_LNHNREFclscc15_2"/>
      <w:bookmarkEnd w:id="817"/>
      <w:r>
        <w:rPr>
          <w:rFonts w:ascii="Arial" w:eastAsia="Arial" w:hAnsi="Arial" w:cs="Arial"/>
          <w:color w:val="000000"/>
          <w:sz w:val="20"/>
        </w:rPr>
        <w:t xml:space="preserve">prison policies concerning security "are peculiarly within the province and professional expertise of corrections officials, and, in the absence of substantial evidence in the record to indicate that the officials have exaggerated their response to these considerations, courts should ordinarily defer to their expert judgment." </w:t>
      </w:r>
      <w:bookmarkStart w:id="818" w:name="Bookmark_I58HD0992HM6DP0010000400"/>
      <w:bookmarkEnd w:id="818"/>
      <w:r>
        <w:rPr>
          <w:rFonts w:ascii="Arial" w:eastAsia="Arial" w:hAnsi="Arial" w:cs="Arial"/>
          <w:i/>
          <w:color w:val="000000"/>
          <w:sz w:val="20"/>
        </w:rPr>
        <w:t>Turner v. Safley</w:t>
      </w:r>
      <w:r>
        <w:rPr>
          <w:rFonts w:ascii="Arial" w:eastAsia="Arial" w:hAnsi="Arial" w:cs="Arial"/>
          <w:color w:val="000000"/>
          <w:sz w:val="20"/>
        </w:rPr>
        <w:t>, 482 U.S. 78, 86, 107 S. Ct. 2254, 96 L. Ed. 2d 64 (1987). Moreover, once Defreitas received his prosthetic leg, Appellees permitted him to use all of those facilities, which undermines the claim that it was his disability that prevented his access to the yard, gym, and weight room.</w:t>
      </w:r>
    </w:p>
    <w:p w14:paraId="6766C135" w14:textId="77777777" w:rsidR="00D041A2" w:rsidRDefault="00000000">
      <w:pPr>
        <w:pStyle w:val="Normal7"/>
        <w:widowControl w:val="0"/>
        <w:spacing w:before="200" w:line="260" w:lineRule="atLeast"/>
        <w:jc w:val="both"/>
      </w:pPr>
      <w:bookmarkStart w:id="819" w:name="Bookmark_para_27_2"/>
      <w:bookmarkEnd w:id="819"/>
      <w:r>
        <w:rPr>
          <w:rFonts w:ascii="Arial" w:eastAsia="Arial" w:hAnsi="Arial" w:cs="Arial"/>
          <w:color w:val="000000"/>
          <w:sz w:val="20"/>
        </w:rPr>
        <w:t xml:space="preserve">Similarly, Defreitas's proposed accommodation for the prison to build a wheelchair ramp for the general population yard </w:t>
      </w:r>
      <w:r>
        <w:rPr>
          <w:rFonts w:ascii="Arial" w:eastAsia="Arial" w:hAnsi="Arial" w:cs="Arial"/>
          <w:vertAlign w:val="superscript"/>
        </w:rPr>
        <w:footnoteReference w:customMarkFollows="1" w:id="47"/>
        <w:t>15</w:t>
      </w:r>
      <w:r>
        <w:rPr>
          <w:rFonts w:ascii="Arial" w:eastAsia="Arial" w:hAnsi="Arial" w:cs="Arial"/>
          <w:color w:val="000000"/>
          <w:sz w:val="20"/>
        </w:rPr>
        <w:t xml:space="preserve"> was properly denied. After Defreitas completed the grievance process, MCCF provided him a reasonable accommodation in the form of his own hour in the yard. And he was also given access to the gym and weight room with his crutches, again after he completed the grievance process. Thus, although Defreitas may not have  [**23] gotten the accommodations he wished, he certainly received reasonable ones. Moreover, it would be antithetical to the grievance process, as well as the PLRA, for Defreitas to succeed on a claim of liability after he has successfully pursued a grievance. For those reasons, and for the reasons expressed by the District Court, there is no genuine dispute of material fact as to his claims under the ADA and RA.</w:t>
      </w:r>
    </w:p>
    <w:p w14:paraId="6C0EEEFC" w14:textId="77777777" w:rsidR="00D041A2" w:rsidRDefault="00000000">
      <w:pPr>
        <w:pStyle w:val="Normal7"/>
        <w:widowControl w:val="0"/>
        <w:spacing w:before="240" w:line="260" w:lineRule="atLeast"/>
      </w:pPr>
      <w:r>
        <w:br/>
      </w:r>
      <w:r>
        <w:rPr>
          <w:rFonts w:ascii="Arial" w:eastAsia="Arial" w:hAnsi="Arial" w:cs="Arial"/>
          <w:b/>
          <w:color w:val="000000"/>
          <w:sz w:val="20"/>
        </w:rPr>
        <w:t>III. Conclusion</w:t>
      </w:r>
    </w:p>
    <w:p w14:paraId="13F3267F" w14:textId="77777777" w:rsidR="00D041A2" w:rsidRDefault="00000000">
      <w:pPr>
        <w:pStyle w:val="Normal7"/>
        <w:widowControl w:val="0"/>
        <w:spacing w:before="200" w:line="260" w:lineRule="atLeast"/>
        <w:jc w:val="both"/>
      </w:pPr>
      <w:bookmarkStart w:id="821" w:name="Bookmark_para_28_2"/>
      <w:bookmarkEnd w:id="821"/>
      <w:r>
        <w:rPr>
          <w:rFonts w:ascii="Arial" w:eastAsia="Arial" w:hAnsi="Arial" w:cs="Arial"/>
          <w:color w:val="000000"/>
          <w:sz w:val="20"/>
        </w:rPr>
        <w:t>For the foregoing reasons, we will affirm the District Court's denial of summary judgment to Defreitas and its grant of summary judgment to Montgomery County, MCCF, and CMC.</w:t>
      </w:r>
    </w:p>
    <w:p w14:paraId="72188DCE" w14:textId="77777777" w:rsidR="00D041A2" w:rsidRDefault="00D041A2">
      <w:pPr>
        <w:pStyle w:val="Normal7"/>
      </w:pPr>
    </w:p>
    <w:p w14:paraId="33051677" w14:textId="73F995A3" w:rsidR="00D041A2" w:rsidRDefault="00000000">
      <w:pPr>
        <w:pStyle w:val="Normal7"/>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73600" behindDoc="0" locked="0" layoutInCell="1" allowOverlap="1" wp14:anchorId="4C2A4C3F" wp14:editId="48154B61">
                <wp:simplePos x="0" y="0"/>
                <wp:positionH relativeFrom="column">
                  <wp:posOffset>0</wp:posOffset>
                </wp:positionH>
                <wp:positionV relativeFrom="paragraph">
                  <wp:posOffset>127000</wp:posOffset>
                </wp:positionV>
                <wp:extent cx="6502400" cy="0"/>
                <wp:effectExtent l="9525" t="12700" r="12700" b="6350"/>
                <wp:wrapNone/>
                <wp:docPr id="115601587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5075D" id="Line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53BAC2B" w14:textId="77777777" w:rsidR="00D041A2" w:rsidRDefault="00D041A2">
      <w:pPr>
        <w:pStyle w:val="Normal8"/>
        <w:sectPr w:rsidR="00D041A2">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gutter="0"/>
          <w:cols w:space="720"/>
          <w:titlePg/>
        </w:sectPr>
      </w:pPr>
    </w:p>
    <w:p w14:paraId="3D48DEC3" w14:textId="77777777" w:rsidR="00D041A2" w:rsidRDefault="00D041A2">
      <w:pPr>
        <w:pStyle w:val="Normal8"/>
      </w:pPr>
    </w:p>
    <w:p w14:paraId="2F96C352" w14:textId="77777777" w:rsidR="00D041A2" w:rsidRDefault="00000000">
      <w:pPr>
        <w:pStyle w:val="Heading17"/>
        <w:keepNext w:val="0"/>
        <w:widowControl w:val="0"/>
        <w:spacing w:after="200" w:line="340" w:lineRule="atLeast"/>
        <w:jc w:val="center"/>
      </w:pPr>
      <w:r>
        <w:rPr>
          <w:rFonts w:eastAsia="Arial"/>
          <w:color w:val="000000"/>
          <w:sz w:val="28"/>
        </w:rPr>
        <w:t>Smith v. Sturgill</w:t>
      </w:r>
    </w:p>
    <w:p w14:paraId="45CFEA85" w14:textId="77777777" w:rsidR="00D041A2" w:rsidRDefault="00000000">
      <w:pPr>
        <w:pStyle w:val="Normal8"/>
        <w:widowControl w:val="0"/>
        <w:spacing w:before="120" w:line="260" w:lineRule="atLeast"/>
        <w:jc w:val="center"/>
      </w:pPr>
      <w:r>
        <w:rPr>
          <w:rFonts w:ascii="Arial" w:eastAsia="Arial" w:hAnsi="Arial" w:cs="Arial"/>
          <w:color w:val="000000"/>
          <w:sz w:val="20"/>
        </w:rPr>
        <w:t>United States Court of Appeals for the Eleventh Circuit</w:t>
      </w:r>
    </w:p>
    <w:p w14:paraId="5464BFF7" w14:textId="77777777" w:rsidR="00D041A2" w:rsidRDefault="00000000">
      <w:pPr>
        <w:pStyle w:val="Normal8"/>
        <w:widowControl w:val="0"/>
        <w:spacing w:before="120" w:line="260" w:lineRule="atLeast"/>
        <w:jc w:val="center"/>
      </w:pPr>
      <w:r>
        <w:rPr>
          <w:rFonts w:ascii="Arial" w:eastAsia="Arial" w:hAnsi="Arial" w:cs="Arial"/>
          <w:color w:val="000000"/>
          <w:sz w:val="20"/>
        </w:rPr>
        <w:t>April 9, 2013, Decided</w:t>
      </w:r>
    </w:p>
    <w:p w14:paraId="382543CB" w14:textId="77777777" w:rsidR="00D041A2" w:rsidRDefault="00000000">
      <w:pPr>
        <w:pStyle w:val="Normal8"/>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12-14298 Non-Argument Calendar</w:t>
      </w:r>
    </w:p>
    <w:p w14:paraId="08A68D27" w14:textId="77777777" w:rsidR="00D041A2" w:rsidRDefault="00D041A2">
      <w:pPr>
        <w:pStyle w:val="Normal8"/>
        <w:widowControl w:val="0"/>
        <w:spacing w:line="240" w:lineRule="atLeast"/>
        <w:jc w:val="both"/>
      </w:pPr>
      <w:bookmarkStart w:id="822" w:name="Bookmark_9"/>
      <w:bookmarkEnd w:id="822"/>
    </w:p>
    <w:p w14:paraId="7881D2CD" w14:textId="77777777" w:rsidR="00D041A2" w:rsidRDefault="00000000">
      <w:pPr>
        <w:pStyle w:val="Normal8"/>
        <w:widowControl w:val="0"/>
        <w:spacing w:before="200" w:line="240" w:lineRule="atLeast"/>
      </w:pPr>
      <w:bookmarkStart w:id="823" w:name="Reporter_7"/>
      <w:bookmarkEnd w:id="823"/>
      <w:r>
        <w:rPr>
          <w:rFonts w:ascii="Arial" w:eastAsia="Arial" w:hAnsi="Arial" w:cs="Arial"/>
          <w:b/>
          <w:color w:val="000000"/>
          <w:sz w:val="18"/>
        </w:rPr>
        <w:t>Reporter</w:t>
      </w:r>
    </w:p>
    <w:p w14:paraId="2781072C" w14:textId="77777777" w:rsidR="00D041A2" w:rsidRDefault="00000000">
      <w:pPr>
        <w:pStyle w:val="Normal8"/>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516 Fed. Appx. 775 *; 2013 U.S. App. LEXIS 7091 **; 27 Am. Disabilities Cas. (BNA) 1463; 2013 WL 1442522</w:t>
      </w:r>
    </w:p>
    <w:p w14:paraId="1BFCF0D6" w14:textId="77777777" w:rsidR="00D041A2" w:rsidRDefault="00000000">
      <w:pPr>
        <w:pStyle w:val="Normal8"/>
        <w:widowControl w:val="0"/>
        <w:spacing w:before="120" w:line="260" w:lineRule="atLeast"/>
      </w:pPr>
      <w:r>
        <w:rPr>
          <w:rFonts w:ascii="Arial" w:eastAsia="Arial" w:hAnsi="Arial" w:cs="Arial"/>
          <w:color w:val="000000"/>
          <w:sz w:val="20"/>
        </w:rPr>
        <w:t>DARLENE DAVIS SMITH, Plaintiff-Appellant, versus JACK STURGILL, Branch Manager, Weiser Security Services, Inc., Defendant, WEISER SECURITY SERVICES, INC., Defendant-Appellee.</w:t>
      </w:r>
    </w:p>
    <w:p w14:paraId="51B01104" w14:textId="77777777" w:rsidR="00D041A2" w:rsidRDefault="00000000">
      <w:pPr>
        <w:pStyle w:val="Normal8"/>
        <w:widowControl w:val="0"/>
        <w:spacing w:before="240" w:line="260" w:lineRule="atLeast"/>
        <w:jc w:val="both"/>
      </w:pPr>
      <w:bookmarkStart w:id="824" w:name="Notice_5"/>
      <w:bookmarkEnd w:id="824"/>
      <w:r>
        <w:rPr>
          <w:rFonts w:ascii="Arial" w:eastAsia="Arial" w:hAnsi="Arial" w:cs="Arial"/>
          <w:b/>
          <w:color w:val="000000"/>
          <w:sz w:val="20"/>
        </w:rPr>
        <w:t>Notice:</w:t>
      </w:r>
      <w:r>
        <w:rPr>
          <w:rFonts w:ascii="Arial" w:eastAsia="Arial" w:hAnsi="Arial" w:cs="Arial"/>
          <w:color w:val="000000"/>
          <w:sz w:val="20"/>
        </w:rPr>
        <w:t> </w:t>
      </w:r>
      <w:bookmarkStart w:id="825" w:name="Bookmark_para_1_7"/>
      <w:bookmarkEnd w:id="825"/>
      <w:r>
        <w:rPr>
          <w:rFonts w:ascii="Arial" w:eastAsia="Arial" w:hAnsi="Arial" w:cs="Arial"/>
          <w:color w:val="000000"/>
          <w:sz w:val="20"/>
        </w:rPr>
        <w:t>PLEASE REFER TO FEDERAL RULES OF APPELLATE PROCEDURE RULE 32.1 GOVERNING THE CITATION TO UNPUBLISHED OPINIONS.</w:t>
      </w:r>
    </w:p>
    <w:p w14:paraId="6A89A709" w14:textId="77777777" w:rsidR="00D041A2" w:rsidRDefault="00000000">
      <w:pPr>
        <w:pStyle w:val="Normal8"/>
        <w:widowControl w:val="0"/>
        <w:spacing w:before="240" w:line="260" w:lineRule="atLeast"/>
      </w:pPr>
      <w:bookmarkStart w:id="826" w:name="Subsequent_History_1"/>
      <w:bookmarkEnd w:id="826"/>
      <w:r>
        <w:rPr>
          <w:rFonts w:ascii="Arial" w:eastAsia="Arial" w:hAnsi="Arial" w:cs="Arial"/>
          <w:b/>
          <w:color w:val="000000"/>
          <w:sz w:val="20"/>
        </w:rPr>
        <w:t>Subsequent History:</w:t>
      </w:r>
      <w:r>
        <w:rPr>
          <w:rFonts w:ascii="Arial" w:eastAsia="Arial" w:hAnsi="Arial" w:cs="Arial"/>
          <w:color w:val="000000"/>
          <w:sz w:val="20"/>
        </w:rPr>
        <w:t> US Supreme Court certiorari denied by Smith v. Weiser Sec. Sys., 133 S. Ct. 2838, 2013 U.S. LEXIS 4624 (U.S., June 17, 2013)</w:t>
      </w:r>
    </w:p>
    <w:p w14:paraId="3DD9E347" w14:textId="77777777" w:rsidR="00D041A2" w:rsidRDefault="00000000">
      <w:pPr>
        <w:pStyle w:val="Normal8"/>
        <w:widowControl w:val="0"/>
        <w:spacing w:before="240" w:line="260" w:lineRule="atLeast"/>
        <w:jc w:val="both"/>
      </w:pPr>
      <w:bookmarkStart w:id="827" w:name="Prior_History_7"/>
      <w:bookmarkEnd w:id="827"/>
      <w:r>
        <w:rPr>
          <w:rFonts w:ascii="Arial" w:eastAsia="Arial" w:hAnsi="Arial" w:cs="Arial"/>
          <w:b/>
          <w:color w:val="000000"/>
          <w:sz w:val="20"/>
        </w:rPr>
        <w:t>Prior History:</w:t>
      </w:r>
      <w:r>
        <w:rPr>
          <w:rFonts w:ascii="Arial" w:eastAsia="Arial" w:hAnsi="Arial" w:cs="Arial"/>
          <w:color w:val="000000"/>
          <w:sz w:val="20"/>
        </w:rPr>
        <w:t>  [**1] </w:t>
      </w:r>
      <w:bookmarkStart w:id="828" w:name="Bookmark_para_2_7"/>
      <w:bookmarkEnd w:id="828"/>
      <w:r>
        <w:rPr>
          <w:rFonts w:ascii="Arial" w:eastAsia="Arial" w:hAnsi="Arial" w:cs="Arial"/>
          <w:color w:val="000000"/>
          <w:sz w:val="20"/>
        </w:rPr>
        <w:t>Appeal from the United States District Court for the Southern District of Alabama. D.C. Docket No. 1:11-cv-00204-KD-M.</w:t>
      </w:r>
    </w:p>
    <w:p w14:paraId="6AF100EB" w14:textId="77777777" w:rsidR="00D041A2" w:rsidRDefault="00000000">
      <w:pPr>
        <w:pStyle w:val="Normal8"/>
        <w:widowControl w:val="0"/>
        <w:spacing w:before="120" w:line="260" w:lineRule="atLeast"/>
      </w:pPr>
      <w:r>
        <w:rPr>
          <w:rFonts w:ascii="Arial" w:eastAsia="Arial" w:hAnsi="Arial" w:cs="Arial"/>
          <w:color w:val="000000"/>
          <w:sz w:val="20"/>
        </w:rPr>
        <w:t>Smith v. Weiser Sec. Sys., 2012 U.S. Dist. LEXIS 106549 (S.D. Ala., July 31, 2012)</w:t>
      </w:r>
    </w:p>
    <w:p w14:paraId="3ABD2751" w14:textId="77777777" w:rsidR="00D041A2" w:rsidRDefault="00000000">
      <w:pPr>
        <w:pStyle w:val="Normal8"/>
        <w:widowControl w:val="0"/>
        <w:spacing w:before="240" w:line="260" w:lineRule="atLeast"/>
        <w:jc w:val="both"/>
      </w:pPr>
      <w:bookmarkStart w:id="829" w:name="Disposition_1"/>
      <w:bookmarkEnd w:id="829"/>
      <w:r>
        <w:rPr>
          <w:rFonts w:ascii="Arial" w:eastAsia="Arial" w:hAnsi="Arial" w:cs="Arial"/>
          <w:b/>
          <w:color w:val="000000"/>
          <w:sz w:val="20"/>
        </w:rPr>
        <w:t>Disposition:</w:t>
      </w:r>
      <w:r>
        <w:rPr>
          <w:rFonts w:ascii="Arial" w:eastAsia="Arial" w:hAnsi="Arial" w:cs="Arial"/>
          <w:color w:val="000000"/>
          <w:sz w:val="20"/>
        </w:rPr>
        <w:t> </w:t>
      </w:r>
      <w:bookmarkStart w:id="830" w:name="Bookmark_clspara_1_0"/>
      <w:bookmarkEnd w:id="830"/>
      <w:r>
        <w:rPr>
          <w:rFonts w:ascii="Arial" w:eastAsia="Arial" w:hAnsi="Arial" w:cs="Arial"/>
          <w:color w:val="000000"/>
          <w:sz w:val="20"/>
        </w:rPr>
        <w:t>AFFIRMED.</w:t>
      </w:r>
    </w:p>
    <w:p w14:paraId="059A104B" w14:textId="77777777" w:rsidR="00D041A2" w:rsidRDefault="00000000">
      <w:pPr>
        <w:pStyle w:val="Normal8"/>
        <w:widowControl w:val="0"/>
        <w:spacing w:before="240" w:line="260" w:lineRule="atLeast"/>
      </w:pPr>
      <w:bookmarkStart w:id="831" w:name="Counsel_7"/>
      <w:bookmarkEnd w:id="831"/>
      <w:r>
        <w:rPr>
          <w:rFonts w:ascii="Arial" w:eastAsia="Arial" w:hAnsi="Arial" w:cs="Arial"/>
          <w:b/>
          <w:color w:val="000000"/>
          <w:sz w:val="20"/>
        </w:rPr>
        <w:t>Counsel:</w:t>
      </w:r>
      <w:r>
        <w:rPr>
          <w:rFonts w:ascii="Arial" w:eastAsia="Arial" w:hAnsi="Arial" w:cs="Arial"/>
          <w:color w:val="000000"/>
          <w:sz w:val="20"/>
        </w:rPr>
        <w:t> Darlene Davis Smith, Plaintiff - Appellant, Pro se, MOBILE, AL.</w:t>
      </w:r>
    </w:p>
    <w:p w14:paraId="026FB3C3" w14:textId="77777777" w:rsidR="00D041A2" w:rsidRDefault="00000000">
      <w:pPr>
        <w:pStyle w:val="Normal8"/>
        <w:widowControl w:val="0"/>
        <w:spacing w:before="120" w:line="260" w:lineRule="atLeast"/>
      </w:pPr>
      <w:r>
        <w:rPr>
          <w:rFonts w:ascii="Arial" w:eastAsia="Arial" w:hAnsi="Arial" w:cs="Arial"/>
          <w:color w:val="000000"/>
          <w:sz w:val="20"/>
        </w:rPr>
        <w:t>For WEISER SECURITY SERVICES, INC., Defendant - Appellee: John A. Unzicker, Jr., Vernis &amp; Bowling of Northwest Florida, PA, PENSACOLA, FL.</w:t>
      </w:r>
    </w:p>
    <w:p w14:paraId="12500141" w14:textId="77777777" w:rsidR="00D041A2" w:rsidRDefault="00000000">
      <w:pPr>
        <w:pStyle w:val="Normal8"/>
        <w:widowControl w:val="0"/>
        <w:spacing w:before="240" w:line="260" w:lineRule="atLeast"/>
      </w:pPr>
      <w:bookmarkStart w:id="832" w:name="Judges_7"/>
      <w:bookmarkEnd w:id="832"/>
      <w:r>
        <w:rPr>
          <w:rFonts w:ascii="Arial" w:eastAsia="Arial" w:hAnsi="Arial" w:cs="Arial"/>
          <w:b/>
          <w:color w:val="000000"/>
          <w:sz w:val="20"/>
        </w:rPr>
        <w:t>Judges:</w:t>
      </w:r>
      <w:r>
        <w:rPr>
          <w:rFonts w:ascii="Arial" w:eastAsia="Arial" w:hAnsi="Arial" w:cs="Arial"/>
          <w:color w:val="000000"/>
          <w:sz w:val="20"/>
        </w:rPr>
        <w:t> Before BARKETT, MARCUS and KRAVITCH, Circuit Judges.</w:t>
      </w:r>
    </w:p>
    <w:p w14:paraId="224CE40C" w14:textId="77777777" w:rsidR="00D041A2" w:rsidRDefault="00000000">
      <w:pPr>
        <w:pStyle w:val="Normal8"/>
        <w:keepNext/>
        <w:widowControl w:val="0"/>
        <w:spacing w:before="240" w:line="340" w:lineRule="atLeast"/>
      </w:pPr>
      <w:bookmarkStart w:id="833" w:name="Opinion_7"/>
      <w:bookmarkEnd w:id="833"/>
      <w:r>
        <w:rPr>
          <w:rFonts w:ascii="Arial" w:eastAsia="Arial" w:hAnsi="Arial" w:cs="Arial"/>
          <w:b/>
          <w:color w:val="000000"/>
          <w:sz w:val="28"/>
        </w:rPr>
        <w:t>Opinion</w:t>
      </w:r>
    </w:p>
    <w:p w14:paraId="7AD56B22" w14:textId="2CAFEFE5" w:rsidR="00D041A2" w:rsidRDefault="004D4403">
      <w:pPr>
        <w:pStyle w:val="Normal8"/>
        <w:spacing w:line="60" w:lineRule="exact"/>
      </w:pPr>
      <w:r>
        <w:rPr>
          <w:noProof/>
        </w:rPr>
        <mc:AlternateContent>
          <mc:Choice Requires="wps">
            <w:drawing>
              <wp:anchor distT="0" distB="0" distL="114300" distR="114300" simplePos="0" relativeHeight="251674624" behindDoc="0" locked="0" layoutInCell="1" allowOverlap="1" wp14:anchorId="0DBBE142" wp14:editId="7726F5C8">
                <wp:simplePos x="0" y="0"/>
                <wp:positionH relativeFrom="column">
                  <wp:posOffset>0</wp:posOffset>
                </wp:positionH>
                <wp:positionV relativeFrom="paragraph">
                  <wp:posOffset>25400</wp:posOffset>
                </wp:positionV>
                <wp:extent cx="3187700" cy="0"/>
                <wp:effectExtent l="19050" t="15875" r="12700" b="12700"/>
                <wp:wrapTopAndBottom/>
                <wp:docPr id="1140210579"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AE527"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87C0231" w14:textId="77777777" w:rsidR="00D041A2" w:rsidRDefault="00D041A2">
      <w:pPr>
        <w:pStyle w:val="Normal8"/>
      </w:pPr>
    </w:p>
    <w:p w14:paraId="786D01F7" w14:textId="77777777" w:rsidR="00D041A2" w:rsidRDefault="00000000">
      <w:pPr>
        <w:pStyle w:val="Normal8"/>
        <w:widowControl w:val="0"/>
        <w:spacing w:before="200" w:line="260" w:lineRule="atLeast"/>
        <w:jc w:val="both"/>
      </w:pPr>
      <w:bookmarkStart w:id="834" w:name="Bookmark_para_3_7"/>
      <w:bookmarkEnd w:id="834"/>
      <w:r>
        <w:rPr>
          <w:rFonts w:ascii="Arial" w:eastAsia="Arial" w:hAnsi="Arial" w:cs="Arial"/>
          <w:color w:val="000000"/>
          <w:sz w:val="20"/>
        </w:rPr>
        <w:t> [*775]  PER CURIAM:</w:t>
      </w:r>
    </w:p>
    <w:p w14:paraId="08F15DB7" w14:textId="77777777" w:rsidR="00D041A2" w:rsidRDefault="00000000">
      <w:pPr>
        <w:pStyle w:val="Normal8"/>
        <w:widowControl w:val="0"/>
        <w:spacing w:before="200" w:line="260" w:lineRule="atLeast"/>
        <w:jc w:val="both"/>
      </w:pPr>
      <w:bookmarkStart w:id="835" w:name="Bookmark_para_4_7"/>
      <w:bookmarkEnd w:id="835"/>
      <w:r>
        <w:rPr>
          <w:rFonts w:ascii="Arial" w:eastAsia="Arial" w:hAnsi="Arial" w:cs="Arial"/>
          <w:color w:val="000000"/>
          <w:sz w:val="20"/>
        </w:rPr>
        <w:t xml:space="preserve">Darlene Davis Smith appeals from the district court's grant of summary judgment to Weiser Security Services, Inc. ("Weiser"), on her action brought pursuant to the Americans with Disabilities Act ("ADA"). Smith served as a Security Officer for Weiser. After working a job site in January 2011, she requested time off to see a doctor as a result of lower back pain she was experiencing. Smith never rejoined Weiser after requesting the time off, and ultimately filed the present suit. Her original complaint, filed </w:t>
      </w:r>
      <w:r>
        <w:rPr>
          <w:rFonts w:ascii="Arial" w:eastAsia="Arial" w:hAnsi="Arial" w:cs="Arial"/>
          <w:i/>
          <w:color w:val="000000"/>
          <w:sz w:val="20"/>
        </w:rPr>
        <w:t>pro se</w:t>
      </w:r>
      <w:r>
        <w:rPr>
          <w:rFonts w:ascii="Arial" w:eastAsia="Arial" w:hAnsi="Arial" w:cs="Arial"/>
          <w:color w:val="000000"/>
          <w:sz w:val="20"/>
        </w:rPr>
        <w:t>, alleged intentional discrimination in violation of the ADA and also mentioned retaliation. When she was later briefly represented by counsel, she filed an amended complaint alleging only the former ADA violation. The district court granted summary judgment after it found that Smith was  [**2] not a "qualified individual" under the Act, because she did not demonstrate an ability to perform the essential functions of her job  [*776]  with or without a reasonable accommodation.</w:t>
      </w:r>
    </w:p>
    <w:p w14:paraId="2EA4E80F" w14:textId="77777777" w:rsidR="00D041A2" w:rsidRDefault="00000000">
      <w:pPr>
        <w:pStyle w:val="Normal8"/>
        <w:widowControl w:val="0"/>
        <w:spacing w:before="200" w:line="260" w:lineRule="atLeast"/>
        <w:jc w:val="both"/>
      </w:pPr>
      <w:bookmarkStart w:id="836" w:name="Bookmark_para_5_7"/>
      <w:bookmarkEnd w:id="836"/>
      <w:r>
        <w:rPr>
          <w:rFonts w:ascii="Arial" w:eastAsia="Arial" w:hAnsi="Arial" w:cs="Arial"/>
          <w:color w:val="000000"/>
          <w:sz w:val="20"/>
        </w:rPr>
        <w:t>On appeal, she argues that the district court should have considered additional documents, should have allowed her case to proceed to the jury, and should have considered her complaint as also including a claim for retaliation. She also asserts that certain evidence submitted by Weiser was fraudulent or the result of perjury.</w:t>
      </w:r>
    </w:p>
    <w:p w14:paraId="0767523B" w14:textId="77777777" w:rsidR="00D041A2" w:rsidRDefault="00000000">
      <w:pPr>
        <w:pStyle w:val="Normal8"/>
        <w:widowControl w:val="0"/>
        <w:spacing w:before="200" w:line="260" w:lineRule="atLeast"/>
        <w:jc w:val="both"/>
      </w:pPr>
      <w:bookmarkStart w:id="837" w:name="Bookmark_para_6_7"/>
      <w:bookmarkStart w:id="838" w:name="Bookmark_I589KHKX2HM6GM0020000400"/>
      <w:bookmarkEnd w:id="837"/>
      <w:bookmarkEnd w:id="838"/>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a district court's grant of summary judgment, drawing all inferences and viewing all evidence in the light most favorable to the non-moving party. </w:t>
      </w:r>
      <w:bookmarkStart w:id="839" w:name="Bookmark_I589KHKX2HM6GM0040000400"/>
      <w:bookmarkStart w:id="840" w:name="Bookmark_I589KHKX2HM6GM0010000400"/>
      <w:bookmarkEnd w:id="839"/>
      <w:bookmarkEnd w:id="840"/>
      <w:r>
        <w:rPr>
          <w:rFonts w:ascii="Arial" w:eastAsia="Arial" w:hAnsi="Arial" w:cs="Arial"/>
          <w:i/>
          <w:color w:val="000000"/>
          <w:sz w:val="20"/>
        </w:rPr>
        <w:t>Martin v. Brevard Cnty. Pub. Schs</w:t>
      </w:r>
      <w:r>
        <w:rPr>
          <w:rFonts w:ascii="Arial" w:eastAsia="Arial" w:hAnsi="Arial" w:cs="Arial"/>
          <w:color w:val="000000"/>
          <w:sz w:val="20"/>
        </w:rPr>
        <w:t xml:space="preserve">., 543 F.3d 1261, 1265 (11th Cir. 2008); Fed.R.Civ.P. 56(a). It is insufficient to defeat a summary judgment motion to present mere conclusions and unsupported factual allegations. </w:t>
      </w:r>
      <w:bookmarkStart w:id="841" w:name="Bookmark_I589KHKX2HM6GM0040000400_2"/>
      <w:bookmarkStart w:id="842" w:name="Bookmark_I589KHKX2HM6GM0030000400"/>
      <w:bookmarkEnd w:id="841"/>
      <w:bookmarkEnd w:id="842"/>
      <w:r>
        <w:rPr>
          <w:rFonts w:ascii="Arial" w:eastAsia="Arial" w:hAnsi="Arial" w:cs="Arial"/>
          <w:i/>
          <w:color w:val="000000"/>
          <w:sz w:val="20"/>
        </w:rPr>
        <w:t>Ellis v. England</w:t>
      </w:r>
      <w:r>
        <w:rPr>
          <w:rFonts w:ascii="Arial" w:eastAsia="Arial" w:hAnsi="Arial" w:cs="Arial"/>
          <w:color w:val="000000"/>
          <w:sz w:val="20"/>
        </w:rPr>
        <w:t>, 432 F.3d 1321, 1326 (11th Cir. 2005).</w:t>
      </w:r>
    </w:p>
    <w:p w14:paraId="21CA5F8D" w14:textId="77777777" w:rsidR="00D041A2" w:rsidRDefault="00000000">
      <w:pPr>
        <w:pStyle w:val="Normal8"/>
        <w:widowControl w:val="0"/>
        <w:spacing w:before="200" w:line="260" w:lineRule="atLeast"/>
        <w:jc w:val="both"/>
      </w:pPr>
      <w:bookmarkStart w:id="843" w:name="Bookmark_para_7_7"/>
      <w:bookmarkStart w:id="844" w:name="Bookmark_I358C9FTFJJ000BV46X00112"/>
      <w:bookmarkStart w:id="845" w:name="Bookmark_I589KHKX28T46C0010000400"/>
      <w:bookmarkEnd w:id="843"/>
      <w:bookmarkEnd w:id="844"/>
      <w:bookmarkEnd w:id="845"/>
      <w:r>
        <w:rPr>
          <w:rFonts w:ascii="Arial" w:eastAsia="Arial" w:hAnsi="Arial" w:cs="Arial"/>
          <w:color w:val="000000"/>
          <w:sz w:val="20"/>
        </w:rPr>
        <w:t xml:space="preserve">To establish a </w:t>
      </w:r>
      <w:r>
        <w:rPr>
          <w:rFonts w:ascii="Arial" w:eastAsia="Arial" w:hAnsi="Arial" w:cs="Arial"/>
          <w:i/>
          <w:color w:val="000000"/>
          <w:sz w:val="20"/>
        </w:rPr>
        <w:t>prima facie</w:t>
      </w:r>
      <w:r>
        <w:rPr>
          <w:rFonts w:ascii="Arial" w:eastAsia="Arial" w:hAnsi="Arial" w:cs="Arial"/>
          <w:color w:val="000000"/>
          <w:sz w:val="20"/>
        </w:rPr>
        <w:t xml:space="preserve"> case of discrimination under the ADA, a plaintiff may show that: (1) she is disabled; (2) she is a qualified individual; and (3) she was subjected to unlawful discrimination because of her disability. </w:t>
      </w:r>
      <w:bookmarkStart w:id="846" w:name="Bookmark_I358C9FTMND000BV46X00002"/>
      <w:bookmarkStart w:id="847" w:name="Bookmark_I589KHKX28T46C0030000400"/>
      <w:bookmarkStart w:id="848" w:name="Bookmark_I589KHKX2HM6GM0050000400"/>
      <w:bookmarkEnd w:id="846"/>
      <w:bookmarkEnd w:id="847"/>
      <w:bookmarkEnd w:id="848"/>
      <w:r>
        <w:rPr>
          <w:rFonts w:ascii="Arial" w:eastAsia="Arial" w:hAnsi="Arial" w:cs="Arial"/>
          <w:i/>
          <w:color w:val="000000"/>
          <w:sz w:val="20"/>
        </w:rPr>
        <w:t>Holly v. Clairson Indus., L.L.C</w:t>
      </w:r>
      <w:r>
        <w:rPr>
          <w:rFonts w:ascii="Arial" w:eastAsia="Arial" w:hAnsi="Arial" w:cs="Arial"/>
          <w:color w:val="000000"/>
          <w:sz w:val="20"/>
        </w:rPr>
        <w:t xml:space="preserve">., 492 F.3d 1247, 1255-56 (11th Cir. 2007). </w:t>
      </w:r>
      <w:bookmarkStart w:id="849" w:name="Bookmark_I589KHKX28T46C0050000400"/>
      <w:bookmarkEnd w:id="849"/>
      <w:r>
        <w:rPr>
          <w:rFonts w:ascii="Arial" w:eastAsia="Arial" w:hAnsi="Arial" w:cs="Arial"/>
          <w:color w:val="000000"/>
          <w:sz w:val="20"/>
        </w:rPr>
        <w:t xml:space="preserve"> [**3] To show that she is a qualified individual, a plaintiff must show that she can perform the essential functions of the employment position that she holds with or without reasonable accommodations. </w:t>
      </w:r>
      <w:bookmarkStart w:id="850" w:name="Bookmark_I589KHKX28T46C0050000400_2"/>
      <w:bookmarkStart w:id="851" w:name="Bookmark_I589KHKX28T46C0030000400_2"/>
      <w:bookmarkStart w:id="852" w:name="Bookmark_I589KHKX28T46C0020000400"/>
      <w:bookmarkEnd w:id="850"/>
      <w:bookmarkEnd w:id="851"/>
      <w:bookmarkEnd w:id="852"/>
      <w:r>
        <w:rPr>
          <w:rFonts w:ascii="Arial" w:eastAsia="Arial" w:hAnsi="Arial" w:cs="Arial"/>
          <w:i/>
          <w:color w:val="000000"/>
          <w:sz w:val="20"/>
        </w:rPr>
        <w:t>Id</w:t>
      </w:r>
      <w:r>
        <w:rPr>
          <w:rFonts w:ascii="Arial" w:eastAsia="Arial" w:hAnsi="Arial" w:cs="Arial"/>
          <w:color w:val="000000"/>
          <w:sz w:val="20"/>
        </w:rPr>
        <w:t xml:space="preserve">. at 1256. An accommodation is reasonable and necessary under the ADA only if it will enable the employee to perform the essential functions of the job. </w:t>
      </w:r>
      <w:r>
        <w:rPr>
          <w:rFonts w:ascii="Arial" w:eastAsia="Arial" w:hAnsi="Arial" w:cs="Arial"/>
          <w:i/>
          <w:color w:val="000000"/>
          <w:sz w:val="20"/>
        </w:rPr>
        <w:t>Id</w:t>
      </w:r>
      <w:r>
        <w:rPr>
          <w:rFonts w:ascii="Arial" w:eastAsia="Arial" w:hAnsi="Arial" w:cs="Arial"/>
          <w:color w:val="000000"/>
          <w:sz w:val="20"/>
        </w:rPr>
        <w:t xml:space="preserve">. Essential functions "are the fundamental job duties of a position that an individual with a disability is actually required to perform." </w:t>
      </w:r>
      <w:bookmarkStart w:id="853" w:name="Bookmark_I589KHKX28T46C0040000400"/>
      <w:bookmarkEnd w:id="853"/>
      <w:r>
        <w:rPr>
          <w:rFonts w:ascii="Arial" w:eastAsia="Arial" w:hAnsi="Arial" w:cs="Arial"/>
          <w:i/>
          <w:color w:val="000000"/>
          <w:sz w:val="20"/>
        </w:rPr>
        <w:t>Id</w:t>
      </w:r>
      <w:r>
        <w:rPr>
          <w:rFonts w:ascii="Arial" w:eastAsia="Arial" w:hAnsi="Arial" w:cs="Arial"/>
          <w:color w:val="000000"/>
          <w:sz w:val="20"/>
        </w:rPr>
        <w:t xml:space="preserve">. at 1257 (quotation omitted). "Consideration shall be given to the employer's judgment as to what functions of a job are essential, and if an employer has prepared a written description before advertising or interviewing applicants for the job, this description shall be considered evidence of the essential functions of the job." </w:t>
      </w:r>
      <w:r>
        <w:rPr>
          <w:rFonts w:ascii="Arial" w:eastAsia="Arial" w:hAnsi="Arial" w:cs="Arial"/>
          <w:i/>
          <w:color w:val="000000"/>
          <w:sz w:val="20"/>
        </w:rPr>
        <w:t>Id</w:t>
      </w:r>
      <w:r>
        <w:rPr>
          <w:rFonts w:ascii="Arial" w:eastAsia="Arial" w:hAnsi="Arial" w:cs="Arial"/>
          <w:color w:val="000000"/>
          <w:sz w:val="20"/>
        </w:rPr>
        <w:t>. (quotation omitted).</w:t>
      </w:r>
    </w:p>
    <w:p w14:paraId="6BC06DF3" w14:textId="77777777" w:rsidR="00D041A2" w:rsidRDefault="00000000">
      <w:pPr>
        <w:pStyle w:val="Normal8"/>
        <w:widowControl w:val="0"/>
        <w:spacing w:before="200" w:line="260" w:lineRule="atLeast"/>
        <w:jc w:val="both"/>
      </w:pPr>
      <w:bookmarkStart w:id="854" w:name="Bookmark_para_8_6"/>
      <w:bookmarkStart w:id="855" w:name="Bookmark_I358C9FV9T4000BV46X0000H"/>
      <w:bookmarkStart w:id="856" w:name="Bookmark_I589KHKX2N1PTW0020000400"/>
      <w:bookmarkStart w:id="857" w:name="Bookmark_I589KHKX2N1PTW0040000400"/>
      <w:bookmarkEnd w:id="854"/>
      <w:bookmarkEnd w:id="855"/>
      <w:bookmarkEnd w:id="856"/>
      <w:bookmarkEnd w:id="857"/>
      <w:r>
        <w:rPr>
          <w:rFonts w:ascii="Arial" w:eastAsia="Arial" w:hAnsi="Arial" w:cs="Arial"/>
          <w:color w:val="000000"/>
          <w:sz w:val="20"/>
        </w:rPr>
        <w:t xml:space="preserve">The employee has the burden of identifying a reasonable accommodation that would allow her to perform the essential functions of her job. </w:t>
      </w:r>
      <w:bookmarkStart w:id="858" w:name="Bookmark_I589KHKX2N1PTW0010000400"/>
      <w:bookmarkEnd w:id="858"/>
      <w:r>
        <w:rPr>
          <w:rFonts w:ascii="Arial" w:eastAsia="Arial" w:hAnsi="Arial" w:cs="Arial"/>
          <w:i/>
          <w:color w:val="000000"/>
          <w:sz w:val="20"/>
        </w:rPr>
        <w:t>Earl v. Mervyns, Inc</w:t>
      </w:r>
      <w:r>
        <w:rPr>
          <w:rFonts w:ascii="Arial" w:eastAsia="Arial" w:hAnsi="Arial" w:cs="Arial"/>
          <w:color w:val="000000"/>
          <w:sz w:val="20"/>
        </w:rPr>
        <w:t>., 207 F.3d 1361, 1367 (11th Cir. 2000). An employer need not create a new position for an employee as an accommodation; nor must an employer allow an employee to take an indefinite leave of absence.  [**4] </w:t>
      </w:r>
      <w:bookmarkStart w:id="859" w:name="Bookmark_I589KHKX2N1PTW0030000400"/>
      <w:bookmarkEnd w:id="859"/>
      <w:r>
        <w:rPr>
          <w:rFonts w:ascii="Arial" w:eastAsia="Arial" w:hAnsi="Arial" w:cs="Arial"/>
          <w:i/>
          <w:color w:val="000000"/>
          <w:sz w:val="20"/>
        </w:rPr>
        <w:t>Lucas v. W.W. Grainger, Inc</w:t>
      </w:r>
      <w:r>
        <w:rPr>
          <w:rFonts w:ascii="Arial" w:eastAsia="Arial" w:hAnsi="Arial" w:cs="Arial"/>
          <w:color w:val="000000"/>
          <w:sz w:val="20"/>
        </w:rPr>
        <w:t xml:space="preserve">., 257 F.3d 1249, 1257-58 (11th Cir. 2001); </w:t>
      </w:r>
      <w:bookmarkStart w:id="860" w:name="Bookmark_I589KHKX2N1PTW0050000400"/>
      <w:bookmarkEnd w:id="860"/>
      <w:r>
        <w:rPr>
          <w:rFonts w:ascii="Arial" w:eastAsia="Arial" w:hAnsi="Arial" w:cs="Arial"/>
          <w:i/>
          <w:color w:val="000000"/>
          <w:sz w:val="20"/>
        </w:rPr>
        <w:t>Wood v. Green</w:t>
      </w:r>
      <w:r>
        <w:rPr>
          <w:rFonts w:ascii="Arial" w:eastAsia="Arial" w:hAnsi="Arial" w:cs="Arial"/>
          <w:color w:val="000000"/>
          <w:sz w:val="20"/>
        </w:rPr>
        <w:t>, 323 F.3d 1309, 1312-14 (11th Cir. 2003).</w:t>
      </w:r>
    </w:p>
    <w:p w14:paraId="5046F94A" w14:textId="77777777" w:rsidR="00D041A2" w:rsidRDefault="00000000">
      <w:pPr>
        <w:pStyle w:val="Normal8"/>
        <w:widowControl w:val="0"/>
        <w:spacing w:before="200" w:line="260" w:lineRule="atLeast"/>
        <w:jc w:val="both"/>
      </w:pPr>
      <w:bookmarkStart w:id="861" w:name="Bookmark_para_9_6"/>
      <w:bookmarkStart w:id="862" w:name="Bookmark_I589KHKX2HM6GN0030000400"/>
      <w:bookmarkEnd w:id="861"/>
      <w:bookmarkEnd w:id="862"/>
      <w:r>
        <w:rPr>
          <w:rFonts w:ascii="Arial" w:eastAsia="Arial" w:hAnsi="Arial" w:cs="Arial"/>
          <w:color w:val="000000"/>
          <w:sz w:val="20"/>
        </w:rPr>
        <w:t xml:space="preserve">An amended pleading "supersedes the former pleading; the original pleading is abandoned by the amendment, and is no longer a part of the pleader's averments against his adversary." </w:t>
      </w:r>
      <w:bookmarkStart w:id="863" w:name="Bookmark_I589KHKX2HM6GN0020000400"/>
      <w:bookmarkEnd w:id="863"/>
      <w:r>
        <w:rPr>
          <w:rFonts w:ascii="Arial" w:eastAsia="Arial" w:hAnsi="Arial" w:cs="Arial"/>
          <w:i/>
          <w:color w:val="000000"/>
          <w:sz w:val="20"/>
        </w:rPr>
        <w:t>Pintando v. Miami-Dade Hous. Agency</w:t>
      </w:r>
      <w:r>
        <w:rPr>
          <w:rFonts w:ascii="Arial" w:eastAsia="Arial" w:hAnsi="Arial" w:cs="Arial"/>
          <w:color w:val="000000"/>
          <w:sz w:val="20"/>
        </w:rPr>
        <w:t>, 501 F.3d 1241, 1243 (11th Cir. 2007).</w:t>
      </w:r>
    </w:p>
    <w:p w14:paraId="4DD66905" w14:textId="77777777" w:rsidR="00D041A2" w:rsidRDefault="00000000">
      <w:pPr>
        <w:pStyle w:val="Normal8"/>
        <w:widowControl w:val="0"/>
        <w:spacing w:before="200" w:line="260" w:lineRule="atLeast"/>
        <w:jc w:val="both"/>
      </w:pPr>
      <w:bookmarkStart w:id="864" w:name="Bookmark_para_10_6"/>
      <w:bookmarkEnd w:id="864"/>
      <w:r>
        <w:rPr>
          <w:rFonts w:ascii="Arial" w:eastAsia="Arial" w:hAnsi="Arial" w:cs="Arial"/>
          <w:color w:val="000000"/>
          <w:sz w:val="20"/>
        </w:rPr>
        <w:t xml:space="preserve">Even if we liberally construe Smith's brief on appeal to contest the district court's determination that she was not a qualified individual, we conclude that the district court correctly granted summary judgment to Weiser. Smith testified that she could not stand or walk for prolonged periods of time and that she had trouble staying awake as a result of sleep apnea. </w:t>
      </w:r>
      <w:bookmarkStart w:id="865" w:name="Bookmark_I358C9FVGX0000BV46X00114"/>
      <w:bookmarkStart w:id="866" w:name="Bookmark_I589KHKX2HM6GN0050000400"/>
      <w:bookmarkEnd w:id="865"/>
      <w:bookmarkEnd w:id="866"/>
      <w:r>
        <w:rPr>
          <w:rFonts w:ascii="Arial" w:eastAsia="Arial" w:hAnsi="Arial" w:cs="Arial"/>
          <w:color w:val="000000"/>
          <w:sz w:val="20"/>
        </w:rPr>
        <w:t xml:space="preserve">Accordingly, she was unable to fulfill the essential functions of a Security Officer as established by the job posting and affidavits from Weiser management. The evidence did not show that she ever requested an accommodation as a result of her disability, as was her burden, other than potentially requesting an indefinite period of leave or a transfer to a new position when there was no vacancy. </w:t>
      </w:r>
      <w:bookmarkStart w:id="867" w:name="Bookmark_I589KHKX2SF86Y0020000400"/>
      <w:bookmarkStart w:id="868" w:name="Bookmark_I589KHKX2HM6GN0040000400"/>
      <w:bookmarkEnd w:id="867"/>
      <w:bookmarkEnd w:id="868"/>
      <w:r>
        <w:rPr>
          <w:rFonts w:ascii="Arial" w:eastAsia="Arial" w:hAnsi="Arial" w:cs="Arial"/>
          <w:i/>
          <w:color w:val="000000"/>
          <w:sz w:val="20"/>
        </w:rPr>
        <w:t>Earl</w:t>
      </w:r>
      <w:r>
        <w:rPr>
          <w:rFonts w:ascii="Arial" w:eastAsia="Arial" w:hAnsi="Arial" w:cs="Arial"/>
          <w:color w:val="000000"/>
          <w:sz w:val="20"/>
        </w:rPr>
        <w:t xml:space="preserve">, 207 F.3d at 1367. </w:t>
      </w:r>
      <w:bookmarkStart w:id="869" w:name="Bookmark_I589KHKX2SF86Y0020000400_2"/>
      <w:bookmarkEnd w:id="869"/>
      <w:r>
        <w:rPr>
          <w:rFonts w:ascii="Arial" w:eastAsia="Arial" w:hAnsi="Arial" w:cs="Arial"/>
          <w:color w:val="000000"/>
          <w:sz w:val="20"/>
        </w:rPr>
        <w:t>Neither accommodation was reasonable.  [**5] </w:t>
      </w:r>
      <w:bookmarkStart w:id="870" w:name="Bookmark_I589KHKX2SF86Y0010000400"/>
      <w:bookmarkEnd w:id="870"/>
      <w:r>
        <w:rPr>
          <w:rFonts w:ascii="Arial" w:eastAsia="Arial" w:hAnsi="Arial" w:cs="Arial"/>
          <w:i/>
          <w:color w:val="000000"/>
          <w:sz w:val="20"/>
        </w:rPr>
        <w:t>Lucas</w:t>
      </w:r>
      <w:r>
        <w:rPr>
          <w:rFonts w:ascii="Arial" w:eastAsia="Arial" w:hAnsi="Arial" w:cs="Arial"/>
          <w:color w:val="000000"/>
          <w:sz w:val="20"/>
        </w:rPr>
        <w:t xml:space="preserve">, 257 F.3d at 1257-58; </w:t>
      </w:r>
      <w:bookmarkStart w:id="871" w:name="Bookmark_I589KHKX2SF86Y0030000400"/>
      <w:bookmarkEnd w:id="871"/>
      <w:r>
        <w:rPr>
          <w:rFonts w:ascii="Arial" w:eastAsia="Arial" w:hAnsi="Arial" w:cs="Arial"/>
          <w:i/>
          <w:color w:val="000000"/>
          <w:sz w:val="20"/>
        </w:rPr>
        <w:t>Wood</w:t>
      </w:r>
      <w:r>
        <w:rPr>
          <w:rFonts w:ascii="Arial" w:eastAsia="Arial" w:hAnsi="Arial" w:cs="Arial"/>
          <w:color w:val="000000"/>
          <w:sz w:val="20"/>
        </w:rPr>
        <w:t>, 323 F.3d at 1312-14. Accordingly, Smith was not a qualified individual under  [*777]  the ADA and the district court correctly granted summary judgment.</w:t>
      </w:r>
    </w:p>
    <w:p w14:paraId="3587B631" w14:textId="77777777" w:rsidR="00D041A2" w:rsidRDefault="00000000">
      <w:pPr>
        <w:pStyle w:val="Normal8"/>
        <w:widowControl w:val="0"/>
        <w:spacing w:before="200" w:line="260" w:lineRule="atLeast"/>
        <w:jc w:val="both"/>
      </w:pPr>
      <w:bookmarkStart w:id="872" w:name="Bookmark_para_11_5"/>
      <w:bookmarkEnd w:id="872"/>
      <w:r>
        <w:rPr>
          <w:rFonts w:ascii="Arial" w:eastAsia="Arial" w:hAnsi="Arial" w:cs="Arial"/>
          <w:color w:val="000000"/>
          <w:sz w:val="20"/>
        </w:rPr>
        <w:t>Smith's other arguments do not affect the determination of whether she was a qualified individual. Similarly, to the extent that she argues she also brought a claim of retaliation, no such claim was included in the amended complaint, and the original complaint was abandoned with the filing of the amended complaint.</w:t>
      </w:r>
    </w:p>
    <w:p w14:paraId="32653351" w14:textId="77777777" w:rsidR="00D041A2" w:rsidRDefault="00000000">
      <w:pPr>
        <w:pStyle w:val="Normal8"/>
        <w:widowControl w:val="0"/>
        <w:spacing w:before="200" w:line="260" w:lineRule="atLeast"/>
        <w:jc w:val="both"/>
      </w:pPr>
      <w:bookmarkStart w:id="873" w:name="Bookmark_para_12_4"/>
      <w:bookmarkEnd w:id="873"/>
      <w:r>
        <w:rPr>
          <w:rFonts w:ascii="Arial" w:eastAsia="Arial" w:hAnsi="Arial" w:cs="Arial"/>
          <w:b/>
          <w:color w:val="000000"/>
          <w:sz w:val="20"/>
        </w:rPr>
        <w:t>AFFIRMED</w:t>
      </w:r>
      <w:r>
        <w:rPr>
          <w:rFonts w:ascii="Arial" w:eastAsia="Arial" w:hAnsi="Arial" w:cs="Arial"/>
          <w:color w:val="000000"/>
          <w:sz w:val="20"/>
        </w:rPr>
        <w:t>.</w:t>
      </w:r>
    </w:p>
    <w:p w14:paraId="6F6E8922" w14:textId="77777777" w:rsidR="00D041A2" w:rsidRDefault="00D041A2">
      <w:pPr>
        <w:pStyle w:val="Normal8"/>
      </w:pPr>
    </w:p>
    <w:p w14:paraId="7E8FCDF7" w14:textId="2BD70BA6" w:rsidR="00D041A2" w:rsidRDefault="00000000">
      <w:pPr>
        <w:pStyle w:val="Normal8"/>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75648" behindDoc="0" locked="0" layoutInCell="1" allowOverlap="1" wp14:anchorId="7BBD68AE" wp14:editId="4A1F3F95">
                <wp:simplePos x="0" y="0"/>
                <wp:positionH relativeFrom="column">
                  <wp:posOffset>0</wp:posOffset>
                </wp:positionH>
                <wp:positionV relativeFrom="paragraph">
                  <wp:posOffset>127000</wp:posOffset>
                </wp:positionV>
                <wp:extent cx="6502400" cy="0"/>
                <wp:effectExtent l="9525" t="12700" r="12700" b="6350"/>
                <wp:wrapNone/>
                <wp:docPr id="157366538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9FF67" id="Line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DDD7D3B" w14:textId="77777777" w:rsidR="00D041A2" w:rsidRDefault="00D041A2">
      <w:pPr>
        <w:pStyle w:val="Normal9"/>
        <w:sectPr w:rsidR="00D041A2">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gutter="0"/>
          <w:cols w:space="720"/>
          <w:titlePg/>
        </w:sectPr>
      </w:pPr>
    </w:p>
    <w:p w14:paraId="651A2E0D" w14:textId="77777777" w:rsidR="00D041A2" w:rsidRDefault="00D041A2">
      <w:pPr>
        <w:pStyle w:val="Normal9"/>
      </w:pPr>
    </w:p>
    <w:p w14:paraId="38659F09" w14:textId="77777777" w:rsidR="00D041A2" w:rsidRDefault="00000000">
      <w:pPr>
        <w:pStyle w:val="Heading18"/>
        <w:keepNext w:val="0"/>
        <w:widowControl w:val="0"/>
        <w:spacing w:after="200" w:line="340" w:lineRule="atLeast"/>
        <w:jc w:val="center"/>
      </w:pPr>
      <w:r>
        <w:rPr>
          <w:rFonts w:eastAsia="Arial"/>
          <w:color w:val="000000"/>
          <w:sz w:val="28"/>
        </w:rPr>
        <w:t>Cloe v. City of Indianapolis</w:t>
      </w:r>
    </w:p>
    <w:p w14:paraId="2D92EED8" w14:textId="77777777" w:rsidR="00D041A2" w:rsidRDefault="00000000">
      <w:pPr>
        <w:pStyle w:val="Normal9"/>
        <w:widowControl w:val="0"/>
        <w:spacing w:before="120" w:line="260" w:lineRule="atLeast"/>
        <w:jc w:val="center"/>
      </w:pPr>
      <w:r>
        <w:rPr>
          <w:rFonts w:ascii="Arial" w:eastAsia="Arial" w:hAnsi="Arial" w:cs="Arial"/>
          <w:color w:val="000000"/>
          <w:sz w:val="20"/>
        </w:rPr>
        <w:t>United States Court of Appeals for the Seventh Circuit</w:t>
      </w:r>
    </w:p>
    <w:p w14:paraId="78E18E63" w14:textId="77777777" w:rsidR="00D041A2" w:rsidRDefault="00000000">
      <w:pPr>
        <w:pStyle w:val="Normal9"/>
        <w:widowControl w:val="0"/>
        <w:spacing w:before="120" w:line="260" w:lineRule="atLeast"/>
        <w:jc w:val="center"/>
      </w:pPr>
      <w:r>
        <w:rPr>
          <w:rFonts w:ascii="Arial" w:eastAsia="Arial" w:hAnsi="Arial" w:cs="Arial"/>
          <w:color w:val="000000"/>
          <w:sz w:val="20"/>
        </w:rPr>
        <w:t>October 12, 2012, Argued; April 9, 2013, Decided</w:t>
      </w:r>
    </w:p>
    <w:p w14:paraId="00205578" w14:textId="77777777" w:rsidR="00D041A2" w:rsidRDefault="00000000">
      <w:pPr>
        <w:pStyle w:val="Normal9"/>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12-1713</w:t>
      </w:r>
    </w:p>
    <w:p w14:paraId="737B867A" w14:textId="77777777" w:rsidR="00D041A2" w:rsidRDefault="00D041A2">
      <w:pPr>
        <w:pStyle w:val="Normal9"/>
        <w:widowControl w:val="0"/>
        <w:spacing w:line="240" w:lineRule="atLeast"/>
        <w:jc w:val="both"/>
      </w:pPr>
      <w:bookmarkStart w:id="874" w:name="Bookmark_10"/>
      <w:bookmarkEnd w:id="874"/>
    </w:p>
    <w:p w14:paraId="64E2E4C4" w14:textId="77777777" w:rsidR="00D041A2" w:rsidRDefault="00000000">
      <w:pPr>
        <w:pStyle w:val="Normal9"/>
        <w:widowControl w:val="0"/>
        <w:spacing w:before="200" w:line="240" w:lineRule="atLeast"/>
      </w:pPr>
      <w:bookmarkStart w:id="875" w:name="Reporter_8"/>
      <w:bookmarkEnd w:id="875"/>
      <w:r>
        <w:rPr>
          <w:rFonts w:ascii="Arial" w:eastAsia="Arial" w:hAnsi="Arial" w:cs="Arial"/>
          <w:b/>
          <w:color w:val="000000"/>
          <w:sz w:val="18"/>
        </w:rPr>
        <w:t>Reporter</w:t>
      </w:r>
    </w:p>
    <w:p w14:paraId="6F6F1163" w14:textId="77777777" w:rsidR="00D041A2" w:rsidRDefault="00000000">
      <w:pPr>
        <w:pStyle w:val="Normal9"/>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712 F.3d 1171 *; 2013 U.S. App. LEXIS 7103 **; 27 Am. Disabilities Cas. (BNA) 1324; 15 Accom. Disabilities Dec. (CCH) P15-168; 2013 WL 1405428</w:t>
      </w:r>
    </w:p>
    <w:p w14:paraId="12FAE92C" w14:textId="77777777" w:rsidR="00D041A2" w:rsidRDefault="00000000">
      <w:pPr>
        <w:pStyle w:val="Normal9"/>
        <w:widowControl w:val="0"/>
        <w:spacing w:before="120" w:line="260" w:lineRule="atLeast"/>
      </w:pPr>
      <w:r>
        <w:rPr>
          <w:rFonts w:ascii="Arial" w:eastAsia="Arial" w:hAnsi="Arial" w:cs="Arial"/>
          <w:color w:val="000000"/>
          <w:sz w:val="20"/>
        </w:rPr>
        <w:t>NANCIE J. CLOE, Plaintiff-Appellant, v. CITY OF INDIANAPOLIS, Defendant-Appellee.</w:t>
      </w:r>
    </w:p>
    <w:p w14:paraId="3ECFE72B" w14:textId="77777777" w:rsidR="00D041A2" w:rsidRDefault="00000000">
      <w:pPr>
        <w:pStyle w:val="Normal9"/>
        <w:widowControl w:val="0"/>
        <w:spacing w:before="240" w:line="260" w:lineRule="atLeast"/>
        <w:jc w:val="both"/>
      </w:pPr>
      <w:bookmarkStart w:id="876" w:name="Prior_History_8"/>
      <w:bookmarkEnd w:id="876"/>
      <w:r>
        <w:rPr>
          <w:rFonts w:ascii="Arial" w:eastAsia="Arial" w:hAnsi="Arial" w:cs="Arial"/>
          <w:b/>
          <w:color w:val="000000"/>
          <w:sz w:val="20"/>
        </w:rPr>
        <w:t>Prior History:</w:t>
      </w:r>
      <w:r>
        <w:rPr>
          <w:rFonts w:ascii="Arial" w:eastAsia="Arial" w:hAnsi="Arial" w:cs="Arial"/>
          <w:color w:val="000000"/>
          <w:sz w:val="20"/>
        </w:rPr>
        <w:t>  [**1] </w:t>
      </w:r>
      <w:bookmarkStart w:id="877" w:name="Bookmark_para_1_8"/>
      <w:bookmarkEnd w:id="877"/>
      <w:r>
        <w:rPr>
          <w:rFonts w:ascii="Arial" w:eastAsia="Arial" w:hAnsi="Arial" w:cs="Arial"/>
          <w:color w:val="000000"/>
          <w:sz w:val="20"/>
        </w:rPr>
        <w:t>Appeal from the United States District Court for the Southern District of Indiana, Indianapolis Division. No. 10-cv-1070—William T. Lawrence, Judge.</w:t>
      </w:r>
    </w:p>
    <w:p w14:paraId="48E44093" w14:textId="77777777" w:rsidR="00D041A2" w:rsidRDefault="00000000">
      <w:pPr>
        <w:pStyle w:val="Normal9"/>
        <w:widowControl w:val="0"/>
        <w:spacing w:before="120" w:line="260" w:lineRule="atLeast"/>
      </w:pPr>
      <w:r>
        <w:rPr>
          <w:rFonts w:ascii="Arial" w:eastAsia="Arial" w:hAnsi="Arial" w:cs="Arial"/>
          <w:color w:val="000000"/>
          <w:sz w:val="20"/>
        </w:rPr>
        <w:t>Cloe v. City of Indianapolis, 2012 U.S. Dist. LEXIS 31358 (S.D. Ind., Mar. 6, 2012)</w:t>
      </w:r>
    </w:p>
    <w:p w14:paraId="778E2D14" w14:textId="77777777" w:rsidR="00D041A2" w:rsidRDefault="00000000">
      <w:pPr>
        <w:pStyle w:val="Normal9"/>
        <w:widowControl w:val="0"/>
        <w:spacing w:before="240" w:line="260" w:lineRule="atLeast"/>
      </w:pPr>
      <w:bookmarkStart w:id="878" w:name="Counsel_8"/>
      <w:bookmarkEnd w:id="878"/>
      <w:r>
        <w:rPr>
          <w:rFonts w:ascii="Arial" w:eastAsia="Arial" w:hAnsi="Arial" w:cs="Arial"/>
          <w:b/>
          <w:color w:val="000000"/>
          <w:sz w:val="20"/>
        </w:rPr>
        <w:t>Counsel:</w:t>
      </w:r>
      <w:r>
        <w:rPr>
          <w:rFonts w:ascii="Arial" w:eastAsia="Arial" w:hAnsi="Arial" w:cs="Arial"/>
          <w:color w:val="000000"/>
          <w:sz w:val="20"/>
        </w:rPr>
        <w:t> For NANCIE J. CLOE, Plaintiff - Appellant: Adam Lenkowsky, Attorney, ROBERTS &amp; BISHOP, Indianapolis, IN.</w:t>
      </w:r>
    </w:p>
    <w:p w14:paraId="246444C4" w14:textId="77777777" w:rsidR="00D041A2" w:rsidRDefault="00000000">
      <w:pPr>
        <w:pStyle w:val="Normal9"/>
        <w:widowControl w:val="0"/>
        <w:spacing w:before="120" w:line="260" w:lineRule="atLeast"/>
      </w:pPr>
      <w:r>
        <w:rPr>
          <w:rFonts w:ascii="Arial" w:eastAsia="Arial" w:hAnsi="Arial" w:cs="Arial"/>
          <w:color w:val="000000"/>
          <w:sz w:val="20"/>
        </w:rPr>
        <w:t>For CITY OF INDIANAPOLIS, Defendant - Appellee: Cameron G. Starnes, Attorney, OFFICE OF THE CORPORATION COUNSEL, Indianapolis, IN.</w:t>
      </w:r>
    </w:p>
    <w:p w14:paraId="35AEC747" w14:textId="77777777" w:rsidR="00D041A2" w:rsidRDefault="00000000">
      <w:pPr>
        <w:pStyle w:val="Normal9"/>
        <w:widowControl w:val="0"/>
        <w:spacing w:before="240" w:line="260" w:lineRule="atLeast"/>
      </w:pPr>
      <w:bookmarkStart w:id="879" w:name="Judges_8"/>
      <w:bookmarkEnd w:id="879"/>
      <w:r>
        <w:rPr>
          <w:rFonts w:ascii="Arial" w:eastAsia="Arial" w:hAnsi="Arial" w:cs="Arial"/>
          <w:b/>
          <w:color w:val="000000"/>
          <w:sz w:val="20"/>
        </w:rPr>
        <w:t>Judges:</w:t>
      </w:r>
      <w:r>
        <w:rPr>
          <w:rFonts w:ascii="Arial" w:eastAsia="Arial" w:hAnsi="Arial" w:cs="Arial"/>
          <w:color w:val="000000"/>
          <w:sz w:val="20"/>
        </w:rPr>
        <w:t> Before KANNE, TINDER, and HAMILTON, Circuit Judges.</w:t>
      </w:r>
    </w:p>
    <w:p w14:paraId="0D1FD1DA" w14:textId="77777777" w:rsidR="00D041A2" w:rsidRDefault="00000000">
      <w:pPr>
        <w:pStyle w:val="Normal9"/>
        <w:widowControl w:val="0"/>
        <w:spacing w:before="240" w:line="260" w:lineRule="atLeast"/>
      </w:pPr>
      <w:bookmarkStart w:id="880" w:name="Opinion_by_5"/>
      <w:bookmarkEnd w:id="880"/>
      <w:r>
        <w:rPr>
          <w:rFonts w:ascii="Arial" w:eastAsia="Arial" w:hAnsi="Arial" w:cs="Arial"/>
          <w:b/>
          <w:color w:val="000000"/>
          <w:sz w:val="20"/>
        </w:rPr>
        <w:t>Opinion by:</w:t>
      </w:r>
      <w:r>
        <w:rPr>
          <w:rFonts w:ascii="Arial" w:eastAsia="Arial" w:hAnsi="Arial" w:cs="Arial"/>
          <w:color w:val="000000"/>
          <w:sz w:val="20"/>
        </w:rPr>
        <w:t> KANNE; HAMILTON</w:t>
      </w:r>
    </w:p>
    <w:p w14:paraId="18C2509E" w14:textId="77777777" w:rsidR="00D041A2" w:rsidRDefault="00000000">
      <w:pPr>
        <w:pStyle w:val="Normal9"/>
        <w:keepNext/>
        <w:widowControl w:val="0"/>
        <w:spacing w:before="240" w:line="340" w:lineRule="atLeast"/>
      </w:pPr>
      <w:bookmarkStart w:id="881" w:name="Opinion_8"/>
      <w:bookmarkEnd w:id="881"/>
      <w:r>
        <w:rPr>
          <w:rFonts w:ascii="Arial" w:eastAsia="Arial" w:hAnsi="Arial" w:cs="Arial"/>
          <w:b/>
          <w:color w:val="000000"/>
          <w:sz w:val="28"/>
        </w:rPr>
        <w:t>Opinion</w:t>
      </w:r>
    </w:p>
    <w:p w14:paraId="719B8E9E" w14:textId="3BEF5A56" w:rsidR="00D041A2" w:rsidRDefault="004D4403">
      <w:pPr>
        <w:pStyle w:val="Normal9"/>
        <w:spacing w:line="60" w:lineRule="exact"/>
      </w:pPr>
      <w:r>
        <w:rPr>
          <w:noProof/>
        </w:rPr>
        <mc:AlternateContent>
          <mc:Choice Requires="wps">
            <w:drawing>
              <wp:anchor distT="0" distB="0" distL="114300" distR="114300" simplePos="0" relativeHeight="251676672" behindDoc="0" locked="0" layoutInCell="1" allowOverlap="1" wp14:anchorId="2C65D4E5" wp14:editId="4CC8519A">
                <wp:simplePos x="0" y="0"/>
                <wp:positionH relativeFrom="column">
                  <wp:posOffset>0</wp:posOffset>
                </wp:positionH>
                <wp:positionV relativeFrom="paragraph">
                  <wp:posOffset>25400</wp:posOffset>
                </wp:positionV>
                <wp:extent cx="3187700" cy="0"/>
                <wp:effectExtent l="19050" t="15875" r="12700" b="12700"/>
                <wp:wrapTopAndBottom/>
                <wp:docPr id="142991665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4E918" id="Line 1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7BB3FB4" w14:textId="77777777" w:rsidR="00D041A2" w:rsidRDefault="00D041A2">
      <w:pPr>
        <w:pStyle w:val="Normal9"/>
      </w:pPr>
    </w:p>
    <w:p w14:paraId="6587C36A" w14:textId="77777777" w:rsidR="00D041A2" w:rsidRDefault="00000000">
      <w:pPr>
        <w:pStyle w:val="Normal9"/>
        <w:widowControl w:val="0"/>
        <w:spacing w:before="200" w:line="260" w:lineRule="atLeast"/>
        <w:jc w:val="both"/>
      </w:pPr>
      <w:bookmarkStart w:id="882" w:name="Bookmark_para_2_8"/>
      <w:bookmarkEnd w:id="882"/>
      <w:r>
        <w:rPr>
          <w:rFonts w:ascii="Arial" w:eastAsia="Arial" w:hAnsi="Arial" w:cs="Arial"/>
          <w:color w:val="000000"/>
          <w:sz w:val="20"/>
        </w:rPr>
        <w:t xml:space="preserve"> [*1173]  </w:t>
      </w:r>
      <w:r>
        <w:rPr>
          <w:rFonts w:ascii="Arial" w:eastAsia="Arial" w:hAnsi="Arial" w:cs="Arial"/>
          <w:smallCaps/>
          <w:color w:val="000000"/>
          <w:sz w:val="20"/>
        </w:rPr>
        <w:t>Kanne</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xml:space="preserve">. Nancie J. Cloe started working for the City of Indianapolis in April 2007. In March 2008, she was tragically diagnosed with multiple sclerosis ("MS"), a chronic, incurable neurological disorder that rendered her disabled and significantly impaired her day-to-day life. On June 29, 2009, the City terminated her, ostensibly for poor performance. Cloe sued under the Americans with Disabilities Act ("ADA"), 42 U.S.C. § 12101 </w:t>
      </w:r>
      <w:r>
        <w:rPr>
          <w:rFonts w:ascii="Arial" w:eastAsia="Arial" w:hAnsi="Arial" w:cs="Arial"/>
          <w:i/>
          <w:color w:val="000000"/>
          <w:sz w:val="20"/>
        </w:rPr>
        <w:t>et seq</w:t>
      </w:r>
      <w:r>
        <w:rPr>
          <w:rFonts w:ascii="Arial" w:eastAsia="Arial" w:hAnsi="Arial" w:cs="Arial"/>
          <w:color w:val="000000"/>
          <w:sz w:val="20"/>
        </w:rPr>
        <w:t>., alleging that the City (1) discriminated against her because of her disability; (2) failed to reasonably accommodate her disability; and (3) retaliated against her for requesting accommodations for her disability. The district court granted summary judgment in favor of the City. For the reasons that  [**2] follow, we affirm the district court's judgment on Cloe's reasonable accommodation claims, but reverse on her discrimination and retaliation claims.</w:t>
      </w:r>
    </w:p>
    <w:p w14:paraId="2460B06C" w14:textId="77777777" w:rsidR="00D041A2" w:rsidRDefault="00000000">
      <w:pPr>
        <w:pStyle w:val="Normal9"/>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Background</w:t>
      </w:r>
      <w:r>
        <w:rPr>
          <w:rFonts w:ascii="Arial" w:eastAsia="Arial" w:hAnsi="Arial" w:cs="Arial"/>
          <w:vertAlign w:val="superscript"/>
        </w:rPr>
        <w:footnoteReference w:customMarkFollows="1" w:id="48"/>
        <w:t>1</w:t>
      </w:r>
    </w:p>
    <w:p w14:paraId="2C5CDCD4" w14:textId="77777777" w:rsidR="00D041A2" w:rsidRDefault="00000000">
      <w:pPr>
        <w:pStyle w:val="Normal9"/>
        <w:widowControl w:val="0"/>
        <w:spacing w:before="200" w:line="260" w:lineRule="atLeast"/>
        <w:jc w:val="both"/>
      </w:pPr>
      <w:bookmarkStart w:id="886" w:name="Bookmark_para_3_8"/>
      <w:bookmarkEnd w:id="886"/>
      <w:r>
        <w:rPr>
          <w:rFonts w:ascii="Arial" w:eastAsia="Arial" w:hAnsi="Arial" w:cs="Arial"/>
          <w:color w:val="000000"/>
          <w:sz w:val="20"/>
        </w:rPr>
        <w:t>On May 1, 2007, the City of Indianapolis's Department of Metropolitan Development hired Nancie J. Cloe to work as an Unsafe Buildings/Nuisance Abatement Project Manager. Cloe's initial supervisor was Jennifer Greene, the Assistant Administrator of the Division of Community Economic Development. Wendy Cooper, a Senior Project Manager, became Cloe's supervisor shortly thereafter.</w:t>
      </w:r>
    </w:p>
    <w:p w14:paraId="01907056" w14:textId="77777777" w:rsidR="00D041A2" w:rsidRDefault="00000000">
      <w:pPr>
        <w:pStyle w:val="Normal9"/>
        <w:widowControl w:val="0"/>
        <w:spacing w:before="200" w:line="260" w:lineRule="atLeast"/>
        <w:jc w:val="both"/>
      </w:pPr>
      <w:bookmarkStart w:id="887" w:name="Bookmark_para_4_8"/>
      <w:bookmarkEnd w:id="887"/>
      <w:r>
        <w:rPr>
          <w:rFonts w:ascii="Arial" w:eastAsia="Arial" w:hAnsi="Arial" w:cs="Arial"/>
          <w:color w:val="000000"/>
          <w:sz w:val="20"/>
        </w:rPr>
        <w:t> [*1174]  One of Cloe's responsibilities was to arrange multi-agency sweeps of abandoned, derelict, and unsafe properties. This job required Cloe to coordinate various city agencies, including the police department, animal control, and code enforcement. It also required a lot of field work. During a sweep, Cloe would walk the neighborhood and talk with members of the community about their needs and concerns. Cloe would then monitor the agencies and write  [**3] reports about their progress. Cloe also responded to neighborhood complaints about derelict buildings and performed preliminary, walk-around inspections of abandoned structures. By all accounts, Cloe had a knack for field work—she received positive performance reviews and several community outreach awards from City leaders.</w:t>
      </w:r>
    </w:p>
    <w:p w14:paraId="1D323304" w14:textId="77777777" w:rsidR="00D041A2" w:rsidRDefault="00000000">
      <w:pPr>
        <w:pStyle w:val="Normal9"/>
        <w:widowControl w:val="0"/>
        <w:spacing w:before="200" w:line="260" w:lineRule="atLeast"/>
        <w:jc w:val="both"/>
      </w:pPr>
      <w:bookmarkStart w:id="888" w:name="Bookmark_para_5_8"/>
      <w:bookmarkEnd w:id="888"/>
      <w:r>
        <w:rPr>
          <w:rFonts w:ascii="Arial" w:eastAsia="Arial" w:hAnsi="Arial" w:cs="Arial"/>
          <w:color w:val="000000"/>
          <w:sz w:val="20"/>
        </w:rPr>
        <w:t>In March 2008, less than a year after she was hired, Cloe was diagnosed with MS. After Cloe received her MS diagnosis, her doctor ordered Cloe to take time off from work, in part because of the sometimes-debilitating nature of Cloe's disease. Cloe returned to work in late April 2008 but could only work 2-3 days a week and was restricted to desk duty. In May 2008, her doctor lifted some of Cloe's restrictions and allowed her to work 3-4 days a week of desk duty. Because Cloe's condition made it difficult for her to walk, her doctor also asked that Cloe be provided nearby parking and a personal printer. Before Cloe was diagnosed with MS, her job involved about 70% field work and 30% office work. Under her doctor's restrictions, however, Cloe's job became almost entirely desk-bound. Even after returning to work, Cloe continued to suffer the effects of her condition,  [**4] including difficulty walking, vision impairment, memory problems, difficulty concentrating, and poor spelling and grammar. Cloe also suffers from attention deficit hyperactivity disorder, panic attacks, fibromyalgia, and hypertension. According to Cloe, these conditions also impair her memory and ability to concentrate.</w:t>
      </w:r>
    </w:p>
    <w:p w14:paraId="29DBD488" w14:textId="77777777" w:rsidR="00D041A2" w:rsidRDefault="00000000">
      <w:pPr>
        <w:pStyle w:val="Normal9"/>
        <w:widowControl w:val="0"/>
        <w:spacing w:before="200" w:line="260" w:lineRule="atLeast"/>
        <w:jc w:val="both"/>
      </w:pPr>
      <w:bookmarkStart w:id="889" w:name="Bookmark_para_6_8"/>
      <w:bookmarkEnd w:id="889"/>
      <w:r>
        <w:rPr>
          <w:rFonts w:ascii="Arial" w:eastAsia="Arial" w:hAnsi="Arial" w:cs="Arial"/>
          <w:color w:val="000000"/>
          <w:sz w:val="20"/>
        </w:rPr>
        <w:t>Starting in June 2008, Cloe began having trouble with her supervisor. On June 26, 2008, Cooper ordered Cloe not to attend a sweep scheduled for the following day because she believed it was a risk to Cloe's health. Cloe attended anyway, and Cooper issued her a written disciplinary action for insubordination. Cloe attributed the incident to miscommunication, and Cooper's overall review of Cloe's performance at the end of the year remained positive.</w:t>
      </w:r>
    </w:p>
    <w:p w14:paraId="71752D99" w14:textId="77777777" w:rsidR="00D041A2" w:rsidRDefault="00000000">
      <w:pPr>
        <w:pStyle w:val="Normal9"/>
        <w:widowControl w:val="0"/>
        <w:spacing w:before="200" w:line="260" w:lineRule="atLeast"/>
        <w:jc w:val="both"/>
      </w:pPr>
      <w:bookmarkStart w:id="890" w:name="Bookmark_para_7_8"/>
      <w:bookmarkEnd w:id="890"/>
      <w:r>
        <w:rPr>
          <w:rFonts w:ascii="Arial" w:eastAsia="Arial" w:hAnsi="Arial" w:cs="Arial"/>
          <w:color w:val="000000"/>
          <w:sz w:val="20"/>
        </w:rPr>
        <w:t>In late 2008, the City restructured its approach to abandoned housing. As part of the restructuring, Cloe's old job duties were divided among various new positions. Cloe accepted one of those positions on January 5, 2009, and became the "Boarding Manager." On the same day, Michelle Winfield, the Unsafe Buildings Manager, became Cloe's new supervisor.</w:t>
      </w:r>
    </w:p>
    <w:p w14:paraId="37633404" w14:textId="77777777" w:rsidR="00D041A2" w:rsidRDefault="00000000">
      <w:pPr>
        <w:pStyle w:val="Normal9"/>
        <w:widowControl w:val="0"/>
        <w:spacing w:before="200" w:line="260" w:lineRule="atLeast"/>
        <w:jc w:val="both"/>
      </w:pPr>
      <w:bookmarkStart w:id="891" w:name="Bookmark_para_8_7"/>
      <w:bookmarkEnd w:id="891"/>
      <w:r>
        <w:rPr>
          <w:rFonts w:ascii="Arial" w:eastAsia="Arial" w:hAnsi="Arial" w:cs="Arial"/>
          <w:color w:val="000000"/>
          <w:sz w:val="20"/>
        </w:rPr>
        <w:t>After Winfield became Cloe's supervisor, things quickly went downhill. On January  [**5] 26, 2009, Winfield assigned Cloe a large research project to be finished by 5:00 p.m. on January 29, 2009. On January 27, 2009, Cloe requested leave under the Family and Medical Leave Act for January 29 and January 30. Winfield approved the requests, but she also reminded Cloe of the January 29 deadline and offered to help Cloe meet the deadline if necessary. Cloe assured Winfield that she would finish the project on time. The following day, January 28, Winfield again reminded Cloe of the deadline and offered to help her meet it. Cloe again declined and said she could finish the project on her own. Later that day, however, Winfield's supervisor, Janna Mays, contacted Cloe directly and told her the deadline had been pushed back several days. Cloe assumed that Winfield had  [*1175]  been told the same thing and informed Winfield that she would not be able to finish the project by January 29. As a result, on February 2, 2009, Winfield issued Cloe a written disciplinary notice for poor work performance and failure to perform an assigned duty.</w:t>
      </w:r>
    </w:p>
    <w:p w14:paraId="73CF4F32" w14:textId="77777777" w:rsidR="00D041A2" w:rsidRDefault="00000000">
      <w:pPr>
        <w:pStyle w:val="Normal9"/>
        <w:widowControl w:val="0"/>
        <w:spacing w:before="200" w:line="260" w:lineRule="atLeast"/>
        <w:jc w:val="both"/>
      </w:pPr>
      <w:bookmarkStart w:id="892" w:name="Bookmark_para_9_7"/>
      <w:bookmarkEnd w:id="892"/>
      <w:r>
        <w:rPr>
          <w:rFonts w:ascii="Arial" w:eastAsia="Arial" w:hAnsi="Arial" w:cs="Arial"/>
          <w:color w:val="000000"/>
          <w:sz w:val="20"/>
        </w:rPr>
        <w:t>At around the same time, Winfield also started expressing concern with Cloe's written work. Beginning in late 2008, other agencies and vendors started complaining  [**6] that they could not understand some of Cloe's written communication. At a February 6, 2009 meeting, Cloe, Winfield, and several others discussed a number of issues, including poor spelling, bad grammar, and incorrect addresses on demolition requests. A few days later, Winfield gave Cloe a written Memorandum of Understanding that directed Cloe to double-check and read documents aloud, to have a second person edit her work, and to submit documents for Winfield's review before sending them out.</w:t>
      </w:r>
    </w:p>
    <w:p w14:paraId="731E37E2" w14:textId="77777777" w:rsidR="00D041A2" w:rsidRDefault="00000000">
      <w:pPr>
        <w:pStyle w:val="Normal9"/>
        <w:widowControl w:val="0"/>
        <w:spacing w:before="200" w:line="260" w:lineRule="atLeast"/>
        <w:jc w:val="both"/>
      </w:pPr>
      <w:bookmarkStart w:id="893" w:name="Bookmark_para_10_7"/>
      <w:bookmarkEnd w:id="893"/>
      <w:r>
        <w:rPr>
          <w:rFonts w:ascii="Arial" w:eastAsia="Arial" w:hAnsi="Arial" w:cs="Arial"/>
          <w:color w:val="000000"/>
          <w:sz w:val="20"/>
        </w:rPr>
        <w:t>On April 8, 2009, Cloe received a citizen complaint about an unsafe structure in need of emergency demolition. Cloe called Winfield and asked for permission to inspect the structure that evening. Winfield said no. The following morning, April 9, 2009, Cloe went to the property, took photos, and sent them to the responsible agency. She did not directly request an emergency demolition, though, because she did not think it was her job. At about 4:00 p.m. that afternoon, Cloe called Winfield to tell her about the property and to ask for permission to attend the demolition. Winfield ordered Cloe not to attend.</w:t>
      </w:r>
    </w:p>
    <w:p w14:paraId="6952C9B7" w14:textId="77777777" w:rsidR="00D041A2" w:rsidRDefault="00000000">
      <w:pPr>
        <w:pStyle w:val="Normal9"/>
        <w:widowControl w:val="0"/>
        <w:spacing w:before="200" w:line="260" w:lineRule="atLeast"/>
        <w:jc w:val="both"/>
      </w:pPr>
      <w:bookmarkStart w:id="894" w:name="Bookmark_para_11_6"/>
      <w:bookmarkEnd w:id="894"/>
      <w:r>
        <w:rPr>
          <w:rFonts w:ascii="Arial" w:eastAsia="Arial" w:hAnsi="Arial" w:cs="Arial"/>
          <w:color w:val="000000"/>
          <w:sz w:val="20"/>
        </w:rPr>
        <w:t>Sometime after 5:00 p.m. that day, Winfield discovered that nobody had actually ordered an emergency  [**7] demolition. Winfield managed to schedule the demolition for that evening, but the City ended up having to pay several hundred dollars in overtime because of the late notice. Although Winfield had forbidden Cloe to attend the demolition, another supervisor told Cloe to contact the neighbors and inform them about the demolition. Cloe drove out to the neighborhood, sat and visited with the neighbors, and watched the preparations for the demolition. Once the demolition started, Cloe left.</w:t>
      </w:r>
    </w:p>
    <w:p w14:paraId="281171FC" w14:textId="77777777" w:rsidR="00D041A2" w:rsidRDefault="00000000">
      <w:pPr>
        <w:pStyle w:val="Normal9"/>
        <w:widowControl w:val="0"/>
        <w:spacing w:before="200" w:line="260" w:lineRule="atLeast"/>
        <w:jc w:val="both"/>
      </w:pPr>
      <w:bookmarkStart w:id="895" w:name="Bookmark_para_12_5"/>
      <w:bookmarkEnd w:id="895"/>
      <w:r>
        <w:rPr>
          <w:rFonts w:ascii="Arial" w:eastAsia="Arial" w:hAnsi="Arial" w:cs="Arial"/>
          <w:color w:val="000000"/>
          <w:sz w:val="20"/>
        </w:rPr>
        <w:t>A few weeks later—sometime in late April 2009—Cloe met with Winfield and Mays. During the meeting, Cloe told Mays and Winfield that she had to leave early because of a doctor's appointment. Both Mays and Winfield expressed anger that Cloe was leaving early. Approximately one week later, on May 4, 2009, Winfield disciplined Cloe for failing to schedule the April 9 emergency demolition and for later attending the demolition contrary to orders. Winfield also signed a Performance Improvement Plan stating that Cloe's performance was "below expectations," that she had "consistently turned in inaccurate work," and that she had been "dishonest and insubordinate." (R. 46-32 at 10.) On June 11, 2009, Mays issued  [**8] a Notice of Unacceptable Performance or Conduct. That notice indicated that "requirements for satisfactory performance [by Cloe] have continued to be unmet" and recommended Cloe's termination. (R. 46-35.) The City accepted the recommendation and terminated Cloe on June 29, 2009. Cloe sued, alleging that the City (1) failed to accommodate her disability; (2) discriminated against her because of her disability; and (3) retaliated against her for requesting accommodations for her disability. The district court granted summary judgment in favor of the City, and Cloe timely appealed.</w:t>
      </w:r>
      <w:r>
        <w:rPr>
          <w:rFonts w:ascii="Arial" w:eastAsia="Arial" w:hAnsi="Arial" w:cs="Arial"/>
          <w:vertAlign w:val="superscript"/>
        </w:rPr>
        <w:footnoteReference w:customMarkFollows="1" w:id="49"/>
        <w:t>2</w:t>
      </w:r>
    </w:p>
    <w:p w14:paraId="404E97BB" w14:textId="77777777" w:rsidR="00D041A2" w:rsidRDefault="00000000">
      <w:pPr>
        <w:pStyle w:val="Normal9"/>
        <w:widowControl w:val="0"/>
        <w:spacing w:before="240" w:line="260" w:lineRule="atLeast"/>
      </w:pPr>
      <w:r>
        <w:br/>
      </w:r>
      <w:r>
        <w:rPr>
          <w:rFonts w:ascii="Arial" w:eastAsia="Arial" w:hAnsi="Arial" w:cs="Arial"/>
          <w:color w:val="000000"/>
          <w:sz w:val="20"/>
        </w:rPr>
        <w:t xml:space="preserve"> [*1176]  </w:t>
      </w:r>
      <w:r>
        <w:rPr>
          <w:rFonts w:ascii="Arial" w:eastAsia="Arial" w:hAnsi="Arial" w:cs="Arial"/>
          <w:b/>
          <w:color w:val="000000"/>
          <w:sz w:val="20"/>
        </w:rPr>
        <w:t xml:space="preserve">II. </w:t>
      </w:r>
      <w:r>
        <w:rPr>
          <w:rFonts w:ascii="Arial" w:eastAsia="Arial" w:hAnsi="Arial" w:cs="Arial"/>
          <w:b/>
          <w:smallCaps/>
          <w:color w:val="000000"/>
          <w:sz w:val="20"/>
        </w:rPr>
        <w:t>Analysis</w:t>
      </w:r>
    </w:p>
    <w:p w14:paraId="221FA9D7" w14:textId="77777777" w:rsidR="00D041A2" w:rsidRDefault="00000000">
      <w:pPr>
        <w:pStyle w:val="Normal9"/>
        <w:widowControl w:val="0"/>
        <w:spacing w:before="200" w:line="260" w:lineRule="atLeast"/>
        <w:jc w:val="both"/>
      </w:pPr>
      <w:bookmarkStart w:id="897" w:name="Bookmark_para_13_4"/>
      <w:bookmarkStart w:id="898" w:name="Bookmark_I589KJPV2SF7YM0040000400"/>
      <w:bookmarkStart w:id="899" w:name="Bookmark_LNHNREFclscc1_4"/>
      <w:bookmarkEnd w:id="897"/>
      <w:bookmarkEnd w:id="898"/>
      <w:bookmarkEnd w:id="899"/>
      <w:r>
        <w:rPr>
          <w:rFonts w:ascii="Arial" w:eastAsia="Arial" w:hAnsi="Arial" w:cs="Arial"/>
          <w:color w:val="000000"/>
          <w:sz w:val="20"/>
        </w:rPr>
        <w:t xml:space="preserve">Summary judgment is proper where "there is no genuine dispute as to any material fact and the movant is entitled to judgment as a matter of law." Fed. R. Civ. P. 56(a). </w:t>
      </w:r>
      <w:bookmarkStart w:id="900" w:name="Bookmark_I589KJPV2HM67B0010000400"/>
      <w:bookmarkStart w:id="901" w:name="Bookmark_LNHNREFclscc2_4"/>
      <w:bookmarkEnd w:id="900"/>
      <w:bookmarkEnd w:id="901"/>
      <w:r>
        <w:rPr>
          <w:rFonts w:ascii="Arial" w:eastAsia="Arial" w:hAnsi="Arial" w:cs="Arial"/>
          <w:color w:val="000000"/>
          <w:sz w:val="20"/>
        </w:rPr>
        <w:t xml:space="preserve">We review the district court's entry of summary judgment </w:t>
      </w:r>
      <w:r>
        <w:rPr>
          <w:rFonts w:ascii="Arial" w:eastAsia="Arial" w:hAnsi="Arial" w:cs="Arial"/>
          <w:i/>
          <w:color w:val="000000"/>
          <w:sz w:val="20"/>
        </w:rPr>
        <w:t>de novo</w:t>
      </w:r>
      <w:r>
        <w:rPr>
          <w:rFonts w:ascii="Arial" w:eastAsia="Arial" w:hAnsi="Arial" w:cs="Arial"/>
          <w:color w:val="000000"/>
          <w:sz w:val="20"/>
        </w:rPr>
        <w:t xml:space="preserve">, viewing all of the evidence in the light most favorable to the nonmoving party. </w:t>
      </w:r>
      <w:bookmarkStart w:id="902" w:name="Bookmark_I589KJPV2SF7YM0030000400"/>
      <w:bookmarkEnd w:id="902"/>
      <w:r>
        <w:rPr>
          <w:rFonts w:ascii="Arial" w:eastAsia="Arial" w:hAnsi="Arial" w:cs="Arial"/>
          <w:i/>
          <w:color w:val="000000"/>
          <w:sz w:val="20"/>
        </w:rPr>
        <w:t>Arizanovska</w:t>
      </w:r>
      <w:r>
        <w:rPr>
          <w:rFonts w:ascii="Arial" w:eastAsia="Arial" w:hAnsi="Arial" w:cs="Arial"/>
          <w:color w:val="000000"/>
          <w:sz w:val="20"/>
        </w:rPr>
        <w:t xml:space="preserve">, 682 F.3d at 702. </w:t>
      </w:r>
      <w:bookmarkStart w:id="903" w:name="Bookmark_I589KJPV2HM67B0010000400_2"/>
      <w:bookmarkEnd w:id="903"/>
      <w:r>
        <w:rPr>
          <w:rFonts w:ascii="Arial" w:eastAsia="Arial" w:hAnsi="Arial" w:cs="Arial"/>
          <w:color w:val="000000"/>
          <w:sz w:val="20"/>
        </w:rPr>
        <w:t xml:space="preserve"> [**9] "However, our favor toward the nonmoving party does not extend to drawing inferences that are supported by only speculation or conjecture." </w:t>
      </w:r>
      <w:bookmarkStart w:id="904" w:name="Bookmark_I589KJPV2SF7YM0050000400"/>
      <w:bookmarkEnd w:id="904"/>
      <w:r>
        <w:rPr>
          <w:rFonts w:ascii="Arial" w:eastAsia="Arial" w:hAnsi="Arial" w:cs="Arial"/>
          <w:i/>
          <w:color w:val="000000"/>
          <w:sz w:val="20"/>
        </w:rPr>
        <w:t>Harper v. C.R. England, Inc</w:t>
      </w:r>
      <w:r>
        <w:rPr>
          <w:rFonts w:ascii="Arial" w:eastAsia="Arial" w:hAnsi="Arial" w:cs="Arial"/>
          <w:color w:val="000000"/>
          <w:sz w:val="20"/>
        </w:rPr>
        <w:t>., 687 F.3d 297, 306 (7th Cir. 2012) (internal quotation marks and brackets omitted). Rather,</w:t>
      </w:r>
      <w:bookmarkStart w:id="905" w:name="Bookmark_LNHNREFclscc3_4"/>
      <w:bookmarkEnd w:id="905"/>
      <w:r>
        <w:rPr>
          <w:rFonts w:ascii="Arial" w:eastAsia="Arial" w:hAnsi="Arial" w:cs="Arial"/>
          <w:color w:val="000000"/>
          <w:sz w:val="20"/>
        </w:rPr>
        <w:t xml:space="preserve"> a genuine issue of material fact exists only if there is enough evidence that a reasonable jury could return a verdict in favor of the nonmoving party. </w:t>
      </w:r>
      <w:r>
        <w:rPr>
          <w:rFonts w:ascii="Arial" w:eastAsia="Arial" w:hAnsi="Arial" w:cs="Arial"/>
          <w:i/>
          <w:color w:val="000000"/>
          <w:sz w:val="20"/>
        </w:rPr>
        <w:t>Id</w:t>
      </w:r>
      <w:r>
        <w:rPr>
          <w:rFonts w:ascii="Arial" w:eastAsia="Arial" w:hAnsi="Arial" w:cs="Arial"/>
          <w:color w:val="000000"/>
          <w:sz w:val="20"/>
        </w:rPr>
        <w:t>.</w:t>
      </w:r>
    </w:p>
    <w:p w14:paraId="33C36CD5" w14:textId="77777777" w:rsidR="00D041A2" w:rsidRDefault="00000000">
      <w:pPr>
        <w:pStyle w:val="Normal9"/>
        <w:widowControl w:val="0"/>
        <w:spacing w:before="240" w:line="260" w:lineRule="atLeast"/>
      </w:pPr>
      <w:r>
        <w:br/>
      </w:r>
      <w:r>
        <w:rPr>
          <w:rFonts w:ascii="Arial" w:eastAsia="Arial" w:hAnsi="Arial" w:cs="Arial"/>
          <w:i/>
          <w:color w:val="000000"/>
          <w:sz w:val="20"/>
        </w:rPr>
        <w:t>A. Reasonable Accommodation</w:t>
      </w:r>
    </w:p>
    <w:p w14:paraId="6B32E50B" w14:textId="77777777" w:rsidR="00D041A2" w:rsidRDefault="00000000">
      <w:pPr>
        <w:pStyle w:val="Normal9"/>
        <w:widowControl w:val="0"/>
        <w:spacing w:before="200" w:line="260" w:lineRule="atLeast"/>
        <w:jc w:val="both"/>
      </w:pPr>
      <w:bookmarkStart w:id="906" w:name="Bookmark_para_14_4"/>
      <w:bookmarkStart w:id="907" w:name="Bookmark_I0BH7FS7PTT000VXMJ400497"/>
      <w:bookmarkStart w:id="908" w:name="Bookmark_I589KJPV2HM67B0030000400"/>
      <w:bookmarkEnd w:id="906"/>
      <w:bookmarkEnd w:id="907"/>
      <w:bookmarkEnd w:id="908"/>
      <w:r>
        <w:rPr>
          <w:rFonts w:ascii="Arial" w:eastAsia="Arial" w:hAnsi="Arial" w:cs="Arial"/>
          <w:color w:val="000000"/>
          <w:sz w:val="20"/>
        </w:rPr>
        <w:t xml:space="preserve">We will start with Cloe's reasonable accommodation claims. </w:t>
      </w:r>
      <w:bookmarkStart w:id="909" w:name="Bookmark_LNHNREFclscc4_4"/>
      <w:bookmarkEnd w:id="909"/>
      <w:r>
        <w:rPr>
          <w:rFonts w:ascii="Arial" w:eastAsia="Arial" w:hAnsi="Arial" w:cs="Arial"/>
          <w:color w:val="000000"/>
          <w:sz w:val="20"/>
        </w:rPr>
        <w:t xml:space="preserve">The ADA requires employers to make "reasonable accommodations to the known physical or mental limitations of an otherwise qualified individual with a disability who is an applicant or employee, unless [the employer] can demonstrate that the accommodation would impose an undue hardship on the operation of the business of [the employer]." 42 U.S.C. § 12112(b)(5)(A). In order to establish a prima facie case of failure to accommodate under the ADA, "a plaintiff must show that: (1) she is a qualified individual with a disability; (2) the employer was aware of her disability; and (3) the employer failed to reasonably accommodate the disability." </w:t>
      </w:r>
      <w:bookmarkStart w:id="910" w:name="Bookmark_I589KJPV2HM67B0020000400"/>
      <w:bookmarkEnd w:id="910"/>
      <w:r>
        <w:rPr>
          <w:rFonts w:ascii="Arial" w:eastAsia="Arial" w:hAnsi="Arial" w:cs="Arial"/>
          <w:i/>
          <w:color w:val="000000"/>
          <w:sz w:val="20"/>
        </w:rPr>
        <w:t>Kotwica v. Rose Packing Co</w:t>
      </w:r>
      <w:r>
        <w:rPr>
          <w:rFonts w:ascii="Arial" w:eastAsia="Arial" w:hAnsi="Arial" w:cs="Arial"/>
          <w:color w:val="000000"/>
          <w:sz w:val="20"/>
        </w:rPr>
        <w:t>., 637 F.3d 744, 747-48 (7th Cir. 2011).</w:t>
      </w:r>
    </w:p>
    <w:p w14:paraId="1A89C3A5" w14:textId="77777777" w:rsidR="00D041A2" w:rsidRDefault="00000000">
      <w:pPr>
        <w:pStyle w:val="Normal9"/>
        <w:widowControl w:val="0"/>
        <w:spacing w:before="200" w:line="260" w:lineRule="atLeast"/>
        <w:jc w:val="both"/>
      </w:pPr>
      <w:bookmarkStart w:id="911" w:name="Bookmark_para_15_4"/>
      <w:bookmarkStart w:id="912" w:name="Bookmark_I589KJPV2HM67B0050000400"/>
      <w:bookmarkStart w:id="913" w:name="Bookmark_LNHNREFclscc5_4"/>
      <w:bookmarkEnd w:id="911"/>
      <w:bookmarkEnd w:id="912"/>
      <w:bookmarkEnd w:id="913"/>
      <w:r>
        <w:rPr>
          <w:rFonts w:ascii="Arial" w:eastAsia="Arial" w:hAnsi="Arial" w:cs="Arial"/>
          <w:color w:val="000000"/>
          <w:sz w:val="20"/>
        </w:rPr>
        <w:t xml:space="preserve">The  [**10] ADA's reasonable accommodation requirement applies only to "known" disabilities. 42 U.S.C. § 12112(b)(5)(A). </w:t>
      </w:r>
      <w:bookmarkStart w:id="914" w:name="Bookmark_I589KJPV2N1RVC0040000400"/>
      <w:bookmarkEnd w:id="914"/>
      <w:r>
        <w:rPr>
          <w:rFonts w:ascii="Arial" w:eastAsia="Arial" w:hAnsi="Arial" w:cs="Arial"/>
          <w:color w:val="000000"/>
          <w:sz w:val="20"/>
        </w:rPr>
        <w:t xml:space="preserve">Thus, "a plaintiff must normally request an accommodation before liability under the ADA attaches." </w:t>
      </w:r>
      <w:bookmarkStart w:id="915" w:name="Bookmark_I589KJPV2HM67B0040000400"/>
      <w:bookmarkEnd w:id="915"/>
      <w:r>
        <w:rPr>
          <w:rFonts w:ascii="Arial" w:eastAsia="Arial" w:hAnsi="Arial" w:cs="Arial"/>
          <w:i/>
          <w:color w:val="000000"/>
          <w:sz w:val="20"/>
        </w:rPr>
        <w:t>Fleishman v. Cont'l Cas. Co</w:t>
      </w:r>
      <w:r>
        <w:rPr>
          <w:rFonts w:ascii="Arial" w:eastAsia="Arial" w:hAnsi="Arial" w:cs="Arial"/>
          <w:color w:val="000000"/>
          <w:sz w:val="20"/>
        </w:rPr>
        <w:t xml:space="preserve">., 698 F.3d 598, 608 (7th Cir. 2012); </w:t>
      </w:r>
      <w:r>
        <w:rPr>
          <w:rFonts w:ascii="Arial" w:eastAsia="Arial" w:hAnsi="Arial" w:cs="Arial"/>
          <w:i/>
          <w:color w:val="000000"/>
          <w:sz w:val="20"/>
        </w:rPr>
        <w:t xml:space="preserve">see also </w:t>
      </w:r>
      <w:bookmarkStart w:id="916" w:name="Bookmark_I589KJPV2N1RVC0010000400"/>
      <w:bookmarkEnd w:id="916"/>
      <w:r>
        <w:rPr>
          <w:rFonts w:ascii="Arial" w:eastAsia="Arial" w:hAnsi="Arial" w:cs="Arial"/>
          <w:i/>
          <w:color w:val="000000"/>
          <w:sz w:val="20"/>
        </w:rPr>
        <w:t>Jovanovic v. In-Sink-Erator Div. of Emerson Elec. Co</w:t>
      </w:r>
      <w:r>
        <w:rPr>
          <w:rFonts w:ascii="Arial" w:eastAsia="Arial" w:hAnsi="Arial" w:cs="Arial"/>
          <w:color w:val="000000"/>
          <w:sz w:val="20"/>
        </w:rPr>
        <w:t xml:space="preserve">., 201 F.3d 894, 899 (7th Cir. 2000) ("Although there will be exceptions to the general rule . . . the standard rule is that a plaintiff must normally request an accommodation before liability under the ADA attaches.") (internal citation omitted). Once the employer has been put on notice, the employer must take reasonable steps to accommodate the employee's disability. </w:t>
      </w:r>
      <w:bookmarkStart w:id="917" w:name="Bookmark_I589KJPV2N1RVC0040000400_2"/>
      <w:bookmarkEnd w:id="917"/>
      <w:r>
        <w:rPr>
          <w:rFonts w:ascii="Arial" w:eastAsia="Arial" w:hAnsi="Arial" w:cs="Arial"/>
          <w:color w:val="000000"/>
          <w:sz w:val="20"/>
        </w:rPr>
        <w:t xml:space="preserve">"'The duty of reasonable accommodation is satisfied when the employer does what is necessary to enable the disabled worker to work in reasonable comfort.'" </w:t>
      </w:r>
      <w:bookmarkStart w:id="918" w:name="Bookmark_I589KJPV2N1RVC0030000400"/>
      <w:bookmarkEnd w:id="918"/>
      <w:r>
        <w:rPr>
          <w:rFonts w:ascii="Arial" w:eastAsia="Arial" w:hAnsi="Arial" w:cs="Arial"/>
          <w:i/>
          <w:color w:val="000000"/>
          <w:sz w:val="20"/>
        </w:rPr>
        <w:t>EEOC v. Sears, Roebuck &amp; Co</w:t>
      </w:r>
      <w:r>
        <w:rPr>
          <w:rFonts w:ascii="Arial" w:eastAsia="Arial" w:hAnsi="Arial" w:cs="Arial"/>
          <w:color w:val="000000"/>
          <w:sz w:val="20"/>
        </w:rPr>
        <w:t>., 417 F.3d 789, 803 (7th Cir. 2005) (</w:t>
      </w:r>
      <w:r>
        <w:rPr>
          <w:rFonts w:ascii="Arial" w:eastAsia="Arial" w:hAnsi="Arial" w:cs="Arial"/>
          <w:i/>
          <w:color w:val="000000"/>
          <w:sz w:val="20"/>
        </w:rPr>
        <w:t xml:space="preserve">quoting </w:t>
      </w:r>
      <w:bookmarkStart w:id="919" w:name="Bookmark_I589KJPV2N1RVC0050000400"/>
      <w:bookmarkEnd w:id="919"/>
      <w:r>
        <w:rPr>
          <w:rFonts w:ascii="Arial" w:eastAsia="Arial" w:hAnsi="Arial" w:cs="Arial"/>
          <w:i/>
          <w:color w:val="000000"/>
          <w:sz w:val="20"/>
        </w:rPr>
        <w:t>Vande Zande v. Wis. Dep't of Admin</w:t>
      </w:r>
      <w:r>
        <w:rPr>
          <w:rFonts w:ascii="Arial" w:eastAsia="Arial" w:hAnsi="Arial" w:cs="Arial"/>
          <w:color w:val="000000"/>
          <w:sz w:val="20"/>
        </w:rPr>
        <w:t>., 44 F.3d 538, 546 (7th Cir. 1995)).</w:t>
      </w:r>
    </w:p>
    <w:p w14:paraId="3223531B" w14:textId="77777777" w:rsidR="00D041A2" w:rsidRDefault="00000000">
      <w:pPr>
        <w:pStyle w:val="Normal9"/>
        <w:widowControl w:val="0"/>
        <w:spacing w:before="200" w:line="260" w:lineRule="atLeast"/>
        <w:jc w:val="both"/>
      </w:pPr>
      <w:bookmarkStart w:id="920" w:name="Bookmark_para_16_4"/>
      <w:bookmarkEnd w:id="920"/>
      <w:r>
        <w:rPr>
          <w:rFonts w:ascii="Arial" w:eastAsia="Arial" w:hAnsi="Arial" w:cs="Arial"/>
          <w:color w:val="000000"/>
          <w:sz w:val="20"/>
        </w:rPr>
        <w:t>Here, Cloe contends that the City failed to reasonably accommodate her by (1) failing to timely provide a nearby parking space; (2) failing to timely provide her with a printer close to her office;  [**11] and (3) failing to help proofread her work. We address each argument in turn.</w:t>
      </w:r>
    </w:p>
    <w:p w14:paraId="1037F533" w14:textId="77777777" w:rsidR="00D041A2" w:rsidRDefault="00000000">
      <w:pPr>
        <w:pStyle w:val="Normal9"/>
        <w:widowControl w:val="0"/>
        <w:spacing w:before="240" w:line="260" w:lineRule="atLeast"/>
      </w:pPr>
      <w:r>
        <w:br/>
      </w:r>
      <w:r>
        <w:rPr>
          <w:rFonts w:ascii="Arial" w:eastAsia="Arial" w:hAnsi="Arial" w:cs="Arial"/>
          <w:i/>
          <w:color w:val="000000"/>
          <w:sz w:val="20"/>
        </w:rPr>
        <w:t>1. Parking space</w:t>
      </w:r>
    </w:p>
    <w:p w14:paraId="4DC65674" w14:textId="77777777" w:rsidR="00D041A2" w:rsidRDefault="00000000">
      <w:pPr>
        <w:pStyle w:val="Normal9"/>
        <w:widowControl w:val="0"/>
        <w:spacing w:before="200" w:line="260" w:lineRule="atLeast"/>
        <w:jc w:val="both"/>
      </w:pPr>
      <w:bookmarkStart w:id="921" w:name="Bookmark_para_17_4"/>
      <w:bookmarkStart w:id="922" w:name="Bookmark_I589KJPV2D6NV70030000400"/>
      <w:bookmarkEnd w:id="921"/>
      <w:bookmarkEnd w:id="922"/>
      <w:r>
        <w:rPr>
          <w:rFonts w:ascii="Arial" w:eastAsia="Arial" w:hAnsi="Arial" w:cs="Arial"/>
          <w:color w:val="000000"/>
          <w:sz w:val="20"/>
        </w:rPr>
        <w:t xml:space="preserve">Cloe first argues that the City failed to grant her request for a nearby parking space within a reasonable amount of time. The timeline of events for this claim is a little hazy, but, viewed in the light most favorable to Cloe, </w:t>
      </w:r>
      <w:r>
        <w:rPr>
          <w:rFonts w:ascii="Arial" w:eastAsia="Arial" w:hAnsi="Arial" w:cs="Arial"/>
          <w:i/>
          <w:color w:val="000000"/>
          <w:sz w:val="20"/>
        </w:rPr>
        <w:t xml:space="preserve">see </w:t>
      </w:r>
      <w:bookmarkStart w:id="923" w:name="Bookmark_I589KJPV2D6NV70020000400"/>
      <w:bookmarkEnd w:id="923"/>
      <w:r>
        <w:rPr>
          <w:rFonts w:ascii="Arial" w:eastAsia="Arial" w:hAnsi="Arial" w:cs="Arial"/>
          <w:i/>
          <w:color w:val="000000"/>
          <w:sz w:val="20"/>
        </w:rPr>
        <w:t>Arizanovska</w:t>
      </w:r>
      <w:r>
        <w:rPr>
          <w:rFonts w:ascii="Arial" w:eastAsia="Arial" w:hAnsi="Arial" w:cs="Arial"/>
          <w:color w:val="000000"/>
          <w:sz w:val="20"/>
        </w:rPr>
        <w:t>, 682 F.3d at 702, the evidence suggests as follows:</w:t>
      </w:r>
    </w:p>
    <w:p w14:paraId="4CEF916F" w14:textId="77777777" w:rsidR="00D041A2" w:rsidRDefault="00000000">
      <w:pPr>
        <w:pStyle w:val="Normal9"/>
        <w:widowControl w:val="0"/>
        <w:spacing w:before="200" w:line="260" w:lineRule="atLeast"/>
        <w:jc w:val="both"/>
      </w:pPr>
      <w:bookmarkStart w:id="924" w:name="Bookmark_para_18_4"/>
      <w:bookmarkStart w:id="925" w:name="Bookmark_I589KJPV2D6NV70050000400"/>
      <w:bookmarkEnd w:id="924"/>
      <w:bookmarkEnd w:id="925"/>
      <w:r>
        <w:rPr>
          <w:rFonts w:ascii="Arial" w:eastAsia="Arial" w:hAnsi="Arial" w:cs="Arial"/>
          <w:color w:val="000000"/>
          <w:sz w:val="20"/>
        </w:rPr>
        <w:t>Cloe worked at the Indianapolis City-County Building located at 200 East Washington Street in downtown Indianapolis. [*1177]  (R. 54-1 at ¶ 4.) When Cloe first started working there, she was assigned parking in a garage at the intersection of Maryland Street and Alabama Street, about two blocks away.</w:t>
      </w:r>
      <w:r>
        <w:rPr>
          <w:rFonts w:ascii="Arial" w:eastAsia="Arial" w:hAnsi="Arial" w:cs="Arial"/>
          <w:vertAlign w:val="superscript"/>
        </w:rPr>
        <w:footnoteReference w:customMarkFollows="1" w:id="50"/>
        <w:t>3</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at ¶ 3.) In April 2008, Cloe mentioned to her supervisors that she was having trouble walking from the parking garage. (</w:t>
      </w:r>
      <w:r>
        <w:rPr>
          <w:rFonts w:ascii="Arial" w:eastAsia="Arial" w:hAnsi="Arial" w:cs="Arial"/>
          <w:i/>
          <w:color w:val="000000"/>
          <w:sz w:val="20"/>
        </w:rPr>
        <w:t>Id</w:t>
      </w:r>
      <w:r>
        <w:rPr>
          <w:rFonts w:ascii="Arial" w:eastAsia="Arial" w:hAnsi="Arial" w:cs="Arial"/>
          <w:color w:val="000000"/>
          <w:sz w:val="20"/>
        </w:rPr>
        <w:t>. at ¶ 4.) The record does not indicate, however, that she specifically requested an accommodation based on this difficulty. (</w:t>
      </w:r>
      <w:r>
        <w:rPr>
          <w:rFonts w:ascii="Arial" w:eastAsia="Arial" w:hAnsi="Arial" w:cs="Arial"/>
          <w:i/>
          <w:color w:val="000000"/>
          <w:sz w:val="20"/>
        </w:rPr>
        <w:t>Id</w:t>
      </w:r>
      <w:r>
        <w:rPr>
          <w:rFonts w:ascii="Arial" w:eastAsia="Arial" w:hAnsi="Arial" w:cs="Arial"/>
          <w:color w:val="000000"/>
          <w:sz w:val="20"/>
        </w:rPr>
        <w:t>.) Because of her difficulties, Cloe started parking at her own expense in a lot catty-corner to the City-County building at the intersection of Market Street and Alabama Street. (</w:t>
      </w:r>
      <w:r>
        <w:rPr>
          <w:rFonts w:ascii="Arial" w:eastAsia="Arial" w:hAnsi="Arial" w:cs="Arial"/>
          <w:i/>
          <w:color w:val="000000"/>
          <w:sz w:val="20"/>
        </w:rPr>
        <w:t>Id</w:t>
      </w:r>
      <w:r>
        <w:rPr>
          <w:rFonts w:ascii="Arial" w:eastAsia="Arial" w:hAnsi="Arial" w:cs="Arial"/>
          <w:color w:val="000000"/>
          <w:sz w:val="20"/>
        </w:rPr>
        <w:t>.)</w:t>
      </w:r>
    </w:p>
    <w:p w14:paraId="1DAB1B61" w14:textId="77777777" w:rsidR="00D041A2" w:rsidRDefault="00000000">
      <w:pPr>
        <w:pStyle w:val="Normal9"/>
        <w:widowControl w:val="0"/>
        <w:spacing w:before="200" w:line="260" w:lineRule="atLeast"/>
        <w:jc w:val="both"/>
      </w:pPr>
      <w:bookmarkStart w:id="928" w:name="Bookmark_para_19_4"/>
      <w:bookmarkEnd w:id="928"/>
      <w:r>
        <w:rPr>
          <w:rFonts w:ascii="Arial" w:eastAsia="Arial" w:hAnsi="Arial" w:cs="Arial"/>
          <w:color w:val="000000"/>
          <w:sz w:val="20"/>
        </w:rPr>
        <w:t>On July 2, 2008, Cloe submitted a list of medical restrictions to the City. (</w:t>
      </w:r>
      <w:r>
        <w:rPr>
          <w:rFonts w:ascii="Arial" w:eastAsia="Arial" w:hAnsi="Arial" w:cs="Arial"/>
          <w:i/>
          <w:color w:val="000000"/>
          <w:sz w:val="20"/>
        </w:rPr>
        <w:t>See</w:t>
      </w:r>
      <w:r>
        <w:rPr>
          <w:rFonts w:ascii="Arial" w:eastAsia="Arial" w:hAnsi="Arial" w:cs="Arial"/>
          <w:color w:val="000000"/>
          <w:sz w:val="20"/>
        </w:rPr>
        <w:t xml:space="preserve"> R. 46-18.) The restrictions indicated that "[s]pecified parking is preferred if possible" and that, "[i]f required to park [at] a distance the patient will walk back to office at her own pace." (</w:t>
      </w:r>
      <w:r>
        <w:rPr>
          <w:rFonts w:ascii="Arial" w:eastAsia="Arial" w:hAnsi="Arial" w:cs="Arial"/>
          <w:i/>
          <w:color w:val="000000"/>
          <w:sz w:val="20"/>
        </w:rPr>
        <w:t>Id</w:t>
      </w:r>
      <w:r>
        <w:rPr>
          <w:rFonts w:ascii="Arial" w:eastAsia="Arial" w:hAnsi="Arial" w:cs="Arial"/>
          <w:color w:val="000000"/>
          <w:sz w:val="20"/>
        </w:rPr>
        <w:t>. at 3.) In response, the City assigned Cloe to a different lot at Washington Street and Alabama Street, directly across the street from the City-County Building. (R. 54-1 at ¶ 4.) It is unclear exactly when Cloe actually received a parking pass for this lot. Emails sent on October 17, 2008, strongly suggest that Cloe had already been parking at this new location for some time; in one of the October 17 emails, Cloe discussed how she had a hard time finding parking at the new location and that she had tried to contact a City administrator several times about the problem but was uncomfortable leaving voicemail messages. (R. 46-23 at 3-4.) A later affidavit  [**13] from Cloe, however, states that she did not receive the pass until "mid October" 2008. (R. 54-1 at ¶ 4.) Obviously, these two pieces of evidence are in tension, although perhaps not irreconcilably so. Harmonizing them in the light most favorable to Cloe, we will assume that she received the pass sometime in the weeks leading up to October 17.</w:t>
      </w:r>
    </w:p>
    <w:p w14:paraId="484619BA" w14:textId="77777777" w:rsidR="00D041A2" w:rsidRDefault="00000000">
      <w:pPr>
        <w:pStyle w:val="Normal9"/>
        <w:widowControl w:val="0"/>
        <w:spacing w:before="200" w:line="260" w:lineRule="atLeast"/>
        <w:jc w:val="both"/>
      </w:pPr>
      <w:bookmarkStart w:id="929" w:name="Bookmark_para_20_4"/>
      <w:bookmarkEnd w:id="929"/>
      <w:r>
        <w:rPr>
          <w:rFonts w:ascii="Arial" w:eastAsia="Arial" w:hAnsi="Arial" w:cs="Arial"/>
          <w:color w:val="000000"/>
          <w:sz w:val="20"/>
        </w:rPr>
        <w:t>On September 24, 2008—while Cloe was waiting to receive a permit for the lot on Washington Street and Alabama Street—Cloe's doctor wrote a note stating that Cloe could not walk long distances and that she needed to park "at the City County building." (R. 46-22 at 2.) Cloe submitted the note to the City the following day.</w:t>
      </w:r>
      <w:r>
        <w:rPr>
          <w:rFonts w:ascii="Arial" w:eastAsia="Arial" w:hAnsi="Arial" w:cs="Arial"/>
          <w:vertAlign w:val="superscript"/>
        </w:rPr>
        <w:footnoteReference w:customMarkFollows="1" w:id="51"/>
        <w:t>4</w:t>
      </w:r>
      <w:r>
        <w:rPr>
          <w:rFonts w:ascii="Arial" w:eastAsia="Arial" w:hAnsi="Arial" w:cs="Arial"/>
          <w:color w:val="000000"/>
          <w:sz w:val="20"/>
        </w:rPr>
        <w:t xml:space="preserve"> (R. 54-1 at ¶ 5.) A series of email exchanges followed on October 17, 2008. (</w:t>
      </w:r>
      <w:r>
        <w:rPr>
          <w:rFonts w:ascii="Arial" w:eastAsia="Arial" w:hAnsi="Arial" w:cs="Arial"/>
          <w:i/>
          <w:color w:val="000000"/>
          <w:sz w:val="20"/>
        </w:rPr>
        <w:t>See</w:t>
      </w:r>
      <w:r>
        <w:rPr>
          <w:rFonts w:ascii="Arial" w:eastAsia="Arial" w:hAnsi="Arial" w:cs="Arial"/>
          <w:color w:val="000000"/>
          <w:sz w:val="20"/>
        </w:rPr>
        <w:t xml:space="preserve"> R. 46-23 at 2-4.) In those exchanges, Cloe thanked several City employees for "work[ing] very hard to get me able to park close to the building." (</w:t>
      </w:r>
      <w:r>
        <w:rPr>
          <w:rFonts w:ascii="Arial" w:eastAsia="Arial" w:hAnsi="Arial" w:cs="Arial"/>
          <w:i/>
          <w:color w:val="000000"/>
          <w:sz w:val="20"/>
        </w:rPr>
        <w:t>Id</w:t>
      </w:r>
      <w:r>
        <w:rPr>
          <w:rFonts w:ascii="Arial" w:eastAsia="Arial" w:hAnsi="Arial" w:cs="Arial"/>
          <w:color w:val="000000"/>
          <w:sz w:val="20"/>
        </w:rPr>
        <w:t>. at 3.) However, Cloe also indicated that there had been a misunderstanding and that the new lot was not working out—Cloe frequently had to park on the far side of the lot and walk almost a full extra block to work. (</w:t>
      </w:r>
      <w:r>
        <w:rPr>
          <w:rFonts w:ascii="Arial" w:eastAsia="Arial" w:hAnsi="Arial" w:cs="Arial"/>
          <w:i/>
          <w:color w:val="000000"/>
          <w:sz w:val="20"/>
        </w:rPr>
        <w:t>Id</w:t>
      </w:r>
      <w:r>
        <w:rPr>
          <w:rFonts w:ascii="Arial" w:eastAsia="Arial" w:hAnsi="Arial" w:cs="Arial"/>
          <w:color w:val="000000"/>
          <w:sz w:val="20"/>
        </w:rPr>
        <w:t>. at 3-4.) A City employee offered to meet to discuss alternative accommodations.  [**14] (</w:t>
      </w:r>
      <w:r>
        <w:rPr>
          <w:rFonts w:ascii="Arial" w:eastAsia="Arial" w:hAnsi="Arial" w:cs="Arial"/>
          <w:i/>
          <w:color w:val="000000"/>
          <w:sz w:val="20"/>
        </w:rPr>
        <w:t>Id</w:t>
      </w:r>
      <w:r>
        <w:rPr>
          <w:rFonts w:ascii="Arial" w:eastAsia="Arial" w:hAnsi="Arial" w:cs="Arial"/>
          <w:color w:val="000000"/>
          <w:sz w:val="20"/>
        </w:rPr>
        <w:t>. at 3.)</w:t>
      </w:r>
    </w:p>
    <w:p w14:paraId="4455C4F8" w14:textId="77777777" w:rsidR="00D041A2" w:rsidRDefault="00000000">
      <w:pPr>
        <w:pStyle w:val="Normal9"/>
        <w:widowControl w:val="0"/>
        <w:spacing w:before="200" w:line="260" w:lineRule="atLeast"/>
        <w:jc w:val="both"/>
      </w:pPr>
      <w:bookmarkStart w:id="931" w:name="Bookmark_para_21_4"/>
      <w:bookmarkEnd w:id="931"/>
      <w:r>
        <w:rPr>
          <w:rFonts w:ascii="Arial" w:eastAsia="Arial" w:hAnsi="Arial" w:cs="Arial"/>
          <w:color w:val="000000"/>
          <w:sz w:val="20"/>
        </w:rPr>
        <w:t>A visitor's parking placard for an underground lot immediately below the City-County building became available on November 10, 2008. (R. 46-24.) Cloe received it the following day, along with a  [*1178]  special placard allowing her to park at nearby parking meters without paying. (R. 46-1 at 55); (R. 46-25). After a while though, it became clear that these solutions were not adequate either—the visitor's spots and street spots were often full when Cloe needed to park. (R. 46-1 at 55.) Cloe brought the problem to the City's attention at some point in November or December 2008. (</w:t>
      </w:r>
      <w:r>
        <w:rPr>
          <w:rFonts w:ascii="Arial" w:eastAsia="Arial" w:hAnsi="Arial" w:cs="Arial"/>
          <w:i/>
          <w:color w:val="000000"/>
          <w:sz w:val="20"/>
        </w:rPr>
        <w:t>Id</w:t>
      </w:r>
      <w:r>
        <w:rPr>
          <w:rFonts w:ascii="Arial" w:eastAsia="Arial" w:hAnsi="Arial" w:cs="Arial"/>
          <w:color w:val="000000"/>
          <w:sz w:val="20"/>
        </w:rPr>
        <w:t>. at 55-56.) In early December 2008, another City employee left his position, and Cloe  [**15] received the departed employee's permanent underground parking spot. (</w:t>
      </w:r>
      <w:r>
        <w:rPr>
          <w:rFonts w:ascii="Arial" w:eastAsia="Arial" w:hAnsi="Arial" w:cs="Arial"/>
          <w:i/>
          <w:color w:val="000000"/>
          <w:sz w:val="20"/>
        </w:rPr>
        <w:t>Id</w:t>
      </w:r>
      <w:r>
        <w:rPr>
          <w:rFonts w:ascii="Arial" w:eastAsia="Arial" w:hAnsi="Arial" w:cs="Arial"/>
          <w:color w:val="000000"/>
          <w:sz w:val="20"/>
        </w:rPr>
        <w:t>.); (R. 54-1 at ¶ 5).</w:t>
      </w:r>
    </w:p>
    <w:p w14:paraId="2972341D" w14:textId="77777777" w:rsidR="00D041A2" w:rsidRDefault="00000000">
      <w:pPr>
        <w:pStyle w:val="Normal9"/>
        <w:widowControl w:val="0"/>
        <w:spacing w:before="200" w:line="260" w:lineRule="atLeast"/>
        <w:jc w:val="both"/>
      </w:pPr>
      <w:bookmarkStart w:id="932" w:name="Bookmark_para_22_4"/>
      <w:bookmarkEnd w:id="932"/>
      <w:r>
        <w:rPr>
          <w:rFonts w:ascii="Arial" w:eastAsia="Arial" w:hAnsi="Arial" w:cs="Arial"/>
          <w:color w:val="000000"/>
          <w:sz w:val="20"/>
        </w:rPr>
        <w:t>Cloe does not argue that the permanent parking pass she received in December 2008 failed to meet her needs. Instead, Cloe contends that the winding path the City took to get there was unreasonable. There is no reason, she claims, for the City not to have given her a permanent parking spot immediately. The delays, in turn, show that the City did not act reasonably to accommodate her disability.</w:t>
      </w:r>
    </w:p>
    <w:p w14:paraId="1D460418" w14:textId="77777777" w:rsidR="00D041A2" w:rsidRDefault="00000000">
      <w:pPr>
        <w:pStyle w:val="Normal9"/>
        <w:widowControl w:val="0"/>
        <w:spacing w:before="200" w:line="260" w:lineRule="atLeast"/>
        <w:jc w:val="both"/>
      </w:pPr>
      <w:bookmarkStart w:id="933" w:name="Bookmark_para_23_4"/>
      <w:bookmarkEnd w:id="933"/>
      <w:r>
        <w:rPr>
          <w:rFonts w:ascii="Arial" w:eastAsia="Arial" w:hAnsi="Arial" w:cs="Arial"/>
          <w:color w:val="000000"/>
          <w:sz w:val="20"/>
        </w:rPr>
        <w:t xml:space="preserve">We respectfully disagree. </w:t>
      </w:r>
      <w:bookmarkStart w:id="934" w:name="Bookmark_I589KJPV2SF7YN0020000400"/>
      <w:bookmarkStart w:id="935" w:name="Bookmark_LNHNREFclscc6_4"/>
      <w:bookmarkEnd w:id="934"/>
      <w:bookmarkEnd w:id="935"/>
      <w:r>
        <w:rPr>
          <w:rFonts w:ascii="Arial" w:eastAsia="Arial" w:hAnsi="Arial" w:cs="Arial"/>
          <w:color w:val="000000"/>
          <w:sz w:val="20"/>
        </w:rPr>
        <w:t xml:space="preserve">Reasonable accommodation under the ADA is a process, not a one-off event. </w:t>
      </w:r>
      <w:bookmarkStart w:id="936" w:name="Bookmark_I589KJPV2SF7YN0040000400"/>
      <w:bookmarkEnd w:id="936"/>
      <w:r>
        <w:rPr>
          <w:rFonts w:ascii="Arial" w:eastAsia="Arial" w:hAnsi="Arial" w:cs="Arial"/>
          <w:color w:val="000000"/>
          <w:sz w:val="20"/>
        </w:rPr>
        <w:t xml:space="preserve">The process begins with the employee, who has the initial duty to inform the employer of the disability. </w:t>
      </w:r>
      <w:r>
        <w:rPr>
          <w:rFonts w:ascii="Arial" w:eastAsia="Arial" w:hAnsi="Arial" w:cs="Arial"/>
          <w:i/>
          <w:color w:val="000000"/>
          <w:sz w:val="20"/>
        </w:rPr>
        <w:t xml:space="preserve">See </w:t>
      </w:r>
      <w:bookmarkStart w:id="937" w:name="Bookmark_I589KJPV2SF7YN0010000400"/>
      <w:bookmarkEnd w:id="937"/>
      <w:r>
        <w:rPr>
          <w:rFonts w:ascii="Arial" w:eastAsia="Arial" w:hAnsi="Arial" w:cs="Arial"/>
          <w:i/>
          <w:color w:val="000000"/>
          <w:sz w:val="20"/>
        </w:rPr>
        <w:t>Sears</w:t>
      </w:r>
      <w:r>
        <w:rPr>
          <w:rFonts w:ascii="Arial" w:eastAsia="Arial" w:hAnsi="Arial" w:cs="Arial"/>
          <w:color w:val="000000"/>
          <w:sz w:val="20"/>
        </w:rPr>
        <w:t xml:space="preserve">, 417 F.3d at 803-04. </w:t>
      </w:r>
      <w:bookmarkStart w:id="938" w:name="Bookmark_I589KJPV2SF7YN0040000400_2"/>
      <w:bookmarkEnd w:id="938"/>
      <w:r>
        <w:rPr>
          <w:rFonts w:ascii="Arial" w:eastAsia="Arial" w:hAnsi="Arial" w:cs="Arial"/>
          <w:color w:val="000000"/>
          <w:sz w:val="20"/>
        </w:rPr>
        <w:t xml:space="preserve">Absent special circumstances, like a severe cognitive disability or mental illness, </w:t>
      </w:r>
      <w:r>
        <w:rPr>
          <w:rFonts w:ascii="Arial" w:eastAsia="Arial" w:hAnsi="Arial" w:cs="Arial"/>
          <w:i/>
          <w:color w:val="000000"/>
          <w:sz w:val="20"/>
        </w:rPr>
        <w:t xml:space="preserve">see </w:t>
      </w:r>
      <w:bookmarkStart w:id="939" w:name="Bookmark_I589KJPV2SF7YN0030000400"/>
      <w:bookmarkEnd w:id="939"/>
      <w:r>
        <w:rPr>
          <w:rFonts w:ascii="Arial" w:eastAsia="Arial" w:hAnsi="Arial" w:cs="Arial"/>
          <w:i/>
          <w:color w:val="000000"/>
          <w:sz w:val="20"/>
        </w:rPr>
        <w:t>Bultemeyer v. Ft. Wayne Cmty. Schs</w:t>
      </w:r>
      <w:r>
        <w:rPr>
          <w:rFonts w:ascii="Arial" w:eastAsia="Arial" w:hAnsi="Arial" w:cs="Arial"/>
          <w:color w:val="000000"/>
          <w:sz w:val="20"/>
        </w:rPr>
        <w:t xml:space="preserve">., 100 F.3d 1281, 1285-87 (7th Cir. 1996), the employee's initial duty requires that he or she "indicate to the employer that she has a disability and desires an accommodation," </w:t>
      </w:r>
      <w:bookmarkStart w:id="940" w:name="Bookmark_I589KJPV2SF7YN0050000400"/>
      <w:bookmarkEnd w:id="940"/>
      <w:r>
        <w:rPr>
          <w:rFonts w:ascii="Arial" w:eastAsia="Arial" w:hAnsi="Arial" w:cs="Arial"/>
          <w:i/>
          <w:color w:val="000000"/>
          <w:sz w:val="20"/>
        </w:rPr>
        <w:t>Sears</w:t>
      </w:r>
      <w:r>
        <w:rPr>
          <w:rFonts w:ascii="Arial" w:eastAsia="Arial" w:hAnsi="Arial" w:cs="Arial"/>
          <w:color w:val="000000"/>
          <w:sz w:val="20"/>
        </w:rPr>
        <w:t xml:space="preserve">, 417 F.3d at 803. </w:t>
      </w:r>
      <w:bookmarkStart w:id="941" w:name="Bookmark_I589KJPV2D6NV80030000400"/>
      <w:bookmarkEnd w:id="941"/>
      <w:r>
        <w:rPr>
          <w:rFonts w:ascii="Arial" w:eastAsia="Arial" w:hAnsi="Arial" w:cs="Arial"/>
          <w:color w:val="000000"/>
          <w:sz w:val="20"/>
        </w:rPr>
        <w:t xml:space="preserve">Here, Cloe mentioned to her supervisors that she was having trouble walking in April, but she never specifically asked them for an accommodation until  [**16] July 2, 2008. As a result, we think that the accommodation process began, at the earliest, on July 2, 2008, when Cloe submitted a note from her doctor specifically requesting parking accommodations. </w:t>
      </w:r>
      <w:r>
        <w:rPr>
          <w:rFonts w:ascii="Arial" w:eastAsia="Arial" w:hAnsi="Arial" w:cs="Arial"/>
          <w:i/>
          <w:color w:val="000000"/>
          <w:sz w:val="20"/>
        </w:rPr>
        <w:t xml:space="preserve">See </w:t>
      </w:r>
      <w:bookmarkStart w:id="942" w:name="Bookmark_I589KJPV2D6NV80020000400"/>
      <w:bookmarkEnd w:id="942"/>
      <w:r>
        <w:rPr>
          <w:rFonts w:ascii="Arial" w:eastAsia="Arial" w:hAnsi="Arial" w:cs="Arial"/>
          <w:i/>
          <w:color w:val="000000"/>
          <w:sz w:val="20"/>
        </w:rPr>
        <w:t>Ekstrand v. Sch. Dist. of Somerset</w:t>
      </w:r>
      <w:r>
        <w:rPr>
          <w:rFonts w:ascii="Arial" w:eastAsia="Arial" w:hAnsi="Arial" w:cs="Arial"/>
          <w:color w:val="000000"/>
          <w:sz w:val="20"/>
        </w:rPr>
        <w:t>, 583 F.3d 972, 976 (7th Cir. 2009) ("our cases have consistently held that disabled employees must make their employers aware of any nonobvious, medically necessary accommodations with corroborating evidence such as a doctor's note or at least orally relaying a statement from a doctor," before an employer is required to provide an accommodation).</w:t>
      </w:r>
    </w:p>
    <w:p w14:paraId="2217D21B" w14:textId="77777777" w:rsidR="00D041A2" w:rsidRDefault="00000000">
      <w:pPr>
        <w:pStyle w:val="Normal9"/>
        <w:widowControl w:val="0"/>
        <w:spacing w:before="200" w:line="260" w:lineRule="atLeast"/>
        <w:jc w:val="both"/>
      </w:pPr>
      <w:bookmarkStart w:id="943" w:name="Bookmark_para_24_3"/>
      <w:bookmarkStart w:id="944" w:name="Bookmark_I589KJPV2D6NV80050000400"/>
      <w:bookmarkStart w:id="945" w:name="Bookmark_I0BH7FS7Y6C000VXMJ4002MT"/>
      <w:bookmarkStart w:id="946" w:name="Bookmark_I589KJPV28T3Y40020000400"/>
      <w:bookmarkStart w:id="947" w:name="Bookmark_LNHNREFclscc7_4"/>
      <w:bookmarkEnd w:id="943"/>
      <w:bookmarkEnd w:id="944"/>
      <w:bookmarkEnd w:id="945"/>
      <w:bookmarkEnd w:id="946"/>
      <w:bookmarkEnd w:id="947"/>
      <w:r>
        <w:rPr>
          <w:rFonts w:ascii="Arial" w:eastAsia="Arial" w:hAnsi="Arial" w:cs="Arial"/>
          <w:color w:val="000000"/>
          <w:sz w:val="20"/>
        </w:rPr>
        <w:t xml:space="preserve">Upon receiving an accommodation request, an employer is not required to provide the exact accommodation requested. </w:t>
      </w:r>
      <w:bookmarkStart w:id="948" w:name="Bookmark_I589KJPV28T3Y40040000400"/>
      <w:bookmarkStart w:id="949" w:name="Bookmark_I589KJPV2D6NV80040000400"/>
      <w:bookmarkEnd w:id="948"/>
      <w:bookmarkEnd w:id="949"/>
      <w:r>
        <w:rPr>
          <w:rFonts w:ascii="Arial" w:eastAsia="Arial" w:hAnsi="Arial" w:cs="Arial"/>
          <w:i/>
          <w:color w:val="000000"/>
          <w:sz w:val="20"/>
        </w:rPr>
        <w:t>Sears</w:t>
      </w:r>
      <w:r>
        <w:rPr>
          <w:rFonts w:ascii="Arial" w:eastAsia="Arial" w:hAnsi="Arial" w:cs="Arial"/>
          <w:color w:val="000000"/>
          <w:sz w:val="20"/>
        </w:rPr>
        <w:t xml:space="preserve">, 417 F.3d at 802. </w:t>
      </w:r>
      <w:bookmarkStart w:id="950" w:name="Bookmark_I589KJPV2N1RVD0010000400"/>
      <w:bookmarkEnd w:id="950"/>
      <w:r>
        <w:rPr>
          <w:rFonts w:ascii="Arial" w:eastAsia="Arial" w:hAnsi="Arial" w:cs="Arial"/>
          <w:color w:val="000000"/>
          <w:sz w:val="20"/>
        </w:rPr>
        <w:t xml:space="preserve">Instead, "the ADA obligates the employer to engage with the employee in an interactive process to determine the appropriate accommodation under the circumstances." </w:t>
      </w:r>
      <w:bookmarkStart w:id="951" w:name="Bookmark_I589KJPV28T3Y40010000400"/>
      <w:bookmarkEnd w:id="951"/>
      <w:r>
        <w:rPr>
          <w:rFonts w:ascii="Arial" w:eastAsia="Arial" w:hAnsi="Arial" w:cs="Arial"/>
          <w:i/>
          <w:color w:val="000000"/>
          <w:sz w:val="20"/>
        </w:rPr>
        <w:t>Id</w:t>
      </w:r>
      <w:r>
        <w:rPr>
          <w:rFonts w:ascii="Arial" w:eastAsia="Arial" w:hAnsi="Arial" w:cs="Arial"/>
          <w:color w:val="000000"/>
          <w:sz w:val="20"/>
        </w:rPr>
        <w:t xml:space="preserve">. at 805 (internal quotation marks omitted). </w:t>
      </w:r>
      <w:bookmarkStart w:id="952" w:name="Bookmark_I589KJPV2N1RVD0010000400_2"/>
      <w:bookmarkStart w:id="953" w:name="Bookmark_I589KJPV28T3Y40040000400_2"/>
      <w:bookmarkEnd w:id="952"/>
      <w:bookmarkEnd w:id="953"/>
      <w:r>
        <w:rPr>
          <w:rFonts w:ascii="Arial" w:eastAsia="Arial" w:hAnsi="Arial" w:cs="Arial"/>
          <w:color w:val="000000"/>
          <w:sz w:val="20"/>
        </w:rPr>
        <w:t xml:space="preserve">This process brings the employee and employer together in cooperation to "identify the employee's precise limitations and discuss accommodation which might enable the employee to continue working." </w:t>
      </w:r>
      <w:bookmarkStart w:id="954" w:name="Bookmark_I589KJPV28T3Y40030000400"/>
      <w:bookmarkEnd w:id="954"/>
      <w:r>
        <w:rPr>
          <w:rFonts w:ascii="Arial" w:eastAsia="Arial" w:hAnsi="Arial" w:cs="Arial"/>
          <w:i/>
          <w:color w:val="000000"/>
          <w:sz w:val="20"/>
        </w:rPr>
        <w:t>Gile v. United Airlines, Inc</w:t>
      </w:r>
      <w:r>
        <w:rPr>
          <w:rFonts w:ascii="Arial" w:eastAsia="Arial" w:hAnsi="Arial" w:cs="Arial"/>
          <w:color w:val="000000"/>
          <w:sz w:val="20"/>
        </w:rPr>
        <w:t xml:space="preserve">., 213 F.3d 365, 373 (7th Cir. 2000). "If  [**17] this process fails to lead to reasonable accommodation of the disabled employee's limitations, responsibility will lie with the party that caused the breakdown." </w:t>
      </w:r>
      <w:bookmarkStart w:id="955" w:name="Bookmark_I589KJPV28T3Y40050000400"/>
      <w:bookmarkEnd w:id="955"/>
      <w:r>
        <w:rPr>
          <w:rFonts w:ascii="Arial" w:eastAsia="Arial" w:hAnsi="Arial" w:cs="Arial"/>
          <w:i/>
          <w:color w:val="000000"/>
          <w:sz w:val="20"/>
        </w:rPr>
        <w:t>Sears</w:t>
      </w:r>
      <w:r>
        <w:rPr>
          <w:rFonts w:ascii="Arial" w:eastAsia="Arial" w:hAnsi="Arial" w:cs="Arial"/>
          <w:color w:val="000000"/>
          <w:sz w:val="20"/>
        </w:rPr>
        <w:t>, 417 F.3d at 805.</w:t>
      </w:r>
    </w:p>
    <w:p w14:paraId="06E410EE" w14:textId="77777777" w:rsidR="00D041A2" w:rsidRDefault="00000000">
      <w:pPr>
        <w:pStyle w:val="Normal9"/>
        <w:widowControl w:val="0"/>
        <w:spacing w:before="200" w:line="260" w:lineRule="atLeast"/>
        <w:jc w:val="both"/>
      </w:pPr>
      <w:bookmarkStart w:id="956" w:name="Bookmark_para_25_3"/>
      <w:bookmarkStart w:id="957" w:name="Bookmark_I589KJPV2N1RVD0030000400"/>
      <w:bookmarkEnd w:id="956"/>
      <w:bookmarkEnd w:id="957"/>
      <w:r>
        <w:rPr>
          <w:rFonts w:ascii="Arial" w:eastAsia="Arial" w:hAnsi="Arial" w:cs="Arial"/>
          <w:color w:val="000000"/>
          <w:sz w:val="20"/>
        </w:rPr>
        <w:t xml:space="preserve">We do not think that the interactive process broke down here. After being informed of Cloe's needs, the City provided her with parking at a lot closer to the building. When that did not work out, it gave her a visitor's pass allowing her to park under the building and another pass allowing her to park on the nearby streets. And when that also did not work out, the City gave her a permanent underground parking spot once one opened up. This is exactly the sort of "interactive process," </w:t>
      </w:r>
      <w:bookmarkStart w:id="958" w:name="Bookmark_I589KJPV2N1RVD0020000400"/>
      <w:bookmarkEnd w:id="958"/>
      <w:r>
        <w:rPr>
          <w:rFonts w:ascii="Arial" w:eastAsia="Arial" w:hAnsi="Arial" w:cs="Arial"/>
          <w:i/>
          <w:color w:val="000000"/>
          <w:sz w:val="20"/>
        </w:rPr>
        <w:t>id</w:t>
      </w:r>
      <w:r>
        <w:rPr>
          <w:rFonts w:ascii="Arial" w:eastAsia="Arial" w:hAnsi="Arial" w:cs="Arial"/>
          <w:color w:val="000000"/>
          <w:sz w:val="20"/>
        </w:rPr>
        <w:t>. at 805, that the ADA calls for. In retrospect, of course, it clearly would have been easier to give Cloe a permanent underground  [*1179]  pass at the outset. But that is only clear in retrospect. The City had no way of knowing that its other seemingly reasonable accommodations—a different lot, visitor parking, street parking—would be insufficient. And, more importantly, once the City found out that its proposed accommodations were insufficient, it acted with reasonable speed to come up with new ones. We do not think a reasonable  [**18] jury could find these efforts unreasonable. As a result, summary judgment was proper on this claim.</w:t>
      </w:r>
    </w:p>
    <w:p w14:paraId="766A39FF" w14:textId="77777777" w:rsidR="00D041A2" w:rsidRDefault="00000000">
      <w:pPr>
        <w:pStyle w:val="Normal9"/>
        <w:widowControl w:val="0"/>
        <w:spacing w:before="240" w:line="260" w:lineRule="atLeast"/>
      </w:pPr>
      <w:r>
        <w:br/>
      </w:r>
      <w:r>
        <w:rPr>
          <w:rFonts w:ascii="Arial" w:eastAsia="Arial" w:hAnsi="Arial" w:cs="Arial"/>
          <w:i/>
          <w:color w:val="000000"/>
          <w:sz w:val="20"/>
        </w:rPr>
        <w:t>2. Printer</w:t>
      </w:r>
    </w:p>
    <w:p w14:paraId="643FED09" w14:textId="77777777" w:rsidR="00D041A2" w:rsidRDefault="00000000">
      <w:pPr>
        <w:pStyle w:val="Normal9"/>
        <w:widowControl w:val="0"/>
        <w:spacing w:before="200" w:line="260" w:lineRule="atLeast"/>
        <w:jc w:val="both"/>
      </w:pPr>
      <w:bookmarkStart w:id="959" w:name="Bookmark_para_26_3"/>
      <w:bookmarkEnd w:id="959"/>
      <w:r>
        <w:rPr>
          <w:rFonts w:ascii="Arial" w:eastAsia="Arial" w:hAnsi="Arial" w:cs="Arial"/>
          <w:color w:val="000000"/>
          <w:sz w:val="20"/>
        </w:rPr>
        <w:t>Cloe next contends that the City took too long to give her a printer in her office. On May 23, 2008, Cloe requested that the City provide her with an in-office printer to minimize the amount of walking she would have to do. The record is unclear on precisely how long it took for the printer to arrive, but Cloe's deposition testimony indicates that it was somewhere between two weeks and one month. During that time, a supervisor had to approve the request, and the City eventually had to take a printer away from another employee to give it to Cloe.</w:t>
      </w:r>
    </w:p>
    <w:p w14:paraId="037566C9" w14:textId="77777777" w:rsidR="00D041A2" w:rsidRDefault="00000000">
      <w:pPr>
        <w:pStyle w:val="Normal9"/>
        <w:widowControl w:val="0"/>
        <w:spacing w:before="200" w:line="260" w:lineRule="atLeast"/>
        <w:jc w:val="both"/>
      </w:pPr>
      <w:bookmarkStart w:id="960" w:name="Bookmark_para_27_3"/>
      <w:bookmarkEnd w:id="960"/>
      <w:r>
        <w:rPr>
          <w:rFonts w:ascii="Arial" w:eastAsia="Arial" w:hAnsi="Arial" w:cs="Arial"/>
          <w:color w:val="000000"/>
          <w:sz w:val="20"/>
        </w:rPr>
        <w:t xml:space="preserve">Cloe argues that the City could have bought a new printer or temporarily loaned one to her instead, and the City's failure to do so was unreasonable. But these arguments are problematic. </w:t>
      </w:r>
      <w:bookmarkStart w:id="961" w:name="Bookmark_I0BH7FS85JY000VXMJ4002MW"/>
      <w:bookmarkStart w:id="962" w:name="Bookmark_I589KJPV2N1RVD0050000400"/>
      <w:bookmarkEnd w:id="961"/>
      <w:bookmarkEnd w:id="962"/>
      <w:r>
        <w:rPr>
          <w:rFonts w:ascii="Arial" w:eastAsia="Arial" w:hAnsi="Arial" w:cs="Arial"/>
          <w:color w:val="000000"/>
          <w:sz w:val="20"/>
        </w:rPr>
        <w:t xml:space="preserve">It is unclear whether the City actually could have loaned her a temporary printer—the fact that Cloe's printer eventually had to be taken from someone else suggests that the City did not have a lot of extra printers lying around. As for buying a new printer, a responsible government is entitled to take time to evaluate alternatives before spending taxpayer  [**19] money. In any event, </w:t>
      </w:r>
      <w:bookmarkStart w:id="963" w:name="Bookmark_LNHNREFclscc8_4"/>
      <w:bookmarkEnd w:id="963"/>
      <w:r>
        <w:rPr>
          <w:rFonts w:ascii="Arial" w:eastAsia="Arial" w:hAnsi="Arial" w:cs="Arial"/>
          <w:color w:val="000000"/>
          <w:sz w:val="20"/>
        </w:rPr>
        <w:t xml:space="preserve">"[i]t is the employer's prerogative to choose a reasonable accommodation; an employer is not required to provide the particular accommodation that an employee requests." </w:t>
      </w:r>
      <w:bookmarkStart w:id="964" w:name="Bookmark_I589KJPV2N1RVD0040000400"/>
      <w:bookmarkEnd w:id="964"/>
      <w:r>
        <w:rPr>
          <w:rFonts w:ascii="Arial" w:eastAsia="Arial" w:hAnsi="Arial" w:cs="Arial"/>
          <w:i/>
          <w:color w:val="000000"/>
          <w:sz w:val="20"/>
        </w:rPr>
        <w:t>Id</w:t>
      </w:r>
      <w:r>
        <w:rPr>
          <w:rFonts w:ascii="Arial" w:eastAsia="Arial" w:hAnsi="Arial" w:cs="Arial"/>
          <w:color w:val="000000"/>
          <w:sz w:val="20"/>
        </w:rPr>
        <w:t>. at 802. The question, therefore, is not whether the City could have chosen another reasonable accommodation, but rather whether the City's chosen accommodation was reasonable, in light of all of the facts. We do not think a reasonable jury could find that the delay here in tracking down a new piece of equipment was unreasonable. As a result, summary judgment was proper on this claim as well.</w:t>
      </w:r>
    </w:p>
    <w:p w14:paraId="49F4F1CE" w14:textId="77777777" w:rsidR="00D041A2" w:rsidRDefault="00000000">
      <w:pPr>
        <w:pStyle w:val="Normal9"/>
        <w:widowControl w:val="0"/>
        <w:spacing w:before="240" w:line="260" w:lineRule="atLeast"/>
      </w:pPr>
      <w:r>
        <w:br/>
      </w:r>
      <w:r>
        <w:rPr>
          <w:rFonts w:ascii="Arial" w:eastAsia="Arial" w:hAnsi="Arial" w:cs="Arial"/>
          <w:i/>
          <w:color w:val="000000"/>
          <w:sz w:val="20"/>
        </w:rPr>
        <w:t>3. Proofreading help</w:t>
      </w:r>
    </w:p>
    <w:p w14:paraId="54ED3BEF" w14:textId="77777777" w:rsidR="00D041A2" w:rsidRDefault="00000000">
      <w:pPr>
        <w:pStyle w:val="Normal9"/>
        <w:widowControl w:val="0"/>
        <w:spacing w:before="200" w:line="260" w:lineRule="atLeast"/>
        <w:jc w:val="both"/>
      </w:pPr>
      <w:bookmarkStart w:id="965" w:name="Bookmark_para_28_3"/>
      <w:bookmarkEnd w:id="965"/>
      <w:r>
        <w:rPr>
          <w:rFonts w:ascii="Arial" w:eastAsia="Arial" w:hAnsi="Arial" w:cs="Arial"/>
          <w:color w:val="000000"/>
          <w:sz w:val="20"/>
        </w:rPr>
        <w:t>Finally, Cloe argues that her mistake-prone written work was, in part, a symptom of her disability. The City, she further argues, did not provide enough help with proofreading her work. While Winfield did require Cloe to submit her work for proofreading, Winfield was rarely around, and so Cloe was rarely able to get her work double-checked. Without this proofreading, Cloe's written work remained uncorrected and eventually became one of the City's reasons for her termination.</w:t>
      </w:r>
    </w:p>
    <w:p w14:paraId="2C212055" w14:textId="77777777" w:rsidR="00D041A2" w:rsidRDefault="00000000">
      <w:pPr>
        <w:pStyle w:val="Normal9"/>
        <w:widowControl w:val="0"/>
        <w:spacing w:before="200" w:line="260" w:lineRule="atLeast"/>
        <w:jc w:val="both"/>
      </w:pPr>
      <w:bookmarkStart w:id="966" w:name="Bookmark_para_29_2"/>
      <w:bookmarkStart w:id="967" w:name="Bookmark_I84B34HGMW500002T9K001KM"/>
      <w:bookmarkStart w:id="968" w:name="Bookmark_I84B34HGR8N00002T9K001KN"/>
      <w:bookmarkStart w:id="969" w:name="Bookmark_I589KJPV2SF7YP0020000400"/>
      <w:bookmarkStart w:id="970" w:name="Bookmark_I589KJPV2HM67C0010000400"/>
      <w:bookmarkEnd w:id="966"/>
      <w:bookmarkEnd w:id="967"/>
      <w:bookmarkEnd w:id="968"/>
      <w:bookmarkEnd w:id="969"/>
      <w:bookmarkEnd w:id="970"/>
      <w:r>
        <w:rPr>
          <w:rFonts w:ascii="Arial" w:eastAsia="Arial" w:hAnsi="Arial" w:cs="Arial"/>
          <w:color w:val="000000"/>
          <w:sz w:val="20"/>
        </w:rPr>
        <w:t xml:space="preserve">This claim cannot succeed, however, because Cloe has not provided any evidence that she asked for an accommodation  [**20] regarding her written work. As discussed, an employee generally has an initial duty to tell her employer that she needs an accommodation. </w:t>
      </w:r>
      <w:r>
        <w:rPr>
          <w:rFonts w:ascii="Arial" w:eastAsia="Arial" w:hAnsi="Arial" w:cs="Arial"/>
          <w:i/>
          <w:color w:val="000000"/>
          <w:sz w:val="20"/>
        </w:rPr>
        <w:t xml:space="preserve">See </w:t>
      </w:r>
      <w:bookmarkStart w:id="971" w:name="Bookmark_I589KJPV2SF7YP0010000400"/>
      <w:bookmarkEnd w:id="971"/>
      <w:r>
        <w:rPr>
          <w:rFonts w:ascii="Arial" w:eastAsia="Arial" w:hAnsi="Arial" w:cs="Arial"/>
          <w:i/>
          <w:color w:val="000000"/>
          <w:sz w:val="20"/>
        </w:rPr>
        <w:t>Fleishman</w:t>
      </w:r>
      <w:r>
        <w:rPr>
          <w:rFonts w:ascii="Arial" w:eastAsia="Arial" w:hAnsi="Arial" w:cs="Arial"/>
          <w:color w:val="000000"/>
          <w:sz w:val="20"/>
        </w:rPr>
        <w:t xml:space="preserve">, 698 F.3d at 608; </w:t>
      </w:r>
      <w:bookmarkStart w:id="972" w:name="Bookmark_I589KJPV2SF7YP0030000400"/>
      <w:bookmarkEnd w:id="972"/>
      <w:r>
        <w:rPr>
          <w:rFonts w:ascii="Arial" w:eastAsia="Arial" w:hAnsi="Arial" w:cs="Arial"/>
          <w:i/>
          <w:color w:val="000000"/>
          <w:sz w:val="20"/>
        </w:rPr>
        <w:t>Sears</w:t>
      </w:r>
      <w:r>
        <w:rPr>
          <w:rFonts w:ascii="Arial" w:eastAsia="Arial" w:hAnsi="Arial" w:cs="Arial"/>
          <w:color w:val="000000"/>
          <w:sz w:val="20"/>
        </w:rPr>
        <w:t xml:space="preserve">, 417 F.3d at 803. Here, nothing in the record indicates that Cloe ever told the City that her poor written work was related to her disability or that she required an accommodation for it. Nor does Cloe argue that a mental disability or some other condition, </w:t>
      </w:r>
      <w:r>
        <w:rPr>
          <w:rFonts w:ascii="Arial" w:eastAsia="Arial" w:hAnsi="Arial" w:cs="Arial"/>
          <w:i/>
          <w:color w:val="000000"/>
          <w:sz w:val="20"/>
        </w:rPr>
        <w:t xml:space="preserve">see </w:t>
      </w:r>
      <w:bookmarkStart w:id="973" w:name="Bookmark_I589KJPV2SF7YP0050000400"/>
      <w:bookmarkEnd w:id="973"/>
      <w:r>
        <w:rPr>
          <w:rFonts w:ascii="Arial" w:eastAsia="Arial" w:hAnsi="Arial" w:cs="Arial"/>
          <w:i/>
          <w:color w:val="000000"/>
          <w:sz w:val="20"/>
        </w:rPr>
        <w:t>Bultemeyer</w:t>
      </w:r>
      <w:r>
        <w:rPr>
          <w:rFonts w:ascii="Arial" w:eastAsia="Arial" w:hAnsi="Arial" w:cs="Arial"/>
          <w:color w:val="000000"/>
          <w:sz w:val="20"/>
        </w:rPr>
        <w:t>, 100 F.3d at 1285-87, excused her from her duty to ask for an accommodation. As a result, summary judgment was proper on this claim, too.</w:t>
      </w:r>
    </w:p>
    <w:p w14:paraId="0DE234EC" w14:textId="77777777" w:rsidR="00D041A2" w:rsidRDefault="00000000">
      <w:pPr>
        <w:pStyle w:val="Normal9"/>
        <w:widowControl w:val="0"/>
        <w:spacing w:before="240" w:line="260" w:lineRule="atLeast"/>
      </w:pPr>
      <w:r>
        <w:br/>
      </w:r>
      <w:r>
        <w:rPr>
          <w:rFonts w:ascii="Arial" w:eastAsia="Arial" w:hAnsi="Arial" w:cs="Arial"/>
          <w:color w:val="000000"/>
          <w:sz w:val="20"/>
        </w:rPr>
        <w:t xml:space="preserve"> [*1180]  </w:t>
      </w:r>
      <w:r>
        <w:rPr>
          <w:rFonts w:ascii="Arial" w:eastAsia="Arial" w:hAnsi="Arial" w:cs="Arial"/>
          <w:i/>
          <w:color w:val="000000"/>
          <w:sz w:val="20"/>
        </w:rPr>
        <w:t>B. Retaliation</w:t>
      </w:r>
    </w:p>
    <w:p w14:paraId="3A15059F" w14:textId="77777777" w:rsidR="00D041A2" w:rsidRDefault="00000000">
      <w:pPr>
        <w:pStyle w:val="Normal9"/>
        <w:widowControl w:val="0"/>
        <w:spacing w:before="200" w:line="260" w:lineRule="atLeast"/>
        <w:jc w:val="both"/>
      </w:pPr>
      <w:bookmarkStart w:id="974" w:name="Bookmark_para_30_2"/>
      <w:bookmarkStart w:id="975" w:name="Bookmark_I589KJPV2HM67C0030000400"/>
      <w:bookmarkEnd w:id="974"/>
      <w:bookmarkEnd w:id="975"/>
      <w:r>
        <w:rPr>
          <w:rFonts w:ascii="Arial" w:eastAsia="Arial" w:hAnsi="Arial" w:cs="Arial"/>
          <w:color w:val="000000"/>
          <w:sz w:val="20"/>
        </w:rPr>
        <w:t xml:space="preserve">We turn next to Cloe's claim that the City retaliated against her. In addition to requiring reasonable accommodations, </w:t>
      </w:r>
      <w:bookmarkStart w:id="976" w:name="Bookmark_LNHNREFclscc9_4"/>
      <w:bookmarkEnd w:id="976"/>
      <w:r>
        <w:rPr>
          <w:rFonts w:ascii="Arial" w:eastAsia="Arial" w:hAnsi="Arial" w:cs="Arial"/>
          <w:color w:val="000000"/>
          <w:sz w:val="20"/>
        </w:rPr>
        <w:t xml:space="preserve">the ADA also protects employees from being retaliated against for asserting their ADA rights. 42 U.S.C. § 12203(a). A plaintiff may proceed under either the "direct" or "indirect" method of proof to establish a retaliation claim. </w:t>
      </w:r>
      <w:bookmarkStart w:id="977" w:name="Bookmark_I589KJPV2HM67C0020000400"/>
      <w:bookmarkEnd w:id="977"/>
      <w:r>
        <w:rPr>
          <w:rFonts w:ascii="Arial" w:eastAsia="Arial" w:hAnsi="Arial" w:cs="Arial"/>
          <w:i/>
          <w:color w:val="000000"/>
          <w:sz w:val="20"/>
        </w:rPr>
        <w:t>Dickerson v. Bd. of Trs. of Cmty. Coll. Dist. No. 522</w:t>
      </w:r>
      <w:r>
        <w:rPr>
          <w:rFonts w:ascii="Arial" w:eastAsia="Arial" w:hAnsi="Arial" w:cs="Arial"/>
          <w:color w:val="000000"/>
          <w:sz w:val="20"/>
        </w:rPr>
        <w:t xml:space="preserve">, 657 F.3d 595, 601 (7th Cir. 2011). </w:t>
      </w:r>
      <w:bookmarkStart w:id="978" w:name="Bookmark_I0BH7FS8VPN000VXMJ4002N2"/>
      <w:bookmarkStart w:id="979" w:name="Bookmark_I589KJPV2HM67C0050000400"/>
      <w:bookmarkEnd w:id="978"/>
      <w:bookmarkEnd w:id="979"/>
      <w:r>
        <w:rPr>
          <w:rFonts w:ascii="Arial" w:eastAsia="Arial" w:hAnsi="Arial" w:cs="Arial"/>
          <w:color w:val="000000"/>
          <w:sz w:val="20"/>
        </w:rPr>
        <w:t>Cloe has chosen to proceed under the direct method. (</w:t>
      </w:r>
      <w:r>
        <w:rPr>
          <w:rFonts w:ascii="Arial" w:eastAsia="Arial" w:hAnsi="Arial" w:cs="Arial"/>
          <w:i/>
          <w:color w:val="000000"/>
          <w:sz w:val="20"/>
        </w:rPr>
        <w:t>See</w:t>
      </w:r>
      <w:r>
        <w:rPr>
          <w:rFonts w:ascii="Arial" w:eastAsia="Arial" w:hAnsi="Arial" w:cs="Arial"/>
          <w:color w:val="000000"/>
          <w:sz w:val="20"/>
        </w:rPr>
        <w:t xml:space="preserve"> Appellant's Br. at 21.) Accordingly, she must show that (1) she engaged in a statutorily protected activity;  [**21] (2) she suffered an adverse action; and (3) there is a causal connection between the two. </w:t>
      </w:r>
      <w:r>
        <w:rPr>
          <w:rFonts w:ascii="Arial" w:eastAsia="Arial" w:hAnsi="Arial" w:cs="Arial"/>
          <w:i/>
          <w:color w:val="000000"/>
          <w:sz w:val="20"/>
        </w:rPr>
        <w:t xml:space="preserve">See </w:t>
      </w:r>
      <w:bookmarkStart w:id="980" w:name="Bookmark_I589KJPV2HM67C0040000400"/>
      <w:bookmarkEnd w:id="980"/>
      <w:r>
        <w:rPr>
          <w:rFonts w:ascii="Arial" w:eastAsia="Arial" w:hAnsi="Arial" w:cs="Arial"/>
          <w:i/>
          <w:color w:val="000000"/>
          <w:sz w:val="20"/>
        </w:rPr>
        <w:t>Dickerson</w:t>
      </w:r>
      <w:r>
        <w:rPr>
          <w:rFonts w:ascii="Arial" w:eastAsia="Arial" w:hAnsi="Arial" w:cs="Arial"/>
          <w:color w:val="000000"/>
          <w:sz w:val="20"/>
        </w:rPr>
        <w:t>, 657 F.3d at 601. Both sides agree that Cloe engaged in protected activity (requesting accommodations for her disability) and that she suffered an adverse employment action (termination). The question, then, is whether a reasonable jury could infer a causal link between the two.</w:t>
      </w:r>
    </w:p>
    <w:p w14:paraId="53856DF7" w14:textId="77777777" w:rsidR="00D041A2" w:rsidRDefault="00000000">
      <w:pPr>
        <w:pStyle w:val="Normal9"/>
        <w:widowControl w:val="0"/>
        <w:spacing w:before="200" w:line="260" w:lineRule="atLeast"/>
        <w:jc w:val="both"/>
      </w:pPr>
      <w:bookmarkStart w:id="981" w:name="Bookmark_para_31_2"/>
      <w:bookmarkStart w:id="982" w:name="Bookmark_I589KJPV2SF7YR0020000400"/>
      <w:bookmarkEnd w:id="981"/>
      <w:bookmarkEnd w:id="982"/>
      <w:r>
        <w:rPr>
          <w:rFonts w:ascii="Arial" w:eastAsia="Arial" w:hAnsi="Arial" w:cs="Arial"/>
          <w:color w:val="000000"/>
          <w:sz w:val="20"/>
        </w:rPr>
        <w:t xml:space="preserve">We think so. </w:t>
      </w:r>
      <w:bookmarkStart w:id="983" w:name="Bookmark_LNHNREFclscc10_4"/>
      <w:bookmarkEnd w:id="983"/>
      <w:r>
        <w:rPr>
          <w:rFonts w:ascii="Arial" w:eastAsia="Arial" w:hAnsi="Arial" w:cs="Arial"/>
          <w:color w:val="000000"/>
          <w:sz w:val="20"/>
        </w:rPr>
        <w:t xml:space="preserve">To show causation under the direct method, Cloe must provide evidence that her requests for accommodations were a "substantial or motivating factor" for her termination. </w:t>
      </w:r>
      <w:bookmarkStart w:id="984" w:name="Bookmark_I589KJPV2SF7YR0040000400"/>
      <w:bookmarkStart w:id="985" w:name="Bookmark_I589KJPV2SF7YR0010000400"/>
      <w:bookmarkEnd w:id="984"/>
      <w:bookmarkEnd w:id="985"/>
      <w:r>
        <w:rPr>
          <w:rFonts w:ascii="Arial" w:eastAsia="Arial" w:hAnsi="Arial" w:cs="Arial"/>
          <w:i/>
          <w:color w:val="000000"/>
          <w:sz w:val="20"/>
        </w:rPr>
        <w:t>Smith v. Bray</w:t>
      </w:r>
      <w:r>
        <w:rPr>
          <w:rFonts w:ascii="Arial" w:eastAsia="Arial" w:hAnsi="Arial" w:cs="Arial"/>
          <w:color w:val="000000"/>
          <w:sz w:val="20"/>
        </w:rPr>
        <w:t xml:space="preserve">, 681 F.3d 888, 900 (7th Cir. 2012). </w:t>
      </w:r>
      <w:bookmarkStart w:id="986" w:name="Bookmark_I0BH7FS9337000VXMJ4002N3"/>
      <w:bookmarkStart w:id="987" w:name="Bookmark_I589KJPV28T3Y50010000400"/>
      <w:bookmarkEnd w:id="986"/>
      <w:bookmarkEnd w:id="987"/>
      <w:r>
        <w:rPr>
          <w:rFonts w:ascii="Arial" w:eastAsia="Arial" w:hAnsi="Arial" w:cs="Arial"/>
          <w:color w:val="000000"/>
          <w:sz w:val="20"/>
        </w:rPr>
        <w:t xml:space="preserve">The easiest way to do that is to present a direct admission of retaliatory motive. </w:t>
      </w:r>
      <w:bookmarkStart w:id="988" w:name="Bookmark_I589KJPV28T3Y50010000400_2"/>
      <w:bookmarkStart w:id="989" w:name="Bookmark_I589KJPV2SF7YR0040000400_2"/>
      <w:bookmarkEnd w:id="988"/>
      <w:bookmarkEnd w:id="989"/>
      <w:r>
        <w:rPr>
          <w:rFonts w:ascii="Arial" w:eastAsia="Arial" w:hAnsi="Arial" w:cs="Arial"/>
          <w:i/>
          <w:color w:val="000000"/>
          <w:sz w:val="20"/>
        </w:rPr>
        <w:t xml:space="preserve">See </w:t>
      </w:r>
      <w:bookmarkStart w:id="990" w:name="Bookmark_I589KJPV2SF7YR0030000400"/>
      <w:bookmarkEnd w:id="990"/>
      <w:r>
        <w:rPr>
          <w:rFonts w:ascii="Arial" w:eastAsia="Arial" w:hAnsi="Arial" w:cs="Arial"/>
          <w:i/>
          <w:color w:val="000000"/>
          <w:sz w:val="20"/>
        </w:rPr>
        <w:t>Coleman v. Donahoe</w:t>
      </w:r>
      <w:r>
        <w:rPr>
          <w:rFonts w:ascii="Arial" w:eastAsia="Arial" w:hAnsi="Arial" w:cs="Arial"/>
          <w:color w:val="000000"/>
          <w:sz w:val="20"/>
        </w:rPr>
        <w:t xml:space="preserve">, 667 F.3d 835, 860 (7th Cir. 2012). For obvious reasons, that sort of admission is rare, and it did not happen here. The other way to show causation is "by presenting a convincing mosaic of circumstantial evidence that would support the inference that a retaliatory animus was at work." </w:t>
      </w:r>
      <w:bookmarkStart w:id="991" w:name="Bookmark_I589KJPV2SF7YR0050000400"/>
      <w:bookmarkEnd w:id="991"/>
      <w:r>
        <w:rPr>
          <w:rFonts w:ascii="Arial" w:eastAsia="Arial" w:hAnsi="Arial" w:cs="Arial"/>
          <w:i/>
          <w:color w:val="000000"/>
          <w:sz w:val="20"/>
        </w:rPr>
        <w:t>Bray</w:t>
      </w:r>
      <w:r>
        <w:rPr>
          <w:rFonts w:ascii="Arial" w:eastAsia="Arial" w:hAnsi="Arial" w:cs="Arial"/>
          <w:color w:val="000000"/>
          <w:sz w:val="20"/>
        </w:rPr>
        <w:t xml:space="preserve">, 681 F.3d at 901 (internal quotation marks omitted). The pieces of that mosaic generally fall into three categories. </w:t>
      </w:r>
      <w:r>
        <w:rPr>
          <w:rFonts w:ascii="Arial" w:eastAsia="Arial" w:hAnsi="Arial" w:cs="Arial"/>
          <w:i/>
          <w:color w:val="000000"/>
          <w:sz w:val="20"/>
        </w:rPr>
        <w:t>Id</w:t>
      </w:r>
      <w:r>
        <w:rPr>
          <w:rFonts w:ascii="Arial" w:eastAsia="Arial" w:hAnsi="Arial" w:cs="Arial"/>
          <w:color w:val="000000"/>
          <w:sz w:val="20"/>
        </w:rPr>
        <w:t xml:space="preserve">. The first includes "suspicious timing, ambiguous statements oral  [**22] or written, and other bits and pieces from which an inference of retaliatory intent might be drawn." </w:t>
      </w:r>
      <w:r>
        <w:rPr>
          <w:rFonts w:ascii="Arial" w:eastAsia="Arial" w:hAnsi="Arial" w:cs="Arial"/>
          <w:i/>
          <w:color w:val="000000"/>
          <w:sz w:val="20"/>
        </w:rPr>
        <w:t>Id</w:t>
      </w:r>
      <w:r>
        <w:rPr>
          <w:rFonts w:ascii="Arial" w:eastAsia="Arial" w:hAnsi="Arial" w:cs="Arial"/>
          <w:color w:val="000000"/>
          <w:sz w:val="20"/>
        </w:rPr>
        <w:t xml:space="preserve">. (internal ellipsis omitted). The second is "evidence, but not necessarily rigorous statistical evidence, that similarly situated employees were treated differently." </w:t>
      </w:r>
      <w:r>
        <w:rPr>
          <w:rFonts w:ascii="Arial" w:eastAsia="Arial" w:hAnsi="Arial" w:cs="Arial"/>
          <w:i/>
          <w:color w:val="000000"/>
          <w:sz w:val="20"/>
        </w:rPr>
        <w:t>Id</w:t>
      </w:r>
      <w:r>
        <w:rPr>
          <w:rFonts w:ascii="Arial" w:eastAsia="Arial" w:hAnsi="Arial" w:cs="Arial"/>
          <w:color w:val="000000"/>
          <w:sz w:val="20"/>
        </w:rPr>
        <w:t xml:space="preserve">. And the third is "evidence that the employer offered a pretextual reason for an adverse employment action." </w:t>
      </w:r>
      <w:r>
        <w:rPr>
          <w:rFonts w:ascii="Arial" w:eastAsia="Arial" w:hAnsi="Arial" w:cs="Arial"/>
          <w:i/>
          <w:color w:val="000000"/>
          <w:sz w:val="20"/>
        </w:rPr>
        <w:t>Id</w:t>
      </w:r>
      <w:r>
        <w:rPr>
          <w:rFonts w:ascii="Arial" w:eastAsia="Arial" w:hAnsi="Arial" w:cs="Arial"/>
          <w:color w:val="000000"/>
          <w:sz w:val="20"/>
        </w:rPr>
        <w:t>.</w:t>
      </w:r>
    </w:p>
    <w:p w14:paraId="40D88854" w14:textId="77777777" w:rsidR="00D041A2" w:rsidRDefault="00000000">
      <w:pPr>
        <w:pStyle w:val="Normal9"/>
        <w:widowControl w:val="0"/>
        <w:spacing w:before="200" w:line="260" w:lineRule="atLeast"/>
        <w:jc w:val="both"/>
      </w:pPr>
      <w:bookmarkStart w:id="992" w:name="Bookmark_para_32_2"/>
      <w:bookmarkEnd w:id="992"/>
      <w:r>
        <w:rPr>
          <w:rFonts w:ascii="Arial" w:eastAsia="Arial" w:hAnsi="Arial" w:cs="Arial"/>
          <w:color w:val="000000"/>
          <w:sz w:val="20"/>
        </w:rPr>
        <w:t>Viewing the evidence in the light most favorable to Cloe, we think that a reasonable jury could infer a causal link between her termination and her exercise of her ADA rights. A supervisor recommended Cloe's termination on June 11, 2009, (R. 46-35), and the City accepted that recommendation the June 29, 2009, (R. 46-36). For reasons that escape us, the City's motion for summary judgment did not explain who decided to terminate Cloe and why he or she did so. The "Personnel Action Request" that apparently terminated Cloe does not specify the reason for her termination; instead, it instructs the reader to "see attached documentation" that the City did not provide. (</w:t>
      </w:r>
      <w:r>
        <w:rPr>
          <w:rFonts w:ascii="Arial" w:eastAsia="Arial" w:hAnsi="Arial" w:cs="Arial"/>
          <w:i/>
          <w:color w:val="000000"/>
          <w:sz w:val="20"/>
        </w:rPr>
        <w:t>Id</w:t>
      </w:r>
      <w:r>
        <w:rPr>
          <w:rFonts w:ascii="Arial" w:eastAsia="Arial" w:hAnsi="Arial" w:cs="Arial"/>
          <w:color w:val="000000"/>
          <w:sz w:val="20"/>
        </w:rPr>
        <w:t>.) Nevertheless, we think it reasonable to infer that Winfield's May 4, 2009 discipline of Cloe played a significant part.</w:t>
      </w:r>
    </w:p>
    <w:p w14:paraId="4DF2D20F" w14:textId="77777777" w:rsidR="00D041A2" w:rsidRDefault="00000000">
      <w:pPr>
        <w:pStyle w:val="Normal9"/>
        <w:widowControl w:val="0"/>
        <w:spacing w:before="200" w:line="260" w:lineRule="atLeast"/>
        <w:jc w:val="both"/>
      </w:pPr>
      <w:bookmarkStart w:id="993" w:name="Bookmark_para_33_2"/>
      <w:bookmarkEnd w:id="993"/>
      <w:r>
        <w:rPr>
          <w:rFonts w:ascii="Arial" w:eastAsia="Arial" w:hAnsi="Arial" w:cs="Arial"/>
          <w:color w:val="000000"/>
          <w:sz w:val="20"/>
        </w:rPr>
        <w:t>That discipline arose  [**23] from Cloe's actions during the emergency demolition on April 9, 2009. And that discipline was fishy, if Cloe's evidence is to be believed. To begin, there is at least some evidence that the discipline was unwarranted—while Winfield described Cloe's actions on April 9 as insubordinate, Cloe presented evidence that she was simply following orders from another supervisor. Moreover, there is evidence that the discipline may have been motivated by hostility towards Cloe's disability. About a week before the May 4, 2009 discipline, Cloe</w:t>
      </w:r>
    </w:p>
    <w:p w14:paraId="77717797" w14:textId="77777777" w:rsidR="00D041A2" w:rsidRDefault="00000000">
      <w:pPr>
        <w:pStyle w:val="Normal9"/>
        <w:widowControl w:val="0"/>
        <w:spacing w:before="200" w:line="260" w:lineRule="atLeast"/>
        <w:ind w:left="400"/>
        <w:jc w:val="both"/>
      </w:pPr>
      <w:bookmarkStart w:id="994" w:name="Bookmark_para_34_2"/>
      <w:bookmarkEnd w:id="994"/>
      <w:r>
        <w:rPr>
          <w:rFonts w:ascii="Arial" w:eastAsia="Arial" w:hAnsi="Arial" w:cs="Arial"/>
          <w:color w:val="000000"/>
          <w:sz w:val="20"/>
        </w:rPr>
        <w:t>had a meeting with Winfield and Janna Mays in which [she] told Winfield and  [*1181]  Mays that [she] had to leave early because [she] had a doctor's appointment. Winfield and Mays expressed anger at [Cloe] for having to leave early. Within a week after this incident, when Winfield's supervisor Mays returned from her honeymoon, [Cloe] was written up for the [April 9, 2009 demolition].</w:t>
      </w:r>
    </w:p>
    <w:p w14:paraId="5705DC82" w14:textId="77777777" w:rsidR="00D041A2" w:rsidRDefault="00000000">
      <w:pPr>
        <w:pStyle w:val="Normal9"/>
        <w:widowControl w:val="0"/>
        <w:spacing w:before="200" w:line="260" w:lineRule="atLeast"/>
        <w:jc w:val="both"/>
      </w:pPr>
      <w:r>
        <w:rPr>
          <w:rFonts w:ascii="Arial" w:eastAsia="Arial" w:hAnsi="Arial" w:cs="Arial"/>
          <w:color w:val="000000"/>
          <w:sz w:val="20"/>
        </w:rPr>
        <w:t>(R. 65-2 at 1.)</w:t>
      </w:r>
      <w:r>
        <w:rPr>
          <w:rFonts w:ascii="Arial" w:eastAsia="Arial" w:hAnsi="Arial" w:cs="Arial"/>
          <w:vertAlign w:val="superscript"/>
        </w:rPr>
        <w:footnoteReference w:customMarkFollows="1" w:id="52"/>
        <w:t>5</w:t>
      </w:r>
      <w:r>
        <w:rPr>
          <w:rFonts w:ascii="Arial" w:eastAsia="Arial" w:hAnsi="Arial" w:cs="Arial"/>
          <w:color w:val="000000"/>
          <w:sz w:val="20"/>
        </w:rPr>
        <w:t xml:space="preserve"> These comments echo other comments about Cloe's disability. Starting as early as January 2009, Winfield (and Jennefer Fultz, the Department Administrator) had played down the seriousness of Cloe's condition. According to Cloe's affidavit, Fultz "made the following comment  [**24] to me: 'you are fine. I have a friend who has MS and does everything.' Michelle Winfield . . . likewise made similar comments in which she indicated that my medical condition was not serious and did not affect my ability to work." (</w:t>
      </w:r>
      <w:r>
        <w:rPr>
          <w:rFonts w:ascii="Arial" w:eastAsia="Arial" w:hAnsi="Arial" w:cs="Arial"/>
          <w:i/>
          <w:color w:val="000000"/>
          <w:sz w:val="20"/>
        </w:rPr>
        <w:t>Id</w:t>
      </w:r>
      <w:r>
        <w:rPr>
          <w:rFonts w:ascii="Arial" w:eastAsia="Arial" w:hAnsi="Arial" w:cs="Arial"/>
          <w:color w:val="000000"/>
          <w:sz w:val="20"/>
        </w:rPr>
        <w:t>.) While none of these comments explicitly admits retaliatory intent, a reasonable jury could certainly read them as evidence of hostility towards Cloe's accommodation requests.</w:t>
      </w:r>
    </w:p>
    <w:p w14:paraId="16E93C6C" w14:textId="77777777" w:rsidR="00D041A2" w:rsidRDefault="00000000">
      <w:pPr>
        <w:pStyle w:val="Normal9"/>
        <w:widowControl w:val="0"/>
        <w:spacing w:before="200" w:line="260" w:lineRule="atLeast"/>
        <w:jc w:val="both"/>
      </w:pPr>
      <w:bookmarkStart w:id="996" w:name="Bookmark_para_35_2"/>
      <w:bookmarkStart w:id="997" w:name="Bookmark_I0BH7FS9HVC000VXMJ4002N6"/>
      <w:bookmarkStart w:id="998" w:name="Bookmark_I0BH7FS9S6Y000VXMJ40049R"/>
      <w:bookmarkStart w:id="999" w:name="Bookmark_I589KJPV28T3Y50030000400"/>
      <w:bookmarkEnd w:id="996"/>
      <w:bookmarkEnd w:id="997"/>
      <w:bookmarkEnd w:id="998"/>
      <w:bookmarkEnd w:id="999"/>
      <w:r>
        <w:rPr>
          <w:rFonts w:ascii="Arial" w:eastAsia="Arial" w:hAnsi="Arial" w:cs="Arial"/>
          <w:color w:val="000000"/>
          <w:sz w:val="20"/>
        </w:rPr>
        <w:t xml:space="preserve">Finally, the timing of the discipline itself was suspicious. And, </w:t>
      </w:r>
      <w:bookmarkStart w:id="1000" w:name="Bookmark_LNHNREFclscc11_3"/>
      <w:bookmarkEnd w:id="1000"/>
      <w:r>
        <w:rPr>
          <w:rFonts w:ascii="Arial" w:eastAsia="Arial" w:hAnsi="Arial" w:cs="Arial"/>
          <w:color w:val="000000"/>
          <w:sz w:val="20"/>
        </w:rPr>
        <w:t xml:space="preserve">while suspicious timing will rarely suggest a causal connection on its own, it can form part of a "convincing mosaic" when it is paired with other circumstantial evidence. </w:t>
      </w:r>
      <w:bookmarkStart w:id="1001" w:name="Bookmark_I589KJPV28T3Y50020000400"/>
      <w:bookmarkEnd w:id="1001"/>
      <w:r>
        <w:rPr>
          <w:rFonts w:ascii="Arial" w:eastAsia="Arial" w:hAnsi="Arial" w:cs="Arial"/>
          <w:i/>
          <w:color w:val="000000"/>
          <w:sz w:val="20"/>
        </w:rPr>
        <w:t>Harper</w:t>
      </w:r>
      <w:r>
        <w:rPr>
          <w:rFonts w:ascii="Arial" w:eastAsia="Arial" w:hAnsi="Arial" w:cs="Arial"/>
          <w:color w:val="000000"/>
          <w:sz w:val="20"/>
        </w:rPr>
        <w:t xml:space="preserve">, 687 F.3d at 308; </w:t>
      </w:r>
      <w:bookmarkStart w:id="1002" w:name="Bookmark_I589KJPV28T3Y50040000400"/>
      <w:bookmarkEnd w:id="1002"/>
      <w:r>
        <w:rPr>
          <w:rFonts w:ascii="Arial" w:eastAsia="Arial" w:hAnsi="Arial" w:cs="Arial"/>
          <w:i/>
          <w:color w:val="000000"/>
          <w:sz w:val="20"/>
        </w:rPr>
        <w:t>Bray</w:t>
      </w:r>
      <w:r>
        <w:rPr>
          <w:rFonts w:ascii="Arial" w:eastAsia="Arial" w:hAnsi="Arial" w:cs="Arial"/>
          <w:color w:val="000000"/>
          <w:sz w:val="20"/>
        </w:rPr>
        <w:t xml:space="preserve">, 681 F.3d at 901. We think that is the case here. Cloe's alleged misconduct happened on April 9, 2009, but she was not actually disciplined until May 4, 2009. That month-long lapse of time contrasts with prior disciplinary write-ups. When Cloe did not finish  [**25] her January 29, 2009 project on time, for instance, she was disciplined just a few days later on February 2, 2009. </w:t>
      </w:r>
      <w:bookmarkStart w:id="1003" w:name="Bookmark_I589KJPV2D6NVB0020000400"/>
      <w:bookmarkEnd w:id="1003"/>
      <w:r>
        <w:rPr>
          <w:rFonts w:ascii="Arial" w:eastAsia="Arial" w:hAnsi="Arial" w:cs="Arial"/>
          <w:color w:val="000000"/>
          <w:sz w:val="20"/>
        </w:rPr>
        <w:t xml:space="preserve">Furthermore, the suspicious May 4 discipline took place only about a week after Winfield and Mays expressed anger at Cloe leaving for a medical appointment. That close temporal connection, combined with all of Cloe's other evidence, could support an inference that Cloe's need for medical accommodations—and not her actions on April 9—was the real reason behind her discipline and termination. Taken together, we think that Cloe has provided enough evidence of "suspicious timing," "ambiguous statements," and "other bits and pieces from which an inference of retaliatory intent might be drawn" to convince a reasonable jury. </w:t>
      </w:r>
      <w:bookmarkStart w:id="1004" w:name="Bookmark_I589KJPV2D6NVB0010000400"/>
      <w:bookmarkEnd w:id="1004"/>
      <w:r>
        <w:rPr>
          <w:rFonts w:ascii="Arial" w:eastAsia="Arial" w:hAnsi="Arial" w:cs="Arial"/>
          <w:i/>
          <w:color w:val="000000"/>
          <w:sz w:val="20"/>
        </w:rPr>
        <w:t>Bray</w:t>
      </w:r>
      <w:r>
        <w:rPr>
          <w:rFonts w:ascii="Arial" w:eastAsia="Arial" w:hAnsi="Arial" w:cs="Arial"/>
          <w:color w:val="000000"/>
          <w:sz w:val="20"/>
        </w:rPr>
        <w:t>, 681 F.3d at 901. Accordingly, we think that Cloe has made enough of a showing to avoid summary judgment on her retaliation claim.</w:t>
      </w:r>
    </w:p>
    <w:p w14:paraId="0CBFC2DF" w14:textId="77777777" w:rsidR="00D041A2" w:rsidRDefault="00000000">
      <w:pPr>
        <w:pStyle w:val="Normal9"/>
        <w:widowControl w:val="0"/>
        <w:spacing w:before="240" w:line="260" w:lineRule="atLeast"/>
      </w:pPr>
      <w:r>
        <w:br/>
      </w:r>
      <w:r>
        <w:rPr>
          <w:rFonts w:ascii="Arial" w:eastAsia="Arial" w:hAnsi="Arial" w:cs="Arial"/>
          <w:i/>
          <w:color w:val="000000"/>
          <w:sz w:val="20"/>
        </w:rPr>
        <w:t>C. Discrimination</w:t>
      </w:r>
    </w:p>
    <w:p w14:paraId="33A38B00" w14:textId="77777777" w:rsidR="00D041A2" w:rsidRDefault="00000000">
      <w:pPr>
        <w:pStyle w:val="Normal9"/>
        <w:widowControl w:val="0"/>
        <w:spacing w:before="200" w:line="260" w:lineRule="atLeast"/>
        <w:jc w:val="both"/>
      </w:pPr>
      <w:bookmarkStart w:id="1005" w:name="Bookmark_para_36_2"/>
      <w:bookmarkEnd w:id="1005"/>
      <w:r>
        <w:rPr>
          <w:rFonts w:ascii="Arial" w:eastAsia="Arial" w:hAnsi="Arial" w:cs="Arial"/>
          <w:color w:val="000000"/>
          <w:sz w:val="20"/>
        </w:rPr>
        <w:t>Finally, we turn to Cloe's claim for discriminatory termination under the ADA. The City argues that Cloe has not provided enough evidence of discrimination to survive summary judgment. Cloe argues that the City forfeited this argument by failing to raise it in the district court.</w:t>
      </w:r>
      <w:r>
        <w:rPr>
          <w:rFonts w:ascii="Arial" w:eastAsia="Arial" w:hAnsi="Arial" w:cs="Arial"/>
          <w:vertAlign w:val="superscript"/>
        </w:rPr>
        <w:footnoteReference w:customMarkFollows="1" w:id="53"/>
        <w:t>6</w:t>
      </w:r>
      <w:r>
        <w:rPr>
          <w:rFonts w:ascii="Arial" w:eastAsia="Arial" w:hAnsi="Arial" w:cs="Arial"/>
          <w:color w:val="000000"/>
          <w:sz w:val="20"/>
        </w:rPr>
        <w:t xml:space="preserve"> The district court agreed  [**26] with the City.  [*1182]  After carefully reviewing the record, we think that Cloe has the better argument.</w:t>
      </w:r>
    </w:p>
    <w:p w14:paraId="24185C5D" w14:textId="77777777" w:rsidR="00D041A2" w:rsidRDefault="00000000">
      <w:pPr>
        <w:pStyle w:val="Normal9"/>
        <w:widowControl w:val="0"/>
        <w:spacing w:before="200" w:line="260" w:lineRule="atLeast"/>
        <w:jc w:val="both"/>
      </w:pPr>
      <w:bookmarkStart w:id="1014" w:name="Bookmark_para_37_2"/>
      <w:bookmarkStart w:id="1015" w:name="Bookmark_I589KJPV2N1RVF0030000400"/>
      <w:bookmarkStart w:id="1016" w:name="Bookmark_LNHNREFclscc13_3"/>
      <w:bookmarkEnd w:id="1014"/>
      <w:bookmarkEnd w:id="1015"/>
      <w:bookmarkEnd w:id="1016"/>
      <w:r>
        <w:rPr>
          <w:rFonts w:ascii="Arial" w:eastAsia="Arial" w:hAnsi="Arial" w:cs="Arial"/>
          <w:color w:val="000000"/>
          <w:sz w:val="20"/>
        </w:rPr>
        <w:t xml:space="preserve">The ADA forbids employers from discriminating against disabled employees. 42 U.S.C. § 12112(a). There are two ways of proving a discrimination claim under the ADA: the "direct" method and the "indirect" method. </w:t>
      </w:r>
      <w:bookmarkStart w:id="1017" w:name="Bookmark_I589KJPV2N1RVF0020000400"/>
      <w:bookmarkEnd w:id="1017"/>
      <w:r>
        <w:rPr>
          <w:rFonts w:ascii="Arial" w:eastAsia="Arial" w:hAnsi="Arial" w:cs="Arial"/>
          <w:i/>
          <w:color w:val="000000"/>
          <w:sz w:val="20"/>
        </w:rPr>
        <w:t>Dickerson</w:t>
      </w:r>
      <w:r>
        <w:rPr>
          <w:rFonts w:ascii="Arial" w:eastAsia="Arial" w:hAnsi="Arial" w:cs="Arial"/>
          <w:color w:val="000000"/>
          <w:sz w:val="20"/>
        </w:rPr>
        <w:t xml:space="preserve">, 657 F.3d at 601. </w:t>
      </w:r>
      <w:bookmarkStart w:id="1018" w:name="Bookmark_I0BH7FSBGMC000VXMJ40049X"/>
      <w:bookmarkStart w:id="1019" w:name="Bookmark_I589KJPV2N1RVF0050000400"/>
      <w:bookmarkEnd w:id="1018"/>
      <w:bookmarkEnd w:id="1019"/>
      <w:r>
        <w:rPr>
          <w:rFonts w:ascii="Arial" w:eastAsia="Arial" w:hAnsi="Arial" w:cs="Arial"/>
          <w:color w:val="000000"/>
          <w:sz w:val="20"/>
        </w:rPr>
        <w:t xml:space="preserve">Cloe chose to proceed under the indirect method in the district court, (R. 54 at 12), and in her opening brief in this court, (Appellant's Br. at 15). Under this method,  [**27] Cloe must first establish a prima facie case of discrimination by showing that (1) she is disabled under the ADA; (2) she was meeting her employer's legitimate employment expectations; (3) she suffered an adverse employment action; and (4) similarly situated employees without a disability were treated more favorably. </w:t>
      </w:r>
      <w:bookmarkStart w:id="1020" w:name="Bookmark_I589KJPV2N1RVF0040000400"/>
      <w:bookmarkEnd w:id="1020"/>
      <w:r>
        <w:rPr>
          <w:rFonts w:ascii="Arial" w:eastAsia="Arial" w:hAnsi="Arial" w:cs="Arial"/>
          <w:i/>
          <w:color w:val="000000"/>
          <w:sz w:val="20"/>
        </w:rPr>
        <w:t>Dickerson</w:t>
      </w:r>
      <w:r>
        <w:rPr>
          <w:rFonts w:ascii="Arial" w:eastAsia="Arial" w:hAnsi="Arial" w:cs="Arial"/>
          <w:color w:val="000000"/>
          <w:sz w:val="20"/>
        </w:rPr>
        <w:t xml:space="preserve">, 657 F.3d at 601. "Once a plaintiff has established a prima facie case, the defendant must identify a legitimate, non-discriminatory reason for its employment decision." </w:t>
      </w:r>
      <w:r>
        <w:rPr>
          <w:rFonts w:ascii="Arial" w:eastAsia="Arial" w:hAnsi="Arial" w:cs="Arial"/>
          <w:i/>
          <w:color w:val="000000"/>
          <w:sz w:val="20"/>
        </w:rPr>
        <w:t>Id</w:t>
      </w:r>
      <w:r>
        <w:rPr>
          <w:rFonts w:ascii="Arial" w:eastAsia="Arial" w:hAnsi="Arial" w:cs="Arial"/>
          <w:color w:val="000000"/>
          <w:sz w:val="20"/>
        </w:rPr>
        <w:t xml:space="preserve">. "If the defendant satisfies this requirement, the plaintiff must then prove by a preponderance of the evidence that the defendant's reasons are pretextual." </w:t>
      </w:r>
      <w:r>
        <w:rPr>
          <w:rFonts w:ascii="Arial" w:eastAsia="Arial" w:hAnsi="Arial" w:cs="Arial"/>
          <w:i/>
          <w:color w:val="000000"/>
          <w:sz w:val="20"/>
        </w:rPr>
        <w:t>Id</w:t>
      </w:r>
      <w:r>
        <w:rPr>
          <w:rFonts w:ascii="Arial" w:eastAsia="Arial" w:hAnsi="Arial" w:cs="Arial"/>
          <w:color w:val="000000"/>
          <w:sz w:val="20"/>
        </w:rPr>
        <w:t>.</w:t>
      </w:r>
    </w:p>
    <w:p w14:paraId="559C1BB3" w14:textId="77777777" w:rsidR="00D041A2" w:rsidRDefault="00000000">
      <w:pPr>
        <w:pStyle w:val="Normal9"/>
        <w:widowControl w:val="0"/>
        <w:spacing w:before="200" w:line="260" w:lineRule="atLeast"/>
        <w:jc w:val="both"/>
      </w:pPr>
      <w:bookmarkStart w:id="1021" w:name="Bookmark_para_38_2"/>
      <w:bookmarkEnd w:id="1021"/>
      <w:r>
        <w:rPr>
          <w:rFonts w:ascii="Arial" w:eastAsia="Arial" w:hAnsi="Arial" w:cs="Arial"/>
          <w:color w:val="000000"/>
          <w:sz w:val="20"/>
        </w:rPr>
        <w:t xml:space="preserve">The district court held that Cloe could not show that the City's reasons for firing her were pretextual. However, as Cloe correctly points out, the City did not raise this argument in support of its motion for summary judgment. Indeed, the City's brief in support of summary judgment did not mention wrongful termination </w:t>
      </w:r>
      <w:r>
        <w:rPr>
          <w:rFonts w:ascii="Arial" w:eastAsia="Arial" w:hAnsi="Arial" w:cs="Arial"/>
          <w:i/>
          <w:color w:val="000000"/>
          <w:sz w:val="20"/>
        </w:rPr>
        <w:t>at all</w:t>
      </w:r>
      <w:r>
        <w:rPr>
          <w:rFonts w:ascii="Arial" w:eastAsia="Arial" w:hAnsi="Arial" w:cs="Arial"/>
          <w:color w:val="000000"/>
          <w:sz w:val="20"/>
        </w:rPr>
        <w:t xml:space="preserve">. Instead, the City argued only that it did not discriminate against Cloe when it required her to submit medical certifications. </w:t>
      </w:r>
      <w:bookmarkStart w:id="1022" w:name="Bookmark_I589KJPV28T3Y60020000400"/>
      <w:bookmarkEnd w:id="1022"/>
      <w:r>
        <w:rPr>
          <w:rFonts w:ascii="Arial" w:eastAsia="Arial" w:hAnsi="Arial" w:cs="Arial"/>
          <w:color w:val="000000"/>
          <w:sz w:val="20"/>
        </w:rPr>
        <w:t xml:space="preserve">(R. 45 at 21-25.) As a result, Cloe contends that the City forfeited the pretext  [**28] issue and that it was a mistake for the district court to rule on that basis. </w:t>
      </w:r>
      <w:r>
        <w:rPr>
          <w:rFonts w:ascii="Arial" w:eastAsia="Arial" w:hAnsi="Arial" w:cs="Arial"/>
          <w:i/>
          <w:color w:val="000000"/>
          <w:sz w:val="20"/>
        </w:rPr>
        <w:t xml:space="preserve">See </w:t>
      </w:r>
      <w:bookmarkStart w:id="1023" w:name="Bookmark_I589KJPV28T3Y60010000400"/>
      <w:bookmarkEnd w:id="1023"/>
      <w:r>
        <w:rPr>
          <w:rFonts w:ascii="Arial" w:eastAsia="Arial" w:hAnsi="Arial" w:cs="Arial"/>
          <w:i/>
          <w:color w:val="000000"/>
          <w:sz w:val="20"/>
        </w:rPr>
        <w:t>Anderson v. Gulf Stream Coach, Inc</w:t>
      </w:r>
      <w:r>
        <w:rPr>
          <w:rFonts w:ascii="Arial" w:eastAsia="Arial" w:hAnsi="Arial" w:cs="Arial"/>
          <w:color w:val="000000"/>
          <w:sz w:val="20"/>
        </w:rPr>
        <w:t>., 662 F.3d 775, 783 (7th Cir. 2011) (</w:t>
      </w:r>
      <w:bookmarkStart w:id="1024" w:name="Bookmark_LNHNREFclscc14_3"/>
      <w:bookmarkEnd w:id="1024"/>
      <w:r>
        <w:rPr>
          <w:rFonts w:ascii="Arial" w:eastAsia="Arial" w:hAnsi="Arial" w:cs="Arial"/>
          <w:color w:val="000000"/>
          <w:sz w:val="20"/>
        </w:rPr>
        <w:t>defendant forfeited argument by failing to raise it in its motion for summary judgment).</w:t>
      </w:r>
    </w:p>
    <w:p w14:paraId="60DF798B" w14:textId="77777777" w:rsidR="00D041A2" w:rsidRDefault="00000000">
      <w:pPr>
        <w:pStyle w:val="Normal9"/>
        <w:widowControl w:val="0"/>
        <w:spacing w:before="200" w:line="260" w:lineRule="atLeast"/>
        <w:jc w:val="both"/>
      </w:pPr>
      <w:bookmarkStart w:id="1025" w:name="Bookmark_para_39_2"/>
      <w:bookmarkStart w:id="1026" w:name="Bookmark_I589KJPV28T3Y60040000400"/>
      <w:bookmarkStart w:id="1027" w:name="Bookmark_I0BH7FSBR0Y000VXMJ40049Y"/>
      <w:bookmarkStart w:id="1028" w:name="Bookmark_I589KJPV2HM67D0030000400"/>
      <w:bookmarkEnd w:id="1025"/>
      <w:bookmarkEnd w:id="1026"/>
      <w:bookmarkEnd w:id="1027"/>
      <w:bookmarkEnd w:id="1028"/>
      <w:r>
        <w:rPr>
          <w:rFonts w:ascii="Arial" w:eastAsia="Arial" w:hAnsi="Arial" w:cs="Arial"/>
          <w:color w:val="000000"/>
          <w:sz w:val="20"/>
        </w:rPr>
        <w:t xml:space="preserve">We think that Cloe is correct. </w:t>
      </w:r>
      <w:bookmarkStart w:id="1029" w:name="Bookmark_LNHNREFclscc15_3"/>
      <w:bookmarkEnd w:id="1029"/>
      <w:r>
        <w:rPr>
          <w:rFonts w:ascii="Arial" w:eastAsia="Arial" w:hAnsi="Arial" w:cs="Arial"/>
          <w:color w:val="000000"/>
          <w:sz w:val="20"/>
        </w:rPr>
        <w:t xml:space="preserve">"As a general matter, if the moving party does not raise an issue in support of its motion for summary judgment, the nonmoving party is not required to present evidence on that point, and the district court should not rely on that ground in its decision." </w:t>
      </w:r>
      <w:bookmarkStart w:id="1030" w:name="Bookmark_I589KJPV28T3Y60030000400"/>
      <w:bookmarkEnd w:id="1030"/>
      <w:r>
        <w:rPr>
          <w:rFonts w:ascii="Arial" w:eastAsia="Arial" w:hAnsi="Arial" w:cs="Arial"/>
          <w:i/>
          <w:color w:val="000000"/>
          <w:sz w:val="20"/>
        </w:rPr>
        <w:t>Sublett v. John Wiley &amp; Sons, Inc</w:t>
      </w:r>
      <w:r>
        <w:rPr>
          <w:rFonts w:ascii="Arial" w:eastAsia="Arial" w:hAnsi="Arial" w:cs="Arial"/>
          <w:color w:val="000000"/>
          <w:sz w:val="20"/>
        </w:rPr>
        <w:t xml:space="preserve">., 463 F.3d 731, 736 (7th Cir. 2006); </w:t>
      </w:r>
      <w:r>
        <w:rPr>
          <w:rFonts w:ascii="Arial" w:eastAsia="Arial" w:hAnsi="Arial" w:cs="Arial"/>
          <w:i/>
          <w:color w:val="000000"/>
          <w:sz w:val="20"/>
        </w:rPr>
        <w:t xml:space="preserve">accord </w:t>
      </w:r>
      <w:bookmarkStart w:id="1031" w:name="Bookmark_I589KJPV28T3Y60050000400"/>
      <w:bookmarkEnd w:id="1031"/>
      <w:r>
        <w:rPr>
          <w:rFonts w:ascii="Arial" w:eastAsia="Arial" w:hAnsi="Arial" w:cs="Arial"/>
          <w:i/>
          <w:color w:val="000000"/>
          <w:sz w:val="20"/>
        </w:rPr>
        <w:t>Costello v. Grundon</w:t>
      </w:r>
      <w:r>
        <w:rPr>
          <w:rFonts w:ascii="Arial" w:eastAsia="Arial" w:hAnsi="Arial" w:cs="Arial"/>
          <w:color w:val="000000"/>
          <w:sz w:val="20"/>
        </w:rPr>
        <w:t xml:space="preserve">, 651 F.3d 614, 635 (7th Cir. 2011). There is an exception to this rule: "A district court may enter summary judgment sua sponte on an issue not explicitly argued if the losing party is on notice that she has to come forward with all of her evidence." </w:t>
      </w:r>
      <w:bookmarkStart w:id="1032" w:name="Bookmark_I589KJPV2HM67D0020000400"/>
      <w:bookmarkEnd w:id="1032"/>
      <w:r>
        <w:rPr>
          <w:rFonts w:ascii="Arial" w:eastAsia="Arial" w:hAnsi="Arial" w:cs="Arial"/>
          <w:i/>
          <w:color w:val="000000"/>
          <w:sz w:val="20"/>
        </w:rPr>
        <w:t>Kellar v. Summit Seating Inc</w:t>
      </w:r>
      <w:r>
        <w:rPr>
          <w:rFonts w:ascii="Arial" w:eastAsia="Arial" w:hAnsi="Arial" w:cs="Arial"/>
          <w:color w:val="000000"/>
          <w:sz w:val="20"/>
        </w:rPr>
        <w:t xml:space="preserve">., 664 F.3d 169, 174 (7th Cir. 2011); </w:t>
      </w:r>
      <w:r>
        <w:rPr>
          <w:rFonts w:ascii="Arial" w:eastAsia="Arial" w:hAnsi="Arial" w:cs="Arial"/>
          <w:i/>
          <w:color w:val="000000"/>
          <w:sz w:val="20"/>
        </w:rPr>
        <w:t xml:space="preserve">accord </w:t>
      </w:r>
      <w:bookmarkStart w:id="1033" w:name="Bookmark_I589KJPV2HM67D0040000400"/>
      <w:bookmarkEnd w:id="1033"/>
      <w:r>
        <w:rPr>
          <w:rFonts w:ascii="Arial" w:eastAsia="Arial" w:hAnsi="Arial" w:cs="Arial"/>
          <w:i/>
          <w:color w:val="000000"/>
          <w:sz w:val="20"/>
        </w:rPr>
        <w:t>Celotex Corp. v. Catrett</w:t>
      </w:r>
      <w:r>
        <w:rPr>
          <w:rFonts w:ascii="Arial" w:eastAsia="Arial" w:hAnsi="Arial" w:cs="Arial"/>
          <w:color w:val="000000"/>
          <w:sz w:val="20"/>
        </w:rPr>
        <w:t>, 477 U.S. 317, 326, 106 S. Ct. 2548, 91 L. Ed. 2d 265 (1986). But we do not think that this exception applies here. While some of Cloe's arguments in the district court might have also been relevant to the pretext question, (</w:t>
      </w:r>
      <w:r>
        <w:rPr>
          <w:rFonts w:ascii="Arial" w:eastAsia="Arial" w:hAnsi="Arial" w:cs="Arial"/>
          <w:i/>
          <w:color w:val="000000"/>
          <w:sz w:val="20"/>
        </w:rPr>
        <w:t>see, e.g</w:t>
      </w:r>
      <w:r>
        <w:rPr>
          <w:rFonts w:ascii="Arial" w:eastAsia="Arial" w:hAnsi="Arial" w:cs="Arial"/>
          <w:color w:val="000000"/>
          <w:sz w:val="20"/>
        </w:rPr>
        <w:t xml:space="preserve">., R. 54 at 13) ("the disciplinary  [**29] action[s] taken against Cloe which led to her termination were fabricated"), Cloe never used the word "pretext" nor couched any of her arguments in "pretext" terms. To the contrary, Cloe argued that she had "established her prima facie case which should be sufficient to avoid summary judgment" and that the City had "not yet articulated a legitimate, non-discriminatory reason for its employment action." (R. 54 at 15.) </w:t>
      </w:r>
      <w:bookmarkStart w:id="1034" w:name="Bookmark_I0BH7FSBYCH000VXMJ4002NF"/>
      <w:bookmarkStart w:id="1035" w:name="Bookmark_I589KJPV28T3Y70020000400"/>
      <w:bookmarkEnd w:id="1034"/>
      <w:bookmarkEnd w:id="1035"/>
      <w:r>
        <w:rPr>
          <w:rFonts w:ascii="Arial" w:eastAsia="Arial" w:hAnsi="Arial" w:cs="Arial"/>
          <w:color w:val="000000"/>
          <w:sz w:val="20"/>
        </w:rPr>
        <w:t xml:space="preserve">That language suggests Cloe did not address pretext, at least not fully. </w:t>
      </w:r>
      <w:bookmarkStart w:id="1036" w:name="Bookmark_I589KJPV28T3Y70040000400"/>
      <w:bookmarkEnd w:id="1036"/>
      <w:r>
        <w:rPr>
          <w:rFonts w:ascii="Arial" w:eastAsia="Arial" w:hAnsi="Arial" w:cs="Arial"/>
          <w:color w:val="000000"/>
          <w:sz w:val="20"/>
        </w:rPr>
        <w:t xml:space="preserve">After all, </w:t>
      </w:r>
      <w:bookmarkStart w:id="1037" w:name="Bookmark_LNHNREFclscc16_2"/>
      <w:bookmarkEnd w:id="1037"/>
      <w:r>
        <w:rPr>
          <w:rFonts w:ascii="Arial" w:eastAsia="Arial" w:hAnsi="Arial" w:cs="Arial"/>
          <w:color w:val="000000"/>
          <w:sz w:val="20"/>
        </w:rPr>
        <w:t xml:space="preserve">a plaintiff does not have to address pretext until the defendant articulates a legitimate, non-discriminatory reason for his or her actions. </w:t>
      </w:r>
      <w:r>
        <w:rPr>
          <w:rFonts w:ascii="Arial" w:eastAsia="Arial" w:hAnsi="Arial" w:cs="Arial"/>
          <w:i/>
          <w:color w:val="000000"/>
          <w:sz w:val="20"/>
        </w:rPr>
        <w:t xml:space="preserve">See </w:t>
      </w:r>
      <w:bookmarkStart w:id="1038" w:name="Bookmark_I589KJPV28T3Y70010000400"/>
      <w:bookmarkEnd w:id="1038"/>
      <w:r>
        <w:rPr>
          <w:rFonts w:ascii="Arial" w:eastAsia="Arial" w:hAnsi="Arial" w:cs="Arial"/>
          <w:i/>
          <w:color w:val="000000"/>
          <w:sz w:val="20"/>
        </w:rPr>
        <w:t>Good v. Univ. of Chi. Med. Ctr</w:t>
      </w:r>
      <w:r>
        <w:rPr>
          <w:rFonts w:ascii="Arial" w:eastAsia="Arial" w:hAnsi="Arial" w:cs="Arial"/>
          <w:color w:val="000000"/>
          <w:sz w:val="20"/>
        </w:rPr>
        <w:t xml:space="preserve">., 673 F.3d 670, 679 (7th Cir. 2012). </w:t>
      </w:r>
      <w:bookmarkStart w:id="1039" w:name="Bookmark_I589KJPV28T3Y70040000400_2"/>
      <w:bookmarkEnd w:id="1039"/>
      <w:r>
        <w:rPr>
          <w:rFonts w:ascii="Arial" w:eastAsia="Arial" w:hAnsi="Arial" w:cs="Arial"/>
          <w:color w:val="000000"/>
          <w:sz w:val="20"/>
        </w:rPr>
        <w:t xml:space="preserve">Thus, it is unclear whether Cloe was "on  [*1183]  notice," </w:t>
      </w:r>
      <w:bookmarkStart w:id="1040" w:name="Bookmark_I589KJPV28T3Y70030000400"/>
      <w:bookmarkEnd w:id="1040"/>
      <w:r>
        <w:rPr>
          <w:rFonts w:ascii="Arial" w:eastAsia="Arial" w:hAnsi="Arial" w:cs="Arial"/>
          <w:i/>
          <w:color w:val="000000"/>
          <w:sz w:val="20"/>
        </w:rPr>
        <w:t>Kellar</w:t>
      </w:r>
      <w:r>
        <w:rPr>
          <w:rFonts w:ascii="Arial" w:eastAsia="Arial" w:hAnsi="Arial" w:cs="Arial"/>
          <w:color w:val="000000"/>
          <w:sz w:val="20"/>
        </w:rPr>
        <w:t>, 664 F.3d at 174, that the district court might decide her case on the basis of pretext. As a result, we think that it was a mistake for the district court to grant summary judgment on those grounds.</w:t>
      </w:r>
    </w:p>
    <w:p w14:paraId="7846A954" w14:textId="77777777" w:rsidR="00D041A2" w:rsidRDefault="00000000">
      <w:pPr>
        <w:pStyle w:val="Normal9"/>
        <w:widowControl w:val="0"/>
        <w:spacing w:before="200" w:line="260" w:lineRule="atLeast"/>
        <w:jc w:val="both"/>
      </w:pPr>
      <w:bookmarkStart w:id="1041" w:name="Bookmark_para_40_2"/>
      <w:bookmarkEnd w:id="1041"/>
      <w:r>
        <w:rPr>
          <w:rFonts w:ascii="Arial" w:eastAsia="Arial" w:hAnsi="Arial" w:cs="Arial"/>
          <w:color w:val="000000"/>
          <w:sz w:val="20"/>
        </w:rPr>
        <w:t>So what should we do with Cloe's discriminatory termination claim? Cloe insists that we must send the case back to the district court. The City, on the other hand, argues that, even without addressing pretext, we can decide the  [**30] case because Cloe did not provide enough evidence to support her prima facie case. Specifically, the City contents that Cloe has not shown (1) that her performance was satisfactory, or (2) that similarly situated employees were treated better than her.</w:t>
      </w:r>
    </w:p>
    <w:p w14:paraId="49DAE191" w14:textId="77777777" w:rsidR="00D041A2" w:rsidRDefault="00000000">
      <w:pPr>
        <w:pStyle w:val="Normal9"/>
        <w:widowControl w:val="0"/>
        <w:spacing w:before="200" w:line="260" w:lineRule="atLeast"/>
        <w:jc w:val="both"/>
      </w:pPr>
      <w:bookmarkStart w:id="1042" w:name="Bookmark_para_41_1"/>
      <w:bookmarkEnd w:id="1042"/>
      <w:r>
        <w:rPr>
          <w:rFonts w:ascii="Arial" w:eastAsia="Arial" w:hAnsi="Arial" w:cs="Arial"/>
          <w:color w:val="000000"/>
          <w:sz w:val="20"/>
        </w:rPr>
        <w:t>Given the path this case took through the district court, we think that a remand is better. While the support in the record for some of Cloe's claims is sparse, the record might look very different without the City's forfeiture. Discovery did not close until after the City moved for summary judgment.</w:t>
      </w:r>
      <w:r>
        <w:rPr>
          <w:rFonts w:ascii="Arial" w:eastAsia="Arial" w:hAnsi="Arial" w:cs="Arial"/>
          <w:vertAlign w:val="superscript"/>
        </w:rPr>
        <w:footnoteReference w:customMarkFollows="1" w:id="54"/>
        <w:t>7</w:t>
      </w:r>
      <w:r>
        <w:rPr>
          <w:rFonts w:ascii="Arial" w:eastAsia="Arial" w:hAnsi="Arial" w:cs="Arial"/>
          <w:color w:val="000000"/>
          <w:sz w:val="20"/>
        </w:rPr>
        <w:t xml:space="preserve"> If the City had presented its arguments at that time, Cloe might well have provided new evidence to counter them. Perhaps Cloe has other evidence that she simply did not present because it was not relevant to the City's motion. Or perhaps Cloe could have used the still-open discovery period to seek out new evidence to meet the City's objections.</w:t>
      </w:r>
    </w:p>
    <w:p w14:paraId="6D0C60CC" w14:textId="77777777" w:rsidR="00D041A2" w:rsidRDefault="00000000">
      <w:pPr>
        <w:pStyle w:val="Normal9"/>
        <w:widowControl w:val="0"/>
        <w:spacing w:before="200" w:line="260" w:lineRule="atLeast"/>
        <w:jc w:val="both"/>
      </w:pPr>
      <w:bookmarkStart w:id="1044" w:name="Bookmark_para_42_1"/>
      <w:bookmarkStart w:id="1045" w:name="Bookmark_I589KJPV2HM67F0010000400"/>
      <w:bookmarkEnd w:id="1044"/>
      <w:bookmarkEnd w:id="1045"/>
      <w:r>
        <w:rPr>
          <w:rFonts w:ascii="Arial" w:eastAsia="Arial" w:hAnsi="Arial" w:cs="Arial"/>
          <w:color w:val="000000"/>
          <w:sz w:val="20"/>
        </w:rPr>
        <w:t xml:space="preserve">But </w:t>
      </w:r>
      <w:bookmarkStart w:id="1046" w:name="Bookmark_LNHNREFclscc17_2"/>
      <w:bookmarkEnd w:id="1046"/>
      <w:r>
        <w:rPr>
          <w:rFonts w:ascii="Arial" w:eastAsia="Arial" w:hAnsi="Arial" w:cs="Arial"/>
          <w:color w:val="000000"/>
          <w:sz w:val="20"/>
        </w:rPr>
        <w:t xml:space="preserve">a "nonmovant is not required to present evidence on an issue not raised by the movant." </w:t>
      </w:r>
      <w:bookmarkStart w:id="1047" w:name="Bookmark_I589KJPV28T3Y70050000400"/>
      <w:bookmarkEnd w:id="1047"/>
      <w:r>
        <w:rPr>
          <w:rFonts w:ascii="Arial" w:eastAsia="Arial" w:hAnsi="Arial" w:cs="Arial"/>
          <w:i/>
          <w:color w:val="000000"/>
          <w:sz w:val="20"/>
        </w:rPr>
        <w:t>Costello</w:t>
      </w:r>
      <w:r>
        <w:rPr>
          <w:rFonts w:ascii="Arial" w:eastAsia="Arial" w:hAnsi="Arial" w:cs="Arial"/>
          <w:color w:val="000000"/>
          <w:sz w:val="20"/>
        </w:rPr>
        <w:t>, 651 F.3d at 635. And, as discussed, the City's brief in support of summary judgment did not put Cloe on notice that her discriminatory termination claim would be at issue. As a result, the City's failure to raise its arguments below may have prevented Cloe from fully presenting her evidence. Accordingly, remand is appropriate.</w:t>
      </w:r>
    </w:p>
    <w:p w14:paraId="0EEA6C3F" w14:textId="77777777" w:rsidR="00D041A2" w:rsidRDefault="00000000">
      <w:pPr>
        <w:pStyle w:val="Normal9"/>
        <w:widowControl w:val="0"/>
        <w:spacing w:before="200" w:line="260" w:lineRule="atLeast"/>
        <w:jc w:val="both"/>
      </w:pPr>
      <w:bookmarkStart w:id="1048" w:name="Bookmark_para_43_1"/>
      <w:bookmarkEnd w:id="1048"/>
      <w:r>
        <w:rPr>
          <w:rFonts w:ascii="Arial" w:eastAsia="Arial" w:hAnsi="Arial" w:cs="Arial"/>
          <w:color w:val="000000"/>
          <w:sz w:val="20"/>
        </w:rPr>
        <w:t xml:space="preserve">The City raises two arguments to the contrary, but neither is persuasive. First, the City contends that "the vagueness of the Complaint" and "the non-specificity of Cloe's deposition testimony" should excuse the City's forfeiture. (Appellee's Br. at 26.) But </w:t>
      </w:r>
      <w:bookmarkStart w:id="1049" w:name="Bookmark_LNHNREFclscc18_1"/>
      <w:bookmarkEnd w:id="1049"/>
      <w:r>
        <w:rPr>
          <w:rFonts w:ascii="Arial" w:eastAsia="Arial" w:hAnsi="Arial" w:cs="Arial"/>
          <w:color w:val="000000"/>
          <w:sz w:val="20"/>
        </w:rPr>
        <w:t>the Federal Rules of Civil Procedure have ways of dealing with vague complaints, including motions for a more definite statement, Fed. R. Civ. P. 12(e), and motions to dismiss for failure to state a claim, Fed. R. Civ. P. 12(b)(6). The City declined to use either of these tools, so we do not think that any purported vagueness in Cloe's complaint excuses the forfeiture here.</w:t>
      </w:r>
    </w:p>
    <w:p w14:paraId="5247635C" w14:textId="77777777" w:rsidR="00D041A2" w:rsidRDefault="00000000">
      <w:pPr>
        <w:pStyle w:val="Normal9"/>
        <w:widowControl w:val="0"/>
        <w:spacing w:before="200" w:line="260" w:lineRule="atLeast"/>
        <w:jc w:val="both"/>
      </w:pPr>
      <w:bookmarkStart w:id="1050" w:name="Bookmark_para_44_1"/>
      <w:bookmarkStart w:id="1051" w:name="Bookmark_I589KJPV2HM67F0030000400"/>
      <w:bookmarkEnd w:id="1050"/>
      <w:bookmarkEnd w:id="1051"/>
      <w:r>
        <w:rPr>
          <w:rFonts w:ascii="Arial" w:eastAsia="Arial" w:hAnsi="Arial" w:cs="Arial"/>
          <w:color w:val="000000"/>
          <w:sz w:val="20"/>
        </w:rPr>
        <w:t xml:space="preserve">Second, the City argues that  [**32] any forfeiture was harmless because Cloe briefed the wrongful termination issue in the district court </w:t>
      </w:r>
      <w:r>
        <w:rPr>
          <w:rFonts w:ascii="Arial" w:eastAsia="Arial" w:hAnsi="Arial" w:cs="Arial"/>
          <w:i/>
          <w:color w:val="000000"/>
          <w:sz w:val="20"/>
        </w:rPr>
        <w:t>despite</w:t>
      </w:r>
      <w:r>
        <w:rPr>
          <w:rFonts w:ascii="Arial" w:eastAsia="Arial" w:hAnsi="Arial" w:cs="Arial"/>
          <w:color w:val="000000"/>
          <w:sz w:val="20"/>
        </w:rPr>
        <w:t xml:space="preserve"> the City's waiver. Specifically, Cloe argued that she established a prima facie case of discriminatory termination (even though, as discussed, she did not address pretext). And, the City notes, a district court is free to grant summary judgment on issues not raised by the parties, "so long as the losing party was on notice that she had to come forward with all of her evidence." </w:t>
      </w:r>
      <w:bookmarkStart w:id="1052" w:name="Bookmark_I589KJPV2HM67F0020000400"/>
      <w:bookmarkEnd w:id="1052"/>
      <w:r>
        <w:rPr>
          <w:rFonts w:ascii="Arial" w:eastAsia="Arial" w:hAnsi="Arial" w:cs="Arial"/>
          <w:i/>
          <w:color w:val="000000"/>
          <w:sz w:val="20"/>
        </w:rPr>
        <w:t>Celotex</w:t>
      </w:r>
      <w:r>
        <w:rPr>
          <w:rFonts w:ascii="Arial" w:eastAsia="Arial" w:hAnsi="Arial" w:cs="Arial"/>
          <w:color w:val="000000"/>
          <w:sz w:val="20"/>
        </w:rPr>
        <w:t xml:space="preserve">, 477 U.S. at 326; </w:t>
      </w:r>
      <w:r>
        <w:rPr>
          <w:rFonts w:ascii="Arial" w:eastAsia="Arial" w:hAnsi="Arial" w:cs="Arial"/>
          <w:i/>
          <w:color w:val="000000"/>
          <w:sz w:val="20"/>
        </w:rPr>
        <w:t xml:space="preserve">accord </w:t>
      </w:r>
      <w:bookmarkStart w:id="1053" w:name="Bookmark_I589KJPV2HM67F0040000400"/>
      <w:bookmarkEnd w:id="1053"/>
      <w:r>
        <w:rPr>
          <w:rFonts w:ascii="Arial" w:eastAsia="Arial" w:hAnsi="Arial" w:cs="Arial"/>
          <w:i/>
          <w:color w:val="000000"/>
          <w:sz w:val="20"/>
        </w:rPr>
        <w:t>Kellar</w:t>
      </w:r>
      <w:r>
        <w:rPr>
          <w:rFonts w:ascii="Arial" w:eastAsia="Arial" w:hAnsi="Arial" w:cs="Arial"/>
          <w:color w:val="000000"/>
          <w:sz w:val="20"/>
        </w:rPr>
        <w:t>, 664 F.3d at 174. Because Cloe discussed her prima facie case, the City argues that she cannot show prejudice from the City's lack of notice, and she therefore had the functional equivalent of an opportunity to come forward with all of her evidence. As a result, the City concludes that we can affirm  [*1184]  based on Cloe's supposed inability to state a prima facie case.</w:t>
      </w:r>
    </w:p>
    <w:p w14:paraId="17BB9C49" w14:textId="77777777" w:rsidR="00D041A2" w:rsidRDefault="00000000">
      <w:pPr>
        <w:pStyle w:val="Normal9"/>
        <w:widowControl w:val="0"/>
        <w:spacing w:before="200" w:line="260" w:lineRule="atLeast"/>
        <w:jc w:val="both"/>
      </w:pPr>
      <w:bookmarkStart w:id="1054" w:name="Bookmark_para_45_1"/>
      <w:bookmarkEnd w:id="1054"/>
      <w:r>
        <w:rPr>
          <w:rFonts w:ascii="Arial" w:eastAsia="Arial" w:hAnsi="Arial" w:cs="Arial"/>
          <w:color w:val="000000"/>
          <w:sz w:val="20"/>
        </w:rPr>
        <w:t>We are not convinced. Cloe relied primarily on forfeiture when discussing her discriminatory termination claims in the district court. (</w:t>
      </w:r>
      <w:r>
        <w:rPr>
          <w:rFonts w:ascii="Arial" w:eastAsia="Arial" w:hAnsi="Arial" w:cs="Arial"/>
          <w:i/>
          <w:color w:val="000000"/>
          <w:sz w:val="20"/>
        </w:rPr>
        <w:t>See</w:t>
      </w:r>
      <w:r>
        <w:rPr>
          <w:rFonts w:ascii="Arial" w:eastAsia="Arial" w:hAnsi="Arial" w:cs="Arial"/>
          <w:color w:val="000000"/>
          <w:sz w:val="20"/>
        </w:rPr>
        <w:t xml:space="preserve"> R. 54 at 12-13.) True, she also argued, in an abundance of caution, that she had satisfied her prima facie case. (</w:t>
      </w:r>
      <w:r>
        <w:rPr>
          <w:rFonts w:ascii="Arial" w:eastAsia="Arial" w:hAnsi="Arial" w:cs="Arial"/>
          <w:i/>
          <w:color w:val="000000"/>
          <w:sz w:val="20"/>
        </w:rPr>
        <w:t>Id</w:t>
      </w:r>
      <w:r>
        <w:rPr>
          <w:rFonts w:ascii="Arial" w:eastAsia="Arial" w:hAnsi="Arial" w:cs="Arial"/>
          <w:color w:val="000000"/>
          <w:sz w:val="20"/>
        </w:rPr>
        <w:t>. at 13.) But we do not think it fair to hold that  [**33] fact against her, particularly given that (1) the City failed to move for summary judgment on that basis; and (2) that failure may have denied Cloe the opportunity to place additional evidence of discriminatory termination in the record. We do not know whether Cloe will eventually be able to show a triable issue of fact regarding discriminatory termination. But she deserves the chance make that showing fairly, with notice, and with a full opportunity to present her evidence.</w:t>
      </w:r>
    </w:p>
    <w:p w14:paraId="13676A86" w14:textId="77777777" w:rsidR="00D041A2" w:rsidRDefault="00000000">
      <w:pPr>
        <w:pStyle w:val="Normal9"/>
        <w:widowControl w:val="0"/>
        <w:spacing w:before="240" w:line="260" w:lineRule="atLeast"/>
      </w:pPr>
      <w:r>
        <w:br/>
      </w:r>
      <w:r>
        <w:rPr>
          <w:rFonts w:ascii="Arial" w:eastAsia="Arial" w:hAnsi="Arial" w:cs="Arial"/>
          <w:b/>
          <w:color w:val="000000"/>
          <w:sz w:val="20"/>
        </w:rPr>
        <w:t xml:space="preserve">III. </w:t>
      </w:r>
      <w:r>
        <w:rPr>
          <w:rFonts w:ascii="Arial" w:eastAsia="Arial" w:hAnsi="Arial" w:cs="Arial"/>
          <w:b/>
          <w:smallCaps/>
          <w:color w:val="000000"/>
          <w:sz w:val="20"/>
        </w:rPr>
        <w:t>Conclusion</w:t>
      </w:r>
    </w:p>
    <w:p w14:paraId="016E4D88" w14:textId="77777777" w:rsidR="00D041A2" w:rsidRDefault="00000000">
      <w:pPr>
        <w:pStyle w:val="Normal9"/>
        <w:widowControl w:val="0"/>
        <w:spacing w:before="200" w:line="260" w:lineRule="atLeast"/>
        <w:jc w:val="both"/>
      </w:pPr>
      <w:bookmarkStart w:id="1055" w:name="Bookmark_para_46_1"/>
      <w:bookmarkEnd w:id="1055"/>
      <w:r>
        <w:rPr>
          <w:rFonts w:ascii="Arial" w:eastAsia="Arial" w:hAnsi="Arial" w:cs="Arial"/>
          <w:color w:val="000000"/>
          <w:sz w:val="20"/>
        </w:rPr>
        <w:t xml:space="preserve">For the foregoing reasons, we </w:t>
      </w:r>
      <w:r>
        <w:rPr>
          <w:rFonts w:ascii="Arial" w:eastAsia="Arial" w:hAnsi="Arial" w:cs="Arial"/>
          <w:smallCaps/>
          <w:color w:val="000000"/>
          <w:sz w:val="20"/>
        </w:rPr>
        <w:t>Affirm</w:t>
      </w:r>
      <w:r>
        <w:rPr>
          <w:rFonts w:ascii="Arial" w:eastAsia="Arial" w:hAnsi="Arial" w:cs="Arial"/>
          <w:color w:val="000000"/>
          <w:sz w:val="20"/>
        </w:rPr>
        <w:t xml:space="preserve"> the district court's grant of summary judgment on Cloe's reasonable accommodation claims. We </w:t>
      </w:r>
      <w:r>
        <w:rPr>
          <w:rFonts w:ascii="Arial" w:eastAsia="Arial" w:hAnsi="Arial" w:cs="Arial"/>
          <w:smallCaps/>
          <w:color w:val="000000"/>
          <w:sz w:val="20"/>
        </w:rPr>
        <w:t>Reverse</w:t>
      </w:r>
      <w:r>
        <w:rPr>
          <w:rFonts w:ascii="Arial" w:eastAsia="Arial" w:hAnsi="Arial" w:cs="Arial"/>
          <w:color w:val="000000"/>
          <w:sz w:val="20"/>
        </w:rPr>
        <w:t xml:space="preserve"> the district court's grant of summary judgment on Cloe's discrimination and retaliation claims, and </w:t>
      </w:r>
      <w:r>
        <w:rPr>
          <w:rFonts w:ascii="Arial" w:eastAsia="Arial" w:hAnsi="Arial" w:cs="Arial"/>
          <w:smallCaps/>
          <w:color w:val="000000"/>
          <w:sz w:val="20"/>
        </w:rPr>
        <w:t>Remand</w:t>
      </w:r>
      <w:r>
        <w:rPr>
          <w:rFonts w:ascii="Arial" w:eastAsia="Arial" w:hAnsi="Arial" w:cs="Arial"/>
          <w:color w:val="000000"/>
          <w:sz w:val="20"/>
        </w:rPr>
        <w:t xml:space="preserve"> for further proceedings consistent with this opinion. The parties shall bear their own costs of appeal.</w:t>
      </w:r>
    </w:p>
    <w:p w14:paraId="7FA10C61" w14:textId="77777777" w:rsidR="00D041A2" w:rsidRDefault="00000000">
      <w:pPr>
        <w:pStyle w:val="Normal9"/>
        <w:widowControl w:val="0"/>
        <w:spacing w:before="240" w:line="260" w:lineRule="atLeast"/>
      </w:pPr>
      <w:bookmarkStart w:id="1056" w:name="Concur_by"/>
      <w:bookmarkEnd w:id="1056"/>
      <w:r>
        <w:rPr>
          <w:rFonts w:ascii="Arial" w:eastAsia="Arial" w:hAnsi="Arial" w:cs="Arial"/>
          <w:b/>
          <w:color w:val="000000"/>
          <w:sz w:val="20"/>
        </w:rPr>
        <w:t>Concur by:</w:t>
      </w:r>
      <w:r>
        <w:rPr>
          <w:rFonts w:ascii="Arial" w:eastAsia="Arial" w:hAnsi="Arial" w:cs="Arial"/>
          <w:color w:val="000000"/>
          <w:sz w:val="20"/>
        </w:rPr>
        <w:t> Hamilton</w:t>
      </w:r>
    </w:p>
    <w:p w14:paraId="6064EB5C" w14:textId="77777777" w:rsidR="00D041A2" w:rsidRDefault="00000000">
      <w:pPr>
        <w:pStyle w:val="Normal9"/>
        <w:keepNext/>
        <w:widowControl w:val="0"/>
        <w:spacing w:before="240" w:line="340" w:lineRule="atLeast"/>
      </w:pPr>
      <w:bookmarkStart w:id="1057" w:name="Concur"/>
      <w:bookmarkEnd w:id="1057"/>
      <w:r>
        <w:rPr>
          <w:rFonts w:ascii="Arial" w:eastAsia="Arial" w:hAnsi="Arial" w:cs="Arial"/>
          <w:b/>
          <w:color w:val="000000"/>
          <w:sz w:val="28"/>
        </w:rPr>
        <w:t>Concur</w:t>
      </w:r>
    </w:p>
    <w:p w14:paraId="1AA6130C" w14:textId="182ECC72" w:rsidR="00D041A2" w:rsidRDefault="004D4403">
      <w:pPr>
        <w:pStyle w:val="Normal9"/>
        <w:spacing w:line="60" w:lineRule="exact"/>
      </w:pPr>
      <w:r>
        <w:rPr>
          <w:noProof/>
        </w:rPr>
        <mc:AlternateContent>
          <mc:Choice Requires="wps">
            <w:drawing>
              <wp:anchor distT="0" distB="0" distL="114300" distR="114300" simplePos="0" relativeHeight="251677696" behindDoc="0" locked="0" layoutInCell="1" allowOverlap="1" wp14:anchorId="59A52E6E" wp14:editId="30391030">
                <wp:simplePos x="0" y="0"/>
                <wp:positionH relativeFrom="column">
                  <wp:posOffset>0</wp:posOffset>
                </wp:positionH>
                <wp:positionV relativeFrom="paragraph">
                  <wp:posOffset>25400</wp:posOffset>
                </wp:positionV>
                <wp:extent cx="3187700" cy="0"/>
                <wp:effectExtent l="19050" t="15875" r="12700" b="12700"/>
                <wp:wrapTopAndBottom/>
                <wp:docPr id="107386553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2D285"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035790A" w14:textId="77777777" w:rsidR="00D041A2" w:rsidRDefault="00D041A2">
      <w:pPr>
        <w:pStyle w:val="Normal9"/>
      </w:pPr>
    </w:p>
    <w:p w14:paraId="4E7171FD" w14:textId="77777777" w:rsidR="00D041A2" w:rsidRDefault="00000000">
      <w:pPr>
        <w:pStyle w:val="Normal9"/>
        <w:widowControl w:val="0"/>
        <w:spacing w:before="200" w:line="260" w:lineRule="atLeast"/>
        <w:jc w:val="both"/>
      </w:pPr>
      <w:bookmarkStart w:id="1058" w:name="Bookmark_para_47_1"/>
      <w:bookmarkEnd w:id="1058"/>
      <w:r>
        <w:rPr>
          <w:rFonts w:ascii="Arial" w:eastAsia="Arial" w:hAnsi="Arial" w:cs="Arial"/>
          <w:smallCaps/>
          <w:color w:val="000000"/>
          <w:sz w:val="20"/>
        </w:rPr>
        <w:t>Hamilton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xml:space="preserve">. I join fully in Judge Kanne's opinion for the panel. I write separately to note that the employer's unusual presentation of its motion for summary judgment in this case has highlighted an often overlooked aspect of the </w:t>
      </w:r>
      <w:r>
        <w:rPr>
          <w:rFonts w:ascii="Arial" w:eastAsia="Arial" w:hAnsi="Arial" w:cs="Arial"/>
          <w:i/>
          <w:color w:val="000000"/>
          <w:sz w:val="20"/>
        </w:rPr>
        <w:t>McDonnell Douglas</w:t>
      </w:r>
      <w:r>
        <w:rPr>
          <w:rFonts w:ascii="Arial" w:eastAsia="Arial" w:hAnsi="Arial" w:cs="Arial"/>
          <w:color w:val="000000"/>
          <w:sz w:val="20"/>
        </w:rPr>
        <w:t xml:space="preserve"> method of indirect proof of employment discrimination: The plaintiff-employee cannot be expected  [**34] to identify similarly situated comparators until the employer has identified its decision-maker and articulated its reason for the adverse employment decision.</w:t>
      </w:r>
    </w:p>
    <w:p w14:paraId="712ECC67" w14:textId="77777777" w:rsidR="00D041A2" w:rsidRDefault="00000000">
      <w:pPr>
        <w:pStyle w:val="Normal9"/>
        <w:widowControl w:val="0"/>
        <w:spacing w:before="200" w:line="260" w:lineRule="atLeast"/>
        <w:jc w:val="both"/>
      </w:pPr>
      <w:bookmarkStart w:id="1059" w:name="Bookmark_para_48_1"/>
      <w:bookmarkStart w:id="1060" w:name="Bookmark_I0BH7FSC5S3000VXMJ4002NG"/>
      <w:bookmarkStart w:id="1061" w:name="Bookmark_I0BH7FSCD4N000VXMJ4002NJ"/>
      <w:bookmarkStart w:id="1062" w:name="Bookmark_I589KJPW28T3Y80020000400"/>
      <w:bookmarkEnd w:id="1059"/>
      <w:bookmarkEnd w:id="1060"/>
      <w:bookmarkEnd w:id="1061"/>
      <w:bookmarkEnd w:id="1062"/>
      <w:r>
        <w:rPr>
          <w:rFonts w:ascii="Arial" w:eastAsia="Arial" w:hAnsi="Arial" w:cs="Arial"/>
          <w:color w:val="000000"/>
          <w:sz w:val="20"/>
        </w:rPr>
        <w:t xml:space="preserve">The three basic steps of the </w:t>
      </w:r>
      <w:r>
        <w:rPr>
          <w:rFonts w:ascii="Arial" w:eastAsia="Arial" w:hAnsi="Arial" w:cs="Arial"/>
          <w:i/>
          <w:color w:val="000000"/>
          <w:sz w:val="20"/>
        </w:rPr>
        <w:t>McDonnell Douglas</w:t>
      </w:r>
      <w:r>
        <w:rPr>
          <w:rFonts w:ascii="Arial" w:eastAsia="Arial" w:hAnsi="Arial" w:cs="Arial"/>
          <w:color w:val="000000"/>
          <w:sz w:val="20"/>
        </w:rPr>
        <w:t xml:space="preserve"> method are familiar: (1) the plaintiff-employee offers evidence of a prima facie case, which includes identifying one or more similarly-situated employees; (2) the employer states a legitimate, non-discriminatory reason for its decision; and (3) the plaintiff-employee tries to show the employer's stated reason is a pretext, allowing for an inference of unlawful motive. </w:t>
      </w:r>
      <w:r>
        <w:rPr>
          <w:rFonts w:ascii="Arial" w:eastAsia="Arial" w:hAnsi="Arial" w:cs="Arial"/>
          <w:i/>
          <w:color w:val="000000"/>
          <w:sz w:val="20"/>
        </w:rPr>
        <w:t xml:space="preserve">E.g., </w:t>
      </w:r>
      <w:bookmarkStart w:id="1063" w:name="Bookmark_I589KJPW28T3Y80010000400"/>
      <w:bookmarkEnd w:id="1063"/>
      <w:r>
        <w:rPr>
          <w:rFonts w:ascii="Arial" w:eastAsia="Arial" w:hAnsi="Arial" w:cs="Arial"/>
          <w:i/>
          <w:color w:val="000000"/>
          <w:sz w:val="20"/>
        </w:rPr>
        <w:t>St. Mary's Honor Center v. Hicks</w:t>
      </w:r>
      <w:r>
        <w:rPr>
          <w:rFonts w:ascii="Arial" w:eastAsia="Arial" w:hAnsi="Arial" w:cs="Arial"/>
          <w:color w:val="000000"/>
          <w:sz w:val="20"/>
        </w:rPr>
        <w:t xml:space="preserve">, 509 U.S. 502, 506-07, 113 S. Ct. 2742, 125 L. Ed. 2d 407 (1993), citing </w:t>
      </w:r>
      <w:bookmarkStart w:id="1064" w:name="Bookmark_I589KJPW28T3Y80030000400"/>
      <w:bookmarkEnd w:id="1064"/>
      <w:r>
        <w:rPr>
          <w:rFonts w:ascii="Arial" w:eastAsia="Arial" w:hAnsi="Arial" w:cs="Arial"/>
          <w:i/>
          <w:color w:val="000000"/>
          <w:sz w:val="20"/>
        </w:rPr>
        <w:t>McDonnell Douglas Corp. v. Green</w:t>
      </w:r>
      <w:r>
        <w:rPr>
          <w:rFonts w:ascii="Arial" w:eastAsia="Arial" w:hAnsi="Arial" w:cs="Arial"/>
          <w:color w:val="000000"/>
          <w:sz w:val="20"/>
        </w:rPr>
        <w:t>, 411 U.S. 792, 802-04, 93 S. Ct. 1817, 36 L. Ed. 2d 668 (1973).</w:t>
      </w:r>
    </w:p>
    <w:p w14:paraId="2B646EED" w14:textId="77777777" w:rsidR="00D041A2" w:rsidRDefault="00000000">
      <w:pPr>
        <w:pStyle w:val="Normal9"/>
        <w:widowControl w:val="0"/>
        <w:spacing w:before="200" w:line="260" w:lineRule="atLeast"/>
        <w:jc w:val="both"/>
      </w:pPr>
      <w:bookmarkStart w:id="1065" w:name="Bookmark_para_49_1"/>
      <w:bookmarkEnd w:id="1065"/>
      <w:r>
        <w:rPr>
          <w:rFonts w:ascii="Arial" w:eastAsia="Arial" w:hAnsi="Arial" w:cs="Arial"/>
          <w:color w:val="000000"/>
          <w:sz w:val="20"/>
        </w:rPr>
        <w:t xml:space="preserve">The odd thing about the employer's motion for summary judgment in this case is that it failed to offer a lawful reason for the employer's decision to fire the plaintiff. </w:t>
      </w:r>
      <w:bookmarkStart w:id="1066" w:name="Bookmark_I0BH7FSCMH7000VXMJ4004B6"/>
      <w:bookmarkStart w:id="1067" w:name="Bookmark_I589KJPW28T3Y90010000400"/>
      <w:bookmarkEnd w:id="1066"/>
      <w:bookmarkEnd w:id="1067"/>
      <w:r>
        <w:rPr>
          <w:rFonts w:ascii="Arial" w:eastAsia="Arial" w:hAnsi="Arial" w:cs="Arial"/>
          <w:color w:val="000000"/>
          <w:sz w:val="20"/>
        </w:rPr>
        <w:t xml:space="preserve">The motion also contained no affidavit from any official stating that he or she made the decision to fire the plaintiff and stating the reason for the decision. The motion was therefore flawed from the start. See </w:t>
      </w:r>
      <w:bookmarkStart w:id="1068" w:name="Bookmark_I589KJPW28T3Y80050000400"/>
      <w:bookmarkEnd w:id="1068"/>
      <w:r>
        <w:rPr>
          <w:rFonts w:ascii="Arial" w:eastAsia="Arial" w:hAnsi="Arial" w:cs="Arial"/>
          <w:i/>
          <w:color w:val="000000"/>
          <w:sz w:val="20"/>
        </w:rPr>
        <w:t>Texas Dep't of Community Affairs v. Burdine</w:t>
      </w:r>
      <w:r>
        <w:rPr>
          <w:rFonts w:ascii="Arial" w:eastAsia="Arial" w:hAnsi="Arial" w:cs="Arial"/>
          <w:color w:val="000000"/>
          <w:sz w:val="20"/>
        </w:rPr>
        <w:t xml:space="preserve">, 450 U.S. 248, 255, 101 S. Ct. 1089, 67 L. Ed. 2d 207 &amp; n.9 (1981) (at second step of </w:t>
      </w:r>
      <w:r>
        <w:rPr>
          <w:rFonts w:ascii="Arial" w:eastAsia="Arial" w:hAnsi="Arial" w:cs="Arial"/>
          <w:i/>
          <w:color w:val="000000"/>
          <w:sz w:val="20"/>
        </w:rPr>
        <w:t>McDonnell  [**35] Douglas</w:t>
      </w:r>
      <w:r>
        <w:rPr>
          <w:rFonts w:ascii="Arial" w:eastAsia="Arial" w:hAnsi="Arial" w:cs="Arial"/>
          <w:color w:val="000000"/>
          <w:sz w:val="20"/>
        </w:rPr>
        <w:t xml:space="preserve"> method, "the defendant must clearly set forth, through the introduction of admissible evidence, the reasons for the plaintiff's rejection").</w:t>
      </w:r>
    </w:p>
    <w:p w14:paraId="470035F7" w14:textId="77777777" w:rsidR="00D041A2" w:rsidRDefault="00000000">
      <w:pPr>
        <w:pStyle w:val="Normal9"/>
        <w:widowControl w:val="0"/>
        <w:spacing w:before="200" w:line="260" w:lineRule="atLeast"/>
        <w:jc w:val="both"/>
      </w:pPr>
      <w:bookmarkStart w:id="1069" w:name="Bookmark_para_50_1"/>
      <w:bookmarkEnd w:id="1069"/>
      <w:r>
        <w:rPr>
          <w:rFonts w:ascii="Arial" w:eastAsia="Arial" w:hAnsi="Arial" w:cs="Arial"/>
          <w:color w:val="000000"/>
          <w:sz w:val="20"/>
        </w:rPr>
        <w:t>In the absence of an identified decision-maker and reason, the plaintiff-employee could not be expected to identify comparator employees — people situated similarly to her but outside the legally protected group. The reason is that the plaintiff cannot know who might have been similarly situated without knowing the identity of the decision-maker and the reason the employer relies upon for the decision.</w:t>
      </w:r>
    </w:p>
    <w:p w14:paraId="6E232396" w14:textId="77777777" w:rsidR="00D041A2" w:rsidRDefault="00000000">
      <w:pPr>
        <w:pStyle w:val="Normal9"/>
        <w:widowControl w:val="0"/>
        <w:spacing w:before="200" w:line="260" w:lineRule="atLeast"/>
        <w:jc w:val="both"/>
      </w:pPr>
      <w:bookmarkStart w:id="1070" w:name="Bookmark_para_51_1"/>
      <w:bookmarkStart w:id="1071" w:name="Bookmark_I0BH7FSCVWT000VXMJ4002NN"/>
      <w:bookmarkStart w:id="1072" w:name="Bookmark_I589KJPW28T3Y90030000400"/>
      <w:bookmarkStart w:id="1073" w:name="Bookmark_I0BH7FSD38C000VXMJ4002NR"/>
      <w:bookmarkStart w:id="1074" w:name="Bookmark_I589KJPW28T3Y90050000400"/>
      <w:bookmarkEnd w:id="1070"/>
      <w:bookmarkEnd w:id="1071"/>
      <w:bookmarkEnd w:id="1072"/>
      <w:bookmarkEnd w:id="1073"/>
      <w:bookmarkEnd w:id="1074"/>
      <w:r>
        <w:rPr>
          <w:rFonts w:ascii="Arial" w:eastAsia="Arial" w:hAnsi="Arial" w:cs="Arial"/>
          <w:color w:val="000000"/>
          <w:sz w:val="20"/>
        </w:rPr>
        <w:t xml:space="preserve">One case that illustrates this relationship is </w:t>
      </w:r>
      <w:bookmarkStart w:id="1075" w:name="Bookmark_I589KJPW28T3Y90020000400"/>
      <w:bookmarkEnd w:id="1075"/>
      <w:r>
        <w:rPr>
          <w:rFonts w:ascii="Arial" w:eastAsia="Arial" w:hAnsi="Arial" w:cs="Arial"/>
          <w:i/>
          <w:color w:val="000000"/>
          <w:sz w:val="20"/>
        </w:rPr>
        <w:t>Coleman v. Donahoe</w:t>
      </w:r>
      <w:r>
        <w:rPr>
          <w:rFonts w:ascii="Arial" w:eastAsia="Arial" w:hAnsi="Arial" w:cs="Arial"/>
          <w:color w:val="000000"/>
          <w:sz w:val="20"/>
        </w:rPr>
        <w:t xml:space="preserve">, 667 F.3d 835 (7th Cir. 2012). In reversing summary  [*1185]  judgment for the employer, we explained that the identity of the decision-maker was important in evaluating proposed comparators. </w:t>
      </w:r>
      <w:bookmarkStart w:id="1076" w:name="Bookmark_I0BH7FSDBXN000VXMJ4004BC"/>
      <w:bookmarkStart w:id="1077" w:name="Bookmark_I0BH7FSDTNT000VXMJ4004BG"/>
      <w:bookmarkStart w:id="1078" w:name="Bookmark_I589KJPW2SF7YX0020000400"/>
      <w:bookmarkStart w:id="1079" w:name="Bookmark_I589KJPW28T3Y90040000400"/>
      <w:bookmarkEnd w:id="1076"/>
      <w:bookmarkEnd w:id="1077"/>
      <w:bookmarkEnd w:id="1078"/>
      <w:bookmarkEnd w:id="1079"/>
      <w:r>
        <w:rPr>
          <w:rFonts w:ascii="Arial" w:eastAsia="Arial" w:hAnsi="Arial" w:cs="Arial"/>
          <w:i/>
          <w:color w:val="000000"/>
          <w:sz w:val="20"/>
        </w:rPr>
        <w:t>Id</w:t>
      </w:r>
      <w:r>
        <w:rPr>
          <w:rFonts w:ascii="Arial" w:eastAsia="Arial" w:hAnsi="Arial" w:cs="Arial"/>
          <w:color w:val="000000"/>
          <w:sz w:val="20"/>
        </w:rPr>
        <w:t xml:space="preserve">. at 847-48. </w:t>
      </w:r>
      <w:bookmarkStart w:id="1080" w:name="Bookmark_I84B34HJ0CT00002T9K001M7"/>
      <w:bookmarkStart w:id="1081" w:name="Bookmark_I84B34HJ4V800002T9K001M9"/>
      <w:bookmarkStart w:id="1082" w:name="Bookmark_I589KJPW2SF7YX0020000400_2"/>
      <w:bookmarkEnd w:id="1080"/>
      <w:bookmarkEnd w:id="1081"/>
      <w:bookmarkEnd w:id="1082"/>
      <w:r>
        <w:rPr>
          <w:rFonts w:ascii="Arial" w:eastAsia="Arial" w:hAnsi="Arial" w:cs="Arial"/>
          <w:color w:val="000000"/>
          <w:sz w:val="20"/>
        </w:rPr>
        <w:t xml:space="preserve">We also explained that the employer's stated reason for firing the plaintiff in that case was vital in evaluating whether proposed comparators were truly comparable. </w:t>
      </w:r>
      <w:bookmarkStart w:id="1083" w:name="Bookmark_I589KJPW2SF7YX0010000400"/>
      <w:bookmarkEnd w:id="1083"/>
      <w:r>
        <w:rPr>
          <w:rFonts w:ascii="Arial" w:eastAsia="Arial" w:hAnsi="Arial" w:cs="Arial"/>
          <w:i/>
          <w:color w:val="000000"/>
          <w:sz w:val="20"/>
        </w:rPr>
        <w:t>Id</w:t>
      </w:r>
      <w:r>
        <w:rPr>
          <w:rFonts w:ascii="Arial" w:eastAsia="Arial" w:hAnsi="Arial" w:cs="Arial"/>
          <w:color w:val="000000"/>
          <w:sz w:val="20"/>
        </w:rPr>
        <w:t xml:space="preserve">. at 849-50, citing </w:t>
      </w:r>
      <w:bookmarkStart w:id="1084" w:name="Bookmark_I589KJPW2SF7YX0030000400"/>
      <w:bookmarkEnd w:id="1084"/>
      <w:r>
        <w:rPr>
          <w:rFonts w:ascii="Arial" w:eastAsia="Arial" w:hAnsi="Arial" w:cs="Arial"/>
          <w:i/>
          <w:color w:val="000000"/>
          <w:sz w:val="20"/>
        </w:rPr>
        <w:t>Eaton v. Indiana Dep't of Corrections</w:t>
      </w:r>
      <w:r>
        <w:rPr>
          <w:rFonts w:ascii="Arial" w:eastAsia="Arial" w:hAnsi="Arial" w:cs="Arial"/>
          <w:color w:val="000000"/>
          <w:sz w:val="20"/>
        </w:rPr>
        <w:t xml:space="preserve">, 657 F.3d 551, 559 (7th Cir. 2011). The identity of the decision-maker and the employer's stated reason for firing the plaintiff can come only from the employer.  [**36] This logical dependence therefore has implications not only for what is needed in a motion for summary judgment, but also for the sequence of discovery in some employment discrimination cases where the </w:t>
      </w:r>
      <w:r>
        <w:rPr>
          <w:rFonts w:ascii="Arial" w:eastAsia="Arial" w:hAnsi="Arial" w:cs="Arial"/>
          <w:i/>
          <w:color w:val="000000"/>
          <w:sz w:val="20"/>
        </w:rPr>
        <w:t>McDonnell Douglas</w:t>
      </w:r>
      <w:r>
        <w:rPr>
          <w:rFonts w:ascii="Arial" w:eastAsia="Arial" w:hAnsi="Arial" w:cs="Arial"/>
          <w:color w:val="000000"/>
          <w:sz w:val="20"/>
        </w:rPr>
        <w:t xml:space="preserve"> method may be used.</w:t>
      </w:r>
    </w:p>
    <w:p w14:paraId="5519300C" w14:textId="77777777" w:rsidR="00D041A2" w:rsidRDefault="00000000">
      <w:pPr>
        <w:pStyle w:val="Normal9"/>
        <w:widowControl w:val="0"/>
        <w:spacing w:before="200" w:line="260" w:lineRule="atLeast"/>
        <w:jc w:val="both"/>
      </w:pPr>
      <w:bookmarkStart w:id="1085" w:name="Bookmark_para_52_1"/>
      <w:bookmarkStart w:id="1086" w:name="Bookmark_I0BH7FSF8DY000VXMJ4002P1"/>
      <w:bookmarkStart w:id="1087" w:name="Bookmark_I589KJPW2D6NVF0010000400"/>
      <w:bookmarkStart w:id="1088" w:name="Bookmark_I0BH7FSFR63000VXMJ4002P4"/>
      <w:bookmarkStart w:id="1089" w:name="Bookmark_I0BH7FSFGTH000VXMJ4004BN"/>
      <w:bookmarkStart w:id="1090" w:name="Bookmark_I0BH7FSFYJN000VXMJ4002P6"/>
      <w:bookmarkStart w:id="1091" w:name="Bookmark_I589KJPW2D6NVF0030000400"/>
      <w:bookmarkEnd w:id="1085"/>
      <w:bookmarkEnd w:id="1086"/>
      <w:bookmarkEnd w:id="1087"/>
      <w:bookmarkEnd w:id="1088"/>
      <w:bookmarkEnd w:id="1089"/>
      <w:bookmarkEnd w:id="1090"/>
      <w:bookmarkEnd w:id="1091"/>
      <w:r>
        <w:rPr>
          <w:rFonts w:ascii="Arial" w:eastAsia="Arial" w:hAnsi="Arial" w:cs="Arial"/>
          <w:color w:val="000000"/>
          <w:sz w:val="20"/>
        </w:rPr>
        <w:t xml:space="preserve">This logical dependence of the comparator element of the prima facie case on the identity of the employer's decision-maker and stated reason means that the intricate steps of what Judge Wood described as </w:t>
      </w:r>
      <w:r>
        <w:rPr>
          <w:rFonts w:ascii="Arial" w:eastAsia="Arial" w:hAnsi="Arial" w:cs="Arial"/>
          <w:i/>
          <w:color w:val="000000"/>
          <w:sz w:val="20"/>
        </w:rPr>
        <w:t>McDonnell Douglas's</w:t>
      </w:r>
      <w:r>
        <w:rPr>
          <w:rFonts w:ascii="Arial" w:eastAsia="Arial" w:hAnsi="Arial" w:cs="Arial"/>
          <w:color w:val="000000"/>
          <w:sz w:val="20"/>
        </w:rPr>
        <w:t xml:space="preserve"> "allemande worthy of the 16th century," </w:t>
      </w:r>
      <w:bookmarkStart w:id="1092" w:name="Bookmark_I589KJPW2SF7YX0050000400"/>
      <w:bookmarkEnd w:id="1092"/>
      <w:r>
        <w:rPr>
          <w:rFonts w:ascii="Arial" w:eastAsia="Arial" w:hAnsi="Arial" w:cs="Arial"/>
          <w:i/>
          <w:color w:val="000000"/>
          <w:sz w:val="20"/>
        </w:rPr>
        <w:t>Coleman</w:t>
      </w:r>
      <w:r>
        <w:rPr>
          <w:rFonts w:ascii="Arial" w:eastAsia="Arial" w:hAnsi="Arial" w:cs="Arial"/>
          <w:color w:val="000000"/>
          <w:sz w:val="20"/>
        </w:rPr>
        <w:t xml:space="preserve">, 667 F.3d at 863 (Wood, J., concurring), do not always follow the linear sequence that court opinions usually describe. That is why some other circuits consider comparator evidence at the pretext phase of the </w:t>
      </w:r>
      <w:r>
        <w:rPr>
          <w:rFonts w:ascii="Arial" w:eastAsia="Arial" w:hAnsi="Arial" w:cs="Arial"/>
          <w:i/>
          <w:color w:val="000000"/>
          <w:sz w:val="20"/>
        </w:rPr>
        <w:t>McDonnell Douglas</w:t>
      </w:r>
      <w:r>
        <w:rPr>
          <w:rFonts w:ascii="Arial" w:eastAsia="Arial" w:hAnsi="Arial" w:cs="Arial"/>
          <w:color w:val="000000"/>
          <w:sz w:val="20"/>
        </w:rPr>
        <w:t xml:space="preserve"> method rather than as part of the prima facie case. See </w:t>
      </w:r>
      <w:bookmarkStart w:id="1093" w:name="Bookmark_I589KJPW2D6NVF0020000400"/>
      <w:bookmarkEnd w:id="1093"/>
      <w:r>
        <w:rPr>
          <w:rFonts w:ascii="Arial" w:eastAsia="Arial" w:hAnsi="Arial" w:cs="Arial"/>
          <w:i/>
          <w:color w:val="000000"/>
          <w:sz w:val="20"/>
        </w:rPr>
        <w:t>Coleman</w:t>
      </w:r>
      <w:r>
        <w:rPr>
          <w:rFonts w:ascii="Arial" w:eastAsia="Arial" w:hAnsi="Arial" w:cs="Arial"/>
          <w:color w:val="000000"/>
          <w:sz w:val="20"/>
        </w:rPr>
        <w:t xml:space="preserve">, 667 F.3d at 859 &amp; n.7, citing </w:t>
      </w:r>
      <w:bookmarkStart w:id="1094" w:name="Bookmark_I589KJPW2D6NVF0040000400"/>
      <w:bookmarkEnd w:id="1094"/>
      <w:r>
        <w:rPr>
          <w:rFonts w:ascii="Arial" w:eastAsia="Arial" w:hAnsi="Arial" w:cs="Arial"/>
          <w:i/>
          <w:color w:val="000000"/>
          <w:sz w:val="20"/>
        </w:rPr>
        <w:t>Rioux v. City of Atlanta</w:t>
      </w:r>
      <w:r>
        <w:rPr>
          <w:rFonts w:ascii="Arial" w:eastAsia="Arial" w:hAnsi="Arial" w:cs="Arial"/>
          <w:color w:val="000000"/>
          <w:sz w:val="20"/>
        </w:rPr>
        <w:t xml:space="preserve">, 520 F.3d 1269, 1277 (11th Cir. 2008); </w:t>
      </w:r>
      <w:bookmarkStart w:id="1095" w:name="Bookmark_I589KJPW2D6NVG0010000400"/>
      <w:bookmarkEnd w:id="1095"/>
      <w:r>
        <w:rPr>
          <w:rFonts w:ascii="Arial" w:eastAsia="Arial" w:hAnsi="Arial" w:cs="Arial"/>
          <w:i/>
          <w:color w:val="000000"/>
          <w:sz w:val="20"/>
        </w:rPr>
        <w:t>Conward v. Cambridge School Comm</w:t>
      </w:r>
      <w:r>
        <w:rPr>
          <w:rFonts w:ascii="Arial" w:eastAsia="Arial" w:hAnsi="Arial" w:cs="Arial"/>
          <w:color w:val="000000"/>
          <w:sz w:val="20"/>
        </w:rPr>
        <w:t xml:space="preserve">., 171 F.3d 12, 19, (1st Cir. 1999); Deborah C. Malamud, </w:t>
      </w:r>
      <w:r>
        <w:rPr>
          <w:rFonts w:ascii="Arial" w:eastAsia="Arial" w:hAnsi="Arial" w:cs="Arial"/>
          <w:i/>
          <w:color w:val="000000"/>
          <w:sz w:val="20"/>
        </w:rPr>
        <w:t>The Last Minuet: Disparate Treatment after Hicks</w:t>
      </w:r>
      <w:r>
        <w:rPr>
          <w:rFonts w:ascii="Arial" w:eastAsia="Arial" w:hAnsi="Arial" w:cs="Arial"/>
          <w:color w:val="000000"/>
          <w:sz w:val="20"/>
        </w:rPr>
        <w:t>, 93 Mich. L. Rev. 2229, 2293 (1995). We need not sort out these differences in approach for now. The important thing is that we recognize that the comparator analysis,  [**37] like the pretext analysis, depends on the identity of the decision-maker and the employer's stated reason for making the challenged decision.</w:t>
      </w:r>
    </w:p>
    <w:p w14:paraId="42550E42" w14:textId="77777777" w:rsidR="00D041A2" w:rsidRDefault="00D041A2">
      <w:pPr>
        <w:pStyle w:val="Normal9"/>
      </w:pPr>
    </w:p>
    <w:p w14:paraId="5410C1E8" w14:textId="6F6481F7" w:rsidR="00D041A2" w:rsidRDefault="00000000">
      <w:pPr>
        <w:pStyle w:val="Normal9"/>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78720" behindDoc="0" locked="0" layoutInCell="1" allowOverlap="1" wp14:anchorId="30F3189D" wp14:editId="78264651">
                <wp:simplePos x="0" y="0"/>
                <wp:positionH relativeFrom="column">
                  <wp:posOffset>0</wp:posOffset>
                </wp:positionH>
                <wp:positionV relativeFrom="paragraph">
                  <wp:posOffset>127000</wp:posOffset>
                </wp:positionV>
                <wp:extent cx="6502400" cy="0"/>
                <wp:effectExtent l="9525" t="12700" r="12700" b="6350"/>
                <wp:wrapNone/>
                <wp:docPr id="1039167753"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9F949" id="Line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1EBC982" w14:textId="77777777" w:rsidR="00D041A2" w:rsidRDefault="00D041A2">
      <w:pPr>
        <w:pStyle w:val="Normal10"/>
        <w:sectPr w:rsidR="00D041A2">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gutter="0"/>
          <w:cols w:space="720"/>
          <w:titlePg/>
        </w:sectPr>
      </w:pPr>
    </w:p>
    <w:p w14:paraId="6D9E4D1A" w14:textId="77777777" w:rsidR="00D041A2" w:rsidRDefault="00D041A2">
      <w:pPr>
        <w:pStyle w:val="Normal10"/>
      </w:pPr>
    </w:p>
    <w:p w14:paraId="6D00C638" w14:textId="77777777" w:rsidR="00D041A2" w:rsidRDefault="00000000">
      <w:pPr>
        <w:pStyle w:val="Heading19"/>
        <w:keepNext w:val="0"/>
        <w:widowControl w:val="0"/>
        <w:spacing w:after="200" w:line="340" w:lineRule="atLeast"/>
        <w:jc w:val="center"/>
      </w:pPr>
      <w:r>
        <w:rPr>
          <w:rFonts w:eastAsia="Arial"/>
          <w:color w:val="000000"/>
          <w:sz w:val="28"/>
        </w:rPr>
        <w:t>McElwee v. County of Orange</w:t>
      </w:r>
    </w:p>
    <w:p w14:paraId="51C14236" w14:textId="77777777" w:rsidR="00D041A2" w:rsidRDefault="00000000">
      <w:pPr>
        <w:pStyle w:val="Normal10"/>
        <w:widowControl w:val="0"/>
        <w:spacing w:before="120" w:line="260" w:lineRule="atLeast"/>
        <w:jc w:val="center"/>
      </w:pPr>
      <w:r>
        <w:rPr>
          <w:rFonts w:ascii="Arial" w:eastAsia="Arial" w:hAnsi="Arial" w:cs="Arial"/>
          <w:color w:val="000000"/>
          <w:sz w:val="20"/>
        </w:rPr>
        <w:t>United States Court of Appeals for the Second Circuit</w:t>
      </w:r>
    </w:p>
    <w:p w14:paraId="7E15F2CC" w14:textId="77777777" w:rsidR="00D041A2" w:rsidRDefault="00000000">
      <w:pPr>
        <w:pStyle w:val="Normal10"/>
        <w:widowControl w:val="0"/>
        <w:spacing w:before="120" w:line="260" w:lineRule="atLeast"/>
        <w:jc w:val="center"/>
      </w:pPr>
      <w:r>
        <w:rPr>
          <w:rFonts w:ascii="Arial" w:eastAsia="Arial" w:hAnsi="Arial" w:cs="Arial"/>
          <w:color w:val="000000"/>
          <w:sz w:val="20"/>
        </w:rPr>
        <w:t>October 4, 2012, Argued; November 15, 2012, Decided</w:t>
      </w:r>
    </w:p>
    <w:p w14:paraId="2B106C81" w14:textId="77777777" w:rsidR="00D041A2" w:rsidRDefault="00000000">
      <w:pPr>
        <w:pStyle w:val="Normal10"/>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Docket No. 11-4366-cv</w:t>
      </w:r>
    </w:p>
    <w:p w14:paraId="301F5606" w14:textId="77777777" w:rsidR="00D041A2" w:rsidRDefault="00D041A2">
      <w:pPr>
        <w:pStyle w:val="Normal10"/>
        <w:widowControl w:val="0"/>
        <w:spacing w:line="240" w:lineRule="atLeast"/>
        <w:jc w:val="both"/>
      </w:pPr>
      <w:bookmarkStart w:id="1096" w:name="Bookmark_11"/>
      <w:bookmarkEnd w:id="1096"/>
    </w:p>
    <w:p w14:paraId="3D33F0C2" w14:textId="77777777" w:rsidR="00D041A2" w:rsidRDefault="00000000">
      <w:pPr>
        <w:pStyle w:val="Normal10"/>
        <w:widowControl w:val="0"/>
        <w:spacing w:before="200" w:line="240" w:lineRule="atLeast"/>
      </w:pPr>
      <w:bookmarkStart w:id="1097" w:name="Reporter_9"/>
      <w:bookmarkEnd w:id="1097"/>
      <w:r>
        <w:rPr>
          <w:rFonts w:ascii="Arial" w:eastAsia="Arial" w:hAnsi="Arial" w:cs="Arial"/>
          <w:b/>
          <w:color w:val="000000"/>
          <w:sz w:val="18"/>
        </w:rPr>
        <w:t>Reporter</w:t>
      </w:r>
    </w:p>
    <w:p w14:paraId="0CA80E62" w14:textId="77777777" w:rsidR="00D041A2" w:rsidRDefault="00000000">
      <w:pPr>
        <w:pStyle w:val="Normal10"/>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700 F.3d 635 *; 2012 U.S. App. LEXIS 23564 **; 27 Am. Disabilities Cas. (BNA) 134; 15 Accom. Disabilities Dec. (CCH) P15-121</w:t>
      </w:r>
    </w:p>
    <w:p w14:paraId="263C7927" w14:textId="77777777" w:rsidR="00D041A2" w:rsidRDefault="00000000">
      <w:pPr>
        <w:pStyle w:val="Normal10"/>
        <w:widowControl w:val="0"/>
        <w:spacing w:before="120" w:line="260" w:lineRule="atLeast"/>
      </w:pPr>
      <w:r>
        <w:rPr>
          <w:rFonts w:ascii="Arial" w:eastAsia="Arial" w:hAnsi="Arial" w:cs="Arial"/>
          <w:color w:val="000000"/>
          <w:sz w:val="20"/>
        </w:rPr>
        <w:t>JAMES C. MCELWEE, Plaintiff-Appellant, v. COUNTY OF ORANGE, Defendant-Appellee.</w:t>
      </w:r>
    </w:p>
    <w:p w14:paraId="7900A5CE" w14:textId="77777777" w:rsidR="00D041A2" w:rsidRDefault="00000000">
      <w:pPr>
        <w:pStyle w:val="Normal10"/>
        <w:widowControl w:val="0"/>
        <w:spacing w:before="240" w:line="260" w:lineRule="atLeast"/>
      </w:pPr>
      <w:bookmarkStart w:id="1098" w:name="Prior_History_9"/>
      <w:bookmarkEnd w:id="1098"/>
      <w:r>
        <w:rPr>
          <w:rFonts w:ascii="Arial" w:eastAsia="Arial" w:hAnsi="Arial" w:cs="Arial"/>
          <w:b/>
          <w:color w:val="000000"/>
          <w:sz w:val="20"/>
        </w:rPr>
        <w:t>Prior History:</w:t>
      </w:r>
      <w:r>
        <w:rPr>
          <w:rFonts w:ascii="Arial" w:eastAsia="Arial" w:hAnsi="Arial" w:cs="Arial"/>
          <w:color w:val="000000"/>
          <w:sz w:val="20"/>
        </w:rPr>
        <w:t> McElwee v. County of Orange, 2011 U.S. Dist. LEXIS 114663 (S.D.N.Y., Sept. 29, 2011)</w:t>
      </w:r>
    </w:p>
    <w:p w14:paraId="28E5CB78" w14:textId="77777777" w:rsidR="00D041A2" w:rsidRDefault="00000000">
      <w:pPr>
        <w:pStyle w:val="Normal10"/>
        <w:widowControl w:val="0"/>
        <w:spacing w:before="240" w:line="260" w:lineRule="atLeast"/>
        <w:jc w:val="both"/>
      </w:pPr>
      <w:bookmarkStart w:id="1099" w:name="Disposition_2"/>
      <w:bookmarkEnd w:id="1099"/>
      <w:r>
        <w:rPr>
          <w:rFonts w:ascii="Arial" w:eastAsia="Arial" w:hAnsi="Arial" w:cs="Arial"/>
          <w:b/>
          <w:color w:val="000000"/>
          <w:sz w:val="20"/>
        </w:rPr>
        <w:t>Disposition:</w:t>
      </w:r>
      <w:r>
        <w:rPr>
          <w:rFonts w:ascii="Arial" w:eastAsia="Arial" w:hAnsi="Arial" w:cs="Arial"/>
          <w:color w:val="000000"/>
          <w:sz w:val="20"/>
        </w:rPr>
        <w:t>  [**1] </w:t>
      </w:r>
      <w:bookmarkStart w:id="1100" w:name="Bookmark_clspara_5"/>
      <w:bookmarkEnd w:id="1100"/>
      <w:r>
        <w:rPr>
          <w:rFonts w:ascii="Arial" w:eastAsia="Arial" w:hAnsi="Arial" w:cs="Arial"/>
          <w:color w:val="000000"/>
          <w:sz w:val="20"/>
        </w:rPr>
        <w:t>Appeal from a judgment of the United States District Court for the Southern District of New York (Duffy, J.), entered on September 30, 2011, dismissing plaintiff's claims under Title II of the Americans with Disabilities Act, 42 U.S.C. § 12131 et seq., and Section 504 of the Rehabilitation Act of 1973, 29 U.S.C. § 794 et seq., following the district court's grant of defendant's motion for summary judgment.</w:t>
      </w:r>
    </w:p>
    <w:p w14:paraId="12BB8959" w14:textId="77777777" w:rsidR="00D041A2" w:rsidRDefault="00000000">
      <w:pPr>
        <w:pStyle w:val="Normal10"/>
        <w:widowControl w:val="0"/>
        <w:spacing w:before="200" w:line="260" w:lineRule="atLeast"/>
        <w:jc w:val="both"/>
      </w:pPr>
      <w:bookmarkStart w:id="1101" w:name="Bookmark_clspara_6"/>
      <w:bookmarkEnd w:id="1101"/>
      <w:r>
        <w:rPr>
          <w:rFonts w:ascii="Arial" w:eastAsia="Arial" w:hAnsi="Arial" w:cs="Arial"/>
          <w:color w:val="000000"/>
          <w:sz w:val="20"/>
        </w:rPr>
        <w:t>AFFIRMED.</w:t>
      </w:r>
    </w:p>
    <w:p w14:paraId="3F90CB23" w14:textId="77777777" w:rsidR="00D041A2" w:rsidRDefault="00000000">
      <w:pPr>
        <w:pStyle w:val="Normal10"/>
        <w:widowControl w:val="0"/>
        <w:spacing w:before="240" w:line="260" w:lineRule="atLeast"/>
      </w:pPr>
      <w:bookmarkStart w:id="1102" w:name="Counsel_9"/>
      <w:bookmarkEnd w:id="1102"/>
      <w:r>
        <w:rPr>
          <w:rFonts w:ascii="Arial" w:eastAsia="Arial" w:hAnsi="Arial" w:cs="Arial"/>
          <w:b/>
          <w:color w:val="000000"/>
          <w:sz w:val="20"/>
        </w:rPr>
        <w:t>Counsel:</w:t>
      </w:r>
      <w:r>
        <w:rPr>
          <w:rFonts w:ascii="Arial" w:eastAsia="Arial" w:hAnsi="Arial" w:cs="Arial"/>
          <w:color w:val="000000"/>
          <w:sz w:val="20"/>
        </w:rPr>
        <w:t> STEPHEN BERGSTEIN, Bergstein &amp; Ullrich, LLP, Chester, New York, for Plaintiff-Appellant.</w:t>
      </w:r>
    </w:p>
    <w:p w14:paraId="30CDD336" w14:textId="77777777" w:rsidR="00D041A2" w:rsidRDefault="00000000">
      <w:pPr>
        <w:pStyle w:val="Normal10"/>
        <w:widowControl w:val="0"/>
        <w:spacing w:before="120" w:line="260" w:lineRule="atLeast"/>
      </w:pPr>
      <w:r>
        <w:rPr>
          <w:rFonts w:ascii="Arial" w:eastAsia="Arial" w:hAnsi="Arial" w:cs="Arial"/>
          <w:color w:val="000000"/>
          <w:sz w:val="20"/>
        </w:rPr>
        <w:t>KAREN FOLSTER LESPERANCE (David L. Posner, on the brief), McCabe &amp; Mack LLP, Poughkeepsie, New York, for Defendant-Appellee.</w:t>
      </w:r>
    </w:p>
    <w:p w14:paraId="632C7BC2" w14:textId="77777777" w:rsidR="00D041A2" w:rsidRDefault="00000000">
      <w:pPr>
        <w:pStyle w:val="Normal10"/>
        <w:widowControl w:val="0"/>
        <w:spacing w:before="120" w:line="260" w:lineRule="atLeast"/>
      </w:pPr>
      <w:r>
        <w:rPr>
          <w:rFonts w:ascii="Arial" w:eastAsia="Arial" w:hAnsi="Arial" w:cs="Arial"/>
          <w:color w:val="000000"/>
          <w:sz w:val="20"/>
        </w:rPr>
        <w:t>Brian D. East, Disability Rights Texas, Austin, Texas, for Amici Curiae, National Disability Rights Network and Autism Speaks.</w:t>
      </w:r>
    </w:p>
    <w:p w14:paraId="3C94A3B5" w14:textId="77777777" w:rsidR="00D041A2" w:rsidRDefault="00000000">
      <w:pPr>
        <w:pStyle w:val="Normal10"/>
        <w:widowControl w:val="0"/>
        <w:spacing w:before="240" w:line="260" w:lineRule="atLeast"/>
      </w:pPr>
      <w:bookmarkStart w:id="1103" w:name="Judges_9"/>
      <w:bookmarkEnd w:id="1103"/>
      <w:r>
        <w:rPr>
          <w:rFonts w:ascii="Arial" w:eastAsia="Arial" w:hAnsi="Arial" w:cs="Arial"/>
          <w:b/>
          <w:color w:val="000000"/>
          <w:sz w:val="20"/>
        </w:rPr>
        <w:t>Judges:</w:t>
      </w:r>
      <w:r>
        <w:rPr>
          <w:rFonts w:ascii="Arial" w:eastAsia="Arial" w:hAnsi="Arial" w:cs="Arial"/>
          <w:color w:val="000000"/>
          <w:sz w:val="20"/>
        </w:rPr>
        <w:t> Before: RAGGI, CHIN, and CARNEY, Circuit Judges.</w:t>
      </w:r>
    </w:p>
    <w:p w14:paraId="2D59359D" w14:textId="77777777" w:rsidR="00D041A2" w:rsidRDefault="00000000">
      <w:pPr>
        <w:pStyle w:val="Normal10"/>
        <w:widowControl w:val="0"/>
        <w:spacing w:before="240" w:line="260" w:lineRule="atLeast"/>
      </w:pPr>
      <w:bookmarkStart w:id="1104" w:name="Opinion_by_6"/>
      <w:bookmarkEnd w:id="1104"/>
      <w:r>
        <w:rPr>
          <w:rFonts w:ascii="Arial" w:eastAsia="Arial" w:hAnsi="Arial" w:cs="Arial"/>
          <w:b/>
          <w:color w:val="000000"/>
          <w:sz w:val="20"/>
        </w:rPr>
        <w:t>Opinion by:</w:t>
      </w:r>
      <w:r>
        <w:rPr>
          <w:rFonts w:ascii="Arial" w:eastAsia="Arial" w:hAnsi="Arial" w:cs="Arial"/>
          <w:color w:val="000000"/>
          <w:sz w:val="20"/>
        </w:rPr>
        <w:t> CHIN</w:t>
      </w:r>
    </w:p>
    <w:p w14:paraId="526AA03A" w14:textId="77777777" w:rsidR="00D041A2" w:rsidRDefault="00000000">
      <w:pPr>
        <w:pStyle w:val="Normal10"/>
        <w:keepNext/>
        <w:widowControl w:val="0"/>
        <w:spacing w:before="240" w:line="340" w:lineRule="atLeast"/>
      </w:pPr>
      <w:bookmarkStart w:id="1105" w:name="Opinion_9"/>
      <w:bookmarkEnd w:id="1105"/>
      <w:r>
        <w:rPr>
          <w:rFonts w:ascii="Arial" w:eastAsia="Arial" w:hAnsi="Arial" w:cs="Arial"/>
          <w:b/>
          <w:color w:val="000000"/>
          <w:sz w:val="28"/>
        </w:rPr>
        <w:t>Opinion</w:t>
      </w:r>
    </w:p>
    <w:p w14:paraId="5F91A2E4" w14:textId="185A8CA1" w:rsidR="00D041A2" w:rsidRDefault="004D4403">
      <w:pPr>
        <w:pStyle w:val="Normal10"/>
        <w:spacing w:line="60" w:lineRule="exact"/>
      </w:pPr>
      <w:r>
        <w:rPr>
          <w:noProof/>
        </w:rPr>
        <mc:AlternateContent>
          <mc:Choice Requires="wps">
            <w:drawing>
              <wp:anchor distT="0" distB="0" distL="114300" distR="114300" simplePos="0" relativeHeight="251679744" behindDoc="0" locked="0" layoutInCell="1" allowOverlap="1" wp14:anchorId="79041307" wp14:editId="3F576F6D">
                <wp:simplePos x="0" y="0"/>
                <wp:positionH relativeFrom="column">
                  <wp:posOffset>0</wp:posOffset>
                </wp:positionH>
                <wp:positionV relativeFrom="paragraph">
                  <wp:posOffset>25400</wp:posOffset>
                </wp:positionV>
                <wp:extent cx="3187700" cy="0"/>
                <wp:effectExtent l="19050" t="15875" r="12700" b="12700"/>
                <wp:wrapTopAndBottom/>
                <wp:docPr id="177765919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8C101" id="Line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122EC27" w14:textId="77777777" w:rsidR="00D041A2" w:rsidRDefault="00D041A2">
      <w:pPr>
        <w:pStyle w:val="Normal10"/>
      </w:pPr>
    </w:p>
    <w:p w14:paraId="63CA8083" w14:textId="77777777" w:rsidR="00D041A2" w:rsidRDefault="00000000">
      <w:pPr>
        <w:pStyle w:val="Normal10"/>
        <w:widowControl w:val="0"/>
        <w:spacing w:before="200" w:line="260" w:lineRule="atLeast"/>
        <w:jc w:val="both"/>
      </w:pPr>
      <w:bookmarkStart w:id="1106" w:name="Bookmark_para_1_9"/>
      <w:bookmarkEnd w:id="1106"/>
      <w:r>
        <w:rPr>
          <w:rFonts w:ascii="Arial" w:eastAsia="Arial" w:hAnsi="Arial" w:cs="Arial"/>
          <w:color w:val="000000"/>
          <w:sz w:val="20"/>
        </w:rPr>
        <w:t xml:space="preserve"> [*637]  </w:t>
      </w:r>
      <w:r>
        <w:rPr>
          <w:rFonts w:ascii="Arial" w:eastAsia="Arial" w:hAnsi="Arial" w:cs="Arial"/>
          <w:smallCaps/>
          <w:color w:val="000000"/>
          <w:sz w:val="20"/>
        </w:rPr>
        <w:t>Chin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14:paraId="6AB1149A" w14:textId="77777777" w:rsidR="00D041A2" w:rsidRDefault="00000000">
      <w:pPr>
        <w:pStyle w:val="Normal10"/>
        <w:widowControl w:val="0"/>
        <w:spacing w:before="200" w:line="260" w:lineRule="atLeast"/>
        <w:jc w:val="both"/>
      </w:pPr>
      <w:bookmarkStart w:id="1107" w:name="Bookmark_para_2_9"/>
      <w:bookmarkEnd w:id="1107"/>
      <w:r>
        <w:rPr>
          <w:rFonts w:ascii="Arial" w:eastAsia="Arial" w:hAnsi="Arial" w:cs="Arial"/>
          <w:color w:val="000000"/>
          <w:sz w:val="20"/>
        </w:rPr>
        <w:t xml:space="preserve">Plaintiff James C. McElwee appeals from a judgment of the United States District Court for the Southern District of New York (Duffy, </w:t>
      </w:r>
      <w:r>
        <w:rPr>
          <w:rFonts w:ascii="Arial" w:eastAsia="Arial" w:hAnsi="Arial" w:cs="Arial"/>
          <w:i/>
          <w:color w:val="000000"/>
          <w:sz w:val="20"/>
        </w:rPr>
        <w:t>J</w:t>
      </w:r>
      <w:r>
        <w:rPr>
          <w:rFonts w:ascii="Arial" w:eastAsia="Arial" w:hAnsi="Arial" w:cs="Arial"/>
          <w:color w:val="000000"/>
          <w:sz w:val="20"/>
        </w:rPr>
        <w:t xml:space="preserve">.). McElwee served as a volunteer at Valley View Center for Nursing Care and Rehabilitation ("Valley View"), a federally funded entity operated by defendant Orange County (the "County"). In 2009, McElwee was dismissed from Valley View's volunteer  [**2] program after engaging in erratic and harassing behavior toward female staff members. McElwee, who was previously diagnosed with Pervasive Developmental Disorder, brought this action against the County pursuant to Title II of the Americans with Disabilities Act (the "ADA"), 42 U.S.C. § 12131 </w:t>
      </w:r>
      <w:r>
        <w:rPr>
          <w:rFonts w:ascii="Arial" w:eastAsia="Arial" w:hAnsi="Arial" w:cs="Arial"/>
          <w:i/>
          <w:color w:val="000000"/>
          <w:sz w:val="20"/>
        </w:rPr>
        <w:t>et seq</w:t>
      </w:r>
      <w:r>
        <w:rPr>
          <w:rFonts w:ascii="Arial" w:eastAsia="Arial" w:hAnsi="Arial" w:cs="Arial"/>
          <w:color w:val="000000"/>
          <w:sz w:val="20"/>
        </w:rPr>
        <w:t xml:space="preserve">., and Section 504 of the Rehabilitation Act of 1973 (the "Rehabilitation Act"), 29 U.S.C. § 794 </w:t>
      </w:r>
      <w:r>
        <w:rPr>
          <w:rFonts w:ascii="Arial" w:eastAsia="Arial" w:hAnsi="Arial" w:cs="Arial"/>
          <w:i/>
          <w:color w:val="000000"/>
          <w:sz w:val="20"/>
        </w:rPr>
        <w:t>et seq</w:t>
      </w:r>
      <w:r>
        <w:rPr>
          <w:rFonts w:ascii="Arial" w:eastAsia="Arial" w:hAnsi="Arial" w:cs="Arial"/>
          <w:color w:val="000000"/>
          <w:sz w:val="20"/>
        </w:rPr>
        <w:t>., alleging that he was denied a reasonable accommodation for his disability.</w:t>
      </w:r>
    </w:p>
    <w:p w14:paraId="2670512E" w14:textId="77777777" w:rsidR="00D041A2" w:rsidRDefault="00000000">
      <w:pPr>
        <w:pStyle w:val="Normal10"/>
        <w:widowControl w:val="0"/>
        <w:spacing w:before="200" w:line="260" w:lineRule="atLeast"/>
        <w:jc w:val="both"/>
      </w:pPr>
      <w:bookmarkStart w:id="1108" w:name="Bookmark_para_3_9"/>
      <w:bookmarkEnd w:id="1108"/>
      <w:r>
        <w:rPr>
          <w:rFonts w:ascii="Arial" w:eastAsia="Arial" w:hAnsi="Arial" w:cs="Arial"/>
          <w:color w:val="000000"/>
          <w:sz w:val="20"/>
        </w:rPr>
        <w:t>The district court found that McElwee was not disabled within the meaning of the statutes and granted the County's motion for summary judgment dismissing the Complaint. We affirm the district court's award of summary judgment, albeit on different grounds.</w:t>
      </w:r>
    </w:p>
    <w:p w14:paraId="3DE72781" w14:textId="77777777" w:rsidR="00D041A2" w:rsidRDefault="00000000">
      <w:pPr>
        <w:pStyle w:val="Normal10"/>
        <w:widowControl w:val="0"/>
        <w:spacing w:before="240" w:line="260" w:lineRule="atLeast"/>
      </w:pPr>
      <w:r>
        <w:br/>
      </w:r>
      <w:r>
        <w:rPr>
          <w:rFonts w:ascii="Arial" w:eastAsia="Arial" w:hAnsi="Arial" w:cs="Arial"/>
          <w:b/>
          <w:i/>
          <w:color w:val="000000"/>
          <w:sz w:val="20"/>
        </w:rPr>
        <w:t>BACKGROUND</w:t>
      </w:r>
    </w:p>
    <w:p w14:paraId="67E358E0" w14:textId="77777777" w:rsidR="00D041A2" w:rsidRDefault="00000000">
      <w:pPr>
        <w:pStyle w:val="Normal10"/>
        <w:widowControl w:val="0"/>
        <w:spacing w:before="200" w:line="260" w:lineRule="atLeast"/>
        <w:jc w:val="both"/>
      </w:pPr>
      <w:bookmarkStart w:id="1109" w:name="Bookmark_para_4_9"/>
      <w:bookmarkEnd w:id="1109"/>
      <w:r>
        <w:rPr>
          <w:rFonts w:ascii="Arial" w:eastAsia="Arial" w:hAnsi="Arial" w:cs="Arial"/>
          <w:color w:val="000000"/>
          <w:sz w:val="20"/>
        </w:rPr>
        <w:t>The following facts are undisputed, unless otherwise noted.</w:t>
      </w:r>
    </w:p>
    <w:p w14:paraId="17D5817D"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The Plaintiff</w:t>
      </w:r>
    </w:p>
    <w:p w14:paraId="74D55267" w14:textId="77777777" w:rsidR="00D041A2" w:rsidRDefault="00000000">
      <w:pPr>
        <w:pStyle w:val="Normal10"/>
        <w:widowControl w:val="0"/>
        <w:spacing w:before="200" w:line="260" w:lineRule="atLeast"/>
        <w:jc w:val="both"/>
      </w:pPr>
      <w:bookmarkStart w:id="1110" w:name="Bookmark_para_5_9"/>
      <w:bookmarkEnd w:id="1110"/>
      <w:r>
        <w:rPr>
          <w:rFonts w:ascii="Arial" w:eastAsia="Arial" w:hAnsi="Arial" w:cs="Arial"/>
          <w:color w:val="000000"/>
          <w:sz w:val="20"/>
        </w:rPr>
        <w:t>McElwee is a man in his mid-thirties with a neurodevelopmental disorder formally classified as Pervasive Developmental Disorder - Not Otherwise Specified ("PDD-NOS") and informally called an autism spectrum disorder. He has an IQ of 79, placing him in the eighth percentile of intellectual functioning. He lives with his mother, has never held a job, and likely will always require  [**3] assistance in managing money and completing non-routine tasks.</w:t>
      </w:r>
    </w:p>
    <w:p w14:paraId="36C729E3" w14:textId="77777777" w:rsidR="00D041A2" w:rsidRDefault="00000000">
      <w:pPr>
        <w:pStyle w:val="Normal10"/>
        <w:widowControl w:val="0"/>
        <w:spacing w:before="200" w:line="260" w:lineRule="atLeast"/>
        <w:jc w:val="both"/>
      </w:pPr>
      <w:bookmarkStart w:id="1111" w:name="Bookmark_para_6_9"/>
      <w:bookmarkEnd w:id="1111"/>
      <w:r>
        <w:rPr>
          <w:rFonts w:ascii="Arial" w:eastAsia="Arial" w:hAnsi="Arial" w:cs="Arial"/>
          <w:color w:val="000000"/>
          <w:sz w:val="20"/>
        </w:rPr>
        <w:t>In 1996, McElwee began participating in a volunteer program at Valley View, where he performed janitorial and housekeeping duties and transported nursing home residents to religious and social events. McElwee competently performed these assigned tasks without hindrance from his alleged disability. Meanwhile, the volunteer program improved his self-esteem by allowing him to associate with other people in the community and provide a service to the elderly and infirm.</w:t>
      </w:r>
    </w:p>
    <w:p w14:paraId="119EB5AC"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A Staff Member Complains</w:t>
      </w:r>
    </w:p>
    <w:p w14:paraId="10AC308C" w14:textId="77777777" w:rsidR="00D041A2" w:rsidRDefault="00000000">
      <w:pPr>
        <w:pStyle w:val="Normal10"/>
        <w:widowControl w:val="0"/>
        <w:spacing w:before="200" w:line="260" w:lineRule="atLeast"/>
        <w:jc w:val="both"/>
      </w:pPr>
      <w:bookmarkStart w:id="1112" w:name="Bookmark_para_7_9"/>
      <w:bookmarkEnd w:id="1112"/>
      <w:r>
        <w:rPr>
          <w:rFonts w:ascii="Arial" w:eastAsia="Arial" w:hAnsi="Arial" w:cs="Arial"/>
          <w:color w:val="000000"/>
          <w:sz w:val="20"/>
        </w:rPr>
        <w:t>On November 20, 2009, Martha Thompson, a staff member at Valley View, informed Robin Darwin, the Assistant Administrator, that McElwee was "acting inappropriately towards her and making her feel uncomfortable." Specifically, Thompson complained that on multiple occasions, McElwee had waited for her and followed her in the hallways, staring at her rear end. Thompson also told Darwin that she was aware of at least two other women at Valley View who McElwee had "bothered" or made to feel uncomfortable.</w:t>
      </w:r>
    </w:p>
    <w:p w14:paraId="38CF3304" w14:textId="77777777" w:rsidR="00D041A2" w:rsidRDefault="00000000">
      <w:pPr>
        <w:pStyle w:val="Normal10"/>
        <w:widowControl w:val="0"/>
        <w:spacing w:before="200" w:line="260" w:lineRule="atLeast"/>
        <w:jc w:val="both"/>
      </w:pPr>
      <w:bookmarkStart w:id="1113" w:name="Bookmark_para_8_8"/>
      <w:bookmarkEnd w:id="1113"/>
      <w:r>
        <w:rPr>
          <w:rFonts w:ascii="Arial" w:eastAsia="Arial" w:hAnsi="Arial" w:cs="Arial"/>
          <w:color w:val="000000"/>
          <w:sz w:val="20"/>
        </w:rPr>
        <w:t> [*638]  On November 24, 2009, Darwin and Amy Fey, the Director of Activities, met with McElwee to inform him that someone had complained about his  [**4] behavior and to discuss the allegations with him. When Darwin asked McElwee if he knew who the complainant might be, McElwee replied that it might be a social worker named Lindsay because he "look[s] at her and talk[s] to her." When Darwin told McElwee that it was not Lindsay, he guessed that it might be a particular nurse's aide, admitting, "I talk to her too, and look at her." McElwee then said that God was trying to punish him because of his "history," and he explained that when he was in high school he "made a mean phone call to a girl, saying nasty/dirty things." McElwee further stated, "there needs to be punishment and now," and made a gesture simulating slitting his throat. When Darwin asked him what he meant, McElwee replied that he "deserve[d] to be punished when [he does] bad things." McElwee then made an angry face and said, "just when I think someone is going to pat me on the back someone stabs me," simultaneously making a gesture as if he were holding a knife and repeatedly stabbing himself in the back. When Darwin informed McElwee that it was Thompson who had complained about him, he said: "Oh, I should have known. I had a feeling she was going to turn me in."</w:t>
      </w:r>
    </w:p>
    <w:p w14:paraId="7FE4F737"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C. </w:t>
      </w:r>
      <w:r>
        <w:rPr>
          <w:rFonts w:ascii="Arial" w:eastAsia="Arial" w:hAnsi="Arial" w:cs="Arial"/>
          <w:b/>
          <w:i/>
          <w:color w:val="000000"/>
          <w:sz w:val="20"/>
        </w:rPr>
        <w:t xml:space="preserve">Valley </w:t>
      </w:r>
      <w:r>
        <w:rPr>
          <w:rFonts w:ascii="Arial" w:eastAsia="Arial" w:hAnsi="Arial" w:cs="Arial"/>
          <w:i/>
          <w:color w:val="000000"/>
          <w:sz w:val="20"/>
        </w:rPr>
        <w:t> [**5] </w:t>
      </w:r>
      <w:r>
        <w:rPr>
          <w:rFonts w:ascii="Arial" w:eastAsia="Arial" w:hAnsi="Arial" w:cs="Arial"/>
          <w:b/>
          <w:i/>
          <w:color w:val="000000"/>
          <w:sz w:val="20"/>
        </w:rPr>
        <w:t>View Investigates Further</w:t>
      </w:r>
    </w:p>
    <w:p w14:paraId="0DED0639" w14:textId="77777777" w:rsidR="00D041A2" w:rsidRDefault="00000000">
      <w:pPr>
        <w:pStyle w:val="Normal10"/>
        <w:widowControl w:val="0"/>
        <w:spacing w:before="200" w:line="260" w:lineRule="atLeast"/>
        <w:jc w:val="both"/>
      </w:pPr>
      <w:bookmarkStart w:id="1114" w:name="Bookmark_para_9_8"/>
      <w:bookmarkEnd w:id="1114"/>
      <w:r>
        <w:rPr>
          <w:rFonts w:ascii="Arial" w:eastAsia="Arial" w:hAnsi="Arial" w:cs="Arial"/>
          <w:color w:val="000000"/>
          <w:sz w:val="20"/>
        </w:rPr>
        <w:t>After her meeting with McElwee, Darwin spoke with Valley View's Facility Administrator, who told her to conduct a further investigation regarding McElwee's behavior if she was considering terminating his volunteer services.</w:t>
      </w:r>
    </w:p>
    <w:p w14:paraId="59147B51" w14:textId="77777777" w:rsidR="00D041A2" w:rsidRDefault="00000000">
      <w:pPr>
        <w:pStyle w:val="Normal10"/>
        <w:widowControl w:val="0"/>
        <w:spacing w:before="200" w:line="260" w:lineRule="atLeast"/>
        <w:jc w:val="both"/>
      </w:pPr>
      <w:bookmarkStart w:id="1115" w:name="Bookmark_para_10_8"/>
      <w:bookmarkEnd w:id="1115"/>
      <w:r>
        <w:rPr>
          <w:rFonts w:ascii="Arial" w:eastAsia="Arial" w:hAnsi="Arial" w:cs="Arial"/>
          <w:color w:val="000000"/>
          <w:sz w:val="20"/>
        </w:rPr>
        <w:t>On November 25, 2009, Darwin informed McElwee that she was disturbed by the situation, she was going to conduct an investigation, and he should leave Valley View and not return until he heard from her. McElwee started to cry, and said that Darwin was a conduit of God. He said that God was telling him not to do these things anymore, and was punishing him for what he had done in the past. McElwee also said that he had been conducting research at the library over the last several months to see if his behavior could be considered domestic violence or sexual harassment.</w:t>
      </w:r>
    </w:p>
    <w:p w14:paraId="01CBBEA0" w14:textId="77777777" w:rsidR="00D041A2" w:rsidRDefault="00000000">
      <w:pPr>
        <w:pStyle w:val="Normal10"/>
        <w:widowControl w:val="0"/>
        <w:spacing w:before="200" w:line="260" w:lineRule="atLeast"/>
        <w:jc w:val="both"/>
      </w:pPr>
      <w:bookmarkStart w:id="1116" w:name="Bookmark_para_11_7"/>
      <w:bookmarkEnd w:id="1116"/>
      <w:r>
        <w:rPr>
          <w:rFonts w:ascii="Arial" w:eastAsia="Arial" w:hAnsi="Arial" w:cs="Arial"/>
          <w:color w:val="000000"/>
          <w:sz w:val="20"/>
        </w:rPr>
        <w:t>Darwin subsequently conducted an investigation by interviewing individuals at Valley View about McElwee's behavior. In total, five women reported that McElwee had behaved inappropriately toward them, and a security guard reported that he had seen McElwee bothering nursing students and visitors.</w:t>
      </w:r>
    </w:p>
    <w:p w14:paraId="005CBEB2" w14:textId="77777777" w:rsidR="00D041A2" w:rsidRDefault="00000000">
      <w:pPr>
        <w:pStyle w:val="Normal10"/>
        <w:widowControl w:val="0"/>
        <w:spacing w:before="200" w:line="260" w:lineRule="atLeast"/>
        <w:jc w:val="both"/>
      </w:pPr>
      <w:bookmarkStart w:id="1117" w:name="Bookmark_para_12_6"/>
      <w:bookmarkEnd w:id="1117"/>
      <w:r>
        <w:rPr>
          <w:rFonts w:ascii="Arial" w:eastAsia="Arial" w:hAnsi="Arial" w:cs="Arial"/>
          <w:color w:val="000000"/>
          <w:sz w:val="20"/>
        </w:rPr>
        <w:t>Liz Murphy, a staff member in Valley View's payroll department, told Darwin that McElwee  [**6] watched her and followed her on her breaks, and she recounted one instance when McElwee sat in the lobby and watched her while she distributed checks. Murphy told Darwin that this behavior had been going on for a few years but had increased since the previous spring. She said she gave McElwee the cold shoulder and went out of her way to avoid him. Barbara Decker, another payroll department employee, told Darwin that McElwee used to carry around a stuffed dolphin that he asked women to pet, in a manner she perceived as sexually suggestive. Decker also said that several years earlier McElwee had inquired about dating her daughter, and that the way he spoke about her daughter made her uncomfortable. Pat Matero, the Director of Admissions, told Darwin that McElwee once asked her how he would look in a Speedo, and that she had observed him in the past "playing up" to young aides with sexual innuendo. Irene Simpson, the Activities Supervisor at Valley View, told  [*639]  Darwin that McElwee once said to her, "[d]o you realize what I could do to you?" in what she felt was a threatening way. Eric Gould, a security guard at Valley View, told Darwin that Thompson and Murphy had complained to him that  [**7] McElwee's behavior made them feel uncomfortable. Gould also said he had observed McElwee leering at and acting inappropriately around female nursing students and visitors.</w:t>
      </w:r>
    </w:p>
    <w:p w14:paraId="010C597C"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D. </w:t>
      </w:r>
      <w:r>
        <w:rPr>
          <w:rFonts w:ascii="Arial" w:eastAsia="Arial" w:hAnsi="Arial" w:cs="Arial"/>
          <w:b/>
          <w:i/>
          <w:color w:val="000000"/>
          <w:sz w:val="20"/>
        </w:rPr>
        <w:t>McElwee is Dismissed</w:t>
      </w:r>
    </w:p>
    <w:p w14:paraId="51D1919A" w14:textId="77777777" w:rsidR="00D041A2" w:rsidRDefault="00000000">
      <w:pPr>
        <w:pStyle w:val="Normal10"/>
        <w:widowControl w:val="0"/>
        <w:spacing w:before="200" w:line="260" w:lineRule="atLeast"/>
        <w:jc w:val="both"/>
      </w:pPr>
      <w:bookmarkStart w:id="1118" w:name="Bookmark_para_13_5"/>
      <w:bookmarkEnd w:id="1118"/>
      <w:r>
        <w:rPr>
          <w:rFonts w:ascii="Arial" w:eastAsia="Arial" w:hAnsi="Arial" w:cs="Arial"/>
          <w:color w:val="000000"/>
          <w:sz w:val="20"/>
        </w:rPr>
        <w:t>Based on her investigation, Darwin concluded that McElwee was a potential liability for Valley View in that he was sexually harassing staff, nursing students, and visitors, and had exhibited disturbing behavior when confronted with these allegations.</w:t>
      </w:r>
      <w:r>
        <w:rPr>
          <w:rFonts w:ascii="Arial" w:eastAsia="Arial" w:hAnsi="Arial" w:cs="Arial"/>
          <w:vertAlign w:val="superscript"/>
        </w:rPr>
        <w:footnoteReference w:customMarkFollows="1" w:id="55"/>
        <w:t>1</w:t>
      </w:r>
    </w:p>
    <w:p w14:paraId="6FCBAD4C" w14:textId="77777777" w:rsidR="00D041A2" w:rsidRDefault="00000000">
      <w:pPr>
        <w:pStyle w:val="Normal10"/>
        <w:widowControl w:val="0"/>
        <w:spacing w:before="200" w:line="260" w:lineRule="atLeast"/>
        <w:jc w:val="both"/>
      </w:pPr>
      <w:bookmarkStart w:id="1120" w:name="Bookmark_para_14_5"/>
      <w:bookmarkEnd w:id="1120"/>
      <w:r>
        <w:rPr>
          <w:rFonts w:ascii="Arial" w:eastAsia="Arial" w:hAnsi="Arial" w:cs="Arial"/>
          <w:color w:val="000000"/>
          <w:sz w:val="20"/>
        </w:rPr>
        <w:t>On November 30, 2009, McElwee's mother called Darwin and told her that McElwee "is not like everyone else" and that he should not be discriminated against because he has a disability and because he was looking at people. She asked Darwin to call McElwee's therapist, who could better explain why he acted the way that he did. Darwin never called the therapist.</w:t>
      </w:r>
    </w:p>
    <w:p w14:paraId="73C43338" w14:textId="77777777" w:rsidR="00D041A2" w:rsidRDefault="00000000">
      <w:pPr>
        <w:pStyle w:val="Normal10"/>
        <w:widowControl w:val="0"/>
        <w:spacing w:before="200" w:line="260" w:lineRule="atLeast"/>
        <w:jc w:val="both"/>
      </w:pPr>
      <w:bookmarkStart w:id="1121" w:name="Bookmark_para_15_5"/>
      <w:bookmarkEnd w:id="1121"/>
      <w:r>
        <w:rPr>
          <w:rFonts w:ascii="Arial" w:eastAsia="Arial" w:hAnsi="Arial" w:cs="Arial"/>
          <w:color w:val="000000"/>
          <w:sz w:val="20"/>
        </w:rPr>
        <w:t>Darwin consulted with Valley View's Facility Administrator, the County  [**8] Executive's Office, and the County Law Department regarding the results of her investigation. On December 1, 2009, she sent McElwee a letter, stating that his volunteer services were no longer needed at Valley View.</w:t>
      </w:r>
    </w:p>
    <w:p w14:paraId="48EDD9DD" w14:textId="77777777" w:rsidR="00D041A2" w:rsidRDefault="00000000">
      <w:pPr>
        <w:pStyle w:val="Normal10"/>
        <w:widowControl w:val="0"/>
        <w:spacing w:before="200" w:line="260" w:lineRule="atLeast"/>
        <w:jc w:val="both"/>
      </w:pPr>
      <w:bookmarkStart w:id="1122" w:name="Bookmark_para_16_5"/>
      <w:bookmarkEnd w:id="1122"/>
      <w:r>
        <w:rPr>
          <w:rFonts w:ascii="Arial" w:eastAsia="Arial" w:hAnsi="Arial" w:cs="Arial"/>
          <w:color w:val="000000"/>
          <w:sz w:val="20"/>
        </w:rPr>
        <w:t>On December 10, 2009, McElwee went to Valley View to sing Christmas carols for the residents. When he arrived at the facility, a security guard told him he was not allowed inside the building because of "what had happened recently."</w:t>
      </w:r>
    </w:p>
    <w:p w14:paraId="67CBCA20"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E. </w:t>
      </w:r>
      <w:r>
        <w:rPr>
          <w:rFonts w:ascii="Arial" w:eastAsia="Arial" w:hAnsi="Arial" w:cs="Arial"/>
          <w:b/>
          <w:i/>
          <w:color w:val="000000"/>
          <w:sz w:val="20"/>
        </w:rPr>
        <w:t>Procedural History</w:t>
      </w:r>
    </w:p>
    <w:p w14:paraId="10161B79" w14:textId="77777777" w:rsidR="00D041A2" w:rsidRDefault="00000000">
      <w:pPr>
        <w:pStyle w:val="Normal10"/>
        <w:widowControl w:val="0"/>
        <w:spacing w:before="200" w:line="260" w:lineRule="atLeast"/>
        <w:jc w:val="both"/>
      </w:pPr>
      <w:bookmarkStart w:id="1123" w:name="Bookmark_para_17_5"/>
      <w:bookmarkEnd w:id="1123"/>
      <w:r>
        <w:rPr>
          <w:rFonts w:ascii="Arial" w:eastAsia="Arial" w:hAnsi="Arial" w:cs="Arial"/>
          <w:color w:val="000000"/>
          <w:sz w:val="20"/>
        </w:rPr>
        <w:t>McElwee filed the action below on January 8, 2010, alleging that the County had violated the ADA and the Rehabilitation Act by dismissing him from the volunteer program and subsequently excluding him from Valley View altogether without providing him a reasonable accommodation for his mental impairment.</w:t>
      </w:r>
    </w:p>
    <w:p w14:paraId="3B28AF5F" w14:textId="77777777" w:rsidR="00D041A2" w:rsidRDefault="00000000">
      <w:pPr>
        <w:pStyle w:val="Normal10"/>
        <w:widowControl w:val="0"/>
        <w:spacing w:before="200" w:line="260" w:lineRule="atLeast"/>
        <w:jc w:val="both"/>
      </w:pPr>
      <w:bookmarkStart w:id="1124" w:name="Bookmark_para_18_5"/>
      <w:bookmarkStart w:id="1125" w:name="Bookmark_I576P67V28T4C90020000400"/>
      <w:bookmarkEnd w:id="1124"/>
      <w:bookmarkEnd w:id="1125"/>
      <w:r>
        <w:rPr>
          <w:rFonts w:ascii="Arial" w:eastAsia="Arial" w:hAnsi="Arial" w:cs="Arial"/>
          <w:color w:val="000000"/>
          <w:sz w:val="20"/>
        </w:rPr>
        <w:t xml:space="preserve">Following discovery, the County moved for summary judgment. </w:t>
      </w:r>
      <w:bookmarkStart w:id="1126" w:name="Bookmark_I576P67V28T4C90040000400"/>
      <w:bookmarkEnd w:id="1126"/>
      <w:r>
        <w:rPr>
          <w:rFonts w:ascii="Arial" w:eastAsia="Arial" w:hAnsi="Arial" w:cs="Arial"/>
          <w:color w:val="000000"/>
          <w:sz w:val="20"/>
        </w:rPr>
        <w:t xml:space="preserve">On September 29, 2011, the district court granted the County's motion, holding that McElwee was not "'substantially limited' in the major life activity of interacting with others" and therefore was not "disabled" under the ADA or the Rehabilitation Act. </w:t>
      </w:r>
      <w:r>
        <w:rPr>
          <w:rFonts w:ascii="Arial" w:eastAsia="Arial" w:hAnsi="Arial" w:cs="Arial"/>
          <w:i/>
          <w:color w:val="000000"/>
          <w:sz w:val="20"/>
        </w:rPr>
        <w:t xml:space="preserve">See </w:t>
      </w:r>
      <w:bookmarkStart w:id="1127" w:name="Bookmark_I576P67V28T4C90010000400"/>
      <w:bookmarkEnd w:id="1127"/>
      <w:r>
        <w:rPr>
          <w:rFonts w:ascii="Arial" w:eastAsia="Arial" w:hAnsi="Arial" w:cs="Arial"/>
          <w:i/>
          <w:color w:val="000000"/>
          <w:sz w:val="20"/>
        </w:rPr>
        <w:t>McElwee v. Cnty. of Orange</w:t>
      </w:r>
      <w:r>
        <w:rPr>
          <w:rFonts w:ascii="Arial" w:eastAsia="Arial" w:hAnsi="Arial" w:cs="Arial"/>
          <w:color w:val="000000"/>
          <w:sz w:val="20"/>
        </w:rPr>
        <w:t xml:space="preserve">, No. 10 Civ. 00138 (KTD), 2011 U.S. Dist. LEXIS 114663, at *20 (S.D.N.Y. Sept. 29, 2011).  [**9] In particular, the court held, "while Plaintiff may suffer from a diagnosed disorder, . . . </w:t>
      </w:r>
      <w:bookmarkStart w:id="1128" w:name="Bookmark_I576P67V28T4C90040000400_2"/>
      <w:bookmarkEnd w:id="1128"/>
      <w:r>
        <w:rPr>
          <w:rFonts w:ascii="Arial" w:eastAsia="Arial" w:hAnsi="Arial" w:cs="Arial"/>
          <w:color w:val="000000"/>
          <w:sz w:val="20"/>
        </w:rPr>
        <w:t xml:space="preserve">Plaintiff has not demonstrated that his mental impairment substantially impairs his ability 'to connect with others, i.e., to initiate contact with other people and respond to them, or to go among other people -- at the most basic level of these activities.'" </w:t>
      </w:r>
      <w:bookmarkStart w:id="1129" w:name="Bookmark_I576P67V28T4C90030000400"/>
      <w:bookmarkEnd w:id="1129"/>
      <w:r>
        <w:rPr>
          <w:rFonts w:ascii="Arial" w:eastAsia="Arial" w:hAnsi="Arial" w:cs="Arial"/>
          <w:i/>
          <w:color w:val="000000"/>
          <w:sz w:val="20"/>
        </w:rPr>
        <w:t>Id</w:t>
      </w:r>
      <w:r>
        <w:rPr>
          <w:rFonts w:ascii="Arial" w:eastAsia="Arial" w:hAnsi="Arial" w:cs="Arial"/>
          <w:color w:val="000000"/>
          <w:sz w:val="20"/>
        </w:rPr>
        <w:t xml:space="preserve">. at *16 (quoting </w:t>
      </w:r>
      <w:bookmarkStart w:id="1130" w:name="Bookmark_I576P67V28T4C90050000400"/>
      <w:bookmarkEnd w:id="1130"/>
      <w:r>
        <w:rPr>
          <w:rFonts w:ascii="Arial" w:eastAsia="Arial" w:hAnsi="Arial" w:cs="Arial"/>
          <w:i/>
          <w:color w:val="000000"/>
          <w:sz w:val="20"/>
        </w:rPr>
        <w:t>Jacques v. DiMarzio, Inc</w:t>
      </w:r>
      <w:r>
        <w:rPr>
          <w:rFonts w:ascii="Arial" w:eastAsia="Arial" w:hAnsi="Arial" w:cs="Arial"/>
          <w:color w:val="000000"/>
          <w:sz w:val="20"/>
        </w:rPr>
        <w:t>., 386 F.3d 192, 201 (2d Cir. 2004)).</w:t>
      </w:r>
    </w:p>
    <w:p w14:paraId="22DCB51E" w14:textId="77777777" w:rsidR="00D041A2" w:rsidRDefault="00000000">
      <w:pPr>
        <w:pStyle w:val="Normal10"/>
        <w:widowControl w:val="0"/>
        <w:spacing w:before="200" w:line="260" w:lineRule="atLeast"/>
        <w:jc w:val="both"/>
      </w:pPr>
      <w:bookmarkStart w:id="1131" w:name="Bookmark_para_19_5"/>
      <w:bookmarkEnd w:id="1131"/>
      <w:r>
        <w:rPr>
          <w:rFonts w:ascii="Arial" w:eastAsia="Arial" w:hAnsi="Arial" w:cs="Arial"/>
          <w:color w:val="000000"/>
          <w:sz w:val="20"/>
        </w:rPr>
        <w:t>The court did not consider whether McElwee was otherwise qualified to be a volunteer at Valley View or whether the accommodations he sought were reasonable. Judgment dismissing the Complaint was entered on September 30, 2011.</w:t>
      </w:r>
    </w:p>
    <w:p w14:paraId="081CFF11" w14:textId="77777777" w:rsidR="00D041A2" w:rsidRDefault="00000000">
      <w:pPr>
        <w:pStyle w:val="Normal10"/>
        <w:widowControl w:val="0"/>
        <w:spacing w:before="200" w:line="260" w:lineRule="atLeast"/>
        <w:jc w:val="both"/>
      </w:pPr>
      <w:bookmarkStart w:id="1132" w:name="Bookmark_para_20_5"/>
      <w:bookmarkEnd w:id="1132"/>
      <w:r>
        <w:rPr>
          <w:rFonts w:ascii="Arial" w:eastAsia="Arial" w:hAnsi="Arial" w:cs="Arial"/>
          <w:color w:val="000000"/>
          <w:sz w:val="20"/>
        </w:rPr>
        <w:t>This appeal followed.</w:t>
      </w:r>
    </w:p>
    <w:p w14:paraId="5B71E75F" w14:textId="77777777" w:rsidR="00D041A2" w:rsidRDefault="00000000">
      <w:pPr>
        <w:pStyle w:val="Normal10"/>
        <w:widowControl w:val="0"/>
        <w:spacing w:before="240" w:line="260" w:lineRule="atLeast"/>
      </w:pPr>
      <w:r>
        <w:br/>
      </w:r>
      <w:r>
        <w:rPr>
          <w:rFonts w:ascii="Arial" w:eastAsia="Arial" w:hAnsi="Arial" w:cs="Arial"/>
          <w:color w:val="000000"/>
          <w:sz w:val="20"/>
        </w:rPr>
        <w:t xml:space="preserve"> [*640]  </w:t>
      </w:r>
      <w:r>
        <w:rPr>
          <w:rFonts w:ascii="Arial" w:eastAsia="Arial" w:hAnsi="Arial" w:cs="Arial"/>
          <w:b/>
          <w:i/>
          <w:color w:val="000000"/>
          <w:sz w:val="20"/>
        </w:rPr>
        <w:t>DISCUSSION</w:t>
      </w:r>
    </w:p>
    <w:p w14:paraId="3BC60A31"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Applicable Law</w:t>
      </w:r>
    </w:p>
    <w:p w14:paraId="3781DC1C"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1. </w:t>
      </w:r>
      <w:r>
        <w:rPr>
          <w:rFonts w:ascii="Arial" w:eastAsia="Arial" w:hAnsi="Arial" w:cs="Arial"/>
          <w:b/>
          <w:i/>
          <w:color w:val="000000"/>
          <w:sz w:val="20"/>
        </w:rPr>
        <w:t>Standard of Review</w:t>
      </w:r>
    </w:p>
    <w:p w14:paraId="0BE5DDA4" w14:textId="77777777" w:rsidR="00D041A2" w:rsidRDefault="00000000">
      <w:pPr>
        <w:pStyle w:val="Normal10"/>
        <w:widowControl w:val="0"/>
        <w:spacing w:before="200" w:line="260" w:lineRule="atLeast"/>
        <w:jc w:val="both"/>
      </w:pPr>
      <w:bookmarkStart w:id="1133" w:name="Bookmark_para_21_5"/>
      <w:bookmarkStart w:id="1134" w:name="Bookmark_I576P67V2D6NYD0030000400"/>
      <w:bookmarkStart w:id="1135" w:name="Bookmark_LNHNREFclscc1_5"/>
      <w:bookmarkEnd w:id="1133"/>
      <w:bookmarkEnd w:id="1134"/>
      <w:bookmarkEnd w:id="1135"/>
      <w:r>
        <w:rPr>
          <w:rFonts w:ascii="Arial" w:eastAsia="Arial" w:hAnsi="Arial" w:cs="Arial"/>
          <w:color w:val="000000"/>
          <w:sz w:val="20"/>
        </w:rPr>
        <w:t xml:space="preserve">We review an award of summary judgment </w:t>
      </w:r>
      <w:r>
        <w:rPr>
          <w:rFonts w:ascii="Arial" w:eastAsia="Arial" w:hAnsi="Arial" w:cs="Arial"/>
          <w:i/>
          <w:color w:val="000000"/>
          <w:sz w:val="20"/>
        </w:rPr>
        <w:t>de novo</w:t>
      </w:r>
      <w:r>
        <w:rPr>
          <w:rFonts w:ascii="Arial" w:eastAsia="Arial" w:hAnsi="Arial" w:cs="Arial"/>
          <w:color w:val="000000"/>
          <w:sz w:val="20"/>
        </w:rPr>
        <w:t xml:space="preserve">, construing the evidence in the light most favorable to the nonmoving party and drawing all reasonable inferences in his favor. </w:t>
      </w:r>
      <w:bookmarkStart w:id="1136" w:name="Bookmark_I576P67V2D6NYD0050000400"/>
      <w:bookmarkStart w:id="1137" w:name="Bookmark_I576P67V2D6NYD0020000400"/>
      <w:bookmarkEnd w:id="1136"/>
      <w:bookmarkEnd w:id="1137"/>
      <w:r>
        <w:rPr>
          <w:rFonts w:ascii="Arial" w:eastAsia="Arial" w:hAnsi="Arial" w:cs="Arial"/>
          <w:i/>
          <w:color w:val="000000"/>
          <w:sz w:val="20"/>
        </w:rPr>
        <w:t>McBride v. BIC Consumer Prods. Mfg. Co</w:t>
      </w:r>
      <w:r>
        <w:rPr>
          <w:rFonts w:ascii="Arial" w:eastAsia="Arial" w:hAnsi="Arial" w:cs="Arial"/>
          <w:color w:val="000000"/>
          <w:sz w:val="20"/>
        </w:rPr>
        <w:t xml:space="preserve">., 583 F.3d 92, 96 (2d Cir. 2009). </w:t>
      </w:r>
      <w:bookmarkStart w:id="1138" w:name="Bookmark_I576P67V2D6NYF0020000400"/>
      <w:bookmarkEnd w:id="1138"/>
      <w:r>
        <w:rPr>
          <w:rFonts w:ascii="Arial" w:eastAsia="Arial" w:hAnsi="Arial" w:cs="Arial"/>
          <w:color w:val="000000"/>
          <w:sz w:val="20"/>
        </w:rPr>
        <w:t xml:space="preserve">Summary judgment is appropriate where the record reveals that there is "no genuine dispute as to any material fact and the movant is entitled to judgment as a matter of law." Fed. R. Civ. P. 56(a). </w:t>
      </w:r>
      <w:bookmarkStart w:id="1139" w:name="Bookmark_I576P67V2D6NYF0020000400_2"/>
      <w:bookmarkStart w:id="1140" w:name="Bookmark_I576P67V2D6NYD0050000400_2"/>
      <w:bookmarkEnd w:id="1139"/>
      <w:bookmarkEnd w:id="1140"/>
      <w:r>
        <w:rPr>
          <w:rFonts w:ascii="Arial" w:eastAsia="Arial" w:hAnsi="Arial" w:cs="Arial"/>
          <w:color w:val="000000"/>
          <w:sz w:val="20"/>
        </w:rPr>
        <w:t xml:space="preserve">A factual dispute is genuine  [**10] "if the evidence is such that a reasonable jury could return a verdict for the nonmoving party." </w:t>
      </w:r>
      <w:bookmarkStart w:id="1141" w:name="Bookmark_I576P67V2D6NYD0040000400"/>
      <w:bookmarkEnd w:id="1141"/>
      <w:r>
        <w:rPr>
          <w:rFonts w:ascii="Arial" w:eastAsia="Arial" w:hAnsi="Arial" w:cs="Arial"/>
          <w:i/>
          <w:color w:val="000000"/>
          <w:sz w:val="20"/>
        </w:rPr>
        <w:t>Anderson v. Liberty Lobby, Inc</w:t>
      </w:r>
      <w:r>
        <w:rPr>
          <w:rFonts w:ascii="Arial" w:eastAsia="Arial" w:hAnsi="Arial" w:cs="Arial"/>
          <w:color w:val="000000"/>
          <w:sz w:val="20"/>
        </w:rPr>
        <w:t xml:space="preserve">., 477 U.S. 242, 248, 106 S. Ct. 2505, 91 L. Ed. 2d 202 (1986). We may affirm summary judgment on any ground supported by the record, even if it is not one on which the district court relied. </w:t>
      </w:r>
      <w:bookmarkStart w:id="1142" w:name="Bookmark_I576P67V2D6NYF0010000400"/>
      <w:bookmarkEnd w:id="1142"/>
      <w:r>
        <w:rPr>
          <w:rFonts w:ascii="Arial" w:eastAsia="Arial" w:hAnsi="Arial" w:cs="Arial"/>
          <w:i/>
          <w:color w:val="000000"/>
          <w:sz w:val="20"/>
        </w:rPr>
        <w:t>10 Ellicott Sq. Ct. Corp. v. Mountain Valley Indem. Co</w:t>
      </w:r>
      <w:r>
        <w:rPr>
          <w:rFonts w:ascii="Arial" w:eastAsia="Arial" w:hAnsi="Arial" w:cs="Arial"/>
          <w:color w:val="000000"/>
          <w:sz w:val="20"/>
        </w:rPr>
        <w:t>., 634 F.3d 112, 125 (2d Cir. 2010).</w:t>
      </w:r>
    </w:p>
    <w:p w14:paraId="0C748A4A"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2. </w:t>
      </w:r>
      <w:r>
        <w:rPr>
          <w:rFonts w:ascii="Arial" w:eastAsia="Arial" w:hAnsi="Arial" w:cs="Arial"/>
          <w:b/>
          <w:i/>
          <w:color w:val="000000"/>
          <w:sz w:val="20"/>
        </w:rPr>
        <w:t>The ADA and the Rehabilitation Act</w:t>
      </w:r>
    </w:p>
    <w:p w14:paraId="6DE9E4B7" w14:textId="77777777" w:rsidR="00D041A2" w:rsidRDefault="00000000">
      <w:pPr>
        <w:pStyle w:val="Normal10"/>
        <w:widowControl w:val="0"/>
        <w:spacing w:before="200" w:line="260" w:lineRule="atLeast"/>
        <w:jc w:val="both"/>
      </w:pPr>
      <w:bookmarkStart w:id="1143" w:name="Bookmark_para_22_5"/>
      <w:bookmarkStart w:id="1144" w:name="Bookmark_LNHNREFclscc2_5"/>
      <w:bookmarkEnd w:id="1143"/>
      <w:bookmarkEnd w:id="1144"/>
      <w:r>
        <w:rPr>
          <w:rFonts w:ascii="Arial" w:eastAsia="Arial" w:hAnsi="Arial" w:cs="Arial"/>
          <w:color w:val="000000"/>
          <w:sz w:val="20"/>
        </w:rPr>
        <w:t xml:space="preserve">Title II of the ADA provides that "no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1145" w:name="Bookmark_I576P67V2D6NYF0040000400"/>
      <w:bookmarkEnd w:id="1145"/>
      <w:r>
        <w:rPr>
          <w:rFonts w:ascii="Arial" w:eastAsia="Arial" w:hAnsi="Arial" w:cs="Arial"/>
          <w:color w:val="000000"/>
          <w:sz w:val="20"/>
        </w:rPr>
        <w:t xml:space="preserve">Similarly, Section 504 of the Rehabilitation Act prohibits programs and activities receiving federal financial assistance from excluding, denying benefits to, or discriminating against "otherwise qualified" disabled individuals. 29 U.S.C. § 794(a). Because the standards adopted by the two statutes are nearly identical, we consider the merits of these claims together. </w:t>
      </w:r>
      <w:r>
        <w:rPr>
          <w:rFonts w:ascii="Arial" w:eastAsia="Arial" w:hAnsi="Arial" w:cs="Arial"/>
          <w:i/>
          <w:color w:val="000000"/>
          <w:sz w:val="20"/>
        </w:rPr>
        <w:t xml:space="preserve">See </w:t>
      </w:r>
      <w:bookmarkStart w:id="1146" w:name="Bookmark_I576P67V2D6NYF0030000400"/>
      <w:bookmarkEnd w:id="1146"/>
      <w:r>
        <w:rPr>
          <w:rFonts w:ascii="Arial" w:eastAsia="Arial" w:hAnsi="Arial" w:cs="Arial"/>
          <w:i/>
          <w:color w:val="000000"/>
          <w:sz w:val="20"/>
        </w:rPr>
        <w:t>Abrahams v. MTA Long Island Bus</w:t>
      </w:r>
      <w:r>
        <w:rPr>
          <w:rFonts w:ascii="Arial" w:eastAsia="Arial" w:hAnsi="Arial" w:cs="Arial"/>
          <w:color w:val="000000"/>
          <w:sz w:val="20"/>
        </w:rPr>
        <w:t>, 644 F.3d 110, 115 n.3 (2d Cir. 2011).</w:t>
      </w:r>
    </w:p>
    <w:p w14:paraId="40F82449" w14:textId="77777777" w:rsidR="00D041A2" w:rsidRDefault="00000000">
      <w:pPr>
        <w:pStyle w:val="Normal10"/>
        <w:widowControl w:val="0"/>
        <w:spacing w:before="200" w:line="260" w:lineRule="atLeast"/>
        <w:jc w:val="both"/>
      </w:pPr>
      <w:bookmarkStart w:id="1147" w:name="Bookmark_para_23_5"/>
      <w:bookmarkStart w:id="1148" w:name="Bookmark_I5B6XX15Y2800005N4V000T9"/>
      <w:bookmarkStart w:id="1149" w:name="Bookmark_I576P67V2SF7PS0010000400"/>
      <w:bookmarkStart w:id="1150" w:name="Bookmark_LNHNREFclscc3_5"/>
      <w:bookmarkEnd w:id="1147"/>
      <w:bookmarkEnd w:id="1148"/>
      <w:bookmarkEnd w:id="1149"/>
      <w:bookmarkEnd w:id="1150"/>
      <w:r>
        <w:rPr>
          <w:rFonts w:ascii="Arial" w:eastAsia="Arial" w:hAnsi="Arial" w:cs="Arial"/>
          <w:color w:val="000000"/>
          <w:sz w:val="20"/>
        </w:rPr>
        <w:t xml:space="preserve">To assert a claim under Title II of  [**11] the ADA or section 504 of the Rehabilitation Act, a plaintiff must demonstrate that (1) he is a qualified individual with a disability; (2) the defendant is subject to one of the Acts; and (3) he was denied the opportunity to participate in or benefit from the defendant's services, programs, or activities, or was otherwise discriminated against by the defendant because of his disability. </w:t>
      </w:r>
      <w:bookmarkStart w:id="1151" w:name="Bookmark_I576P67V2D6NYF0050000400"/>
      <w:bookmarkEnd w:id="1151"/>
      <w:r>
        <w:rPr>
          <w:rFonts w:ascii="Arial" w:eastAsia="Arial" w:hAnsi="Arial" w:cs="Arial"/>
          <w:i/>
          <w:color w:val="000000"/>
          <w:sz w:val="20"/>
        </w:rPr>
        <w:t>Henrietta D. v. Bloomberg</w:t>
      </w:r>
      <w:r>
        <w:rPr>
          <w:rFonts w:ascii="Arial" w:eastAsia="Arial" w:hAnsi="Arial" w:cs="Arial"/>
          <w:color w:val="000000"/>
          <w:sz w:val="20"/>
        </w:rPr>
        <w:t>, 331 F.3d 261, 272 (2d Cir. 2003).</w:t>
      </w:r>
    </w:p>
    <w:p w14:paraId="0A94DC44" w14:textId="77777777" w:rsidR="00D041A2" w:rsidRDefault="00000000">
      <w:pPr>
        <w:pStyle w:val="Normal10"/>
        <w:widowControl w:val="0"/>
        <w:spacing w:before="200" w:line="260" w:lineRule="atLeast"/>
        <w:jc w:val="both"/>
      </w:pPr>
      <w:bookmarkStart w:id="1152" w:name="Bookmark_para_24_4"/>
      <w:bookmarkStart w:id="1153" w:name="Bookmark_LNHNREFclscc4_5"/>
      <w:bookmarkEnd w:id="1152"/>
      <w:bookmarkEnd w:id="1153"/>
      <w:r>
        <w:rPr>
          <w:rFonts w:ascii="Arial" w:eastAsia="Arial" w:hAnsi="Arial" w:cs="Arial"/>
          <w:color w:val="000000"/>
          <w:sz w:val="20"/>
        </w:rPr>
        <w:t xml:space="preserve">A "qualified individual with a disability" is "an individual with a disability who, with or without reasonable modifications to rules, policies, or practices, the removal of architectural, communication, or transportation barriers, or the provision of auxiliary aids and services, meets the essential eligibility requirements for the receipt of services or the participation in programs or activities provided by a public entity." 42 U.S.C. § 12131. A "disability" is defined as "a physical or mental impairment that substantially limits one or more major life activities." </w:t>
      </w:r>
      <w:r>
        <w:rPr>
          <w:rFonts w:ascii="Arial" w:eastAsia="Arial" w:hAnsi="Arial" w:cs="Arial"/>
          <w:i/>
          <w:color w:val="000000"/>
          <w:sz w:val="20"/>
        </w:rPr>
        <w:t>Id</w:t>
      </w:r>
      <w:r>
        <w:rPr>
          <w:rFonts w:ascii="Arial" w:eastAsia="Arial" w:hAnsi="Arial" w:cs="Arial"/>
          <w:color w:val="000000"/>
          <w:sz w:val="20"/>
        </w:rPr>
        <w:t>. § 12102(1)(A).</w:t>
      </w:r>
    </w:p>
    <w:p w14:paraId="0BD2C4B8" w14:textId="77777777" w:rsidR="00D041A2" w:rsidRDefault="00000000">
      <w:pPr>
        <w:pStyle w:val="Normal10"/>
        <w:widowControl w:val="0"/>
        <w:spacing w:before="200" w:line="260" w:lineRule="atLeast"/>
        <w:jc w:val="both"/>
      </w:pPr>
      <w:bookmarkStart w:id="1154" w:name="Bookmark_para_25_4"/>
      <w:bookmarkStart w:id="1155" w:name="Bookmark_I576P67V2SF7PS0030000400"/>
      <w:bookmarkStart w:id="1156" w:name="Bookmark_I576P67V2SF7PS0050000400"/>
      <w:bookmarkStart w:id="1157" w:name="Bookmark_I576P67V2SF7PT0040000400"/>
      <w:bookmarkStart w:id="1158" w:name="Bookmark_LNHNREFclscc5_5"/>
      <w:bookmarkEnd w:id="1154"/>
      <w:bookmarkEnd w:id="1155"/>
      <w:bookmarkEnd w:id="1156"/>
      <w:bookmarkEnd w:id="1157"/>
      <w:bookmarkEnd w:id="1158"/>
      <w:r>
        <w:rPr>
          <w:rFonts w:ascii="Arial" w:eastAsia="Arial" w:hAnsi="Arial" w:cs="Arial"/>
          <w:color w:val="000000"/>
          <w:sz w:val="20"/>
        </w:rPr>
        <w:t>Under both statutes, a defendant discriminates when it fails to make a reasonable accommodation that would permit a qualified disabled individual "to have access  [**12] to and take a meaningful part in public services."</w:t>
      </w:r>
      <w:r>
        <w:rPr>
          <w:rFonts w:ascii="Arial" w:eastAsia="Arial" w:hAnsi="Arial" w:cs="Arial"/>
          <w:vertAlign w:val="superscript"/>
        </w:rPr>
        <w:footnoteReference w:customMarkFollows="1" w:id="56"/>
        <w:t>2</w:t>
      </w:r>
      <w:r>
        <w:rPr>
          <w:rFonts w:ascii="Arial" w:eastAsia="Arial" w:hAnsi="Arial" w:cs="Arial"/>
          <w:color w:val="000000"/>
          <w:sz w:val="20"/>
        </w:rPr>
        <w:t xml:space="preserve"> </w:t>
      </w:r>
      <w:bookmarkStart w:id="1163" w:name="Bookmark_I576P67V2SF7PS0020000400"/>
      <w:bookmarkEnd w:id="1163"/>
      <w:r>
        <w:rPr>
          <w:rFonts w:ascii="Arial" w:eastAsia="Arial" w:hAnsi="Arial" w:cs="Arial"/>
          <w:i/>
          <w:color w:val="000000"/>
          <w:sz w:val="20"/>
        </w:rPr>
        <w:t>Powell v. Nat'l Bd. of</w:t>
      </w:r>
      <w:r>
        <w:rPr>
          <w:rFonts w:ascii="Arial" w:eastAsia="Arial" w:hAnsi="Arial" w:cs="Arial"/>
          <w:color w:val="000000"/>
          <w:sz w:val="20"/>
        </w:rPr>
        <w:t> [*641] </w:t>
      </w:r>
      <w:r>
        <w:rPr>
          <w:rFonts w:ascii="Arial" w:eastAsia="Arial" w:hAnsi="Arial" w:cs="Arial"/>
          <w:i/>
          <w:color w:val="000000"/>
          <w:sz w:val="20"/>
        </w:rPr>
        <w:t xml:space="preserve"> Med. Exam'rs</w:t>
      </w:r>
      <w:r>
        <w:rPr>
          <w:rFonts w:ascii="Arial" w:eastAsia="Arial" w:hAnsi="Arial" w:cs="Arial"/>
          <w:color w:val="000000"/>
          <w:sz w:val="20"/>
        </w:rPr>
        <w:t xml:space="preserve">, 364 F.3d 79, 85 (2d Cir. 2004); </w:t>
      </w:r>
      <w:r>
        <w:rPr>
          <w:rFonts w:ascii="Arial" w:eastAsia="Arial" w:hAnsi="Arial" w:cs="Arial"/>
          <w:i/>
          <w:color w:val="000000"/>
          <w:sz w:val="20"/>
        </w:rPr>
        <w:t>see also</w:t>
      </w:r>
      <w:r>
        <w:rPr>
          <w:rFonts w:ascii="Arial" w:eastAsia="Arial" w:hAnsi="Arial" w:cs="Arial"/>
          <w:color w:val="000000"/>
          <w:sz w:val="20"/>
        </w:rPr>
        <w:t xml:space="preserve"> 42 U.S.C. § 12112(b)(5)(A) (the term "discriminate" under the ADA includes "not making reasonable accommodations to the known physical or mental limitations of an otherwise qualified individual with a disability who is an applicant or employee"). "A 'reasonable accommodation' is one that gives the otherwise qualified plaintiff with disabilities 'meaningful access' to the program or services sought." </w:t>
      </w:r>
      <w:bookmarkStart w:id="1164" w:name="Bookmark_I576P67V2SF7PS0040000400"/>
      <w:bookmarkEnd w:id="1164"/>
      <w:r>
        <w:rPr>
          <w:rFonts w:ascii="Arial" w:eastAsia="Arial" w:hAnsi="Arial" w:cs="Arial"/>
          <w:i/>
          <w:color w:val="000000"/>
          <w:sz w:val="20"/>
        </w:rPr>
        <w:t>Henrietta D</w:t>
      </w:r>
      <w:r>
        <w:rPr>
          <w:rFonts w:ascii="Arial" w:eastAsia="Arial" w:hAnsi="Arial" w:cs="Arial"/>
          <w:color w:val="000000"/>
          <w:sz w:val="20"/>
        </w:rPr>
        <w:t xml:space="preserve">., 331 F.3d at 282 (quoting </w:t>
      </w:r>
      <w:bookmarkStart w:id="1165" w:name="Bookmark_I576P67V2SF7PT0010000400"/>
      <w:bookmarkEnd w:id="1165"/>
      <w:r>
        <w:rPr>
          <w:rFonts w:ascii="Arial" w:eastAsia="Arial" w:hAnsi="Arial" w:cs="Arial"/>
          <w:i/>
          <w:color w:val="000000"/>
          <w:sz w:val="20"/>
        </w:rPr>
        <w:t>Alexander v. Choate</w:t>
      </w:r>
      <w:r>
        <w:rPr>
          <w:rFonts w:ascii="Arial" w:eastAsia="Arial" w:hAnsi="Arial" w:cs="Arial"/>
          <w:color w:val="000000"/>
          <w:sz w:val="20"/>
        </w:rPr>
        <w:t>, 469 U.S. 287, 301, 105 S. Ct. 712, 83 L. Ed. 2d 661 (1985)).</w:t>
      </w:r>
    </w:p>
    <w:p w14:paraId="2FD17A2C" w14:textId="77777777" w:rsidR="00D041A2" w:rsidRDefault="00000000">
      <w:pPr>
        <w:pStyle w:val="Normal10"/>
        <w:widowControl w:val="0"/>
        <w:spacing w:before="200" w:line="260" w:lineRule="atLeast"/>
        <w:jc w:val="both"/>
      </w:pPr>
      <w:bookmarkStart w:id="1166" w:name="Bookmark_para_26_4"/>
      <w:bookmarkStart w:id="1167" w:name="Bookmark_I576P67V28T4CB0050000400"/>
      <w:bookmarkStart w:id="1168" w:name="Bookmark_I576P67V2SF7PV0020000400"/>
      <w:bookmarkStart w:id="1169" w:name="Bookmark_LNHNREFclscc6_5"/>
      <w:bookmarkEnd w:id="1166"/>
      <w:bookmarkEnd w:id="1167"/>
      <w:bookmarkEnd w:id="1168"/>
      <w:bookmarkEnd w:id="1169"/>
      <w:r>
        <w:rPr>
          <w:rFonts w:ascii="Arial" w:eastAsia="Arial" w:hAnsi="Arial" w:cs="Arial"/>
          <w:color w:val="000000"/>
          <w:sz w:val="20"/>
        </w:rPr>
        <w:t xml:space="preserve">Although a public entity must make "reasonable accommodations," it does not have to provide a disabled individual with every accommodation he requests or the accommodation of his choice. </w:t>
      </w:r>
      <w:bookmarkStart w:id="1170" w:name="Bookmark_I576P67V2SF7PV0040000400"/>
      <w:bookmarkStart w:id="1171" w:name="Bookmark_I576P67V2D6NYG0050000400"/>
      <w:bookmarkEnd w:id="1170"/>
      <w:bookmarkEnd w:id="1171"/>
      <w:r>
        <w:rPr>
          <w:rFonts w:ascii="Arial" w:eastAsia="Arial" w:hAnsi="Arial" w:cs="Arial"/>
          <w:i/>
          <w:color w:val="000000"/>
          <w:sz w:val="20"/>
        </w:rPr>
        <w:t xml:space="preserve">See </w:t>
      </w:r>
      <w:bookmarkStart w:id="1172" w:name="Bookmark_I576P67V28T4CB0040000400"/>
      <w:bookmarkEnd w:id="1172"/>
      <w:r>
        <w:rPr>
          <w:rFonts w:ascii="Arial" w:eastAsia="Arial" w:hAnsi="Arial" w:cs="Arial"/>
          <w:i/>
          <w:color w:val="000000"/>
          <w:sz w:val="20"/>
        </w:rPr>
        <w:t>Fink v. N.Y.C. Dep't of Personnel</w:t>
      </w:r>
      <w:r>
        <w:rPr>
          <w:rFonts w:ascii="Arial" w:eastAsia="Arial" w:hAnsi="Arial" w:cs="Arial"/>
          <w:color w:val="000000"/>
          <w:sz w:val="20"/>
        </w:rPr>
        <w:t xml:space="preserve">, 53 F.3d 565, 567 (2d Cir. 1995). An accommodation is not reasonable if it would impose an undue hardship on a program's operation or "would fundamentally alter the nature of the service, program, or activity." </w:t>
      </w:r>
      <w:bookmarkStart w:id="1173" w:name="Bookmark_I576P67V2SF7PV0010000400"/>
      <w:bookmarkEnd w:id="1173"/>
      <w:r>
        <w:rPr>
          <w:rFonts w:ascii="Arial" w:eastAsia="Arial" w:hAnsi="Arial" w:cs="Arial"/>
          <w:i/>
          <w:color w:val="000000"/>
          <w:sz w:val="20"/>
        </w:rPr>
        <w:t>Powell</w:t>
      </w:r>
      <w:r>
        <w:rPr>
          <w:rFonts w:ascii="Arial" w:eastAsia="Arial" w:hAnsi="Arial" w:cs="Arial"/>
          <w:color w:val="000000"/>
          <w:sz w:val="20"/>
        </w:rPr>
        <w:t xml:space="preserve">, 364 F.3d at 88 (citing 28 C.F.R. §§ 41.53, 35.130(b)(7)) (internal quotation marks omitted). </w:t>
      </w:r>
      <w:bookmarkStart w:id="1174" w:name="Bookmark_I576P67V2D6NYG0050000400_2"/>
      <w:bookmarkStart w:id="1175" w:name="Bookmark_I576P67V2SF7PV0040000400_2"/>
      <w:bookmarkEnd w:id="1174"/>
      <w:bookmarkEnd w:id="1175"/>
      <w:r>
        <w:rPr>
          <w:rFonts w:ascii="Arial" w:eastAsia="Arial" w:hAnsi="Arial" w:cs="Arial"/>
          <w:color w:val="000000"/>
          <w:sz w:val="20"/>
        </w:rPr>
        <w:t>Moreover, under the ADA, workplace misconduct is a legitimate and nondiscriminatory reason for terminating employment, even when such misconduct is related to a disability.</w:t>
      </w:r>
      <w:r>
        <w:rPr>
          <w:rFonts w:ascii="Arial" w:eastAsia="Arial" w:hAnsi="Arial" w:cs="Arial"/>
          <w:vertAlign w:val="superscript"/>
        </w:rPr>
        <w:footnoteReference w:customMarkFollows="1" w:id="57"/>
        <w:t>3</w:t>
      </w:r>
      <w:r>
        <w:rPr>
          <w:rFonts w:ascii="Arial" w:eastAsia="Arial" w:hAnsi="Arial" w:cs="Arial"/>
          <w:color w:val="000000"/>
          <w:sz w:val="20"/>
        </w:rPr>
        <w:t xml:space="preserve"> A requested  [**14] accommodation that simply excuses past misconduct is unreasonable as a matter of law.</w:t>
      </w:r>
      <w:r>
        <w:rPr>
          <w:rFonts w:ascii="Arial" w:eastAsia="Arial" w:hAnsi="Arial" w:cs="Arial"/>
          <w:vertAlign w:val="superscript"/>
        </w:rPr>
        <w:footnoteReference w:customMarkFollows="1" w:id="58"/>
        <w:t>4</w:t>
      </w:r>
    </w:p>
    <w:p w14:paraId="1248ADB9" w14:textId="77777777" w:rsidR="00D041A2" w:rsidRDefault="00000000">
      <w:pPr>
        <w:pStyle w:val="Normal10"/>
        <w:widowControl w:val="0"/>
        <w:spacing w:before="200" w:line="260" w:lineRule="atLeast"/>
        <w:jc w:val="both"/>
      </w:pPr>
      <w:bookmarkStart w:id="1184" w:name="Bookmark_para_27_4"/>
      <w:bookmarkStart w:id="1185" w:name="Bookmark_I576P67V28T4CD0010000400"/>
      <w:bookmarkStart w:id="1186" w:name="Bookmark_I576P67V28T4CD0050000400"/>
      <w:bookmarkStart w:id="1187" w:name="Bookmark_LNHNREFclscc7_5"/>
      <w:bookmarkEnd w:id="1184"/>
      <w:bookmarkEnd w:id="1185"/>
      <w:bookmarkEnd w:id="1186"/>
      <w:bookmarkEnd w:id="1187"/>
      <w:r>
        <w:rPr>
          <w:rFonts w:ascii="Arial" w:eastAsia="Arial" w:hAnsi="Arial" w:cs="Arial"/>
          <w:color w:val="000000"/>
          <w:sz w:val="20"/>
        </w:rPr>
        <w:t xml:space="preserve">Although it is generally "the responsibility of the individual with a disability to inform the employer that an accommodation is needed," </w:t>
      </w:r>
      <w:bookmarkStart w:id="1188" w:name="Bookmark_I576P67V28T4CC0050000400"/>
      <w:bookmarkEnd w:id="1188"/>
      <w:r>
        <w:rPr>
          <w:rFonts w:ascii="Arial" w:eastAsia="Arial" w:hAnsi="Arial" w:cs="Arial"/>
          <w:i/>
          <w:color w:val="000000"/>
          <w:sz w:val="20"/>
        </w:rPr>
        <w:t>Brady v. Wal-Mart Stores, Inc</w:t>
      </w:r>
      <w:r>
        <w:rPr>
          <w:rFonts w:ascii="Arial" w:eastAsia="Arial" w:hAnsi="Arial" w:cs="Arial"/>
          <w:color w:val="000000"/>
          <w:sz w:val="20"/>
        </w:rPr>
        <w:t xml:space="preserve">., 531 F.3d 127, 135 (2d Cir. 2008) (quoting </w:t>
      </w:r>
      <w:bookmarkStart w:id="1189" w:name="Bookmark_I576P67V28T4CD0020000400"/>
      <w:bookmarkEnd w:id="1189"/>
      <w:r>
        <w:rPr>
          <w:rFonts w:ascii="Arial" w:eastAsia="Arial" w:hAnsi="Arial" w:cs="Arial"/>
          <w:i/>
          <w:color w:val="000000"/>
          <w:sz w:val="20"/>
        </w:rPr>
        <w:t>Graves v. Finch Pruyn &amp; Co</w:t>
      </w:r>
      <w:r>
        <w:rPr>
          <w:rFonts w:ascii="Arial" w:eastAsia="Arial" w:hAnsi="Arial" w:cs="Arial"/>
          <w:color w:val="000000"/>
          <w:sz w:val="20"/>
        </w:rPr>
        <w:t xml:space="preserve">., 457 F.3d 181, 184 (2d Cir. 2006)) (internal  [*642]  quotation marks omitted), under certain circumstances, an employer is required to act proactively and engage in an interactive process to accommodate the disability of an employee even if the employee does not request accommodation, </w:t>
      </w:r>
      <w:r>
        <w:rPr>
          <w:rFonts w:ascii="Arial" w:eastAsia="Arial" w:hAnsi="Arial" w:cs="Arial"/>
          <w:i/>
          <w:color w:val="000000"/>
          <w:sz w:val="20"/>
        </w:rPr>
        <w:t>see id.; see also</w:t>
      </w:r>
      <w:r>
        <w:rPr>
          <w:rFonts w:ascii="Arial" w:eastAsia="Arial" w:hAnsi="Arial" w:cs="Arial"/>
          <w:color w:val="000000"/>
          <w:sz w:val="20"/>
        </w:rPr>
        <w:t xml:space="preserve"> 29 C.F.R. § 1630.2(o)(3) ("To determine the appropriate reasonable accommodation it may be necessary for the covered entity to initiate an informal, interactive process with  [**16] the individual with a disability in need of the accommodation."). Nevertheless, an employee may not recover based on his employer's failure to engage in an interactive process if he cannot show that a reasonable accommodation existed at the time of his dismissal. </w:t>
      </w:r>
      <w:r>
        <w:rPr>
          <w:rFonts w:ascii="Arial" w:eastAsia="Arial" w:hAnsi="Arial" w:cs="Arial"/>
          <w:i/>
          <w:color w:val="000000"/>
          <w:sz w:val="20"/>
        </w:rPr>
        <w:t xml:space="preserve">See </w:t>
      </w:r>
      <w:bookmarkStart w:id="1190" w:name="Bookmark_I576P67V28T4CD0040000400"/>
      <w:bookmarkEnd w:id="1190"/>
      <w:r>
        <w:rPr>
          <w:rFonts w:ascii="Arial" w:eastAsia="Arial" w:hAnsi="Arial" w:cs="Arial"/>
          <w:i/>
          <w:color w:val="000000"/>
          <w:sz w:val="20"/>
        </w:rPr>
        <w:t>McBride</w:t>
      </w:r>
      <w:r>
        <w:rPr>
          <w:rFonts w:ascii="Arial" w:eastAsia="Arial" w:hAnsi="Arial" w:cs="Arial"/>
          <w:color w:val="000000"/>
          <w:sz w:val="20"/>
        </w:rPr>
        <w:t>, 583 F.3d at 99-101.</w:t>
      </w:r>
    </w:p>
    <w:p w14:paraId="093D4D7B" w14:textId="77777777" w:rsidR="00D041A2" w:rsidRDefault="00000000">
      <w:pPr>
        <w:pStyle w:val="Normal10"/>
        <w:widowControl w:val="0"/>
        <w:spacing w:before="200" w:line="260" w:lineRule="atLeast"/>
        <w:jc w:val="both"/>
      </w:pPr>
      <w:bookmarkStart w:id="1191" w:name="Bookmark_para_28_4"/>
      <w:bookmarkStart w:id="1192" w:name="Bookmark_I576P67V2D6NYH0020000400"/>
      <w:bookmarkStart w:id="1193" w:name="Bookmark_LNHNREFclscc8_5"/>
      <w:bookmarkEnd w:id="1191"/>
      <w:bookmarkEnd w:id="1192"/>
      <w:bookmarkEnd w:id="1193"/>
      <w:r>
        <w:rPr>
          <w:rFonts w:ascii="Arial" w:eastAsia="Arial" w:hAnsi="Arial" w:cs="Arial"/>
          <w:color w:val="000000"/>
          <w:sz w:val="20"/>
        </w:rPr>
        <w:t xml:space="preserve">A plaintiff alleging that he was denied a reasonable accommodation bears the burdens of both production and persuasion as to the existence of some accommodation that would allow him to meet the essential eligibility requirements of the service, program, or activity at issue. </w:t>
      </w:r>
      <w:bookmarkStart w:id="1194" w:name="Bookmark_I576P67V2D6NYH0040000400"/>
      <w:bookmarkEnd w:id="1194"/>
      <w:r>
        <w:rPr>
          <w:rFonts w:ascii="Arial" w:eastAsia="Arial" w:hAnsi="Arial" w:cs="Arial"/>
          <w:i/>
          <w:color w:val="000000"/>
          <w:sz w:val="20"/>
        </w:rPr>
        <w:t xml:space="preserve">See </w:t>
      </w:r>
      <w:bookmarkStart w:id="1195" w:name="Bookmark_I576P67V2D6NYH0010000400"/>
      <w:bookmarkEnd w:id="1195"/>
      <w:r>
        <w:rPr>
          <w:rFonts w:ascii="Arial" w:eastAsia="Arial" w:hAnsi="Arial" w:cs="Arial"/>
          <w:i/>
          <w:color w:val="000000"/>
          <w:sz w:val="20"/>
        </w:rPr>
        <w:t>id</w:t>
      </w:r>
      <w:r>
        <w:rPr>
          <w:rFonts w:ascii="Arial" w:eastAsia="Arial" w:hAnsi="Arial" w:cs="Arial"/>
          <w:color w:val="000000"/>
          <w:sz w:val="20"/>
        </w:rPr>
        <w:t xml:space="preserve">. at 97. Once the plaintiff has demonstrated that there is a "plausible accommodation, the costs of which, facially, do not clearly exceed its benefits," the defendant bears the burden of proving that the requested accommodation is not reasonable. </w:t>
      </w:r>
      <w:bookmarkStart w:id="1196" w:name="Bookmark_I576P67V2D6NYH0040000400_2"/>
      <w:bookmarkStart w:id="1197" w:name="Bookmark_I576P67V2D6NYH0030000400"/>
      <w:bookmarkEnd w:id="1196"/>
      <w:bookmarkEnd w:id="1197"/>
      <w:r>
        <w:rPr>
          <w:rFonts w:ascii="Arial" w:eastAsia="Arial" w:hAnsi="Arial" w:cs="Arial"/>
          <w:i/>
          <w:color w:val="000000"/>
          <w:sz w:val="20"/>
        </w:rPr>
        <w:t>Borkowski v. Valley Cent. Sch. Dist</w:t>
      </w:r>
      <w:r>
        <w:rPr>
          <w:rFonts w:ascii="Arial" w:eastAsia="Arial" w:hAnsi="Arial" w:cs="Arial"/>
          <w:color w:val="000000"/>
          <w:sz w:val="20"/>
        </w:rPr>
        <w:t>., 63 F.3d 131, 138 (2d Cir. 1995).</w:t>
      </w:r>
    </w:p>
    <w:p w14:paraId="0FD20ECD"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Application</w:t>
      </w:r>
    </w:p>
    <w:p w14:paraId="088E7AE9" w14:textId="77777777" w:rsidR="00D041A2" w:rsidRDefault="00000000">
      <w:pPr>
        <w:pStyle w:val="Normal10"/>
        <w:widowControl w:val="0"/>
        <w:spacing w:before="200" w:line="260" w:lineRule="atLeast"/>
        <w:jc w:val="both"/>
      </w:pPr>
      <w:bookmarkStart w:id="1198" w:name="Bookmark_para_29_3"/>
      <w:bookmarkEnd w:id="1198"/>
      <w:r>
        <w:rPr>
          <w:rFonts w:ascii="Arial" w:eastAsia="Arial" w:hAnsi="Arial" w:cs="Arial"/>
          <w:color w:val="000000"/>
          <w:sz w:val="20"/>
        </w:rPr>
        <w:t xml:space="preserve">In this case, the parties agree that McElwee has satisfied the second element of his claim: Valley View is a federally funded entity of the County, and therefore is subject to the ADA and the Rehabilitation Act. </w:t>
      </w:r>
      <w:r>
        <w:rPr>
          <w:rFonts w:ascii="Arial" w:eastAsia="Arial" w:hAnsi="Arial" w:cs="Arial"/>
          <w:i/>
          <w:color w:val="000000"/>
          <w:sz w:val="20"/>
        </w:rPr>
        <w:t>See</w:t>
      </w:r>
      <w:r>
        <w:rPr>
          <w:rFonts w:ascii="Arial" w:eastAsia="Arial" w:hAnsi="Arial" w:cs="Arial"/>
          <w:color w:val="000000"/>
          <w:sz w:val="20"/>
        </w:rPr>
        <w:t xml:space="preserve"> 42 U.S.C. § 12131(1)(B) (defining "public entity" as, </w:t>
      </w:r>
      <w:r>
        <w:rPr>
          <w:rFonts w:ascii="Arial" w:eastAsia="Arial" w:hAnsi="Arial" w:cs="Arial"/>
          <w:i/>
          <w:color w:val="000000"/>
          <w:sz w:val="20"/>
        </w:rPr>
        <w:t>inter alia</w:t>
      </w:r>
      <w:r>
        <w:rPr>
          <w:rFonts w:ascii="Arial" w:eastAsia="Arial" w:hAnsi="Arial" w:cs="Arial"/>
          <w:color w:val="000000"/>
          <w:sz w:val="20"/>
        </w:rPr>
        <w:t>, "any department,  [**17] agency, special purpose district, or other instrumentality of a State or States or local government"); 29 U.S.C. § 794(a) (prohibiting discrimination by "any program or activity receiving Federal financial assistance").</w:t>
      </w:r>
    </w:p>
    <w:p w14:paraId="5D0DE51B" w14:textId="77777777" w:rsidR="00D041A2" w:rsidRDefault="00000000">
      <w:pPr>
        <w:pStyle w:val="Normal10"/>
        <w:widowControl w:val="0"/>
        <w:spacing w:before="200" w:line="260" w:lineRule="atLeast"/>
        <w:jc w:val="both"/>
      </w:pPr>
      <w:bookmarkStart w:id="1199" w:name="Bookmark_para_30_3"/>
      <w:bookmarkEnd w:id="1199"/>
      <w:r>
        <w:rPr>
          <w:rFonts w:ascii="Arial" w:eastAsia="Arial" w:hAnsi="Arial" w:cs="Arial"/>
          <w:color w:val="000000"/>
          <w:sz w:val="20"/>
        </w:rPr>
        <w:t xml:space="preserve">The parties dispute, however, whether the first and third elements are satisfied, </w:t>
      </w:r>
      <w:r>
        <w:rPr>
          <w:rFonts w:ascii="Arial" w:eastAsia="Arial" w:hAnsi="Arial" w:cs="Arial"/>
          <w:i/>
          <w:color w:val="000000"/>
          <w:sz w:val="20"/>
        </w:rPr>
        <w:t>i.e</w:t>
      </w:r>
      <w:r>
        <w:rPr>
          <w:rFonts w:ascii="Arial" w:eastAsia="Arial" w:hAnsi="Arial" w:cs="Arial"/>
          <w:color w:val="000000"/>
          <w:sz w:val="20"/>
        </w:rPr>
        <w:t>., whether McElwee is a qualified individual with a disability and whether the County discriminated against him by denying him a reasonable accommodation. We discuss these elements in turn.</w:t>
      </w:r>
    </w:p>
    <w:p w14:paraId="791B19F1"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1. </w:t>
      </w:r>
      <w:r>
        <w:rPr>
          <w:rFonts w:ascii="Arial" w:eastAsia="Arial" w:hAnsi="Arial" w:cs="Arial"/>
          <w:b/>
          <w:i/>
          <w:color w:val="000000"/>
          <w:sz w:val="20"/>
        </w:rPr>
        <w:t>Whether McElwee is a Qualified Individual with a Disability</w:t>
      </w:r>
    </w:p>
    <w:p w14:paraId="1FBF2A4A" w14:textId="77777777" w:rsidR="00D041A2" w:rsidRDefault="00000000">
      <w:pPr>
        <w:pStyle w:val="Normal10"/>
        <w:widowControl w:val="0"/>
        <w:spacing w:before="200" w:line="260" w:lineRule="atLeast"/>
        <w:jc w:val="both"/>
      </w:pPr>
      <w:bookmarkStart w:id="1200" w:name="Bookmark_para_31_3"/>
      <w:bookmarkEnd w:id="1200"/>
      <w:r>
        <w:rPr>
          <w:rFonts w:ascii="Arial" w:eastAsia="Arial" w:hAnsi="Arial" w:cs="Arial"/>
          <w:color w:val="000000"/>
          <w:sz w:val="20"/>
        </w:rPr>
        <w:t>The question whether McElwee is a qualified individual with a disability has two aspects, namely, whether he is disabled and whether he is qualified. We consider both aspects below.</w:t>
      </w:r>
    </w:p>
    <w:p w14:paraId="03C6168E"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Whether McElwee is Disabled</w:t>
      </w:r>
    </w:p>
    <w:p w14:paraId="615BE581" w14:textId="77777777" w:rsidR="00D041A2" w:rsidRDefault="00000000">
      <w:pPr>
        <w:pStyle w:val="Normal10"/>
        <w:widowControl w:val="0"/>
        <w:spacing w:before="200" w:line="260" w:lineRule="atLeast"/>
        <w:jc w:val="both"/>
      </w:pPr>
      <w:bookmarkStart w:id="1201" w:name="Bookmark_para_32_3"/>
      <w:bookmarkStart w:id="1202" w:name="Bookmark_I576P67V2D6NYJ0010000400"/>
      <w:bookmarkEnd w:id="1201"/>
      <w:bookmarkEnd w:id="1202"/>
      <w:r>
        <w:rPr>
          <w:rFonts w:ascii="Arial" w:eastAsia="Arial" w:hAnsi="Arial" w:cs="Arial"/>
          <w:color w:val="000000"/>
          <w:sz w:val="20"/>
        </w:rPr>
        <w:t xml:space="preserve">The district court found that McElwee was not substantially limited in the major life activity of interacting with others and concluded that McElwee was not disabled. </w:t>
      </w:r>
      <w:r>
        <w:rPr>
          <w:rFonts w:ascii="Arial" w:eastAsia="Arial" w:hAnsi="Arial" w:cs="Arial"/>
          <w:i/>
          <w:color w:val="000000"/>
          <w:sz w:val="20"/>
        </w:rPr>
        <w:t xml:space="preserve">See </w:t>
      </w:r>
      <w:bookmarkStart w:id="1203" w:name="Bookmark_I576P67V2D6NYH0050000400"/>
      <w:bookmarkEnd w:id="1203"/>
      <w:r>
        <w:rPr>
          <w:rFonts w:ascii="Arial" w:eastAsia="Arial" w:hAnsi="Arial" w:cs="Arial"/>
          <w:i/>
          <w:color w:val="000000"/>
          <w:sz w:val="20"/>
        </w:rPr>
        <w:t>McElwee</w:t>
      </w:r>
      <w:r>
        <w:rPr>
          <w:rFonts w:ascii="Arial" w:eastAsia="Arial" w:hAnsi="Arial" w:cs="Arial"/>
          <w:color w:val="000000"/>
          <w:sz w:val="20"/>
        </w:rPr>
        <w:t xml:space="preserve">, 2011 U.S. Dist. LEXIS 114663, at *20. On appeal, McElwee argues that the district court erred by failing to consider </w:t>
      </w:r>
      <w:bookmarkStart w:id="1204" w:name="Bookmark_LNHNREFclscc9_5"/>
      <w:bookmarkEnd w:id="1204"/>
      <w:r>
        <w:rPr>
          <w:rFonts w:ascii="Arial" w:eastAsia="Arial" w:hAnsi="Arial" w:cs="Arial"/>
          <w:color w:val="000000"/>
          <w:sz w:val="20"/>
        </w:rPr>
        <w:t>the ADA Amendments Act of 2008 ("ADAAA"), Pub. L. No. 110-325, 122 Stat. 3553 (2008), which amended the ADA to provide that the definition  [**18] of "disability" shall be construed broadly "to the maximum extent permitted by the terms of this chapter" and "[t]he term 'substantially limits' shall be interpreted consistently with the findings and purposes of the [ADAAA]." 42 U.S.C. § 12102(4)(A), (B).</w:t>
      </w:r>
      <w:r>
        <w:rPr>
          <w:rFonts w:ascii="Arial" w:eastAsia="Arial" w:hAnsi="Arial" w:cs="Arial"/>
          <w:vertAlign w:val="superscript"/>
        </w:rPr>
        <w:footnoteReference w:customMarkFollows="1" w:id="59"/>
        <w:t>5</w:t>
      </w:r>
      <w:r>
        <w:rPr>
          <w:rFonts w:ascii="Arial" w:eastAsia="Arial" w:hAnsi="Arial" w:cs="Arial"/>
          <w:color w:val="000000"/>
          <w:sz w:val="20"/>
        </w:rPr>
        <w:t xml:space="preserve"> Similarly, the </w:t>
      </w:r>
      <w:r>
        <w:rPr>
          <w:rFonts w:ascii="Arial" w:eastAsia="Arial" w:hAnsi="Arial" w:cs="Arial"/>
          <w:i/>
          <w:color w:val="000000"/>
          <w:sz w:val="20"/>
        </w:rPr>
        <w:t>amici curiae</w:t>
      </w:r>
      <w:r>
        <w:rPr>
          <w:rFonts w:ascii="Arial" w:eastAsia="Arial" w:hAnsi="Arial" w:cs="Arial"/>
          <w:color w:val="000000"/>
          <w:sz w:val="20"/>
        </w:rPr>
        <w:t xml:space="preserve"> argue that, in light of the  [*643]  ADAAA, the district court erred in concluding that McElwee is not disabled.</w:t>
      </w:r>
    </w:p>
    <w:p w14:paraId="1D806E3E" w14:textId="77777777" w:rsidR="00D041A2" w:rsidRDefault="00000000">
      <w:pPr>
        <w:pStyle w:val="Normal10"/>
        <w:widowControl w:val="0"/>
        <w:spacing w:before="200" w:line="260" w:lineRule="atLeast"/>
        <w:jc w:val="both"/>
      </w:pPr>
      <w:bookmarkStart w:id="1206" w:name="Bookmark_para_33_3"/>
      <w:bookmarkEnd w:id="1206"/>
      <w:r>
        <w:rPr>
          <w:rFonts w:ascii="Arial" w:eastAsia="Arial" w:hAnsi="Arial" w:cs="Arial"/>
          <w:color w:val="000000"/>
          <w:sz w:val="20"/>
        </w:rPr>
        <w:t xml:space="preserve">Both McElwee and </w:t>
      </w:r>
      <w:r>
        <w:rPr>
          <w:rFonts w:ascii="Arial" w:eastAsia="Arial" w:hAnsi="Arial" w:cs="Arial"/>
          <w:i/>
          <w:color w:val="000000"/>
          <w:sz w:val="20"/>
        </w:rPr>
        <w:t>amici</w:t>
      </w:r>
      <w:r>
        <w:rPr>
          <w:rFonts w:ascii="Arial" w:eastAsia="Arial" w:hAnsi="Arial" w:cs="Arial"/>
          <w:color w:val="000000"/>
          <w:sz w:val="20"/>
        </w:rPr>
        <w:t xml:space="preserve"> raise fair concerns as to whether the district court erred in not addressing whether McElwee was substantially limited in the major life activities of working, caring for himself, communicating, thinking, and brain function. </w:t>
      </w:r>
      <w:bookmarkStart w:id="1207" w:name="Bookmark_LNHNREFclscc10_5"/>
      <w:bookmarkEnd w:id="1207"/>
      <w:r>
        <w:rPr>
          <w:rFonts w:ascii="Arial" w:eastAsia="Arial" w:hAnsi="Arial" w:cs="Arial"/>
          <w:i/>
          <w:color w:val="000000"/>
          <w:sz w:val="20"/>
        </w:rPr>
        <w:t>See</w:t>
      </w:r>
      <w:r>
        <w:rPr>
          <w:rFonts w:ascii="Arial" w:eastAsia="Arial" w:hAnsi="Arial" w:cs="Arial"/>
          <w:color w:val="000000"/>
          <w:sz w:val="20"/>
        </w:rPr>
        <w:t xml:space="preserve"> 42 U.S.C. § 12102(2) (providing that "major life activities include, but are not limited to" caring for oneself, learning, concentrating, thinking, communicating, working, and the operation of major bodily functions such as brain function); 29 C.F.R. § 1630.2(j)(1)(i) (instructing courts to construe the term "substantially limits" broadly); </w:t>
      </w:r>
      <w:r>
        <w:rPr>
          <w:rFonts w:ascii="Arial" w:eastAsia="Arial" w:hAnsi="Arial" w:cs="Arial"/>
          <w:i/>
          <w:color w:val="000000"/>
          <w:sz w:val="20"/>
        </w:rPr>
        <w:t>id</w:t>
      </w:r>
      <w:r>
        <w:rPr>
          <w:rFonts w:ascii="Arial" w:eastAsia="Arial" w:hAnsi="Arial" w:cs="Arial"/>
          <w:color w:val="000000"/>
          <w:sz w:val="20"/>
        </w:rPr>
        <w:t xml:space="preserve">. § 1630.2(j)(3)(iii)  [**19] (specifically identifying autism as an impairment that substantially limits brain function in virtually all cases). Nonetheless, we need not decide whether the district court erred in finding McElwee was not disabled because even assuming </w:t>
      </w:r>
      <w:r>
        <w:rPr>
          <w:rFonts w:ascii="Arial" w:eastAsia="Arial" w:hAnsi="Arial" w:cs="Arial"/>
          <w:i/>
          <w:color w:val="000000"/>
          <w:sz w:val="20"/>
        </w:rPr>
        <w:t>arguendo</w:t>
      </w:r>
      <w:r>
        <w:rPr>
          <w:rFonts w:ascii="Arial" w:eastAsia="Arial" w:hAnsi="Arial" w:cs="Arial"/>
          <w:color w:val="000000"/>
          <w:sz w:val="20"/>
        </w:rPr>
        <w:t xml:space="preserve"> that a reasonable jury could find McElwee disabled, the County is entitled to summary judgment for the reasons set forth below.</w:t>
      </w:r>
    </w:p>
    <w:p w14:paraId="6311F4F9"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Whether McElwee is Qualified</w:t>
      </w:r>
    </w:p>
    <w:p w14:paraId="42EFD3FE" w14:textId="77777777" w:rsidR="00D041A2" w:rsidRDefault="00000000">
      <w:pPr>
        <w:pStyle w:val="Normal10"/>
        <w:widowControl w:val="0"/>
        <w:spacing w:before="200" w:line="260" w:lineRule="atLeast"/>
        <w:jc w:val="both"/>
      </w:pPr>
      <w:bookmarkStart w:id="1208" w:name="Bookmark_para_34_3"/>
      <w:bookmarkStart w:id="1209" w:name="Bookmark_I576P67V2D6NYJ0030000400"/>
      <w:bookmarkEnd w:id="1208"/>
      <w:bookmarkEnd w:id="1209"/>
      <w:r>
        <w:rPr>
          <w:rFonts w:ascii="Arial" w:eastAsia="Arial" w:hAnsi="Arial" w:cs="Arial"/>
          <w:color w:val="000000"/>
          <w:sz w:val="20"/>
        </w:rPr>
        <w:t xml:space="preserve">Although the parties disputed before the district court whether McElwee is a qualified individual, the court did not address this issue. </w:t>
      </w:r>
      <w:r>
        <w:rPr>
          <w:rFonts w:ascii="Arial" w:eastAsia="Arial" w:hAnsi="Arial" w:cs="Arial"/>
          <w:i/>
          <w:color w:val="000000"/>
          <w:sz w:val="20"/>
        </w:rPr>
        <w:t xml:space="preserve">See </w:t>
      </w:r>
      <w:bookmarkStart w:id="1210" w:name="Bookmark_I576P67V2D6NYJ0020000400"/>
      <w:bookmarkEnd w:id="1210"/>
      <w:r>
        <w:rPr>
          <w:rFonts w:ascii="Arial" w:eastAsia="Arial" w:hAnsi="Arial" w:cs="Arial"/>
          <w:i/>
          <w:color w:val="000000"/>
          <w:sz w:val="20"/>
        </w:rPr>
        <w:t>McElwee</w:t>
      </w:r>
      <w:r>
        <w:rPr>
          <w:rFonts w:ascii="Arial" w:eastAsia="Arial" w:hAnsi="Arial" w:cs="Arial"/>
          <w:color w:val="000000"/>
          <w:sz w:val="20"/>
        </w:rPr>
        <w:t>, 2011 U.S. Dist. LEXIS 114663, at *1, *12.</w:t>
      </w:r>
    </w:p>
    <w:p w14:paraId="05A48175" w14:textId="77777777" w:rsidR="00D041A2" w:rsidRDefault="00000000">
      <w:pPr>
        <w:pStyle w:val="Normal10"/>
        <w:widowControl w:val="0"/>
        <w:spacing w:before="200" w:line="260" w:lineRule="atLeast"/>
        <w:jc w:val="both"/>
      </w:pPr>
      <w:bookmarkStart w:id="1211" w:name="Bookmark_para_35_3"/>
      <w:bookmarkEnd w:id="1211"/>
      <w:r>
        <w:rPr>
          <w:rFonts w:ascii="Arial" w:eastAsia="Arial" w:hAnsi="Arial" w:cs="Arial"/>
          <w:color w:val="000000"/>
          <w:sz w:val="20"/>
        </w:rPr>
        <w:t>McElwee asserts that he is qualified to participate in Valley View's volunteer program because he adequately performed his volunteer duties for years. The County, on the other hand, argues that McElwee's "longstanding course of inappropriate conduct with numerous female employees, nursing students, and visitors to the facility" disqualified him from serving as a volunteer.</w:t>
      </w:r>
    </w:p>
    <w:p w14:paraId="1307123D" w14:textId="77777777" w:rsidR="00D041A2" w:rsidRDefault="00000000">
      <w:pPr>
        <w:pStyle w:val="Normal10"/>
        <w:widowControl w:val="0"/>
        <w:spacing w:before="200" w:line="260" w:lineRule="atLeast"/>
        <w:jc w:val="both"/>
      </w:pPr>
      <w:bookmarkStart w:id="1212" w:name="Bookmark_para_36_3"/>
      <w:bookmarkStart w:id="1213" w:name="Bookmark_I576P67V2D6NYJ0050000400"/>
      <w:bookmarkEnd w:id="1212"/>
      <w:bookmarkEnd w:id="1213"/>
      <w:r>
        <w:rPr>
          <w:rFonts w:ascii="Arial" w:eastAsia="Arial" w:hAnsi="Arial" w:cs="Arial"/>
          <w:color w:val="000000"/>
          <w:sz w:val="20"/>
        </w:rPr>
        <w:t xml:space="preserve">As noted, </w:t>
      </w:r>
      <w:bookmarkStart w:id="1214" w:name="Bookmark_LNHNREFclscc11_4"/>
      <w:bookmarkEnd w:id="1214"/>
      <w:r>
        <w:rPr>
          <w:rFonts w:ascii="Arial" w:eastAsia="Arial" w:hAnsi="Arial" w:cs="Arial"/>
          <w:color w:val="000000"/>
          <w:sz w:val="20"/>
        </w:rPr>
        <w:t xml:space="preserve">an individual is qualified to participate in a program if he meets the essential eligibility requirements for participation in the program, with or without reasonable accommodations. </w:t>
      </w:r>
      <w:bookmarkStart w:id="1215" w:name="Bookmark_I576P67V2SF7PW0020000400"/>
      <w:bookmarkEnd w:id="1215"/>
      <w:r>
        <w:rPr>
          <w:rFonts w:ascii="Arial" w:eastAsia="Arial" w:hAnsi="Arial" w:cs="Arial"/>
          <w:i/>
          <w:color w:val="000000"/>
          <w:sz w:val="20"/>
        </w:rPr>
        <w:t>See</w:t>
      </w:r>
      <w:r>
        <w:rPr>
          <w:rFonts w:ascii="Arial" w:eastAsia="Arial" w:hAnsi="Arial" w:cs="Arial"/>
          <w:color w:val="000000"/>
          <w:sz w:val="20"/>
        </w:rPr>
        <w:t xml:space="preserve"> 42 U.S.C. § 12131(2). To determine  [**20] whether an individual is qualified, courts look to a program's "formal legal eligibility requirements." </w:t>
      </w:r>
      <w:bookmarkStart w:id="1216" w:name="Bookmark_I576P67V2D6NYJ0040000400"/>
      <w:bookmarkEnd w:id="1216"/>
      <w:r>
        <w:rPr>
          <w:rFonts w:ascii="Arial" w:eastAsia="Arial" w:hAnsi="Arial" w:cs="Arial"/>
          <w:i/>
          <w:color w:val="000000"/>
          <w:sz w:val="20"/>
        </w:rPr>
        <w:t>Henrietta D</w:t>
      </w:r>
      <w:r>
        <w:rPr>
          <w:rFonts w:ascii="Arial" w:eastAsia="Arial" w:hAnsi="Arial" w:cs="Arial"/>
          <w:color w:val="000000"/>
          <w:sz w:val="20"/>
        </w:rPr>
        <w:t xml:space="preserve">., 331 F.3d at 277 (citing 42 U.S.C. §§ 12131-12132). </w:t>
      </w:r>
      <w:bookmarkStart w:id="1217" w:name="Bookmark_I576P67V2SF7PW0020000400_2"/>
      <w:bookmarkEnd w:id="1217"/>
      <w:r>
        <w:rPr>
          <w:rFonts w:ascii="Arial" w:eastAsia="Arial" w:hAnsi="Arial" w:cs="Arial"/>
          <w:color w:val="000000"/>
          <w:sz w:val="20"/>
        </w:rPr>
        <w:t xml:space="preserve">An eligibility requirement is not considered "essential" if a "reasonable accommodation would enable an individual to qualify for the benefit." </w:t>
      </w:r>
      <w:bookmarkStart w:id="1218" w:name="Bookmark_I576P67V2SF7PW0010000400"/>
      <w:bookmarkEnd w:id="1218"/>
      <w:r>
        <w:rPr>
          <w:rFonts w:ascii="Arial" w:eastAsia="Arial" w:hAnsi="Arial" w:cs="Arial"/>
          <w:i/>
          <w:color w:val="000000"/>
          <w:sz w:val="20"/>
        </w:rPr>
        <w:t>Castellano v. City of N.Y</w:t>
      </w:r>
      <w:r>
        <w:rPr>
          <w:rFonts w:ascii="Arial" w:eastAsia="Arial" w:hAnsi="Arial" w:cs="Arial"/>
          <w:color w:val="000000"/>
          <w:sz w:val="20"/>
        </w:rPr>
        <w:t xml:space="preserve">., 946 F. Supp. 249, 253 (S.D.N.Y. 1996), </w:t>
      </w:r>
      <w:r>
        <w:rPr>
          <w:rFonts w:ascii="Arial" w:eastAsia="Arial" w:hAnsi="Arial" w:cs="Arial"/>
          <w:i/>
          <w:color w:val="000000"/>
          <w:sz w:val="20"/>
        </w:rPr>
        <w:t>aff'd on other grounds</w:t>
      </w:r>
      <w:r>
        <w:rPr>
          <w:rFonts w:ascii="Arial" w:eastAsia="Arial" w:hAnsi="Arial" w:cs="Arial"/>
          <w:color w:val="000000"/>
          <w:sz w:val="20"/>
        </w:rPr>
        <w:t>, 142 F.3d 58 (2d Cir. 1998).</w:t>
      </w:r>
    </w:p>
    <w:p w14:paraId="1153727F" w14:textId="77777777" w:rsidR="00D041A2" w:rsidRDefault="00000000">
      <w:pPr>
        <w:pStyle w:val="Normal10"/>
        <w:widowControl w:val="0"/>
        <w:spacing w:before="200" w:line="260" w:lineRule="atLeast"/>
        <w:jc w:val="both"/>
      </w:pPr>
      <w:bookmarkStart w:id="1219" w:name="Bookmark_para_37_3"/>
      <w:bookmarkEnd w:id="1219"/>
      <w:r>
        <w:rPr>
          <w:rFonts w:ascii="Arial" w:eastAsia="Arial" w:hAnsi="Arial" w:cs="Arial"/>
          <w:color w:val="000000"/>
          <w:sz w:val="20"/>
        </w:rPr>
        <w:t xml:space="preserve">The "benefit" here at issue is the ability to participate in Valley View's volunteer program. To be qualified for such participation, a person must have been not only mentally and physically able to perform the tasks assigned to him, but also emotionally able to conduct himself in an appropriate manner when dealing with residents, supervisors, and other staff members. </w:t>
      </w:r>
      <w:bookmarkStart w:id="1220" w:name="Bookmark_I576P67V2SF7PW0040000400"/>
      <w:bookmarkEnd w:id="1220"/>
      <w:r>
        <w:rPr>
          <w:rFonts w:ascii="Arial" w:eastAsia="Arial" w:hAnsi="Arial" w:cs="Arial"/>
          <w:color w:val="000000"/>
          <w:sz w:val="20"/>
        </w:rPr>
        <w:t xml:space="preserve">There is no dispute that McElwee was always qualified to perform the former functions. But by at least 2009, his sexual harassment of female staff members appears to have rendered him unqualified as to the latter. </w:t>
      </w:r>
      <w:r>
        <w:rPr>
          <w:rFonts w:ascii="Arial" w:eastAsia="Arial" w:hAnsi="Arial" w:cs="Arial"/>
          <w:i/>
          <w:color w:val="000000"/>
          <w:sz w:val="20"/>
        </w:rPr>
        <w:t xml:space="preserve">See, e.g., </w:t>
      </w:r>
      <w:bookmarkStart w:id="1221" w:name="Bookmark_I576P67V2SF7PW0030000400"/>
      <w:bookmarkEnd w:id="1221"/>
      <w:r>
        <w:rPr>
          <w:rFonts w:ascii="Arial" w:eastAsia="Arial" w:hAnsi="Arial" w:cs="Arial"/>
          <w:i/>
          <w:color w:val="000000"/>
          <w:sz w:val="20"/>
        </w:rPr>
        <w:t>Higgins v. Md. Dep't of Agric</w:t>
      </w:r>
      <w:r>
        <w:rPr>
          <w:rFonts w:ascii="Arial" w:eastAsia="Arial" w:hAnsi="Arial" w:cs="Arial"/>
          <w:color w:val="000000"/>
          <w:sz w:val="20"/>
        </w:rPr>
        <w:t>., No. L-11-0081, 2012 U.S. Dist. LEXIS 25303, at *18 (D. Md. Feb. 28, 2012) (finding plaintiff's inappropriate workplace behavior rendered him  [**21] unqualified because "[t]he 'essential functions' of [plaintiff's] position included courteous and professional interactions with the public, fellow staff, subordinates, and supervisors").</w:t>
      </w:r>
    </w:p>
    <w:p w14:paraId="495C3ECA" w14:textId="77777777" w:rsidR="00D041A2" w:rsidRDefault="00000000">
      <w:pPr>
        <w:pStyle w:val="Normal10"/>
        <w:widowControl w:val="0"/>
        <w:spacing w:before="200" w:line="260" w:lineRule="atLeast"/>
        <w:jc w:val="both"/>
      </w:pPr>
      <w:bookmarkStart w:id="1222" w:name="Bookmark_para_38_3"/>
      <w:bookmarkStart w:id="1223" w:name="Bookmark_I576P67V2SF7PX0010000400"/>
      <w:bookmarkEnd w:id="1222"/>
      <w:bookmarkEnd w:id="1223"/>
      <w:r>
        <w:rPr>
          <w:rFonts w:ascii="Arial" w:eastAsia="Arial" w:hAnsi="Arial" w:cs="Arial"/>
          <w:color w:val="000000"/>
          <w:sz w:val="20"/>
        </w:rPr>
        <w:t xml:space="preserve">The extent to which McElwee's aberrant behavior, which he attributed to his disability, disqualified him from participating in Valley View's volunteer program is perhaps more easily addressed by asking  [*644]  whether a reasonable accommodation for his disability existed. </w:t>
      </w:r>
      <w:r>
        <w:rPr>
          <w:rFonts w:ascii="Arial" w:eastAsia="Arial" w:hAnsi="Arial" w:cs="Arial"/>
          <w:i/>
          <w:color w:val="000000"/>
          <w:sz w:val="20"/>
        </w:rPr>
        <w:t xml:space="preserve">See </w:t>
      </w:r>
      <w:bookmarkStart w:id="1224" w:name="Bookmark_I576P67V2SF7PW0050000400"/>
      <w:bookmarkEnd w:id="1224"/>
      <w:r>
        <w:rPr>
          <w:rFonts w:ascii="Arial" w:eastAsia="Arial" w:hAnsi="Arial" w:cs="Arial"/>
          <w:i/>
          <w:color w:val="000000"/>
          <w:sz w:val="20"/>
        </w:rPr>
        <w:t>Sista v. CDC Ixis N. Am. Inc</w:t>
      </w:r>
      <w:r>
        <w:rPr>
          <w:rFonts w:ascii="Arial" w:eastAsia="Arial" w:hAnsi="Arial" w:cs="Arial"/>
          <w:color w:val="000000"/>
          <w:sz w:val="20"/>
        </w:rPr>
        <w:t xml:space="preserve">., 445 F.3d 161, 171 (2d Cir. 2006) (concluding that plaintiff's misconduct is "distinct . . . from the issue of minimal qualification to perform a job" (quoting </w:t>
      </w:r>
      <w:bookmarkStart w:id="1225" w:name="Bookmark_I576P67V2SF7PX0020000400"/>
      <w:bookmarkEnd w:id="1225"/>
      <w:r>
        <w:rPr>
          <w:rFonts w:ascii="Arial" w:eastAsia="Arial" w:hAnsi="Arial" w:cs="Arial"/>
          <w:i/>
          <w:color w:val="000000"/>
          <w:sz w:val="20"/>
        </w:rPr>
        <w:t>Owens v. N.Y.C. Hous. Auth</w:t>
      </w:r>
      <w:r>
        <w:rPr>
          <w:rFonts w:ascii="Arial" w:eastAsia="Arial" w:hAnsi="Arial" w:cs="Arial"/>
          <w:color w:val="000000"/>
          <w:sz w:val="20"/>
        </w:rPr>
        <w:t>., 934 F.2d 405, 409 (2d Cir. 1991)) (internal quotation marks omitted)). We address that issue below.</w:t>
      </w:r>
    </w:p>
    <w:p w14:paraId="72E19E40" w14:textId="77777777" w:rsidR="00D041A2" w:rsidRDefault="00000000">
      <w:pPr>
        <w:pStyle w:val="Normal10"/>
        <w:widowControl w:val="0"/>
        <w:spacing w:before="240" w:line="260" w:lineRule="atLeast"/>
      </w:pPr>
      <w:r>
        <w:br/>
      </w:r>
      <w:r>
        <w:rPr>
          <w:rFonts w:ascii="Arial" w:eastAsia="Arial" w:hAnsi="Arial" w:cs="Arial"/>
          <w:b/>
          <w:color w:val="000000"/>
          <w:sz w:val="20"/>
        </w:rPr>
        <w:t xml:space="preserve">2. </w:t>
      </w:r>
      <w:r>
        <w:rPr>
          <w:rFonts w:ascii="Arial" w:eastAsia="Arial" w:hAnsi="Arial" w:cs="Arial"/>
          <w:b/>
          <w:i/>
          <w:color w:val="000000"/>
          <w:sz w:val="20"/>
        </w:rPr>
        <w:t>Whether the County Discriminated Against McElwee</w:t>
      </w:r>
    </w:p>
    <w:p w14:paraId="5480F968" w14:textId="77777777" w:rsidR="00D041A2" w:rsidRDefault="00000000">
      <w:pPr>
        <w:pStyle w:val="Normal10"/>
        <w:widowControl w:val="0"/>
        <w:spacing w:before="200" w:line="260" w:lineRule="atLeast"/>
        <w:jc w:val="both"/>
      </w:pPr>
      <w:bookmarkStart w:id="1226" w:name="Bookmark_para_39_3"/>
      <w:bookmarkEnd w:id="1226"/>
      <w:r>
        <w:rPr>
          <w:rFonts w:ascii="Arial" w:eastAsia="Arial" w:hAnsi="Arial" w:cs="Arial"/>
          <w:color w:val="000000"/>
          <w:sz w:val="20"/>
        </w:rPr>
        <w:t>McElwee alleges that his dismissal from Valley View's volunteer program was unlawful discrimination because he was not provided a reasonable accommodation for his disability. In particular, he claims that Darwin should have (1) worked with him and his therapist to help him behave more appropriately in the workplace; and (2) worked with the Valley View employees who complained  [**22] about him to educate them about McElwee's disability so that they would be more tolerant of his behavior.</w:t>
      </w:r>
    </w:p>
    <w:p w14:paraId="72ECE3DE" w14:textId="77777777" w:rsidR="00D041A2" w:rsidRDefault="00000000">
      <w:pPr>
        <w:pStyle w:val="Normal10"/>
        <w:widowControl w:val="0"/>
        <w:spacing w:before="200" w:line="260" w:lineRule="atLeast"/>
        <w:jc w:val="both"/>
      </w:pPr>
      <w:bookmarkStart w:id="1227" w:name="Bookmark_para_40_3"/>
      <w:bookmarkEnd w:id="1227"/>
      <w:r>
        <w:rPr>
          <w:rFonts w:ascii="Arial" w:eastAsia="Arial" w:hAnsi="Arial" w:cs="Arial"/>
          <w:color w:val="000000"/>
          <w:sz w:val="20"/>
        </w:rPr>
        <w:t xml:space="preserve">As an initial matter, McElwee's claim is as much a request to excuse his past misconduct as it is a request for future accommodation. He does not dispute that he followed and stared at female employees or that his conduct was reasonably perceived by others as inappropriate. </w:t>
      </w:r>
      <w:bookmarkStart w:id="1228" w:name="Bookmark_I576P67V2SF7PX0050000400"/>
      <w:bookmarkEnd w:id="1228"/>
      <w:r>
        <w:rPr>
          <w:rFonts w:ascii="Arial" w:eastAsia="Arial" w:hAnsi="Arial" w:cs="Arial"/>
          <w:color w:val="000000"/>
          <w:sz w:val="20"/>
        </w:rPr>
        <w:t xml:space="preserve">It is also undisputed that when Darwin asked him about this behavior, he engaged in perseveration and made disturbing statements and gestures. </w:t>
      </w:r>
      <w:bookmarkStart w:id="1229" w:name="Bookmark_I576P67V2D6NYK0020000400"/>
      <w:bookmarkEnd w:id="1229"/>
      <w:r>
        <w:rPr>
          <w:rFonts w:ascii="Arial" w:eastAsia="Arial" w:hAnsi="Arial" w:cs="Arial"/>
          <w:color w:val="000000"/>
          <w:sz w:val="20"/>
        </w:rPr>
        <w:t xml:space="preserve">This inappropriate behavior is indisputably a legitimate non-discriminatory reason for dismissing McElwee from the volunteer program, even if the behavior resulted from his disability. </w:t>
      </w:r>
      <w:r>
        <w:rPr>
          <w:rFonts w:ascii="Arial" w:eastAsia="Arial" w:hAnsi="Arial" w:cs="Arial"/>
          <w:i/>
          <w:color w:val="000000"/>
          <w:sz w:val="20"/>
        </w:rPr>
        <w:t xml:space="preserve">See </w:t>
      </w:r>
      <w:bookmarkStart w:id="1230" w:name="Bookmark_I576P67V2SF7PX0040000400"/>
      <w:bookmarkEnd w:id="1230"/>
      <w:r>
        <w:rPr>
          <w:rFonts w:ascii="Arial" w:eastAsia="Arial" w:hAnsi="Arial" w:cs="Arial"/>
          <w:i/>
          <w:color w:val="000000"/>
          <w:sz w:val="20"/>
        </w:rPr>
        <w:t>Canales-Jacobs v. N.Y.S. Office of Ct. Admin</w:t>
      </w:r>
      <w:r>
        <w:rPr>
          <w:rFonts w:ascii="Arial" w:eastAsia="Arial" w:hAnsi="Arial" w:cs="Arial"/>
          <w:color w:val="000000"/>
          <w:sz w:val="20"/>
        </w:rPr>
        <w:t xml:space="preserve">., 640 F. Supp. 2d 482, 500 (S.D.N.Y. 2009); U.S. Equal Emp't Opportunity Comm'n, </w:t>
      </w:r>
      <w:r>
        <w:rPr>
          <w:rFonts w:ascii="Arial" w:eastAsia="Arial" w:hAnsi="Arial" w:cs="Arial"/>
          <w:i/>
          <w:color w:val="000000"/>
          <w:sz w:val="20"/>
        </w:rPr>
        <w:t>Enforcement Guidance: Reasonable Accommodation and Undue Hardship under the Americans with Disabilities Act</w:t>
      </w:r>
      <w:r>
        <w:rPr>
          <w:rFonts w:ascii="Arial" w:eastAsia="Arial" w:hAnsi="Arial" w:cs="Arial"/>
          <w:color w:val="000000"/>
          <w:sz w:val="20"/>
        </w:rPr>
        <w:t>, question 36 (2002).</w:t>
      </w:r>
      <w:bookmarkStart w:id="1231" w:name="Bookmark_LNHNREFclscc12_4"/>
      <w:bookmarkEnd w:id="1231"/>
      <w:r>
        <w:rPr>
          <w:rFonts w:ascii="Arial" w:eastAsia="Arial" w:hAnsi="Arial" w:cs="Arial"/>
          <w:color w:val="000000"/>
          <w:sz w:val="20"/>
        </w:rPr>
        <w:t xml:space="preserve"> </w:t>
      </w:r>
      <w:bookmarkStart w:id="1232" w:name="Bookmark_I576P67V2D6NYK0020000400_2"/>
      <w:bookmarkEnd w:id="1232"/>
      <w:r>
        <w:rPr>
          <w:rFonts w:ascii="Arial" w:eastAsia="Arial" w:hAnsi="Arial" w:cs="Arial"/>
          <w:color w:val="000000"/>
          <w:sz w:val="20"/>
        </w:rPr>
        <w:t xml:space="preserve">"The ADA mandates reasonable accommodation of people with disabilities in order to put them on an even playing field with the non-disabled; it does not authorize a preference for disabled people generally." </w:t>
      </w:r>
      <w:bookmarkStart w:id="1233" w:name="Bookmark_I576P67V2D6NYK0010000400"/>
      <w:bookmarkEnd w:id="1233"/>
      <w:r>
        <w:rPr>
          <w:rFonts w:ascii="Arial" w:eastAsia="Arial" w:hAnsi="Arial" w:cs="Arial"/>
          <w:i/>
          <w:color w:val="000000"/>
          <w:sz w:val="20"/>
        </w:rPr>
        <w:t>Felix v. N.Y.C. Transit Auth</w:t>
      </w:r>
      <w:r>
        <w:rPr>
          <w:rFonts w:ascii="Arial" w:eastAsia="Arial" w:hAnsi="Arial" w:cs="Arial"/>
          <w:color w:val="000000"/>
          <w:sz w:val="20"/>
        </w:rPr>
        <w:t>., 324 F.3d 102, 107 (2d Cir. 2003).</w:t>
      </w:r>
    </w:p>
    <w:p w14:paraId="04EEBABB" w14:textId="77777777" w:rsidR="00D041A2" w:rsidRDefault="00000000">
      <w:pPr>
        <w:pStyle w:val="Normal10"/>
        <w:widowControl w:val="0"/>
        <w:spacing w:before="200" w:line="260" w:lineRule="atLeast"/>
        <w:jc w:val="both"/>
      </w:pPr>
      <w:bookmarkStart w:id="1234" w:name="Bookmark_para_41_2"/>
      <w:bookmarkStart w:id="1235" w:name="Bookmark_I576P67V2D6NYK0040000400"/>
      <w:bookmarkEnd w:id="1234"/>
      <w:bookmarkEnd w:id="1235"/>
      <w:r>
        <w:rPr>
          <w:rFonts w:ascii="Arial" w:eastAsia="Arial" w:hAnsi="Arial" w:cs="Arial"/>
          <w:color w:val="000000"/>
          <w:sz w:val="20"/>
        </w:rPr>
        <w:t xml:space="preserve">Further,  [**23] even if, as McElwee argues, Darwin should have known he was disabled and proactively engaged in an interactive process to assess whether his disability could be reasonably accommodated, </w:t>
      </w:r>
      <w:r>
        <w:rPr>
          <w:rFonts w:ascii="Arial" w:eastAsia="Arial" w:hAnsi="Arial" w:cs="Arial"/>
          <w:i/>
          <w:color w:val="000000"/>
          <w:sz w:val="20"/>
        </w:rPr>
        <w:t xml:space="preserve">see </w:t>
      </w:r>
      <w:bookmarkStart w:id="1236" w:name="Bookmark_I576P67V2D6NYK0030000400"/>
      <w:bookmarkEnd w:id="1236"/>
      <w:r>
        <w:rPr>
          <w:rFonts w:ascii="Arial" w:eastAsia="Arial" w:hAnsi="Arial" w:cs="Arial"/>
          <w:i/>
          <w:color w:val="000000"/>
          <w:sz w:val="20"/>
        </w:rPr>
        <w:t>Brady</w:t>
      </w:r>
      <w:r>
        <w:rPr>
          <w:rFonts w:ascii="Arial" w:eastAsia="Arial" w:hAnsi="Arial" w:cs="Arial"/>
          <w:color w:val="000000"/>
          <w:sz w:val="20"/>
        </w:rPr>
        <w:t xml:space="preserve">, 531 F.3d at 135-36, he has not met his burden of showing that the proposed accommodations are plausible, </w:t>
      </w:r>
      <w:r>
        <w:rPr>
          <w:rFonts w:ascii="Arial" w:eastAsia="Arial" w:hAnsi="Arial" w:cs="Arial"/>
          <w:i/>
          <w:color w:val="000000"/>
          <w:sz w:val="20"/>
        </w:rPr>
        <w:t xml:space="preserve">see </w:t>
      </w:r>
      <w:bookmarkStart w:id="1237" w:name="Bookmark_I576P67V2D6NYK0050000400"/>
      <w:bookmarkEnd w:id="1237"/>
      <w:r>
        <w:rPr>
          <w:rFonts w:ascii="Arial" w:eastAsia="Arial" w:hAnsi="Arial" w:cs="Arial"/>
          <w:i/>
          <w:color w:val="000000"/>
          <w:sz w:val="20"/>
        </w:rPr>
        <w:t>McBride</w:t>
      </w:r>
      <w:r>
        <w:rPr>
          <w:rFonts w:ascii="Arial" w:eastAsia="Arial" w:hAnsi="Arial" w:cs="Arial"/>
          <w:color w:val="000000"/>
          <w:sz w:val="20"/>
        </w:rPr>
        <w:t xml:space="preserve">, 583 F.3d at 99-101; </w:t>
      </w:r>
      <w:bookmarkStart w:id="1238" w:name="Bookmark_I576P67V28T4CF0020000400"/>
      <w:bookmarkEnd w:id="1238"/>
      <w:r>
        <w:rPr>
          <w:rFonts w:ascii="Arial" w:eastAsia="Arial" w:hAnsi="Arial" w:cs="Arial"/>
          <w:i/>
          <w:color w:val="000000"/>
          <w:sz w:val="20"/>
        </w:rPr>
        <w:t>Borkowski</w:t>
      </w:r>
      <w:r>
        <w:rPr>
          <w:rFonts w:ascii="Arial" w:eastAsia="Arial" w:hAnsi="Arial" w:cs="Arial"/>
          <w:color w:val="000000"/>
          <w:sz w:val="20"/>
        </w:rPr>
        <w:t>, 63 F.3d at 138. On the contrary, as discussed below, both of the accommodations McElwee now claims he was denied are unreasonable on their face, as a matter of law.</w:t>
      </w:r>
    </w:p>
    <w:p w14:paraId="557E4DCE" w14:textId="77777777" w:rsidR="00D041A2" w:rsidRDefault="00000000">
      <w:pPr>
        <w:pStyle w:val="Normal10"/>
        <w:widowControl w:val="0"/>
        <w:spacing w:before="200" w:line="260" w:lineRule="atLeast"/>
        <w:jc w:val="both"/>
      </w:pPr>
      <w:bookmarkStart w:id="1239" w:name="Bookmark_para_42_2"/>
      <w:bookmarkStart w:id="1240" w:name="Bookmark_I576P67V28T4CF0050000400"/>
      <w:bookmarkEnd w:id="1239"/>
      <w:bookmarkEnd w:id="1240"/>
      <w:r>
        <w:rPr>
          <w:rFonts w:ascii="Arial" w:eastAsia="Arial" w:hAnsi="Arial" w:cs="Arial"/>
          <w:color w:val="000000"/>
          <w:sz w:val="20"/>
        </w:rPr>
        <w:t>The first accommodation McElwee proposes is that Valley View should have spoken to his therapist or "encourage[d] him to obtain particularized therapy to help him behave more appropriately in the workplace and . . . better interact with colleagues." Nothing in the record before us, however, indicates that further therapy would have helped McElwee to refrain from his inappropriate conduct, either immediately or at any time in the near future.</w:t>
      </w:r>
      <w:r>
        <w:rPr>
          <w:rFonts w:ascii="Arial" w:eastAsia="Arial" w:hAnsi="Arial" w:cs="Arial"/>
          <w:vertAlign w:val="superscript"/>
        </w:rPr>
        <w:footnoteReference w:customMarkFollows="1" w:id="60"/>
        <w:t>6</w:t>
      </w:r>
      <w:r>
        <w:rPr>
          <w:rFonts w:ascii="Arial" w:eastAsia="Arial" w:hAnsi="Arial" w:cs="Arial"/>
          <w:color w:val="000000"/>
          <w:sz w:val="20"/>
        </w:rPr>
        <w:t xml:space="preserve"> On the contrary, a psychological  [*645]  evaluation conducted in August 2009 -- three months before McElwee was dismissed from Valley View -- indicated that he had a long-standing pattern of repeatedly approaching girls and women and obsessing about their  [**24] rejection of him, and that this behavior was consistent with his PDD-NOS diagnosis. The evaluation also suggested that his perseverative behavior and inability to take constructive criticism were characteristics of his impairment.</w:t>
      </w:r>
    </w:p>
    <w:p w14:paraId="697BC8AD" w14:textId="77777777" w:rsidR="00D041A2" w:rsidRDefault="00000000">
      <w:pPr>
        <w:pStyle w:val="Normal10"/>
        <w:widowControl w:val="0"/>
        <w:spacing w:before="200" w:line="260" w:lineRule="atLeast"/>
        <w:jc w:val="both"/>
      </w:pPr>
      <w:bookmarkStart w:id="1244" w:name="Bookmark_para_43_2"/>
      <w:bookmarkStart w:id="1245" w:name="Bookmark_I576P67V2SF7PY0040000400"/>
      <w:bookmarkEnd w:id="1244"/>
      <w:bookmarkEnd w:id="1245"/>
      <w:r>
        <w:rPr>
          <w:rFonts w:ascii="Arial" w:eastAsia="Arial" w:hAnsi="Arial" w:cs="Arial"/>
          <w:color w:val="000000"/>
          <w:sz w:val="20"/>
        </w:rPr>
        <w:t>Further, McElwee's psychiatrist of 14 years wrote a letter to McElwee's counsel in January 2011 -- a year after McElwee filed the Complaint in this case -- reporting that "[Mr. McElwee] does not respond to social cues (and body language) such as when people are having a private conversation, when the topic is inappropriate to the situation, when it is time to change the subject, when he is making someone uncomfortable." The psychiatrist did not suggest  [**25] that further therapy would enable McElwee to behave appropriately. Accordingly, McElwee's proposed accommodation for Valley View to work with him to obtain additional therapy was unreasonable as a matter of law because he has failed to offer any assurance that it would have enabled him to meet the essential eligibility requirements of Valley View's volunteer program at any time in the near future.</w:t>
      </w:r>
      <w:r>
        <w:rPr>
          <w:rFonts w:ascii="Arial" w:eastAsia="Arial" w:hAnsi="Arial" w:cs="Arial"/>
          <w:vertAlign w:val="superscript"/>
        </w:rPr>
        <w:footnoteReference w:customMarkFollows="1" w:id="61"/>
        <w:t>7</w:t>
      </w:r>
    </w:p>
    <w:p w14:paraId="4CCE83D1" w14:textId="77777777" w:rsidR="00D041A2" w:rsidRDefault="00000000">
      <w:pPr>
        <w:pStyle w:val="Normal10"/>
        <w:widowControl w:val="0"/>
        <w:spacing w:before="200" w:line="260" w:lineRule="atLeast"/>
        <w:jc w:val="both"/>
      </w:pPr>
      <w:bookmarkStart w:id="1249" w:name="Bookmark_para_44_2"/>
      <w:bookmarkStart w:id="1250" w:name="Bookmark_I576P67V28T4CG0030000400"/>
      <w:bookmarkStart w:id="1251" w:name="Bookmark_I576P67V2D6NYM0040000400"/>
      <w:bookmarkEnd w:id="1249"/>
      <w:bookmarkEnd w:id="1250"/>
      <w:bookmarkEnd w:id="1251"/>
      <w:r>
        <w:rPr>
          <w:rFonts w:ascii="Arial" w:eastAsia="Arial" w:hAnsi="Arial" w:cs="Arial"/>
          <w:color w:val="000000"/>
          <w:sz w:val="20"/>
        </w:rPr>
        <w:t>McElwee's second requested accommodation -- for Valley View to work with the women who complained about his behavior "to educate [them] about plaintiff's disability or to [help them] better understand the nature of [their] concerns about plaintiff" -- is also unreasonable as a matter of law. This proposed accommodation does not even purport to address McElwee's inappropriate behavior; instead, it simply demands that others be more tolerant. Requiring others to tolerate misconduct, however, is not the kind of accommodation contemplated by the ADA.</w:t>
      </w:r>
      <w:r>
        <w:rPr>
          <w:rFonts w:ascii="Arial" w:eastAsia="Arial" w:hAnsi="Arial" w:cs="Arial"/>
          <w:vertAlign w:val="superscript"/>
        </w:rPr>
        <w:footnoteReference w:customMarkFollows="1" w:id="62"/>
        <w:t>8</w:t>
      </w:r>
      <w:r>
        <w:rPr>
          <w:rFonts w:ascii="Arial" w:eastAsia="Arial" w:hAnsi="Arial" w:cs="Arial"/>
          <w:color w:val="000000"/>
          <w:sz w:val="20"/>
        </w:rPr>
        <w:t xml:space="preserve"> Further, nursing  [*646]  home employees, volunteers, and visitors should not be required to tolerate harassing behavior, and it would be an undue hardship for Valley View to have to countenance behavior of this kind.</w:t>
      </w:r>
      <w:r>
        <w:rPr>
          <w:rFonts w:ascii="Arial" w:eastAsia="Arial" w:hAnsi="Arial" w:cs="Arial"/>
          <w:vertAlign w:val="superscript"/>
        </w:rPr>
        <w:footnoteReference w:customMarkFollows="1" w:id="63"/>
        <w:t>9</w:t>
      </w:r>
    </w:p>
    <w:p w14:paraId="29A3C324" w14:textId="77777777" w:rsidR="00D041A2" w:rsidRDefault="00000000">
      <w:pPr>
        <w:pStyle w:val="Normal10"/>
        <w:widowControl w:val="0"/>
        <w:spacing w:before="200" w:line="260" w:lineRule="atLeast"/>
        <w:jc w:val="both"/>
      </w:pPr>
      <w:bookmarkStart w:id="1260" w:name="Bookmark_para_45_2"/>
      <w:bookmarkEnd w:id="1260"/>
      <w:r>
        <w:rPr>
          <w:rFonts w:ascii="Arial" w:eastAsia="Arial" w:hAnsi="Arial" w:cs="Arial"/>
          <w:color w:val="000000"/>
          <w:sz w:val="20"/>
        </w:rPr>
        <w:t>In sum, McElwee failed to present sufficient evidence below to raise a genuine issue of fact as to whether he was discriminated against because of his disability.</w:t>
      </w:r>
    </w:p>
    <w:p w14:paraId="0A820A3B" w14:textId="77777777" w:rsidR="00D041A2" w:rsidRDefault="00000000">
      <w:pPr>
        <w:pStyle w:val="Normal10"/>
        <w:widowControl w:val="0"/>
        <w:spacing w:before="240" w:line="260" w:lineRule="atLeast"/>
      </w:pPr>
      <w:r>
        <w:br/>
      </w:r>
      <w:r>
        <w:rPr>
          <w:rFonts w:ascii="Arial" w:eastAsia="Arial" w:hAnsi="Arial" w:cs="Arial"/>
          <w:b/>
          <w:i/>
          <w:color w:val="000000"/>
          <w:sz w:val="20"/>
        </w:rPr>
        <w:t>CONCLUSION</w:t>
      </w:r>
    </w:p>
    <w:p w14:paraId="39CF3E38" w14:textId="77777777" w:rsidR="00D041A2" w:rsidRDefault="00000000">
      <w:pPr>
        <w:pStyle w:val="Normal10"/>
        <w:widowControl w:val="0"/>
        <w:spacing w:before="200" w:line="260" w:lineRule="atLeast"/>
        <w:jc w:val="both"/>
      </w:pPr>
      <w:bookmarkStart w:id="1261" w:name="Bookmark_para_46_2"/>
      <w:bookmarkEnd w:id="1261"/>
      <w:r>
        <w:rPr>
          <w:rFonts w:ascii="Arial" w:eastAsia="Arial" w:hAnsi="Arial" w:cs="Arial"/>
          <w:color w:val="000000"/>
          <w:sz w:val="20"/>
        </w:rPr>
        <w:t>For the reasons stated above, the judgment of the district court is affirmed.</w:t>
      </w:r>
    </w:p>
    <w:p w14:paraId="5E92BA71" w14:textId="77777777" w:rsidR="00D041A2" w:rsidRDefault="00D041A2">
      <w:pPr>
        <w:pStyle w:val="Normal10"/>
      </w:pPr>
    </w:p>
    <w:p w14:paraId="3E07618F" w14:textId="1644B202" w:rsidR="00D041A2" w:rsidRDefault="00000000">
      <w:pPr>
        <w:pStyle w:val="Normal10"/>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80768" behindDoc="0" locked="0" layoutInCell="1" allowOverlap="1" wp14:anchorId="2C5AE523" wp14:editId="7C2799D0">
                <wp:simplePos x="0" y="0"/>
                <wp:positionH relativeFrom="column">
                  <wp:posOffset>0</wp:posOffset>
                </wp:positionH>
                <wp:positionV relativeFrom="paragraph">
                  <wp:posOffset>127000</wp:posOffset>
                </wp:positionV>
                <wp:extent cx="6502400" cy="0"/>
                <wp:effectExtent l="9525" t="12700" r="12700" b="6350"/>
                <wp:wrapNone/>
                <wp:docPr id="207787607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00BD5" id="Line 2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C3682FE" w14:textId="77777777" w:rsidR="00D041A2" w:rsidRDefault="00D041A2">
      <w:pPr>
        <w:pStyle w:val="Normal11"/>
        <w:sectPr w:rsidR="00D041A2">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gutter="0"/>
          <w:cols w:space="720"/>
          <w:titlePg/>
        </w:sectPr>
      </w:pPr>
    </w:p>
    <w:p w14:paraId="124C0E29" w14:textId="77777777" w:rsidR="00D041A2" w:rsidRDefault="00D041A2">
      <w:pPr>
        <w:pStyle w:val="Normal11"/>
      </w:pPr>
    </w:p>
    <w:p w14:paraId="0AC8041A" w14:textId="77777777" w:rsidR="00D041A2" w:rsidRDefault="00000000">
      <w:pPr>
        <w:pStyle w:val="Heading110"/>
        <w:keepNext w:val="0"/>
        <w:widowControl w:val="0"/>
        <w:spacing w:after="200" w:line="340" w:lineRule="atLeast"/>
        <w:jc w:val="center"/>
      </w:pPr>
      <w:r>
        <w:rPr>
          <w:rFonts w:eastAsia="Arial"/>
          <w:color w:val="000000"/>
          <w:sz w:val="28"/>
        </w:rPr>
        <w:t>Burnett v. Holder</w:t>
      </w:r>
    </w:p>
    <w:p w14:paraId="36521EAE" w14:textId="77777777" w:rsidR="00D041A2" w:rsidRDefault="00000000">
      <w:pPr>
        <w:pStyle w:val="Normal11"/>
        <w:widowControl w:val="0"/>
        <w:spacing w:before="120" w:line="260" w:lineRule="atLeast"/>
        <w:jc w:val="center"/>
      </w:pPr>
      <w:r>
        <w:rPr>
          <w:rFonts w:ascii="Arial" w:eastAsia="Arial" w:hAnsi="Arial" w:cs="Arial"/>
          <w:color w:val="000000"/>
          <w:sz w:val="20"/>
        </w:rPr>
        <w:t>United States Court of Appeals for the Ninth Circuit</w:t>
      </w:r>
    </w:p>
    <w:p w14:paraId="076FCCC2" w14:textId="77777777" w:rsidR="00D041A2" w:rsidRDefault="00000000">
      <w:pPr>
        <w:pStyle w:val="Normal11"/>
        <w:widowControl w:val="0"/>
        <w:spacing w:before="120" w:line="260" w:lineRule="atLeast"/>
        <w:jc w:val="center"/>
      </w:pPr>
      <w:r>
        <w:rPr>
          <w:rFonts w:ascii="Arial" w:eastAsia="Arial" w:hAnsi="Arial" w:cs="Arial"/>
          <w:color w:val="000000"/>
          <w:sz w:val="20"/>
        </w:rPr>
        <w:t>October 11, 2012</w:t>
      </w:r>
      <w:r>
        <w:rPr>
          <w:rFonts w:ascii="Arial" w:eastAsia="Arial" w:hAnsi="Arial" w:cs="Arial"/>
          <w:vertAlign w:val="superscript"/>
        </w:rPr>
        <w:footnoteReference w:customMarkFollows="1" w:id="64"/>
        <w:t>**</w:t>
      </w:r>
      <w:r>
        <w:rPr>
          <w:rFonts w:ascii="Arial" w:eastAsia="Arial" w:hAnsi="Arial" w:cs="Arial"/>
          <w:color w:val="000000"/>
          <w:sz w:val="20"/>
        </w:rPr>
        <w:t>, Submitted, Pasadena, California; October 16, 2012, Filed</w:t>
      </w:r>
    </w:p>
    <w:p w14:paraId="670EF641" w14:textId="77777777" w:rsidR="00D041A2" w:rsidRDefault="00000000">
      <w:pPr>
        <w:pStyle w:val="Normal11"/>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11-55266</w:t>
      </w:r>
    </w:p>
    <w:p w14:paraId="440A1C44" w14:textId="77777777" w:rsidR="00D041A2" w:rsidRDefault="00D041A2">
      <w:pPr>
        <w:pStyle w:val="Normal11"/>
        <w:widowControl w:val="0"/>
        <w:spacing w:line="240" w:lineRule="atLeast"/>
        <w:jc w:val="both"/>
      </w:pPr>
      <w:bookmarkStart w:id="1263" w:name="Bookmark_12"/>
      <w:bookmarkEnd w:id="1263"/>
    </w:p>
    <w:p w14:paraId="52EB31D2" w14:textId="77777777" w:rsidR="00D041A2" w:rsidRDefault="00000000">
      <w:pPr>
        <w:pStyle w:val="Normal11"/>
        <w:widowControl w:val="0"/>
        <w:spacing w:before="200" w:line="240" w:lineRule="atLeast"/>
      </w:pPr>
      <w:bookmarkStart w:id="1264" w:name="Reporter_10"/>
      <w:bookmarkEnd w:id="1264"/>
      <w:r>
        <w:rPr>
          <w:rFonts w:ascii="Arial" w:eastAsia="Arial" w:hAnsi="Arial" w:cs="Arial"/>
          <w:b/>
          <w:color w:val="000000"/>
          <w:sz w:val="18"/>
        </w:rPr>
        <w:t>Reporter</w:t>
      </w:r>
    </w:p>
    <w:p w14:paraId="23E32C51" w14:textId="77777777" w:rsidR="00D041A2" w:rsidRDefault="00000000">
      <w:pPr>
        <w:pStyle w:val="Normal11"/>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485 Fed. Appx. 882 *; 2012 U.S. App. LEXIS 21470 **; 2012 WL 4883208</w:t>
      </w:r>
    </w:p>
    <w:p w14:paraId="5D27EFE6" w14:textId="77777777" w:rsidR="00D041A2" w:rsidRDefault="00000000">
      <w:pPr>
        <w:pStyle w:val="Normal11"/>
        <w:widowControl w:val="0"/>
        <w:spacing w:before="120" w:line="260" w:lineRule="atLeast"/>
      </w:pPr>
      <w:r>
        <w:rPr>
          <w:rFonts w:ascii="Arial" w:eastAsia="Arial" w:hAnsi="Arial" w:cs="Arial"/>
          <w:color w:val="000000"/>
          <w:sz w:val="20"/>
        </w:rPr>
        <w:t>HARRY A. BURNETT, Plaintiff - Appellant, v. ERIC H. HOLDER, Jr., Attorney General, Defendant - Appellee.</w:t>
      </w:r>
    </w:p>
    <w:p w14:paraId="602B278A" w14:textId="77777777" w:rsidR="00D041A2" w:rsidRDefault="00000000">
      <w:pPr>
        <w:pStyle w:val="Normal11"/>
        <w:widowControl w:val="0"/>
        <w:spacing w:before="240" w:line="260" w:lineRule="atLeast"/>
        <w:jc w:val="both"/>
      </w:pPr>
      <w:bookmarkStart w:id="1265" w:name="Notice_6"/>
      <w:bookmarkEnd w:id="1265"/>
      <w:r>
        <w:rPr>
          <w:rFonts w:ascii="Arial" w:eastAsia="Arial" w:hAnsi="Arial" w:cs="Arial"/>
          <w:b/>
          <w:color w:val="000000"/>
          <w:sz w:val="20"/>
        </w:rPr>
        <w:t>Notice:</w:t>
      </w:r>
      <w:r>
        <w:rPr>
          <w:rFonts w:ascii="Arial" w:eastAsia="Arial" w:hAnsi="Arial" w:cs="Arial"/>
          <w:color w:val="000000"/>
          <w:sz w:val="20"/>
        </w:rPr>
        <w:t> </w:t>
      </w:r>
      <w:bookmarkStart w:id="1266" w:name="Bookmark_para_1_10"/>
      <w:bookmarkEnd w:id="1266"/>
      <w:r>
        <w:rPr>
          <w:rFonts w:ascii="Arial" w:eastAsia="Arial" w:hAnsi="Arial" w:cs="Arial"/>
          <w:color w:val="000000"/>
          <w:sz w:val="20"/>
        </w:rPr>
        <w:t>PLEASE REFER TO FEDERAL RULES OF APPELLATE PROCEDURE RULE 32.1 GOVERNING THE CITATION TO UNPUBLISHED OPINIONS.</w:t>
      </w:r>
    </w:p>
    <w:p w14:paraId="7298C2EE" w14:textId="77777777" w:rsidR="00D041A2" w:rsidRDefault="00000000">
      <w:pPr>
        <w:pStyle w:val="Normal11"/>
        <w:widowControl w:val="0"/>
        <w:spacing w:before="240" w:line="260" w:lineRule="atLeast"/>
        <w:jc w:val="both"/>
      </w:pPr>
      <w:bookmarkStart w:id="1267" w:name="Prior_History_10"/>
      <w:bookmarkEnd w:id="1267"/>
      <w:r>
        <w:rPr>
          <w:rFonts w:ascii="Arial" w:eastAsia="Arial" w:hAnsi="Arial" w:cs="Arial"/>
          <w:b/>
          <w:color w:val="000000"/>
          <w:sz w:val="20"/>
        </w:rPr>
        <w:t>Prior History:</w:t>
      </w:r>
      <w:r>
        <w:rPr>
          <w:rFonts w:ascii="Arial" w:eastAsia="Arial" w:hAnsi="Arial" w:cs="Arial"/>
          <w:color w:val="000000"/>
          <w:sz w:val="20"/>
        </w:rPr>
        <w:t>  [**1] </w:t>
      </w:r>
      <w:bookmarkStart w:id="1268" w:name="Bookmark_para_2_10"/>
      <w:bookmarkEnd w:id="1268"/>
      <w:r>
        <w:rPr>
          <w:rFonts w:ascii="Arial" w:eastAsia="Arial" w:hAnsi="Arial" w:cs="Arial"/>
          <w:color w:val="000000"/>
          <w:sz w:val="20"/>
        </w:rPr>
        <w:t>Appeal from the United States District Court for the Southern District of California. D.C. No. 3:05-cv-00167-LAB-BLM. Larry A. Burns, District Judge, Presiding.</w:t>
      </w:r>
    </w:p>
    <w:p w14:paraId="697B1095" w14:textId="77777777" w:rsidR="00D041A2" w:rsidRDefault="00000000">
      <w:pPr>
        <w:pStyle w:val="Normal11"/>
        <w:widowControl w:val="0"/>
        <w:spacing w:before="120" w:line="260" w:lineRule="atLeast"/>
      </w:pPr>
      <w:r>
        <w:rPr>
          <w:rFonts w:ascii="Arial" w:eastAsia="Arial" w:hAnsi="Arial" w:cs="Arial"/>
          <w:color w:val="000000"/>
          <w:sz w:val="20"/>
        </w:rPr>
        <w:t>Burnett v. Holder, 2010 U.S. Dist. LEXIS 135792 (S.D. Cal., Dec. 23, 2010)</w:t>
      </w:r>
    </w:p>
    <w:p w14:paraId="3138022A" w14:textId="77777777" w:rsidR="00D041A2" w:rsidRDefault="00000000">
      <w:pPr>
        <w:pStyle w:val="Normal11"/>
        <w:widowControl w:val="0"/>
        <w:spacing w:before="240" w:line="260" w:lineRule="atLeast"/>
        <w:jc w:val="both"/>
      </w:pPr>
      <w:bookmarkStart w:id="1269" w:name="Disposition_3"/>
      <w:bookmarkEnd w:id="1269"/>
      <w:r>
        <w:rPr>
          <w:rFonts w:ascii="Arial" w:eastAsia="Arial" w:hAnsi="Arial" w:cs="Arial"/>
          <w:b/>
          <w:color w:val="000000"/>
          <w:sz w:val="20"/>
        </w:rPr>
        <w:t>Disposition:</w:t>
      </w:r>
      <w:r>
        <w:rPr>
          <w:rFonts w:ascii="Arial" w:eastAsia="Arial" w:hAnsi="Arial" w:cs="Arial"/>
          <w:color w:val="000000"/>
          <w:sz w:val="20"/>
        </w:rPr>
        <w:t> </w:t>
      </w:r>
      <w:bookmarkStart w:id="1270" w:name="Bookmark_clspara_1_1"/>
      <w:bookmarkEnd w:id="1270"/>
      <w:r>
        <w:rPr>
          <w:rFonts w:ascii="Arial" w:eastAsia="Arial" w:hAnsi="Arial" w:cs="Arial"/>
          <w:color w:val="000000"/>
          <w:sz w:val="20"/>
        </w:rPr>
        <w:t>AFFIRMED.</w:t>
      </w:r>
    </w:p>
    <w:p w14:paraId="4CB7DD86" w14:textId="77777777" w:rsidR="00D041A2" w:rsidRDefault="00000000">
      <w:pPr>
        <w:pStyle w:val="Normal11"/>
        <w:widowControl w:val="0"/>
        <w:spacing w:before="240" w:line="260" w:lineRule="atLeast"/>
      </w:pPr>
      <w:bookmarkStart w:id="1271" w:name="Counsel_10"/>
      <w:bookmarkEnd w:id="1271"/>
      <w:r>
        <w:rPr>
          <w:rFonts w:ascii="Arial" w:eastAsia="Arial" w:hAnsi="Arial" w:cs="Arial"/>
          <w:b/>
          <w:color w:val="000000"/>
          <w:sz w:val="20"/>
        </w:rPr>
        <w:t>Counsel:</w:t>
      </w:r>
      <w:r>
        <w:rPr>
          <w:rFonts w:ascii="Arial" w:eastAsia="Arial" w:hAnsi="Arial" w:cs="Arial"/>
          <w:color w:val="000000"/>
          <w:sz w:val="20"/>
        </w:rPr>
        <w:t> TRESA LEOLA BOWEN, Plaintiff - Appellant, Pro se, Los Angeles, CA.</w:t>
      </w:r>
    </w:p>
    <w:p w14:paraId="44BA3678" w14:textId="77777777" w:rsidR="00D041A2" w:rsidRDefault="00000000">
      <w:pPr>
        <w:pStyle w:val="Normal11"/>
        <w:widowControl w:val="0"/>
        <w:spacing w:before="120" w:line="260" w:lineRule="atLeast"/>
      </w:pPr>
      <w:r>
        <w:rPr>
          <w:rFonts w:ascii="Arial" w:eastAsia="Arial" w:hAnsi="Arial" w:cs="Arial"/>
          <w:color w:val="000000"/>
          <w:sz w:val="20"/>
        </w:rPr>
        <w:t>For MICHAEL J. ASTRUE, Commissioner for Social Security Administration, Defendant - Appellee: Assistant U.S. Attorney, Esquire, USLA - OFFICE OF THE U.S. ATTORNEY, Los Angeles, CA; Social Security Administration, Office of the General Counsel, Social Security Administration, San Francisco, CA.</w:t>
      </w:r>
    </w:p>
    <w:p w14:paraId="36C87CCD" w14:textId="77777777" w:rsidR="00D041A2" w:rsidRDefault="00000000">
      <w:pPr>
        <w:pStyle w:val="Normal11"/>
        <w:widowControl w:val="0"/>
        <w:spacing w:before="240" w:line="260" w:lineRule="atLeast"/>
      </w:pPr>
      <w:bookmarkStart w:id="1272" w:name="Judges_10"/>
      <w:bookmarkEnd w:id="1272"/>
      <w:r>
        <w:rPr>
          <w:rFonts w:ascii="Arial" w:eastAsia="Arial" w:hAnsi="Arial" w:cs="Arial"/>
          <w:b/>
          <w:color w:val="000000"/>
          <w:sz w:val="20"/>
        </w:rPr>
        <w:t>Judges:</w:t>
      </w:r>
      <w:r>
        <w:rPr>
          <w:rFonts w:ascii="Arial" w:eastAsia="Arial" w:hAnsi="Arial" w:cs="Arial"/>
          <w:color w:val="000000"/>
          <w:sz w:val="20"/>
        </w:rPr>
        <w:t xml:space="preserve"> Before: KLEINFELD and McKEOWN, Circuit Judges, and QUIST, Senior District Judge. </w:t>
      </w:r>
      <w:r>
        <w:rPr>
          <w:rFonts w:ascii="Arial" w:eastAsia="Arial" w:hAnsi="Arial" w:cs="Arial"/>
          <w:vertAlign w:val="superscript"/>
        </w:rPr>
        <w:footnoteReference w:customMarkFollows="1" w:id="65"/>
        <w:t>***</w:t>
      </w:r>
    </w:p>
    <w:p w14:paraId="44688AD5" w14:textId="77777777" w:rsidR="00D041A2" w:rsidRDefault="00000000">
      <w:pPr>
        <w:pStyle w:val="Normal11"/>
        <w:keepNext/>
        <w:widowControl w:val="0"/>
        <w:spacing w:before="240" w:line="340" w:lineRule="atLeast"/>
      </w:pPr>
      <w:bookmarkStart w:id="1274" w:name="Opinion_10"/>
      <w:bookmarkEnd w:id="1274"/>
      <w:r>
        <w:rPr>
          <w:rFonts w:ascii="Arial" w:eastAsia="Arial" w:hAnsi="Arial" w:cs="Arial"/>
          <w:b/>
          <w:color w:val="000000"/>
          <w:sz w:val="28"/>
        </w:rPr>
        <w:t>Opinion</w:t>
      </w:r>
    </w:p>
    <w:p w14:paraId="79A2D65B" w14:textId="5789CAD6" w:rsidR="00D041A2" w:rsidRDefault="004D4403">
      <w:pPr>
        <w:pStyle w:val="Normal11"/>
        <w:spacing w:line="60" w:lineRule="exact"/>
      </w:pPr>
      <w:r>
        <w:rPr>
          <w:noProof/>
        </w:rPr>
        <mc:AlternateContent>
          <mc:Choice Requires="wps">
            <w:drawing>
              <wp:anchor distT="0" distB="0" distL="114300" distR="114300" simplePos="0" relativeHeight="251681792" behindDoc="0" locked="0" layoutInCell="1" allowOverlap="1" wp14:anchorId="36153147" wp14:editId="202C1E0E">
                <wp:simplePos x="0" y="0"/>
                <wp:positionH relativeFrom="column">
                  <wp:posOffset>0</wp:posOffset>
                </wp:positionH>
                <wp:positionV relativeFrom="paragraph">
                  <wp:posOffset>25400</wp:posOffset>
                </wp:positionV>
                <wp:extent cx="3187700" cy="0"/>
                <wp:effectExtent l="19050" t="15875" r="12700" b="12700"/>
                <wp:wrapTopAndBottom/>
                <wp:docPr id="20863669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2EE11" id="Line 2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7065E1C" w14:textId="77777777" w:rsidR="00D041A2" w:rsidRDefault="00D041A2">
      <w:pPr>
        <w:pStyle w:val="Normal11"/>
        <w:spacing w:line="120" w:lineRule="exact"/>
      </w:pPr>
    </w:p>
    <w:p w14:paraId="4A555E85" w14:textId="77777777" w:rsidR="00D041A2" w:rsidRDefault="00000000">
      <w:pPr>
        <w:pStyle w:val="Normal11"/>
        <w:widowControl w:val="0"/>
        <w:spacing w:before="240" w:line="260" w:lineRule="atLeast"/>
      </w:pPr>
      <w:r>
        <w:br/>
      </w:r>
      <w:r>
        <w:rPr>
          <w:rFonts w:ascii="Arial" w:eastAsia="Arial" w:hAnsi="Arial" w:cs="Arial"/>
          <w:color w:val="000000"/>
          <w:sz w:val="20"/>
        </w:rPr>
        <w:t xml:space="preserve"> [*882]  MEMORANDUM </w:t>
      </w:r>
      <w:r>
        <w:rPr>
          <w:rFonts w:ascii="Arial" w:eastAsia="Arial" w:hAnsi="Arial" w:cs="Arial"/>
          <w:vertAlign w:val="superscript"/>
        </w:rPr>
        <w:footnoteReference w:customMarkFollows="1" w:id="66"/>
        <w:t>*</w:t>
      </w:r>
    </w:p>
    <w:p w14:paraId="4817E204" w14:textId="77777777" w:rsidR="00D041A2" w:rsidRDefault="00000000">
      <w:pPr>
        <w:pStyle w:val="Normal11"/>
        <w:widowControl w:val="0"/>
        <w:spacing w:before="200" w:line="260" w:lineRule="atLeast"/>
        <w:jc w:val="both"/>
      </w:pPr>
      <w:bookmarkStart w:id="1276" w:name="Bookmark_para_3_10"/>
      <w:bookmarkEnd w:id="1276"/>
      <w:r>
        <w:rPr>
          <w:rFonts w:ascii="Arial" w:eastAsia="Arial" w:hAnsi="Arial" w:cs="Arial"/>
          <w:color w:val="000000"/>
          <w:sz w:val="20"/>
        </w:rPr>
        <w:t>Harry Burnett appeals from an order of the district court granting the government's motion for summary judgment. We have jurisdiction pursuant to 28 U.S.C. § 1291. After de novo review of the evidence in the light most favorable to the non-moving party, we affirm.</w:t>
      </w:r>
    </w:p>
    <w:p w14:paraId="57469B27" w14:textId="77777777" w:rsidR="00D041A2" w:rsidRDefault="00000000">
      <w:pPr>
        <w:pStyle w:val="Normal11"/>
        <w:widowControl w:val="0"/>
        <w:spacing w:before="200" w:line="260" w:lineRule="atLeast"/>
        <w:jc w:val="both"/>
      </w:pPr>
      <w:bookmarkStart w:id="1277" w:name="Bookmark_para_4_10"/>
      <w:bookmarkEnd w:id="1277"/>
      <w:r>
        <w:rPr>
          <w:rFonts w:ascii="Arial" w:eastAsia="Arial" w:hAnsi="Arial" w:cs="Arial"/>
          <w:color w:val="000000"/>
          <w:sz w:val="20"/>
        </w:rPr>
        <w:t>Burnett, a forensic chemist employed by the Drug Enforcement Agency ("DEA"),  [**2] alleges that the DEA discriminated against him on the basis of disability by denying him the opportunity to attend clandestine laboratory training in 1997. Burnett, who is African-American, also alleges that the DEA discriminated against him on the basis of race by denying him the opportunity to "sit-in" for his supervisor in the supervisor's absence.</w:t>
      </w:r>
    </w:p>
    <w:p w14:paraId="4ABB0FFE" w14:textId="77777777" w:rsidR="00D041A2" w:rsidRDefault="00000000">
      <w:pPr>
        <w:pStyle w:val="Normal11"/>
        <w:widowControl w:val="0"/>
        <w:spacing w:before="200" w:line="260" w:lineRule="atLeast"/>
        <w:jc w:val="both"/>
      </w:pPr>
      <w:bookmarkStart w:id="1278" w:name="Bookmark_para_5_10"/>
      <w:bookmarkEnd w:id="1278"/>
      <w:r>
        <w:rPr>
          <w:rFonts w:ascii="Arial" w:eastAsia="Arial" w:hAnsi="Arial" w:cs="Arial"/>
          <w:color w:val="000000"/>
          <w:sz w:val="20"/>
        </w:rPr>
        <w:t>The Rehabilitation Act prohibits federal agencies and programs receiving federal assistance from discriminating against any individual "solely by reason of her or his disability." 29 U.S.C. § 794(a). The Rehabilitation Act incorporates the standards for determining discrimination applied under the Americans with Disabilities Act (the "ADA"). 29 U.S.C. § 794(d). The ADA requires employers to make "reasonable accommodations to the known physical or mental limitations of an otherwise qualified individual with a disability" unless "the accommodation would impose an  [*883]  undue hardship." 42 U.S.C. § 12112(b)(5)(A). "The appropriate reasonable accommodation is best determined through a flexible, interactive process that involves both the employer and the [employee] with a disability." 29 C.F.R. Pt. 1630, App. § 1630.9.</w:t>
      </w:r>
    </w:p>
    <w:p w14:paraId="0561618A" w14:textId="77777777" w:rsidR="00D041A2" w:rsidRDefault="00000000">
      <w:pPr>
        <w:pStyle w:val="Normal11"/>
        <w:widowControl w:val="0"/>
        <w:spacing w:before="200" w:line="260" w:lineRule="atLeast"/>
        <w:jc w:val="both"/>
      </w:pPr>
      <w:bookmarkStart w:id="1279" w:name="Bookmark_para_6_10"/>
      <w:bookmarkEnd w:id="1279"/>
      <w:r>
        <w:rPr>
          <w:rFonts w:ascii="Arial" w:eastAsia="Arial" w:hAnsi="Arial" w:cs="Arial"/>
          <w:color w:val="000000"/>
          <w:sz w:val="20"/>
        </w:rPr>
        <w:t xml:space="preserve">The DEA engaged in a good-faith  [**3] exploration of possible accommodations with Burnett. After Burnett's back surgery limited his lifting ability, Burnett requested and received accommodation that removed him from clandestine laboratory activities, which involve heavy protective equipment. Burnett's supervisor denied Burnett's subsequent request to attend clandestine laboratory training in 1997 because the supervisor saw it as unnecessary in light of the accommodation. </w:t>
      </w:r>
      <w:bookmarkStart w:id="1280" w:name="Bookmark_I5708HNB2HM61N0020000400"/>
      <w:bookmarkEnd w:id="1280"/>
      <w:r>
        <w:rPr>
          <w:rFonts w:ascii="Arial" w:eastAsia="Arial" w:hAnsi="Arial" w:cs="Arial"/>
          <w:color w:val="000000"/>
          <w:sz w:val="20"/>
        </w:rPr>
        <w:t xml:space="preserve">After Burnett renewed his request to attend the training, Burnett's supervisors met with him, reconsidered, and allowed him to attend in 1998 and following years. Accordingly, the district court did not err by finding that there was no material issue of fact with regard to the DEA's actions and that those actions did not violate the ADA because they were part of an ongoing interactive process of communication, consideration, and accommodation. </w:t>
      </w:r>
      <w:r>
        <w:rPr>
          <w:rFonts w:ascii="Arial" w:eastAsia="Arial" w:hAnsi="Arial" w:cs="Arial"/>
          <w:i/>
          <w:color w:val="000000"/>
          <w:sz w:val="20"/>
        </w:rPr>
        <w:t xml:space="preserve">See </w:t>
      </w:r>
      <w:bookmarkStart w:id="1281" w:name="Bookmark_I5708HNB2HM61N0010000400"/>
      <w:bookmarkEnd w:id="1281"/>
      <w:r>
        <w:rPr>
          <w:rFonts w:ascii="Arial" w:eastAsia="Arial" w:hAnsi="Arial" w:cs="Arial"/>
          <w:i/>
          <w:color w:val="000000"/>
          <w:sz w:val="20"/>
        </w:rPr>
        <w:t>Zivkovic v. S. Cal. Edison Co.</w:t>
      </w:r>
      <w:r>
        <w:rPr>
          <w:rFonts w:ascii="Arial" w:eastAsia="Arial" w:hAnsi="Arial" w:cs="Arial"/>
          <w:color w:val="000000"/>
          <w:sz w:val="20"/>
        </w:rPr>
        <w:t>, 302 F.3d 1080, 1089 (9th Cir. 2002).</w:t>
      </w:r>
    </w:p>
    <w:p w14:paraId="03E78B95" w14:textId="77777777" w:rsidR="00D041A2" w:rsidRDefault="00000000">
      <w:pPr>
        <w:pStyle w:val="Normal11"/>
        <w:widowControl w:val="0"/>
        <w:spacing w:before="200" w:line="260" w:lineRule="atLeast"/>
        <w:jc w:val="both"/>
      </w:pPr>
      <w:bookmarkStart w:id="1282" w:name="Bookmark_para_7_10"/>
      <w:bookmarkStart w:id="1283" w:name="Bookmark_I5708HNB2HM61N0040000400"/>
      <w:bookmarkEnd w:id="1282"/>
      <w:bookmarkEnd w:id="1283"/>
      <w:r>
        <w:rPr>
          <w:rFonts w:ascii="Arial" w:eastAsia="Arial" w:hAnsi="Arial" w:cs="Arial"/>
          <w:color w:val="000000"/>
          <w:sz w:val="20"/>
        </w:rPr>
        <w:t xml:space="preserve">Burnett also argues that his supervisor's decision not to select Burnett to sit in for him when he was absent was racially discriminatory, in violation of Title VII of the Civil Rights Act of 1964. Assuming that Burnett established a prima facie  [**4] case of discrimination, the DEA produced evidence of legitimate, non- discriminatory reasons for its employment actions. </w:t>
      </w:r>
      <w:bookmarkStart w:id="1284" w:name="Bookmark_I5708HNB28T49B0010000400"/>
      <w:bookmarkEnd w:id="1284"/>
      <w:r>
        <w:rPr>
          <w:rFonts w:ascii="Arial" w:eastAsia="Arial" w:hAnsi="Arial" w:cs="Arial"/>
          <w:i/>
          <w:color w:val="000000"/>
          <w:sz w:val="20"/>
        </w:rPr>
        <w:t xml:space="preserve">See </w:t>
      </w:r>
      <w:bookmarkStart w:id="1285" w:name="Bookmark_I5708HNB2HM61N0030000400"/>
      <w:bookmarkEnd w:id="1285"/>
      <w:r>
        <w:rPr>
          <w:rFonts w:ascii="Arial" w:eastAsia="Arial" w:hAnsi="Arial" w:cs="Arial"/>
          <w:i/>
          <w:color w:val="000000"/>
          <w:sz w:val="20"/>
        </w:rPr>
        <w:t>McDonnell Douglas Corp. v. Green</w:t>
      </w:r>
      <w:r>
        <w:rPr>
          <w:rFonts w:ascii="Arial" w:eastAsia="Arial" w:hAnsi="Arial" w:cs="Arial"/>
          <w:color w:val="000000"/>
          <w:sz w:val="20"/>
        </w:rPr>
        <w:t xml:space="preserve">, 411 U.S. 792, 802-04, 93 S. Ct. 1817, 36 L. Ed. 2d 668 (1973). </w:t>
      </w:r>
      <w:bookmarkStart w:id="1286" w:name="Bookmark_I5708HNB28T49B0010000400_2"/>
      <w:bookmarkStart w:id="1287" w:name="Bookmark_I5708HNB28T49B0030000400"/>
      <w:bookmarkEnd w:id="1286"/>
      <w:bookmarkEnd w:id="1287"/>
      <w:r>
        <w:rPr>
          <w:rFonts w:ascii="Arial" w:eastAsia="Arial" w:hAnsi="Arial" w:cs="Arial"/>
          <w:color w:val="000000"/>
          <w:sz w:val="20"/>
        </w:rPr>
        <w:t xml:space="preserve">Burnett's supervisor selected those who expressed an interest in supervision, which Burnett did not, and those who related well to the group, while Burnett himself stated that he was a loner and did not want to mix with the rest of the team. Although the evidence required to raise a genuine dispute is minimal, Burnett did not submit any evidence alleging discriminatory intent or alleging that the DEA's profferred reasons were pretextual. </w:t>
      </w:r>
      <w:r>
        <w:rPr>
          <w:rFonts w:ascii="Arial" w:eastAsia="Arial" w:hAnsi="Arial" w:cs="Arial"/>
          <w:i/>
          <w:color w:val="000000"/>
          <w:sz w:val="20"/>
        </w:rPr>
        <w:t xml:space="preserve">See </w:t>
      </w:r>
      <w:bookmarkStart w:id="1288" w:name="Bookmark_I5708HNB2HM61N0050000400"/>
      <w:bookmarkEnd w:id="1288"/>
      <w:r>
        <w:rPr>
          <w:rFonts w:ascii="Arial" w:eastAsia="Arial" w:hAnsi="Arial" w:cs="Arial"/>
          <w:i/>
          <w:color w:val="000000"/>
          <w:sz w:val="20"/>
        </w:rPr>
        <w:t>Vasquez v. County of Los Angeles</w:t>
      </w:r>
      <w:r>
        <w:rPr>
          <w:rFonts w:ascii="Arial" w:eastAsia="Arial" w:hAnsi="Arial" w:cs="Arial"/>
          <w:color w:val="000000"/>
          <w:sz w:val="20"/>
        </w:rPr>
        <w:t xml:space="preserve">, 349 F.3d 634, 642 (9th Cir. 2004). </w:t>
      </w:r>
      <w:bookmarkStart w:id="1289" w:name="Bookmark_I5708HNB28T49B0030000400_2"/>
      <w:bookmarkEnd w:id="1289"/>
      <w:r>
        <w:rPr>
          <w:rFonts w:ascii="Arial" w:eastAsia="Arial" w:hAnsi="Arial" w:cs="Arial"/>
          <w:color w:val="000000"/>
          <w:sz w:val="20"/>
        </w:rPr>
        <w:t xml:space="preserve">"[A] plaintiff cannot defeat summary judgment simply by making out a prima facie case." </w:t>
      </w:r>
      <w:bookmarkStart w:id="1290" w:name="Bookmark_I5708HNB28T49B0020000400"/>
      <w:bookmarkEnd w:id="1290"/>
      <w:r>
        <w:rPr>
          <w:rFonts w:ascii="Arial" w:eastAsia="Arial" w:hAnsi="Arial" w:cs="Arial"/>
          <w:i/>
          <w:color w:val="000000"/>
          <w:sz w:val="20"/>
        </w:rPr>
        <w:t>Wallis v. J.R. Simplot Co.</w:t>
      </w:r>
      <w:r>
        <w:rPr>
          <w:rFonts w:ascii="Arial" w:eastAsia="Arial" w:hAnsi="Arial" w:cs="Arial"/>
          <w:color w:val="000000"/>
          <w:sz w:val="20"/>
        </w:rPr>
        <w:t>, 26 F.3d 885, 890 (9th Cir. 1994) (citation omitted). The district court did not err in finding that there was no genuine issue of material fact as to Burnett's Title VII claim.</w:t>
      </w:r>
    </w:p>
    <w:p w14:paraId="64E27931" w14:textId="77777777" w:rsidR="00D041A2" w:rsidRDefault="00000000">
      <w:pPr>
        <w:pStyle w:val="Normal11"/>
        <w:widowControl w:val="0"/>
        <w:spacing w:before="200" w:line="260" w:lineRule="atLeast"/>
        <w:jc w:val="both"/>
      </w:pPr>
      <w:bookmarkStart w:id="1291" w:name="Bookmark_para_8_9"/>
      <w:bookmarkEnd w:id="1291"/>
      <w:r>
        <w:rPr>
          <w:rFonts w:ascii="Arial" w:eastAsia="Arial" w:hAnsi="Arial" w:cs="Arial"/>
          <w:b/>
          <w:color w:val="000000"/>
          <w:sz w:val="20"/>
        </w:rPr>
        <w:t>AFFIRMED.</w:t>
      </w:r>
    </w:p>
    <w:p w14:paraId="5F503121" w14:textId="77777777" w:rsidR="00D041A2" w:rsidRDefault="00D041A2">
      <w:pPr>
        <w:pStyle w:val="Normal11"/>
      </w:pPr>
    </w:p>
    <w:p w14:paraId="2279A125" w14:textId="2C1668FB" w:rsidR="00D041A2" w:rsidRDefault="00000000">
      <w:pPr>
        <w:pStyle w:val="Normal11"/>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82816" behindDoc="0" locked="0" layoutInCell="1" allowOverlap="1" wp14:anchorId="66104828" wp14:editId="6364C640">
                <wp:simplePos x="0" y="0"/>
                <wp:positionH relativeFrom="column">
                  <wp:posOffset>0</wp:posOffset>
                </wp:positionH>
                <wp:positionV relativeFrom="paragraph">
                  <wp:posOffset>127000</wp:posOffset>
                </wp:positionV>
                <wp:extent cx="6502400" cy="0"/>
                <wp:effectExtent l="9525" t="12700" r="12700" b="6350"/>
                <wp:wrapNone/>
                <wp:docPr id="247094359"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23535" id="Line 25"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F27E055" w14:textId="77777777" w:rsidR="00D041A2" w:rsidRDefault="00D041A2">
      <w:pPr>
        <w:pStyle w:val="Normal12"/>
        <w:sectPr w:rsidR="00D041A2">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gutter="0"/>
          <w:cols w:space="720"/>
          <w:titlePg/>
        </w:sectPr>
      </w:pPr>
    </w:p>
    <w:p w14:paraId="27D5F931" w14:textId="77777777" w:rsidR="00D041A2" w:rsidRDefault="00D041A2">
      <w:pPr>
        <w:pStyle w:val="Normal12"/>
      </w:pPr>
    </w:p>
    <w:p w14:paraId="56C59E3F" w14:textId="77777777" w:rsidR="00D041A2" w:rsidRDefault="00000000">
      <w:pPr>
        <w:pStyle w:val="Heading111"/>
        <w:keepNext w:val="0"/>
        <w:widowControl w:val="0"/>
        <w:spacing w:after="200" w:line="340" w:lineRule="atLeast"/>
        <w:jc w:val="center"/>
      </w:pPr>
      <w:r>
        <w:rPr>
          <w:rFonts w:eastAsia="Arial"/>
          <w:color w:val="000000"/>
          <w:sz w:val="28"/>
        </w:rPr>
        <w:t>Bahl v. County of Ramsey</w:t>
      </w:r>
    </w:p>
    <w:p w14:paraId="7654C1BB" w14:textId="77777777" w:rsidR="00D041A2" w:rsidRDefault="00000000">
      <w:pPr>
        <w:pStyle w:val="Normal12"/>
        <w:widowControl w:val="0"/>
        <w:spacing w:before="120" w:line="260" w:lineRule="atLeast"/>
        <w:jc w:val="center"/>
      </w:pPr>
      <w:r>
        <w:rPr>
          <w:rFonts w:ascii="Arial" w:eastAsia="Arial" w:hAnsi="Arial" w:cs="Arial"/>
          <w:color w:val="000000"/>
          <w:sz w:val="20"/>
        </w:rPr>
        <w:t>United States Court of Appeals for the Eighth Circuit</w:t>
      </w:r>
    </w:p>
    <w:p w14:paraId="2C9923E3" w14:textId="77777777" w:rsidR="00D041A2" w:rsidRDefault="00000000">
      <w:pPr>
        <w:pStyle w:val="Normal12"/>
        <w:widowControl w:val="0"/>
        <w:spacing w:before="120" w:line="260" w:lineRule="atLeast"/>
        <w:jc w:val="center"/>
      </w:pPr>
      <w:r>
        <w:rPr>
          <w:rFonts w:ascii="Arial" w:eastAsia="Arial" w:hAnsi="Arial" w:cs="Arial"/>
          <w:color w:val="000000"/>
          <w:sz w:val="20"/>
        </w:rPr>
        <w:t>March 14, 2012, Submitted; October 9, 2012, Filed</w:t>
      </w:r>
    </w:p>
    <w:p w14:paraId="0A02862C" w14:textId="77777777" w:rsidR="00D041A2" w:rsidRDefault="00000000">
      <w:pPr>
        <w:pStyle w:val="Normal12"/>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11-2869</w:t>
      </w:r>
    </w:p>
    <w:p w14:paraId="1DE1FD22" w14:textId="77777777" w:rsidR="00D041A2" w:rsidRDefault="00D041A2">
      <w:pPr>
        <w:pStyle w:val="Normal12"/>
        <w:widowControl w:val="0"/>
        <w:spacing w:line="240" w:lineRule="atLeast"/>
        <w:jc w:val="both"/>
      </w:pPr>
      <w:bookmarkStart w:id="1292" w:name="Bookmark_13"/>
      <w:bookmarkEnd w:id="1292"/>
    </w:p>
    <w:p w14:paraId="01B8CF35" w14:textId="77777777" w:rsidR="00D041A2" w:rsidRDefault="00000000">
      <w:pPr>
        <w:pStyle w:val="Normal12"/>
        <w:widowControl w:val="0"/>
        <w:spacing w:before="200" w:line="240" w:lineRule="atLeast"/>
      </w:pPr>
      <w:bookmarkStart w:id="1293" w:name="Reporter_11"/>
      <w:bookmarkEnd w:id="1293"/>
      <w:r>
        <w:rPr>
          <w:rFonts w:ascii="Arial" w:eastAsia="Arial" w:hAnsi="Arial" w:cs="Arial"/>
          <w:b/>
          <w:color w:val="000000"/>
          <w:sz w:val="18"/>
        </w:rPr>
        <w:t>Reporter</w:t>
      </w:r>
    </w:p>
    <w:p w14:paraId="29F1CD2B" w14:textId="77777777" w:rsidR="00D041A2" w:rsidRDefault="00000000">
      <w:pPr>
        <w:pStyle w:val="Normal12"/>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695 F.3d 778 *; 2012 U.S. App. LEXIS 20910 **; 27 Am. Disabilities Cas. (BNA) 278; 2012 WL 4774827</w:t>
      </w:r>
    </w:p>
    <w:p w14:paraId="3C58A4D8" w14:textId="77777777" w:rsidR="00D041A2" w:rsidRDefault="00000000">
      <w:pPr>
        <w:pStyle w:val="Normal12"/>
        <w:widowControl w:val="0"/>
        <w:spacing w:before="120" w:line="260" w:lineRule="atLeast"/>
      </w:pPr>
      <w:r>
        <w:rPr>
          <w:rFonts w:ascii="Arial" w:eastAsia="Arial" w:hAnsi="Arial" w:cs="Arial"/>
          <w:color w:val="000000"/>
          <w:sz w:val="20"/>
        </w:rPr>
        <w:t>Douglas Duane Bahl, Plaintiff - Appellant, Susan Kovacs-Bahl, Plaintiff v. County of Ramsey; Ramsey County Sheriff's Department, Defendants, City of St. Paul, Defendant - Appellee</w:t>
      </w:r>
    </w:p>
    <w:p w14:paraId="2FB8C21E" w14:textId="77777777" w:rsidR="00D041A2" w:rsidRDefault="00000000">
      <w:pPr>
        <w:pStyle w:val="Normal12"/>
        <w:widowControl w:val="0"/>
        <w:spacing w:before="240" w:line="260" w:lineRule="atLeast"/>
        <w:jc w:val="both"/>
      </w:pPr>
      <w:bookmarkStart w:id="1294" w:name="Prior_History_11"/>
      <w:bookmarkEnd w:id="1294"/>
      <w:r>
        <w:rPr>
          <w:rFonts w:ascii="Arial" w:eastAsia="Arial" w:hAnsi="Arial" w:cs="Arial"/>
          <w:b/>
          <w:color w:val="000000"/>
          <w:sz w:val="20"/>
        </w:rPr>
        <w:t>Prior History:</w:t>
      </w:r>
      <w:r>
        <w:rPr>
          <w:rFonts w:ascii="Arial" w:eastAsia="Arial" w:hAnsi="Arial" w:cs="Arial"/>
          <w:color w:val="000000"/>
          <w:sz w:val="20"/>
        </w:rPr>
        <w:t>  [**1] </w:t>
      </w:r>
      <w:bookmarkStart w:id="1295" w:name="Bookmark_para_1_11"/>
      <w:bookmarkEnd w:id="1295"/>
      <w:r>
        <w:rPr>
          <w:rFonts w:ascii="Arial" w:eastAsia="Arial" w:hAnsi="Arial" w:cs="Arial"/>
          <w:color w:val="000000"/>
          <w:sz w:val="20"/>
        </w:rPr>
        <w:t>Appeal from United States District Court for the District of Minnesota - Minneapolis.</w:t>
      </w:r>
    </w:p>
    <w:p w14:paraId="5DFBD5F5" w14:textId="77777777" w:rsidR="00D041A2" w:rsidRDefault="00000000">
      <w:pPr>
        <w:pStyle w:val="Normal12"/>
        <w:widowControl w:val="0"/>
        <w:spacing w:before="120" w:line="260" w:lineRule="atLeast"/>
      </w:pPr>
      <w:r>
        <w:rPr>
          <w:rFonts w:ascii="Arial" w:eastAsia="Arial" w:hAnsi="Arial" w:cs="Arial"/>
          <w:color w:val="000000"/>
          <w:sz w:val="20"/>
        </w:rPr>
        <w:t>Bahl v. County of Ramsey, 2010 U.S. Dist. LEXIS 138668 (D. Minn., Dec. 29, 2010)</w:t>
      </w:r>
    </w:p>
    <w:p w14:paraId="214C08C6" w14:textId="77777777" w:rsidR="00D041A2" w:rsidRDefault="00000000">
      <w:pPr>
        <w:pStyle w:val="Normal12"/>
        <w:widowControl w:val="0"/>
        <w:spacing w:before="240" w:line="260" w:lineRule="atLeast"/>
      </w:pPr>
      <w:bookmarkStart w:id="1296" w:name="Counsel_11"/>
      <w:bookmarkEnd w:id="1296"/>
      <w:r>
        <w:rPr>
          <w:rFonts w:ascii="Arial" w:eastAsia="Arial" w:hAnsi="Arial" w:cs="Arial"/>
          <w:b/>
          <w:color w:val="000000"/>
          <w:sz w:val="20"/>
        </w:rPr>
        <w:t>Counsel:</w:t>
      </w:r>
      <w:r>
        <w:rPr>
          <w:rFonts w:ascii="Arial" w:eastAsia="Arial" w:hAnsi="Arial" w:cs="Arial"/>
          <w:color w:val="000000"/>
          <w:sz w:val="20"/>
        </w:rPr>
        <w:t> For Douglas Duane Bahl, Plaintiff - Appellant: Roderick J. Macpherson, III, MINNESOTA DISABILITY LAW CENTER, Minneapolis, MN.</w:t>
      </w:r>
    </w:p>
    <w:p w14:paraId="7CF95590" w14:textId="77777777" w:rsidR="00D041A2" w:rsidRDefault="00000000">
      <w:pPr>
        <w:pStyle w:val="Normal12"/>
        <w:widowControl w:val="0"/>
        <w:spacing w:before="120" w:line="260" w:lineRule="atLeast"/>
      </w:pPr>
      <w:r>
        <w:rPr>
          <w:rFonts w:ascii="Arial" w:eastAsia="Arial" w:hAnsi="Arial" w:cs="Arial"/>
          <w:color w:val="000000"/>
          <w:sz w:val="20"/>
        </w:rPr>
        <w:t>For City of St. Paul, Defendant - Appellee: Judith Ann Hanson, I, CITY OF SAINT PAUL, St. Paul, MN.</w:t>
      </w:r>
    </w:p>
    <w:p w14:paraId="04547A04" w14:textId="77777777" w:rsidR="00D041A2" w:rsidRDefault="00000000">
      <w:pPr>
        <w:pStyle w:val="Normal12"/>
        <w:widowControl w:val="0"/>
        <w:spacing w:before="240" w:line="260" w:lineRule="atLeast"/>
      </w:pPr>
      <w:bookmarkStart w:id="1297" w:name="Judges_11"/>
      <w:bookmarkEnd w:id="1297"/>
      <w:r>
        <w:rPr>
          <w:rFonts w:ascii="Arial" w:eastAsia="Arial" w:hAnsi="Arial" w:cs="Arial"/>
          <w:b/>
          <w:color w:val="000000"/>
          <w:sz w:val="20"/>
        </w:rPr>
        <w:t>Judges:</w:t>
      </w:r>
      <w:r>
        <w:rPr>
          <w:rFonts w:ascii="Arial" w:eastAsia="Arial" w:hAnsi="Arial" w:cs="Arial"/>
          <w:color w:val="000000"/>
          <w:sz w:val="20"/>
        </w:rPr>
        <w:t> Before MURPHY and GRUENDER, Circuit Judges, and ROSS,</w:t>
      </w:r>
      <w:r>
        <w:rPr>
          <w:rFonts w:ascii="Arial" w:eastAsia="Arial" w:hAnsi="Arial" w:cs="Arial"/>
          <w:vertAlign w:val="superscript"/>
        </w:rPr>
        <w:footnoteReference w:customMarkFollows="1" w:id="67"/>
        <w:t>1</w:t>
      </w:r>
      <w:r>
        <w:rPr>
          <w:rFonts w:ascii="Arial" w:eastAsia="Arial" w:hAnsi="Arial" w:cs="Arial"/>
          <w:color w:val="000000"/>
          <w:sz w:val="20"/>
        </w:rPr>
        <w:t xml:space="preserve"> District Judge. MURPHY, Circuit Judge, concurring. GRUENDER, Circuit Judge, concurring.</w:t>
      </w:r>
    </w:p>
    <w:p w14:paraId="37D992F1" w14:textId="77777777" w:rsidR="00D041A2" w:rsidRDefault="00000000">
      <w:pPr>
        <w:pStyle w:val="Normal12"/>
        <w:widowControl w:val="0"/>
        <w:spacing w:before="240" w:line="260" w:lineRule="atLeast"/>
      </w:pPr>
      <w:bookmarkStart w:id="1299" w:name="Opinion_by_7"/>
      <w:bookmarkEnd w:id="1299"/>
      <w:r>
        <w:rPr>
          <w:rFonts w:ascii="Arial" w:eastAsia="Arial" w:hAnsi="Arial" w:cs="Arial"/>
          <w:b/>
          <w:color w:val="000000"/>
          <w:sz w:val="20"/>
        </w:rPr>
        <w:t>Opinion by:</w:t>
      </w:r>
      <w:r>
        <w:rPr>
          <w:rFonts w:ascii="Arial" w:eastAsia="Arial" w:hAnsi="Arial" w:cs="Arial"/>
          <w:color w:val="000000"/>
          <w:sz w:val="20"/>
        </w:rPr>
        <w:t> ROSS</w:t>
      </w:r>
    </w:p>
    <w:p w14:paraId="30E6F6D3" w14:textId="77777777" w:rsidR="00D041A2" w:rsidRDefault="00000000">
      <w:pPr>
        <w:pStyle w:val="Normal12"/>
        <w:keepNext/>
        <w:widowControl w:val="0"/>
        <w:spacing w:before="240" w:line="340" w:lineRule="atLeast"/>
      </w:pPr>
      <w:bookmarkStart w:id="1300" w:name="Opinion_11"/>
      <w:bookmarkEnd w:id="1300"/>
      <w:r>
        <w:rPr>
          <w:rFonts w:ascii="Arial" w:eastAsia="Arial" w:hAnsi="Arial" w:cs="Arial"/>
          <w:b/>
          <w:color w:val="000000"/>
          <w:sz w:val="28"/>
        </w:rPr>
        <w:t>Opinion</w:t>
      </w:r>
    </w:p>
    <w:p w14:paraId="2797DD3D" w14:textId="5AC20CC1" w:rsidR="00D041A2" w:rsidRDefault="004D4403">
      <w:pPr>
        <w:pStyle w:val="Normal12"/>
        <w:spacing w:line="60" w:lineRule="exact"/>
      </w:pPr>
      <w:r>
        <w:rPr>
          <w:noProof/>
        </w:rPr>
        <mc:AlternateContent>
          <mc:Choice Requires="wps">
            <w:drawing>
              <wp:anchor distT="0" distB="0" distL="114300" distR="114300" simplePos="0" relativeHeight="251683840" behindDoc="0" locked="0" layoutInCell="1" allowOverlap="1" wp14:anchorId="19AD1ECB" wp14:editId="70507C6B">
                <wp:simplePos x="0" y="0"/>
                <wp:positionH relativeFrom="column">
                  <wp:posOffset>0</wp:posOffset>
                </wp:positionH>
                <wp:positionV relativeFrom="paragraph">
                  <wp:posOffset>25400</wp:posOffset>
                </wp:positionV>
                <wp:extent cx="3187700" cy="0"/>
                <wp:effectExtent l="19050" t="15875" r="12700" b="12700"/>
                <wp:wrapTopAndBottom/>
                <wp:docPr id="70889349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A1BCF" id="Line 2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80F25CF" w14:textId="77777777" w:rsidR="00D041A2" w:rsidRDefault="00D041A2">
      <w:pPr>
        <w:pStyle w:val="Normal12"/>
      </w:pPr>
    </w:p>
    <w:p w14:paraId="482A35F7" w14:textId="77777777" w:rsidR="00D041A2" w:rsidRDefault="00000000">
      <w:pPr>
        <w:pStyle w:val="Normal12"/>
        <w:widowControl w:val="0"/>
        <w:spacing w:before="200" w:line="260" w:lineRule="atLeast"/>
        <w:jc w:val="both"/>
      </w:pPr>
      <w:bookmarkStart w:id="1301" w:name="Bookmark_para_2_11"/>
      <w:bookmarkEnd w:id="1301"/>
      <w:r>
        <w:rPr>
          <w:rFonts w:ascii="Arial" w:eastAsia="Arial" w:hAnsi="Arial" w:cs="Arial"/>
          <w:color w:val="000000"/>
          <w:sz w:val="20"/>
        </w:rPr>
        <w:t> [*781]  ROSS, District Judge.</w:t>
      </w:r>
    </w:p>
    <w:p w14:paraId="16650E50" w14:textId="77777777" w:rsidR="00D041A2" w:rsidRDefault="00000000">
      <w:pPr>
        <w:pStyle w:val="Normal12"/>
        <w:widowControl w:val="0"/>
        <w:spacing w:before="200" w:line="260" w:lineRule="atLeast"/>
        <w:jc w:val="both"/>
      </w:pPr>
      <w:bookmarkStart w:id="1302" w:name="Bookmark_para_3_11"/>
      <w:bookmarkEnd w:id="1302"/>
      <w:r>
        <w:rPr>
          <w:rFonts w:ascii="Arial" w:eastAsia="Arial" w:hAnsi="Arial" w:cs="Arial"/>
          <w:color w:val="000000"/>
          <w:sz w:val="20"/>
        </w:rPr>
        <w:t>Douglas Duane Bahl appeals the district court's order granting the City of St. Paul's motion for summary judgment and dismissing his disability discrimination claims brought against the City under the anti-discrimination provisions of the Americans with Disabilities Act, 42 U.S.C. § 12132 ("ADA"), Section 504 of the Rehabilitation Act of 1973, 29 U.S.C. § 794 ("Rehabilitation Act"), the Minnesota Human Rights Act, Minn. Stat. § 363A.12 (2006) ("MHRA"), as well as his claim for negligence. For the reasons that follow, we affirm in part, reverse in part, and remand for further proceedings.</w:t>
      </w:r>
    </w:p>
    <w:p w14:paraId="3DE2D4C6" w14:textId="77777777" w:rsidR="00D041A2" w:rsidRDefault="00000000">
      <w:pPr>
        <w:pStyle w:val="Normal12"/>
        <w:widowControl w:val="0"/>
        <w:spacing w:before="120" w:line="260" w:lineRule="atLeast"/>
      </w:pPr>
      <w:r>
        <w:rPr>
          <w:rFonts w:ascii="Arial" w:eastAsia="Arial" w:hAnsi="Arial" w:cs="Arial"/>
          <w:color w:val="000000"/>
          <w:sz w:val="20"/>
        </w:rPr>
        <w:t>I.</w:t>
      </w:r>
    </w:p>
    <w:p w14:paraId="4209953C" w14:textId="77777777" w:rsidR="00D041A2" w:rsidRDefault="00000000">
      <w:pPr>
        <w:pStyle w:val="Normal12"/>
        <w:widowControl w:val="0"/>
        <w:spacing w:before="200" w:line="260" w:lineRule="atLeast"/>
        <w:jc w:val="both"/>
      </w:pPr>
      <w:bookmarkStart w:id="1303" w:name="Bookmark_para_4_11"/>
      <w:bookmarkEnd w:id="1303"/>
      <w:r>
        <w:rPr>
          <w:rFonts w:ascii="Arial" w:eastAsia="Arial" w:hAnsi="Arial" w:cs="Arial"/>
          <w:color w:val="000000"/>
          <w:sz w:val="20"/>
        </w:rPr>
        <w:t>Bahl is deaf  [**2] and uses American Sign Language ("ASL") as his primary language.</w:t>
      </w:r>
      <w:r>
        <w:rPr>
          <w:rFonts w:ascii="Arial" w:eastAsia="Arial" w:hAnsi="Arial" w:cs="Arial"/>
          <w:vertAlign w:val="superscript"/>
        </w:rPr>
        <w:footnoteReference w:customMarkFollows="1" w:id="68"/>
        <w:t>2</w:t>
      </w:r>
      <w:r>
        <w:rPr>
          <w:rFonts w:ascii="Arial" w:eastAsia="Arial" w:hAnsi="Arial" w:cs="Arial"/>
          <w:color w:val="000000"/>
          <w:sz w:val="20"/>
        </w:rPr>
        <w:t xml:space="preserve"> He attended Gallaudet University and holds a Masters Degree from the University of Minnesota. His college classes were conducted in ASL. Bahl taught high school social studies, geography, civics, basic English, drama and math for fourteen years at the Minnesota School for the Deaf in Faribault, Minnesota. Bahl currently instructs ASL at the University of Minnesota and St. Paul College. He reads English at a sixth-grade level, and usually communicates in ASL, though he uses a Blackberry handheld device to communicate by text and email. When Bahl communicates with non-ASL speakers in person, he typically uses an interpreter, and alternatively communicates by writing.</w:t>
      </w:r>
    </w:p>
    <w:p w14:paraId="04AEE875" w14:textId="77777777" w:rsidR="00D041A2" w:rsidRDefault="00000000">
      <w:pPr>
        <w:pStyle w:val="Normal12"/>
        <w:widowControl w:val="0"/>
        <w:spacing w:before="200" w:line="260" w:lineRule="atLeast"/>
        <w:jc w:val="both"/>
      </w:pPr>
      <w:bookmarkStart w:id="1305" w:name="Bookmark_para_5_11"/>
      <w:bookmarkEnd w:id="1305"/>
      <w:r>
        <w:rPr>
          <w:rFonts w:ascii="Arial" w:eastAsia="Arial" w:hAnsi="Arial" w:cs="Arial"/>
          <w:color w:val="000000"/>
          <w:sz w:val="20"/>
        </w:rPr>
        <w:t>On November 17, 2006, around 5:00 p.m., Bahl was driving to visit his then-girlfriend and now wife, Susan Kovacs-Bahl, at a rehabilitation facility near Fairview Riverside Hospital in St. Paul. He ignored a red light and drove through cross traffic in an intersection. St. Paul Police Officer Stephen Bobrowski observed Bahl's actions and activated his lights and siren. Bahl stopped his car. When Bobrowski reached the driver's side of the car, Bahl shook his head, gestured to his  [*782]  ear and said "no." Bahl next gestured that he wanted to communicate in writing. Bobrowski was not carrying a pen or paper, and he pointed to his mouth and said "drivers license" and then made a card shape with his hands.</w:t>
      </w:r>
    </w:p>
    <w:p w14:paraId="451872D2" w14:textId="77777777" w:rsidR="00D041A2" w:rsidRDefault="00000000">
      <w:pPr>
        <w:pStyle w:val="Normal12"/>
        <w:widowControl w:val="0"/>
        <w:spacing w:before="200" w:line="260" w:lineRule="atLeast"/>
        <w:jc w:val="both"/>
      </w:pPr>
      <w:bookmarkStart w:id="1306" w:name="Bookmark_para_6_11"/>
      <w:bookmarkEnd w:id="1306"/>
      <w:r>
        <w:rPr>
          <w:rFonts w:ascii="Arial" w:eastAsia="Arial" w:hAnsi="Arial" w:cs="Arial"/>
          <w:color w:val="000000"/>
          <w:sz w:val="20"/>
        </w:rPr>
        <w:t>Bahl claims Bobrowski next pushed his shoulder, which was painful, and Bahl leaned to the right.</w:t>
      </w:r>
      <w:r>
        <w:rPr>
          <w:rFonts w:ascii="Arial" w:eastAsia="Arial" w:hAnsi="Arial" w:cs="Arial"/>
          <w:vertAlign w:val="superscript"/>
        </w:rPr>
        <w:footnoteReference w:customMarkFollows="1" w:id="69"/>
        <w:t>3</w:t>
      </w:r>
      <w:r>
        <w:rPr>
          <w:rFonts w:ascii="Arial" w:eastAsia="Arial" w:hAnsi="Arial" w:cs="Arial"/>
          <w:color w:val="000000"/>
          <w:sz w:val="20"/>
        </w:rPr>
        <w:t xml:space="preserve"> Bobrowski grabbed Bahl's wrist, and Bahl again pulled away because it was painful. Bahl reached to his right for paper and a pen and began to write "joint" to tell Bobrowski that his joints are sensitive. Bobrowski then sprayed Bahl with an aerosol subject restraint, and Bahl started flailing his arms. Bobrowski pulled Bahl from his car and placed Bahl's arms behind his  [**4] back. Backup assistance arrived, and after Bahl was restrained, an ambulance transported him to Regions Hospital for treatment.</w:t>
      </w:r>
    </w:p>
    <w:p w14:paraId="55F9C378" w14:textId="77777777" w:rsidR="00D041A2" w:rsidRDefault="00000000">
      <w:pPr>
        <w:pStyle w:val="Normal12"/>
        <w:widowControl w:val="0"/>
        <w:spacing w:before="200" w:line="260" w:lineRule="atLeast"/>
        <w:jc w:val="both"/>
      </w:pPr>
      <w:bookmarkStart w:id="1308" w:name="Bookmark_para_7_11"/>
      <w:bookmarkEnd w:id="1308"/>
      <w:r>
        <w:rPr>
          <w:rFonts w:ascii="Arial" w:eastAsia="Arial" w:hAnsi="Arial" w:cs="Arial"/>
          <w:color w:val="000000"/>
          <w:sz w:val="20"/>
        </w:rPr>
        <w:t>After Bahl arrived at the hospital, Bobrowski told the nurses Bahl was deaf and asked for an interpreter. Bahl communicated with hospital staff through the interpreter. When police officers asked the interpreter to help communicate with Bahl, she refused, saying her job was only to interpret for hospital matters. Bahl agreed, saying the police had to get their own interpreter.</w:t>
      </w:r>
    </w:p>
    <w:p w14:paraId="69CCC2FC" w14:textId="77777777" w:rsidR="00D041A2" w:rsidRDefault="00000000">
      <w:pPr>
        <w:pStyle w:val="Normal12"/>
        <w:widowControl w:val="0"/>
        <w:spacing w:before="200" w:line="260" w:lineRule="atLeast"/>
        <w:jc w:val="both"/>
      </w:pPr>
      <w:bookmarkStart w:id="1309" w:name="Bookmark_para_8_10"/>
      <w:bookmarkEnd w:id="1309"/>
      <w:r>
        <w:rPr>
          <w:rFonts w:ascii="Arial" w:eastAsia="Arial" w:hAnsi="Arial" w:cs="Arial"/>
          <w:color w:val="000000"/>
          <w:sz w:val="20"/>
        </w:rPr>
        <w:t>Meanwhile, Colleen Luna, police shift commander, prepared a typewritten statement, which stated in full:</w:t>
      </w:r>
    </w:p>
    <w:p w14:paraId="6F612911" w14:textId="77777777" w:rsidR="00D041A2" w:rsidRDefault="00000000">
      <w:pPr>
        <w:pStyle w:val="Normal12"/>
        <w:widowControl w:val="0"/>
        <w:spacing w:line="260" w:lineRule="atLeast"/>
        <w:ind w:left="400"/>
        <w:jc w:val="both"/>
      </w:pPr>
      <w:bookmarkStart w:id="1310" w:name="Bookmark_para_9_9"/>
      <w:bookmarkEnd w:id="1310"/>
      <w:r>
        <w:rPr>
          <w:rFonts w:ascii="Arial" w:eastAsia="Arial" w:hAnsi="Arial" w:cs="Arial"/>
          <w:color w:val="000000"/>
          <w:sz w:val="20"/>
        </w:rPr>
        <w:t>06235877</w:t>
      </w:r>
    </w:p>
    <w:p w14:paraId="7D71641D" w14:textId="77777777" w:rsidR="00D041A2" w:rsidRDefault="00000000">
      <w:pPr>
        <w:pStyle w:val="Normal12"/>
        <w:widowControl w:val="0"/>
        <w:spacing w:line="260" w:lineRule="atLeast"/>
        <w:ind w:left="400"/>
        <w:jc w:val="both"/>
      </w:pPr>
      <w:bookmarkStart w:id="1311" w:name="Bookmark_para_10_9"/>
      <w:bookmarkEnd w:id="1311"/>
      <w:r>
        <w:rPr>
          <w:rFonts w:ascii="Arial" w:eastAsia="Arial" w:hAnsi="Arial" w:cs="Arial"/>
          <w:color w:val="000000"/>
          <w:sz w:val="20"/>
        </w:rPr>
        <w:t>Bahl, Douglas Duayne [sic]</w:t>
      </w:r>
    </w:p>
    <w:p w14:paraId="021A9EF4" w14:textId="77777777" w:rsidR="00D041A2" w:rsidRDefault="00000000">
      <w:pPr>
        <w:pStyle w:val="Normal12"/>
        <w:widowControl w:val="0"/>
        <w:spacing w:line="260" w:lineRule="atLeast"/>
        <w:ind w:left="400"/>
        <w:jc w:val="both"/>
      </w:pPr>
      <w:bookmarkStart w:id="1312" w:name="Bookmark_para_11_8"/>
      <w:bookmarkEnd w:id="1312"/>
      <w:r>
        <w:rPr>
          <w:rFonts w:ascii="Arial" w:eastAsia="Arial" w:hAnsi="Arial" w:cs="Arial"/>
          <w:color w:val="000000"/>
          <w:sz w:val="20"/>
        </w:rPr>
        <w:t>You have been arrested for</w:t>
      </w:r>
    </w:p>
    <w:p w14:paraId="5250B834" w14:textId="77777777" w:rsidR="00D041A2" w:rsidRDefault="00000000">
      <w:pPr>
        <w:pStyle w:val="Normal12"/>
        <w:widowControl w:val="0"/>
        <w:spacing w:line="260" w:lineRule="atLeast"/>
        <w:ind w:left="400"/>
        <w:jc w:val="both"/>
      </w:pPr>
      <w:bookmarkStart w:id="1313" w:name="Bookmark_para_12_7"/>
      <w:bookmarkEnd w:id="1313"/>
      <w:r>
        <w:rPr>
          <w:rFonts w:ascii="Arial" w:eastAsia="Arial" w:hAnsi="Arial" w:cs="Arial"/>
          <w:color w:val="000000"/>
          <w:sz w:val="20"/>
        </w:rPr>
        <w:t>GROSS MISDEMEANOR OBSTRUCTING WITH FORCE</w:t>
      </w:r>
    </w:p>
    <w:p w14:paraId="7DB77A42" w14:textId="77777777" w:rsidR="00D041A2" w:rsidRDefault="00000000">
      <w:pPr>
        <w:pStyle w:val="Normal12"/>
        <w:widowControl w:val="0"/>
        <w:spacing w:line="260" w:lineRule="atLeast"/>
        <w:ind w:left="400"/>
        <w:jc w:val="both"/>
      </w:pPr>
      <w:bookmarkStart w:id="1314" w:name="Bookmark_para_13_6"/>
      <w:bookmarkEnd w:id="1314"/>
      <w:r>
        <w:rPr>
          <w:rFonts w:ascii="Arial" w:eastAsia="Arial" w:hAnsi="Arial" w:cs="Arial"/>
          <w:color w:val="000000"/>
          <w:sz w:val="20"/>
        </w:rPr>
        <w:t>MN State Statute 609.50</w:t>
      </w:r>
    </w:p>
    <w:p w14:paraId="02DA1EE1" w14:textId="77777777" w:rsidR="00D041A2" w:rsidRDefault="00000000">
      <w:pPr>
        <w:pStyle w:val="Normal12"/>
        <w:widowControl w:val="0"/>
        <w:spacing w:line="260" w:lineRule="atLeast"/>
        <w:ind w:left="400"/>
        <w:jc w:val="both"/>
      </w:pPr>
      <w:bookmarkStart w:id="1315" w:name="Bookmark_para_14_6"/>
      <w:bookmarkEnd w:id="1315"/>
      <w:r>
        <w:rPr>
          <w:rFonts w:ascii="Arial" w:eastAsia="Arial" w:hAnsi="Arial" w:cs="Arial"/>
          <w:color w:val="000000"/>
          <w:sz w:val="20"/>
        </w:rPr>
        <w:t>We will not be asking you any questions at this time. When an investigator interviews you a sign language interpreter can be provided if you wish.</w:t>
      </w:r>
    </w:p>
    <w:p w14:paraId="04DF5C9B" w14:textId="77777777" w:rsidR="00D041A2" w:rsidRDefault="00000000">
      <w:pPr>
        <w:pStyle w:val="Normal12"/>
        <w:widowControl w:val="0"/>
        <w:spacing w:before="200" w:line="260" w:lineRule="atLeast"/>
        <w:jc w:val="both"/>
      </w:pPr>
      <w:r>
        <w:rPr>
          <w:rFonts w:ascii="Arial" w:eastAsia="Arial" w:hAnsi="Arial" w:cs="Arial"/>
          <w:color w:val="000000"/>
          <w:sz w:val="20"/>
        </w:rPr>
        <w:t>Bobrowski picked up the statement from the law-enforcement center, returned to the hospital and presented the statement to Bahl. Bahl nodded  [**5] affirmatively after looking at the statement. At the hospital, Bahl had the following exchange with a deputy of the Ramsey County Sheriff, written on the charge statement:</w:t>
      </w:r>
    </w:p>
    <w:p w14:paraId="07F06900" w14:textId="77777777" w:rsidR="00D041A2" w:rsidRDefault="00000000">
      <w:pPr>
        <w:pStyle w:val="Normal12"/>
        <w:widowControl w:val="0"/>
        <w:spacing w:line="260" w:lineRule="atLeast"/>
        <w:ind w:left="400"/>
        <w:jc w:val="both"/>
      </w:pPr>
      <w:bookmarkStart w:id="1316" w:name="Bookmark_para_15_6"/>
      <w:bookmarkEnd w:id="1316"/>
      <w:r>
        <w:rPr>
          <w:rFonts w:ascii="Arial" w:eastAsia="Arial" w:hAnsi="Arial" w:cs="Arial"/>
          <w:color w:val="000000"/>
          <w:sz w:val="20"/>
        </w:rPr>
        <w:t>Bahl: "Will you get me an interpreter"</w:t>
      </w:r>
    </w:p>
    <w:p w14:paraId="2CF8E26F" w14:textId="77777777" w:rsidR="00D041A2" w:rsidRDefault="00000000">
      <w:pPr>
        <w:pStyle w:val="Normal12"/>
        <w:widowControl w:val="0"/>
        <w:spacing w:line="260" w:lineRule="atLeast"/>
        <w:ind w:left="400"/>
        <w:jc w:val="both"/>
      </w:pPr>
      <w:bookmarkStart w:id="1317" w:name="Bookmark_para_16_6"/>
      <w:bookmarkEnd w:id="1317"/>
      <w:r>
        <w:rPr>
          <w:rFonts w:ascii="Arial" w:eastAsia="Arial" w:hAnsi="Arial" w:cs="Arial"/>
          <w:color w:val="000000"/>
          <w:sz w:val="20"/>
        </w:rPr>
        <w:t>Deputy: "St. Paul would have to"</w:t>
      </w:r>
    </w:p>
    <w:p w14:paraId="631384CE" w14:textId="77777777" w:rsidR="00D041A2" w:rsidRDefault="00000000">
      <w:pPr>
        <w:pStyle w:val="Normal12"/>
        <w:widowControl w:val="0"/>
        <w:spacing w:line="260" w:lineRule="atLeast"/>
        <w:ind w:left="400"/>
        <w:jc w:val="both"/>
      </w:pPr>
      <w:bookmarkStart w:id="1318" w:name="Bookmark_para_17_6"/>
      <w:bookmarkEnd w:id="1318"/>
      <w:r>
        <w:rPr>
          <w:rFonts w:ascii="Arial" w:eastAsia="Arial" w:hAnsi="Arial" w:cs="Arial"/>
          <w:color w:val="000000"/>
          <w:sz w:val="20"/>
        </w:rPr>
        <w:t>Bahl: "When?"</w:t>
      </w:r>
    </w:p>
    <w:p w14:paraId="7EDACCE4" w14:textId="77777777" w:rsidR="00D041A2" w:rsidRDefault="00000000">
      <w:pPr>
        <w:pStyle w:val="Normal12"/>
        <w:widowControl w:val="0"/>
        <w:spacing w:line="260" w:lineRule="atLeast"/>
        <w:ind w:left="400"/>
        <w:jc w:val="both"/>
      </w:pPr>
      <w:bookmarkStart w:id="1319" w:name="Bookmark_para_18_6"/>
      <w:bookmarkEnd w:id="1319"/>
      <w:r>
        <w:rPr>
          <w:rFonts w:ascii="Arial" w:eastAsia="Arial" w:hAnsi="Arial" w:cs="Arial"/>
          <w:color w:val="000000"/>
          <w:sz w:val="20"/>
        </w:rPr>
        <w:t>Deputy: "Its up to the investigators"</w:t>
      </w:r>
    </w:p>
    <w:p w14:paraId="2AF342E9" w14:textId="77777777" w:rsidR="00D041A2" w:rsidRDefault="00000000">
      <w:pPr>
        <w:pStyle w:val="Normal12"/>
        <w:widowControl w:val="0"/>
        <w:spacing w:line="260" w:lineRule="atLeast"/>
        <w:ind w:left="400"/>
        <w:jc w:val="both"/>
      </w:pPr>
      <w:bookmarkStart w:id="1320" w:name="Bookmark_para_19_6"/>
      <w:bookmarkEnd w:id="1320"/>
      <w:r>
        <w:rPr>
          <w:rFonts w:ascii="Arial" w:eastAsia="Arial" w:hAnsi="Arial" w:cs="Arial"/>
          <w:color w:val="000000"/>
          <w:sz w:val="20"/>
        </w:rPr>
        <w:t>Bahl: "Tonite?"</w:t>
      </w:r>
    </w:p>
    <w:p w14:paraId="515AB6B1" w14:textId="77777777" w:rsidR="00D041A2" w:rsidRDefault="00000000">
      <w:pPr>
        <w:pStyle w:val="Normal12"/>
        <w:widowControl w:val="0"/>
        <w:spacing w:line="260" w:lineRule="atLeast"/>
        <w:ind w:left="400"/>
        <w:jc w:val="both"/>
      </w:pPr>
      <w:bookmarkStart w:id="1321" w:name="Bookmark_para_20_6"/>
      <w:bookmarkEnd w:id="1321"/>
      <w:r>
        <w:rPr>
          <w:rFonts w:ascii="Arial" w:eastAsia="Arial" w:hAnsi="Arial" w:cs="Arial"/>
          <w:color w:val="000000"/>
          <w:sz w:val="20"/>
        </w:rPr>
        <w:t>Deputy: "St. Paul knows and they do not want to ask"</w:t>
      </w:r>
    </w:p>
    <w:p w14:paraId="201F7A2C" w14:textId="77777777" w:rsidR="00D041A2" w:rsidRDefault="00000000">
      <w:pPr>
        <w:pStyle w:val="Normal12"/>
        <w:widowControl w:val="0"/>
        <w:spacing w:line="260" w:lineRule="atLeast"/>
        <w:ind w:left="400"/>
        <w:jc w:val="both"/>
      </w:pPr>
      <w:bookmarkStart w:id="1322" w:name="Bookmark_para_21_6"/>
      <w:bookmarkEnd w:id="1322"/>
      <w:r>
        <w:rPr>
          <w:rFonts w:ascii="Arial" w:eastAsia="Arial" w:hAnsi="Arial" w:cs="Arial"/>
          <w:color w:val="000000"/>
          <w:sz w:val="20"/>
        </w:rPr>
        <w:t>Bahl: "I do not understand clearly between you and St. Paul-confusing."</w:t>
      </w:r>
    </w:p>
    <w:p w14:paraId="729EA39A" w14:textId="77777777" w:rsidR="00D041A2" w:rsidRDefault="00000000">
      <w:pPr>
        <w:pStyle w:val="Normal12"/>
        <w:widowControl w:val="0"/>
        <w:spacing w:line="260" w:lineRule="atLeast"/>
        <w:jc w:val="both"/>
      </w:pPr>
      <w:r>
        <w:rPr>
          <w:rFonts w:ascii="Arial" w:eastAsia="Arial" w:hAnsi="Arial" w:cs="Arial"/>
          <w:color w:val="000000"/>
          <w:sz w:val="20"/>
        </w:rPr>
        <w:t>Bahl also wrote: "ADA Law! must provide Interpreter or I'll file lawsuit" and "I feel it's urgent to act now-cuz of brutality."</w:t>
      </w:r>
    </w:p>
    <w:p w14:paraId="4AF73EEF" w14:textId="77777777" w:rsidR="00D041A2" w:rsidRDefault="00000000">
      <w:pPr>
        <w:pStyle w:val="Normal12"/>
        <w:widowControl w:val="0"/>
        <w:spacing w:before="200" w:line="260" w:lineRule="atLeast"/>
        <w:jc w:val="both"/>
      </w:pPr>
      <w:bookmarkStart w:id="1323" w:name="Bookmark_para_22_6"/>
      <w:bookmarkEnd w:id="1323"/>
      <w:r>
        <w:rPr>
          <w:rFonts w:ascii="Arial" w:eastAsia="Arial" w:hAnsi="Arial" w:cs="Arial"/>
          <w:color w:val="000000"/>
          <w:sz w:val="20"/>
        </w:rPr>
        <w:t>When presented with the statement at his deposition, Bahl stated: "I can read [the words], but some of the words I don't understand." He identified a number of words he did not understand, such as "gross misdemeanor," "obstructing with force," "investigator," and "force." He did not understand to whom "we" referred. Later that day, Bahl was transported to the Ramsey County Adult Detention Center (ADC).</w:t>
      </w:r>
    </w:p>
    <w:p w14:paraId="0A36378F" w14:textId="77777777" w:rsidR="00D041A2" w:rsidRDefault="00000000">
      <w:pPr>
        <w:pStyle w:val="Normal12"/>
        <w:widowControl w:val="0"/>
        <w:spacing w:before="200" w:line="260" w:lineRule="atLeast"/>
        <w:jc w:val="both"/>
      </w:pPr>
      <w:bookmarkStart w:id="1324" w:name="Bookmark_para_23_6"/>
      <w:bookmarkEnd w:id="1324"/>
      <w:r>
        <w:rPr>
          <w:rFonts w:ascii="Arial" w:eastAsia="Arial" w:hAnsi="Arial" w:cs="Arial"/>
          <w:color w:val="000000"/>
          <w:sz w:val="20"/>
        </w:rPr>
        <w:t>The following day, a St. Paul Police investigator, Sergeant Bryant Gaden, came to the jail to interview Bahl. Gaden did not bring an interpreter, and communicated in writing with Bahl:</w:t>
      </w:r>
    </w:p>
    <w:p w14:paraId="5CFE2F88" w14:textId="77777777" w:rsidR="00D041A2" w:rsidRDefault="00000000">
      <w:pPr>
        <w:pStyle w:val="Normal12"/>
        <w:widowControl w:val="0"/>
        <w:spacing w:before="200" w:line="260" w:lineRule="atLeast"/>
        <w:ind w:left="400"/>
        <w:jc w:val="both"/>
      </w:pPr>
      <w:bookmarkStart w:id="1325" w:name="Bookmark_para_24_5"/>
      <w:bookmarkEnd w:id="1325"/>
      <w:r>
        <w:rPr>
          <w:rFonts w:ascii="Arial" w:eastAsia="Arial" w:hAnsi="Arial" w:cs="Arial"/>
          <w:color w:val="000000"/>
          <w:sz w:val="20"/>
        </w:rPr>
        <w:t> [*783]  Bahl: Can you get Sign Language interpreter? I already  [**6] requested last night. Sign language is my primary language.</w:t>
      </w:r>
    </w:p>
    <w:p w14:paraId="1E72524B" w14:textId="77777777" w:rsidR="00D041A2" w:rsidRDefault="00000000">
      <w:pPr>
        <w:pStyle w:val="Normal12"/>
        <w:widowControl w:val="0"/>
        <w:spacing w:line="260" w:lineRule="atLeast"/>
        <w:ind w:left="400"/>
        <w:jc w:val="both"/>
      </w:pPr>
      <w:bookmarkStart w:id="1326" w:name="Bookmark_para_25_5"/>
      <w:bookmarkEnd w:id="1326"/>
      <w:r>
        <w:rPr>
          <w:rFonts w:ascii="Arial" w:eastAsia="Arial" w:hAnsi="Arial" w:cs="Arial"/>
          <w:color w:val="000000"/>
          <w:sz w:val="20"/>
        </w:rPr>
        <w:t>Gaden: Not true</w:t>
      </w:r>
    </w:p>
    <w:p w14:paraId="22CBD194" w14:textId="77777777" w:rsidR="00D041A2" w:rsidRDefault="00000000">
      <w:pPr>
        <w:pStyle w:val="Normal12"/>
        <w:widowControl w:val="0"/>
        <w:spacing w:line="260" w:lineRule="atLeast"/>
        <w:ind w:left="400"/>
        <w:jc w:val="both"/>
      </w:pPr>
      <w:bookmarkStart w:id="1327" w:name="Bookmark_para_26_5"/>
      <w:bookmarkEnd w:id="1327"/>
      <w:r>
        <w:rPr>
          <w:rFonts w:ascii="Arial" w:eastAsia="Arial" w:hAnsi="Arial" w:cs="Arial"/>
          <w:color w:val="000000"/>
          <w:sz w:val="20"/>
        </w:rPr>
        <w:t>Bahl: I am deaf and use ASL. Please respect my language.</w:t>
      </w:r>
    </w:p>
    <w:p w14:paraId="0033D570" w14:textId="77777777" w:rsidR="00D041A2" w:rsidRDefault="00000000">
      <w:pPr>
        <w:pStyle w:val="Normal12"/>
        <w:widowControl w:val="0"/>
        <w:spacing w:line="260" w:lineRule="atLeast"/>
        <w:ind w:left="400"/>
        <w:jc w:val="both"/>
      </w:pPr>
      <w:bookmarkStart w:id="1328" w:name="Bookmark_para_27_5"/>
      <w:bookmarkEnd w:id="1328"/>
      <w:r>
        <w:rPr>
          <w:rFonts w:ascii="Arial" w:eastAsia="Arial" w:hAnsi="Arial" w:cs="Arial"/>
          <w:color w:val="000000"/>
          <w:sz w:val="20"/>
        </w:rPr>
        <w:t>Gaden: Writing is a language</w:t>
      </w:r>
    </w:p>
    <w:p w14:paraId="5F8FE5C7" w14:textId="77777777" w:rsidR="00D041A2" w:rsidRDefault="00000000">
      <w:pPr>
        <w:pStyle w:val="Normal12"/>
        <w:widowControl w:val="0"/>
        <w:spacing w:line="260" w:lineRule="atLeast"/>
        <w:ind w:left="400"/>
        <w:jc w:val="both"/>
      </w:pPr>
      <w:bookmarkStart w:id="1329" w:name="Bookmark_para_28_5"/>
      <w:bookmarkEnd w:id="1329"/>
      <w:r>
        <w:rPr>
          <w:rFonts w:ascii="Arial" w:eastAsia="Arial" w:hAnsi="Arial" w:cs="Arial"/>
          <w:color w:val="000000"/>
          <w:sz w:val="20"/>
        </w:rPr>
        <w:t>Bahl: English is my second language. More effective communication is through ASL not my 2nd language.</w:t>
      </w:r>
    </w:p>
    <w:p w14:paraId="2E6EF70F" w14:textId="77777777" w:rsidR="00D041A2" w:rsidRDefault="00000000">
      <w:pPr>
        <w:pStyle w:val="Normal12"/>
        <w:widowControl w:val="0"/>
        <w:spacing w:line="260" w:lineRule="atLeast"/>
        <w:ind w:left="400"/>
        <w:jc w:val="both"/>
      </w:pPr>
      <w:bookmarkStart w:id="1330" w:name="Bookmark_para_29_4"/>
      <w:bookmarkEnd w:id="1330"/>
      <w:r>
        <w:rPr>
          <w:rFonts w:ascii="Arial" w:eastAsia="Arial" w:hAnsi="Arial" w:cs="Arial"/>
          <w:color w:val="000000"/>
          <w:sz w:val="20"/>
        </w:rPr>
        <w:t>Gaden: I will read you the rights form, you can read along. Then I will go and look for interpreter.</w:t>
      </w:r>
    </w:p>
    <w:p w14:paraId="7208D4A9" w14:textId="77777777" w:rsidR="00D041A2" w:rsidRDefault="00000000">
      <w:pPr>
        <w:pStyle w:val="Normal12"/>
        <w:widowControl w:val="0"/>
        <w:spacing w:line="260" w:lineRule="atLeast"/>
        <w:ind w:left="400"/>
        <w:jc w:val="both"/>
      </w:pPr>
      <w:bookmarkStart w:id="1331" w:name="Bookmark_para_30_4"/>
      <w:bookmarkEnd w:id="1331"/>
      <w:r>
        <w:rPr>
          <w:rFonts w:ascii="Arial" w:eastAsia="Arial" w:hAnsi="Arial" w:cs="Arial"/>
          <w:color w:val="000000"/>
          <w:sz w:val="20"/>
        </w:rPr>
        <w:t>Bahl: Thanks!</w:t>
      </w:r>
    </w:p>
    <w:p w14:paraId="57D34BE8" w14:textId="77777777" w:rsidR="00D041A2" w:rsidRDefault="00000000">
      <w:pPr>
        <w:pStyle w:val="Normal12"/>
        <w:widowControl w:val="0"/>
        <w:spacing w:line="260" w:lineRule="atLeast"/>
        <w:ind w:left="400"/>
        <w:jc w:val="both"/>
      </w:pPr>
      <w:bookmarkStart w:id="1332" w:name="Bookmark_para_31_4"/>
      <w:bookmarkEnd w:id="1332"/>
      <w:r>
        <w:rPr>
          <w:rFonts w:ascii="Arial" w:eastAsia="Arial" w:hAnsi="Arial" w:cs="Arial"/>
          <w:color w:val="000000"/>
          <w:sz w:val="20"/>
        </w:rPr>
        <w:t>Gaden: Read them, if you understand initial each space then I will give you a copy.</w:t>
      </w:r>
    </w:p>
    <w:p w14:paraId="6013EE81" w14:textId="77777777" w:rsidR="00D041A2" w:rsidRDefault="00000000">
      <w:pPr>
        <w:pStyle w:val="Normal12"/>
        <w:widowControl w:val="0"/>
        <w:spacing w:line="260" w:lineRule="atLeast"/>
        <w:ind w:left="400"/>
        <w:jc w:val="both"/>
      </w:pPr>
      <w:bookmarkStart w:id="1333" w:name="Bookmark_para_32_4"/>
      <w:bookmarkEnd w:id="1333"/>
      <w:r>
        <w:rPr>
          <w:rFonts w:ascii="Arial" w:eastAsia="Arial" w:hAnsi="Arial" w:cs="Arial"/>
          <w:color w:val="000000"/>
          <w:sz w:val="20"/>
        </w:rPr>
        <w:t>Bahl: Initials?</w:t>
      </w:r>
    </w:p>
    <w:p w14:paraId="77B1A1ED" w14:textId="77777777" w:rsidR="00D041A2" w:rsidRDefault="00000000">
      <w:pPr>
        <w:pStyle w:val="Normal12"/>
        <w:widowControl w:val="0"/>
        <w:spacing w:before="200" w:line="260" w:lineRule="atLeast"/>
        <w:jc w:val="both"/>
      </w:pPr>
      <w:bookmarkStart w:id="1334" w:name="Bookmark_I56XJBHY28T51F0020000400"/>
      <w:bookmarkEnd w:id="1334"/>
      <w:r>
        <w:rPr>
          <w:rFonts w:ascii="Arial" w:eastAsia="Arial" w:hAnsi="Arial" w:cs="Arial"/>
          <w:color w:val="000000"/>
          <w:sz w:val="20"/>
        </w:rPr>
        <w:t xml:space="preserve">Thereafter, Bahl completed the biographical section of the form, and initialed to show his understanding of each </w:t>
      </w:r>
      <w:r>
        <w:rPr>
          <w:rFonts w:ascii="Arial" w:eastAsia="Arial" w:hAnsi="Arial" w:cs="Arial"/>
          <w:color w:val="000000"/>
          <w:sz w:val="20"/>
          <w:u w:val="single"/>
        </w:rPr>
        <w:t>Miranda</w:t>
      </w:r>
      <w:r>
        <w:rPr>
          <w:rFonts w:ascii="Arial" w:eastAsia="Arial" w:hAnsi="Arial" w:cs="Arial"/>
          <w:vertAlign w:val="superscript"/>
        </w:rPr>
        <w:footnoteReference w:customMarkFollows="1" w:id="70"/>
        <w:t>4</w:t>
      </w:r>
      <w:r>
        <w:rPr>
          <w:rFonts w:ascii="Arial" w:eastAsia="Arial" w:hAnsi="Arial" w:cs="Arial"/>
          <w:color w:val="000000"/>
          <w:sz w:val="20"/>
        </w:rPr>
        <w:t xml:space="preserve"> right. Bahl then signed the form. Gaden asked, "At this point you would like to stop and have an interpreter present?" and Bahl replied, "Yes please." Gaden ended the interview. He did not return to speak with Bahl again. Gaden inquired about an interpreter but believed "it would have cost too much money." Gaden also testified that he decided an interview was not necessary to the City's case and did not justify the cost of an interpreter.</w:t>
      </w:r>
    </w:p>
    <w:p w14:paraId="749E03D8" w14:textId="77777777" w:rsidR="00D041A2" w:rsidRDefault="00000000">
      <w:pPr>
        <w:pStyle w:val="Normal12"/>
        <w:widowControl w:val="0"/>
        <w:spacing w:before="200" w:line="260" w:lineRule="atLeast"/>
        <w:jc w:val="both"/>
      </w:pPr>
      <w:bookmarkStart w:id="1337" w:name="Bookmark_para_33_4"/>
      <w:bookmarkEnd w:id="1337"/>
      <w:r>
        <w:rPr>
          <w:rFonts w:ascii="Arial" w:eastAsia="Arial" w:hAnsi="Arial" w:cs="Arial"/>
          <w:color w:val="000000"/>
          <w:sz w:val="20"/>
        </w:rPr>
        <w:t>On Monday, Bahl was charged and bail was set at $6,000. Bahl then was released from the ADC. On September 14, 2007, a jury convicted  [**7] Bahl of misdemeanor obstruction of legal process based on the November 17, 2006 traffic stop. On July 28, 2008, Bahl began this action in Minnesota state court, claiming disability discrimination against the City of St. Paul under the ADA, § 504 of the Rehabilitation Act, the MHRA, and common law negligence. The City timely removed the case and moved for summary judgment. The district court granted the City's motion for summary judgment. This appeal followed.</w:t>
      </w:r>
    </w:p>
    <w:p w14:paraId="6D067452" w14:textId="77777777" w:rsidR="00D041A2" w:rsidRDefault="00000000">
      <w:pPr>
        <w:pStyle w:val="Normal12"/>
        <w:widowControl w:val="0"/>
        <w:spacing w:before="120" w:line="260" w:lineRule="atLeast"/>
      </w:pPr>
      <w:r>
        <w:rPr>
          <w:rFonts w:ascii="Arial" w:eastAsia="Arial" w:hAnsi="Arial" w:cs="Arial"/>
          <w:color w:val="000000"/>
          <w:sz w:val="20"/>
        </w:rPr>
        <w:t>II.</w:t>
      </w:r>
    </w:p>
    <w:p w14:paraId="2BA95B90" w14:textId="77777777" w:rsidR="00D041A2" w:rsidRDefault="00000000">
      <w:pPr>
        <w:pStyle w:val="Normal12"/>
        <w:widowControl w:val="0"/>
        <w:spacing w:before="200" w:line="260" w:lineRule="atLeast"/>
        <w:jc w:val="both"/>
      </w:pPr>
      <w:bookmarkStart w:id="1338" w:name="Bookmark_para_34_4"/>
      <w:bookmarkStart w:id="1339" w:name="Bookmark_I56XJBHY28T51F0040000400"/>
      <w:bookmarkStart w:id="1340" w:name="Bookmark_I56XJBHY2HM6SJ0030000400"/>
      <w:bookmarkStart w:id="1341" w:name="Bookmark_LNHNREFclscc1_6"/>
      <w:bookmarkEnd w:id="1338"/>
      <w:bookmarkEnd w:id="1339"/>
      <w:bookmarkEnd w:id="1340"/>
      <w:bookmarkEnd w:id="1341"/>
      <w:r>
        <w:rPr>
          <w:rFonts w:ascii="Arial" w:eastAsia="Arial" w:hAnsi="Arial" w:cs="Arial"/>
          <w:color w:val="000000"/>
          <w:sz w:val="20"/>
        </w:rPr>
        <w:t xml:space="preserve">We review a district court's grant of summary judgment de novo. </w:t>
      </w:r>
      <w:bookmarkStart w:id="1342" w:name="Bookmark_I56XJBHY28T51F0030000400"/>
      <w:bookmarkEnd w:id="1342"/>
      <w:r>
        <w:rPr>
          <w:rFonts w:ascii="Arial" w:eastAsia="Arial" w:hAnsi="Arial" w:cs="Arial"/>
          <w:color w:val="000000"/>
          <w:sz w:val="20"/>
          <w:u w:val="single"/>
        </w:rPr>
        <w:t>Woods v. DaimlerChrysler Corp</w:t>
      </w:r>
      <w:r>
        <w:rPr>
          <w:rFonts w:ascii="Arial" w:eastAsia="Arial" w:hAnsi="Arial" w:cs="Arial"/>
          <w:color w:val="000000"/>
          <w:sz w:val="20"/>
        </w:rPr>
        <w:t xml:space="preserve">., 409 F.3d 984, 990 (8th Cir. 2005) (citing </w:t>
      </w:r>
      <w:bookmarkStart w:id="1343" w:name="Bookmark_I56XJBHY28T51F0050000400"/>
      <w:bookmarkEnd w:id="1343"/>
      <w:r>
        <w:rPr>
          <w:rFonts w:ascii="Arial" w:eastAsia="Arial" w:hAnsi="Arial" w:cs="Arial"/>
          <w:color w:val="000000"/>
          <w:sz w:val="20"/>
          <w:u w:val="single"/>
        </w:rPr>
        <w:t>Gentry v. Georgia-Pac. Co</w:t>
      </w:r>
      <w:r>
        <w:rPr>
          <w:rFonts w:ascii="Arial" w:eastAsia="Arial" w:hAnsi="Arial" w:cs="Arial"/>
          <w:color w:val="000000"/>
          <w:sz w:val="20"/>
        </w:rPr>
        <w:t xml:space="preserve">., 250 F.3d 646, 649 (8th Cir. 2001)). Summary judgment is appropriate if viewing the record in the light most favorable to the nonmoving party, there are no genuine issues of material fact and the moving party is entitled to judgment as a matter of law. </w:t>
      </w:r>
      <w:r>
        <w:rPr>
          <w:rFonts w:ascii="Arial" w:eastAsia="Arial" w:hAnsi="Arial" w:cs="Arial"/>
          <w:color w:val="000000"/>
          <w:sz w:val="20"/>
          <w:u w:val="single"/>
        </w:rPr>
        <w:t>See</w:t>
      </w:r>
      <w:r>
        <w:rPr>
          <w:rFonts w:ascii="Arial" w:eastAsia="Arial" w:hAnsi="Arial" w:cs="Arial"/>
          <w:color w:val="000000"/>
          <w:sz w:val="20"/>
        </w:rPr>
        <w:t xml:space="preserve"> Fed.R.Civ.P. 56(c); </w:t>
      </w:r>
      <w:bookmarkStart w:id="1344" w:name="Bookmark_I56XJBHY2HM6SJ0020000400"/>
      <w:bookmarkEnd w:id="1344"/>
      <w:r>
        <w:rPr>
          <w:rFonts w:ascii="Arial" w:eastAsia="Arial" w:hAnsi="Arial" w:cs="Arial"/>
          <w:color w:val="000000"/>
          <w:sz w:val="20"/>
          <w:u w:val="single"/>
        </w:rPr>
        <w:t>Torgerson v. City of Rochester</w:t>
      </w:r>
      <w:r>
        <w:rPr>
          <w:rFonts w:ascii="Arial" w:eastAsia="Arial" w:hAnsi="Arial" w:cs="Arial"/>
          <w:color w:val="000000"/>
          <w:sz w:val="20"/>
        </w:rPr>
        <w:t>, 643 F.3d 1031, 1042 (8th Cir. 2011).</w:t>
      </w:r>
    </w:p>
    <w:p w14:paraId="1B2A5AD6" w14:textId="77777777" w:rsidR="00D041A2" w:rsidRDefault="00000000">
      <w:pPr>
        <w:pStyle w:val="Normal12"/>
        <w:widowControl w:val="0"/>
        <w:spacing w:before="120" w:line="260" w:lineRule="atLeast"/>
      </w:pPr>
      <w:r>
        <w:rPr>
          <w:rFonts w:ascii="Arial" w:eastAsia="Arial" w:hAnsi="Arial" w:cs="Arial"/>
          <w:color w:val="000000"/>
          <w:sz w:val="20"/>
        </w:rPr>
        <w:t>III.</w:t>
      </w:r>
    </w:p>
    <w:p w14:paraId="42EB8E12" w14:textId="77777777" w:rsidR="00D041A2" w:rsidRDefault="00000000">
      <w:pPr>
        <w:pStyle w:val="Normal12"/>
        <w:widowControl w:val="0"/>
        <w:spacing w:before="200" w:line="260" w:lineRule="atLeast"/>
        <w:jc w:val="both"/>
      </w:pPr>
      <w:bookmarkStart w:id="1345" w:name="Bookmark_para_35_4"/>
      <w:bookmarkStart w:id="1346" w:name="Bookmark_LNHNREFclscc2_6"/>
      <w:bookmarkEnd w:id="1345"/>
      <w:bookmarkEnd w:id="1346"/>
      <w:r>
        <w:rPr>
          <w:rFonts w:ascii="Arial" w:eastAsia="Arial" w:hAnsi="Arial" w:cs="Arial"/>
          <w:color w:val="000000"/>
          <w:sz w:val="20"/>
        </w:rPr>
        <w:t xml:space="preserve">Title II of the ADA provides that "no qualified individual with a disability shall, by reason of such disability, be excluded from participation in or be denied the benefits of the services, programs, or activities of a  [**8] public entity, or be subjected to discrimination by any such entity." 42 U.S.C. § 12132. </w:t>
      </w:r>
      <w:bookmarkStart w:id="1347" w:name="Bookmark_I56XJBHY2HM6SJ0050000400"/>
      <w:bookmarkEnd w:id="1347"/>
      <w:r>
        <w:rPr>
          <w:rFonts w:ascii="Arial" w:eastAsia="Arial" w:hAnsi="Arial" w:cs="Arial"/>
          <w:color w:val="000000"/>
          <w:sz w:val="20"/>
        </w:rPr>
        <w:t xml:space="preserve">We will consider Bahl's claims under the ADA, Rehabilitation Act and MHRA together. The ADA and § 504 of the Rehabilitation Act are "similar in substance" and, with the exception of the Rehabilitation Act's federal funding requirement, "cases interpreting either are applicable and interchangeable" for analytical purposes. </w:t>
      </w:r>
      <w:bookmarkStart w:id="1348" w:name="Bookmark_I56XJBHY2N1RPT0040000400"/>
      <w:bookmarkStart w:id="1349" w:name="Bookmark_I56XJBHY2HM6SJ0040000400"/>
      <w:bookmarkEnd w:id="1348"/>
      <w:bookmarkEnd w:id="1349"/>
      <w:r>
        <w:rPr>
          <w:rFonts w:ascii="Arial" w:eastAsia="Arial" w:hAnsi="Arial" w:cs="Arial"/>
          <w:color w:val="000000"/>
          <w:sz w:val="20"/>
          <w:u w:val="single"/>
        </w:rPr>
        <w:t>Randolph v. Rodgers</w:t>
      </w:r>
      <w:r>
        <w:rPr>
          <w:rFonts w:ascii="Arial" w:eastAsia="Arial" w:hAnsi="Arial" w:cs="Arial"/>
          <w:color w:val="000000"/>
          <w:sz w:val="20"/>
        </w:rPr>
        <w:t xml:space="preserve">, 170 F.3d 850, 858 (8th Cir. 1999) (citing </w:t>
      </w:r>
      <w:bookmarkStart w:id="1350" w:name="Bookmark_I56XJBHY2N1RPT0010000400"/>
      <w:bookmarkEnd w:id="1350"/>
      <w:r>
        <w:rPr>
          <w:rFonts w:ascii="Arial" w:eastAsia="Arial" w:hAnsi="Arial" w:cs="Arial"/>
          <w:color w:val="000000"/>
          <w:sz w:val="20"/>
          <w:u w:val="single"/>
        </w:rPr>
        <w:t>Gorman v. Bartch</w:t>
      </w:r>
      <w:r>
        <w:rPr>
          <w:rFonts w:ascii="Arial" w:eastAsia="Arial" w:hAnsi="Arial" w:cs="Arial"/>
          <w:color w:val="000000"/>
          <w:sz w:val="20"/>
        </w:rPr>
        <w:t xml:space="preserve">, 152 F.3d 907, 912 (8th Cir. 1998)). </w:t>
      </w:r>
      <w:bookmarkStart w:id="1351" w:name="Bookmark_I56XJBHY2N1RPT0040000400_2"/>
      <w:bookmarkEnd w:id="1351"/>
      <w:r>
        <w:rPr>
          <w:rFonts w:ascii="Arial" w:eastAsia="Arial" w:hAnsi="Arial" w:cs="Arial"/>
          <w:color w:val="000000"/>
          <w:sz w:val="20"/>
        </w:rPr>
        <w:t xml:space="preserve">Claims under the ADA and MHRA are also construed similarly. </w:t>
      </w:r>
      <w:r>
        <w:rPr>
          <w:rFonts w:ascii="Arial" w:eastAsia="Arial" w:hAnsi="Arial" w:cs="Arial"/>
          <w:color w:val="000000"/>
          <w:sz w:val="20"/>
          <w:u w:val="single"/>
        </w:rPr>
        <w:t xml:space="preserve">See, e.g., </w:t>
      </w:r>
      <w:bookmarkStart w:id="1352" w:name="Bookmark_I56XJBHY2N1RPT0030000400"/>
      <w:bookmarkEnd w:id="1352"/>
      <w:r>
        <w:rPr>
          <w:rFonts w:ascii="Arial" w:eastAsia="Arial" w:hAnsi="Arial" w:cs="Arial"/>
          <w:color w:val="000000"/>
          <w:sz w:val="20"/>
          <w:u w:val="single"/>
        </w:rPr>
        <w:t>Somers v. City of Minneapolis</w:t>
      </w:r>
      <w:r>
        <w:rPr>
          <w:rFonts w:ascii="Arial" w:eastAsia="Arial" w:hAnsi="Arial" w:cs="Arial"/>
          <w:color w:val="000000"/>
          <w:sz w:val="20"/>
        </w:rPr>
        <w:t xml:space="preserve">, 245 F.3d 782, 788 (8th Cir. 2001) (citing </w:t>
      </w:r>
      <w:bookmarkStart w:id="1353" w:name="Bookmark_I56XJBHY2N1RPT0050000400"/>
      <w:bookmarkEnd w:id="1353"/>
      <w:r>
        <w:rPr>
          <w:rFonts w:ascii="Arial" w:eastAsia="Arial" w:hAnsi="Arial" w:cs="Arial"/>
          <w:color w:val="000000"/>
          <w:sz w:val="20"/>
          <w:u w:val="single"/>
        </w:rPr>
        <w:t xml:space="preserve">Treanor </w:t>
      </w:r>
      <w:r>
        <w:rPr>
          <w:rFonts w:ascii="Arial" w:eastAsia="Arial" w:hAnsi="Arial" w:cs="Arial"/>
          <w:color w:val="000000"/>
          <w:sz w:val="20"/>
        </w:rPr>
        <w:t> [*784] </w:t>
      </w:r>
      <w:r>
        <w:rPr>
          <w:rFonts w:ascii="Arial" w:eastAsia="Arial" w:hAnsi="Arial" w:cs="Arial"/>
          <w:color w:val="000000"/>
          <w:sz w:val="20"/>
          <w:u w:val="single"/>
        </w:rPr>
        <w:t xml:space="preserve"> v. MCI Telecomms. Corp</w:t>
      </w:r>
      <w:r>
        <w:rPr>
          <w:rFonts w:ascii="Arial" w:eastAsia="Arial" w:hAnsi="Arial" w:cs="Arial"/>
          <w:color w:val="000000"/>
          <w:sz w:val="20"/>
        </w:rPr>
        <w:t>., 200 F.3d 570, 574 (8th Cir. 2000)).</w:t>
      </w:r>
    </w:p>
    <w:p w14:paraId="61B62992" w14:textId="77777777" w:rsidR="00D041A2" w:rsidRDefault="00000000">
      <w:pPr>
        <w:pStyle w:val="Normal12"/>
        <w:widowControl w:val="0"/>
        <w:spacing w:before="200" w:line="260" w:lineRule="atLeast"/>
        <w:jc w:val="both"/>
      </w:pPr>
      <w:bookmarkStart w:id="1354" w:name="Bookmark_para_36_4"/>
      <w:bookmarkStart w:id="1355" w:name="Bookmark_I56XJBHY2HM6SK0030000400"/>
      <w:bookmarkStart w:id="1356" w:name="Bookmark_I56XJBHY2SF8JC0020000400"/>
      <w:bookmarkStart w:id="1357" w:name="Bookmark_LNHNREFclscc3_6"/>
      <w:bookmarkEnd w:id="1354"/>
      <w:bookmarkEnd w:id="1355"/>
      <w:bookmarkEnd w:id="1356"/>
      <w:bookmarkEnd w:id="1357"/>
      <w:r>
        <w:rPr>
          <w:rFonts w:ascii="Arial" w:eastAsia="Arial" w:hAnsi="Arial" w:cs="Arial"/>
          <w:color w:val="000000"/>
          <w:sz w:val="20"/>
        </w:rPr>
        <w:t xml:space="preserve">We have construed Title II of the ADA and its implementing regulations as requiring that qualified persons with disabilities receive effective communication that results in "meaningful access" to a public entity's services. </w:t>
      </w:r>
      <w:bookmarkStart w:id="1358" w:name="Bookmark_I56XJBHY2HM6SK0020000400"/>
      <w:bookmarkEnd w:id="1358"/>
      <w:r>
        <w:rPr>
          <w:rFonts w:ascii="Arial" w:eastAsia="Arial" w:hAnsi="Arial" w:cs="Arial"/>
          <w:color w:val="000000"/>
          <w:sz w:val="20"/>
          <w:u w:val="single"/>
        </w:rPr>
        <w:t>Loye v. County of Dakota</w:t>
      </w:r>
      <w:r>
        <w:rPr>
          <w:rFonts w:ascii="Arial" w:eastAsia="Arial" w:hAnsi="Arial" w:cs="Arial"/>
          <w:color w:val="000000"/>
          <w:sz w:val="20"/>
        </w:rPr>
        <w:t xml:space="preserve">, 625 F.3d 494, 496-97, 500 (8th Cir. 2010) (citing </w:t>
      </w:r>
      <w:bookmarkStart w:id="1359" w:name="Bookmark_I56XJBHY2HM6SK0040000400"/>
      <w:bookmarkEnd w:id="1359"/>
      <w:r>
        <w:rPr>
          <w:rFonts w:ascii="Arial" w:eastAsia="Arial" w:hAnsi="Arial" w:cs="Arial"/>
          <w:color w:val="000000"/>
          <w:sz w:val="20"/>
          <w:u w:val="single"/>
        </w:rPr>
        <w:t>Randolph</w:t>
      </w:r>
      <w:r>
        <w:rPr>
          <w:rFonts w:ascii="Arial" w:eastAsia="Arial" w:hAnsi="Arial" w:cs="Arial"/>
          <w:color w:val="000000"/>
          <w:sz w:val="20"/>
        </w:rPr>
        <w:t xml:space="preserve">, 170 F.3d at 858 and 28 C.F.R. § 35.160(a)(1)). "Depending on the circumstances, this may require the use of 'auxiliary aids and services,' such as interpreters  [**9] for the hearing impaired." </w:t>
      </w:r>
      <w:bookmarkStart w:id="1360" w:name="Bookmark_I56XJBHY2SF8JC0010000400"/>
      <w:bookmarkEnd w:id="1360"/>
      <w:r>
        <w:rPr>
          <w:rFonts w:ascii="Arial" w:eastAsia="Arial" w:hAnsi="Arial" w:cs="Arial"/>
          <w:color w:val="000000"/>
          <w:sz w:val="20"/>
          <w:u w:val="single"/>
        </w:rPr>
        <w:t>Loye</w:t>
      </w:r>
      <w:r>
        <w:rPr>
          <w:rFonts w:ascii="Arial" w:eastAsia="Arial" w:hAnsi="Arial" w:cs="Arial"/>
          <w:color w:val="000000"/>
          <w:sz w:val="20"/>
        </w:rPr>
        <w:t xml:space="preserve">, 625 F.3d at 496-97 (citing </w:t>
      </w:r>
      <w:bookmarkStart w:id="1361" w:name="Bookmark_I56XJBHY2SF8JC0030000400"/>
      <w:bookmarkEnd w:id="1361"/>
      <w:r>
        <w:rPr>
          <w:rFonts w:ascii="Arial" w:eastAsia="Arial" w:hAnsi="Arial" w:cs="Arial"/>
          <w:color w:val="000000"/>
          <w:sz w:val="20"/>
          <w:u w:val="single"/>
        </w:rPr>
        <w:t>Mason v. Corr. Med. Servs., Inc</w:t>
      </w:r>
      <w:r>
        <w:rPr>
          <w:rFonts w:ascii="Arial" w:eastAsia="Arial" w:hAnsi="Arial" w:cs="Arial"/>
          <w:color w:val="000000"/>
          <w:sz w:val="20"/>
        </w:rPr>
        <w:t>., 559 F.3d 880, 886 (8th Cir. 2009), applying 42 U.S.C. § 12131(2) and 28 C.F.R. § 35.104(2)).</w:t>
      </w:r>
    </w:p>
    <w:p w14:paraId="2465A87F" w14:textId="77777777" w:rsidR="00D041A2" w:rsidRDefault="00000000">
      <w:pPr>
        <w:pStyle w:val="Normal12"/>
        <w:widowControl w:val="0"/>
        <w:spacing w:before="200" w:line="260" w:lineRule="atLeast"/>
        <w:jc w:val="both"/>
      </w:pPr>
      <w:bookmarkStart w:id="1362" w:name="Bookmark_para_37_4"/>
      <w:bookmarkEnd w:id="1362"/>
      <w:r>
        <w:rPr>
          <w:rFonts w:ascii="Arial" w:eastAsia="Arial" w:hAnsi="Arial" w:cs="Arial"/>
          <w:color w:val="000000"/>
          <w:sz w:val="20"/>
        </w:rPr>
        <w:t>It is undisputed that, as a deaf person, Bahl is a "qualified individual" with a disability. The question before the district court, and now us, is whether Bahl was denied effective communication and discriminated against because of his hearing disability.</w:t>
      </w:r>
    </w:p>
    <w:p w14:paraId="6AFDDD89" w14:textId="77777777" w:rsidR="00D041A2" w:rsidRDefault="00000000">
      <w:pPr>
        <w:pStyle w:val="Normal12"/>
        <w:widowControl w:val="0"/>
        <w:spacing w:before="120" w:line="260" w:lineRule="atLeast"/>
      </w:pPr>
      <w:r>
        <w:rPr>
          <w:rFonts w:ascii="Arial" w:eastAsia="Arial" w:hAnsi="Arial" w:cs="Arial"/>
          <w:color w:val="000000"/>
          <w:sz w:val="20"/>
        </w:rPr>
        <w:t>IV.</w:t>
      </w:r>
    </w:p>
    <w:p w14:paraId="2828C2F6" w14:textId="77777777" w:rsidR="00D041A2" w:rsidRDefault="00000000">
      <w:pPr>
        <w:pStyle w:val="Normal12"/>
        <w:widowControl w:val="0"/>
        <w:spacing w:before="200" w:line="260" w:lineRule="atLeast"/>
        <w:jc w:val="both"/>
      </w:pPr>
      <w:bookmarkStart w:id="1363" w:name="Bookmark_para_38_4"/>
      <w:bookmarkEnd w:id="1363"/>
      <w:r>
        <w:rPr>
          <w:rFonts w:ascii="Arial" w:eastAsia="Arial" w:hAnsi="Arial" w:cs="Arial"/>
          <w:color w:val="000000"/>
          <w:sz w:val="20"/>
        </w:rPr>
        <w:t>Bahl identifies three discrete events during which he asserts the City denied him meaningful access to services: the traffic stop, the statement of the charges, and the post-arrest interview.</w:t>
      </w:r>
    </w:p>
    <w:p w14:paraId="3ECC2A50" w14:textId="77777777" w:rsidR="00D041A2" w:rsidRDefault="00000000">
      <w:pPr>
        <w:pStyle w:val="Normal12"/>
        <w:widowControl w:val="0"/>
        <w:spacing w:before="240" w:line="260" w:lineRule="atLeast"/>
      </w:pPr>
      <w:r>
        <w:br/>
      </w:r>
      <w:r>
        <w:rPr>
          <w:rFonts w:ascii="Arial" w:eastAsia="Arial" w:hAnsi="Arial" w:cs="Arial"/>
          <w:b/>
          <w:color w:val="000000"/>
          <w:sz w:val="20"/>
        </w:rPr>
        <w:t>A. Traffic Stop</w:t>
      </w:r>
    </w:p>
    <w:p w14:paraId="39801BD3" w14:textId="77777777" w:rsidR="00D041A2" w:rsidRDefault="00000000">
      <w:pPr>
        <w:pStyle w:val="Normal12"/>
        <w:widowControl w:val="0"/>
        <w:spacing w:before="200" w:line="260" w:lineRule="atLeast"/>
        <w:jc w:val="both"/>
      </w:pPr>
      <w:bookmarkStart w:id="1364" w:name="Bookmark_para_39_4"/>
      <w:bookmarkStart w:id="1365" w:name="Bookmark_I56XJBHY2SF8JD0010000400"/>
      <w:bookmarkEnd w:id="1364"/>
      <w:bookmarkEnd w:id="1365"/>
      <w:r>
        <w:rPr>
          <w:rFonts w:ascii="Arial" w:eastAsia="Arial" w:hAnsi="Arial" w:cs="Arial"/>
          <w:color w:val="000000"/>
          <w:sz w:val="20"/>
        </w:rPr>
        <w:t xml:space="preserve">With respect to the traffic stop, the district court concluded Bobrowski's decision to use simple communication and gestures was reasonable under the circumstances and allowed Bahl meaningful access to service, citing </w:t>
      </w:r>
      <w:bookmarkStart w:id="1366" w:name="Bookmark_I56XJBHY2SF8JC0050000400"/>
      <w:bookmarkEnd w:id="1366"/>
      <w:r>
        <w:rPr>
          <w:rFonts w:ascii="Arial" w:eastAsia="Arial" w:hAnsi="Arial" w:cs="Arial"/>
          <w:color w:val="000000"/>
          <w:sz w:val="20"/>
          <w:u w:val="single"/>
        </w:rPr>
        <w:t>Bircoll v. Miami-Dade County</w:t>
      </w:r>
      <w:r>
        <w:rPr>
          <w:rFonts w:ascii="Arial" w:eastAsia="Arial" w:hAnsi="Arial" w:cs="Arial"/>
          <w:color w:val="000000"/>
          <w:sz w:val="20"/>
        </w:rPr>
        <w:t>, 480 F.3d 1072 (11th Cir. 2007). In granting summary judgment to the City, the district court noted the Eighth Circuit has never held that police actions before an arrest are a covered service, and that even if they were, Bahl's claim failed because he did not allege the City used excessive force.</w:t>
      </w:r>
      <w:r>
        <w:rPr>
          <w:rFonts w:ascii="Arial" w:eastAsia="Arial" w:hAnsi="Arial" w:cs="Arial"/>
          <w:vertAlign w:val="superscript"/>
        </w:rPr>
        <w:footnoteReference w:customMarkFollows="1" w:id="71"/>
        <w:t>5</w:t>
      </w:r>
    </w:p>
    <w:p w14:paraId="02B8428D" w14:textId="77777777" w:rsidR="00D041A2" w:rsidRDefault="00000000">
      <w:pPr>
        <w:pStyle w:val="Normal12"/>
        <w:widowControl w:val="0"/>
        <w:spacing w:before="200" w:line="260" w:lineRule="atLeast"/>
        <w:jc w:val="both"/>
      </w:pPr>
      <w:bookmarkStart w:id="1368" w:name="Bookmark_para_40_4"/>
      <w:bookmarkEnd w:id="1368"/>
      <w:r>
        <w:rPr>
          <w:rFonts w:ascii="Arial" w:eastAsia="Arial" w:hAnsi="Arial" w:cs="Arial"/>
          <w:color w:val="000000"/>
          <w:sz w:val="20"/>
        </w:rPr>
        <w:t xml:space="preserve">On appeal, Bahl argues that the traffic stop is a covered service, that the district court's reliance on </w:t>
      </w:r>
      <w:r>
        <w:rPr>
          <w:rFonts w:ascii="Arial" w:eastAsia="Arial" w:hAnsi="Arial" w:cs="Arial"/>
          <w:color w:val="000000"/>
          <w:sz w:val="20"/>
          <w:u w:val="single"/>
        </w:rPr>
        <w:t>Bircoll</w:t>
      </w:r>
      <w:r>
        <w:rPr>
          <w:rFonts w:ascii="Arial" w:eastAsia="Arial" w:hAnsi="Arial" w:cs="Arial"/>
          <w:color w:val="000000"/>
          <w:sz w:val="20"/>
        </w:rPr>
        <w:t xml:space="preserve"> was misplaced, and that there are material facts in the record which contradict the district court's conclusion that Bobrowski's decision to use simple communication with speech and gestures was reasonable.</w:t>
      </w:r>
    </w:p>
    <w:p w14:paraId="71DDC6FA" w14:textId="77777777" w:rsidR="00D041A2" w:rsidRDefault="00000000">
      <w:pPr>
        <w:pStyle w:val="Normal12"/>
        <w:widowControl w:val="0"/>
        <w:spacing w:before="200" w:line="260" w:lineRule="atLeast"/>
        <w:jc w:val="both"/>
      </w:pPr>
      <w:bookmarkStart w:id="1369" w:name="Bookmark_para_41_3"/>
      <w:bookmarkEnd w:id="1369"/>
      <w:r>
        <w:rPr>
          <w:rFonts w:ascii="Arial" w:eastAsia="Arial" w:hAnsi="Arial" w:cs="Arial"/>
          <w:color w:val="000000"/>
          <w:sz w:val="20"/>
        </w:rPr>
        <w:t>We need not decide whether the act of a law enforcement officer effecting a traffic stop is a covered service. Even if the ADA applied to the traffic stop, we agree with the district court's conclusion that under the exigencies of the traffic stop, Bobrowski was not required to honor Bahl's request to communicate by writing.</w:t>
      </w:r>
      <w:r>
        <w:rPr>
          <w:rFonts w:ascii="Arial" w:eastAsia="Arial" w:hAnsi="Arial" w:cs="Arial"/>
          <w:vertAlign w:val="superscript"/>
        </w:rPr>
        <w:footnoteReference w:customMarkFollows="1" w:id="72"/>
        <w:t>6</w:t>
      </w:r>
    </w:p>
    <w:p w14:paraId="64276805" w14:textId="77777777" w:rsidR="00D041A2" w:rsidRDefault="00000000">
      <w:pPr>
        <w:pStyle w:val="Normal12"/>
        <w:widowControl w:val="0"/>
        <w:spacing w:before="200" w:line="260" w:lineRule="atLeast"/>
        <w:jc w:val="both"/>
      </w:pPr>
      <w:bookmarkStart w:id="1371" w:name="Bookmark_para_42_3"/>
      <w:bookmarkStart w:id="1372" w:name="Bookmark_I56XJBHY2SF8JD0030000400"/>
      <w:bookmarkStart w:id="1373" w:name="Bookmark_I56XJBHY2SF8JD0050000400"/>
      <w:bookmarkEnd w:id="1371"/>
      <w:bookmarkEnd w:id="1372"/>
      <w:bookmarkEnd w:id="1373"/>
      <w:r>
        <w:rPr>
          <w:rFonts w:ascii="Arial" w:eastAsia="Arial" w:hAnsi="Arial" w:cs="Arial"/>
          <w:color w:val="000000"/>
          <w:sz w:val="20"/>
        </w:rPr>
        <w:t xml:space="preserve">In </w:t>
      </w:r>
      <w:r>
        <w:rPr>
          <w:rFonts w:ascii="Arial" w:eastAsia="Arial" w:hAnsi="Arial" w:cs="Arial"/>
          <w:color w:val="000000"/>
          <w:sz w:val="20"/>
          <w:u w:val="single"/>
        </w:rPr>
        <w:t>Bircoll</w:t>
      </w:r>
      <w:r>
        <w:rPr>
          <w:rFonts w:ascii="Arial" w:eastAsia="Arial" w:hAnsi="Arial" w:cs="Arial"/>
          <w:color w:val="000000"/>
          <w:sz w:val="20"/>
        </w:rPr>
        <w:t xml:space="preserve">, a deaf motorist brought an action against the county, alleging his DUI arrest and  [**11] subsequent detention violated the ADA and the Rehabilitation Act. Bircoll argued he was entitled to effective communication with the police throughout his arrest, that he required auxiliary aids such as an interpreter for effective communication, and that the police failed to make reasonable modifications to their procedures to ensure effective communication, thereby subjecting him to discrimination in violation of the statutes. </w:t>
      </w:r>
      <w:bookmarkStart w:id="1374" w:name="Bookmark_I56XJBHY2SF8JD0020000400"/>
      <w:bookmarkEnd w:id="1374"/>
      <w:r>
        <w:rPr>
          <w:rFonts w:ascii="Arial" w:eastAsia="Arial" w:hAnsi="Arial" w:cs="Arial"/>
          <w:color w:val="000000"/>
          <w:sz w:val="20"/>
        </w:rPr>
        <w:t xml:space="preserve">480 F.3d at 1085. The reasonable modification inquiry  [*785]  is highly fact-specific and varies depending on the circumstances of each case, including the exigent circumstances presented by criminal activity and safety concerns. </w:t>
      </w:r>
      <w:bookmarkStart w:id="1375" w:name="Bookmark_I56XJBHY2SF8JD0040000400"/>
      <w:bookmarkEnd w:id="1375"/>
      <w:r>
        <w:rPr>
          <w:rFonts w:ascii="Arial" w:eastAsia="Arial" w:hAnsi="Arial" w:cs="Arial"/>
          <w:color w:val="000000"/>
          <w:sz w:val="20"/>
          <w:u w:val="single"/>
        </w:rPr>
        <w:t>Id</w:t>
      </w:r>
      <w:r>
        <w:rPr>
          <w:rFonts w:ascii="Arial" w:eastAsia="Arial" w:hAnsi="Arial" w:cs="Arial"/>
          <w:color w:val="000000"/>
          <w:sz w:val="20"/>
        </w:rPr>
        <w:t>. at 1086. The Eleventh Circuit instructed that a determination of what steps are reasonably necessary to establish effective communication with a hearing-impaired person after a DUI arrest and at a police station depends on all of the factual circumstances of the case, including but not limited to:</w:t>
      </w:r>
    </w:p>
    <w:p w14:paraId="56CE7AAE" w14:textId="77777777" w:rsidR="00D041A2" w:rsidRDefault="00000000">
      <w:pPr>
        <w:pStyle w:val="Normal12"/>
        <w:widowControl w:val="0"/>
        <w:spacing w:line="260" w:lineRule="atLeast"/>
        <w:ind w:left="400"/>
        <w:jc w:val="both"/>
      </w:pPr>
      <w:bookmarkStart w:id="1376" w:name="Bookmark_para_43_3"/>
      <w:bookmarkEnd w:id="1376"/>
      <w:r>
        <w:rPr>
          <w:rFonts w:ascii="Arial" w:eastAsia="Arial" w:hAnsi="Arial" w:cs="Arial"/>
          <w:color w:val="000000"/>
          <w:sz w:val="20"/>
        </w:rPr>
        <w:t>(1) the abilities of, and the usual and preferred method of communication used by, the hearing-impaired arrestee;</w:t>
      </w:r>
    </w:p>
    <w:p w14:paraId="4A455082" w14:textId="77777777" w:rsidR="00D041A2" w:rsidRDefault="00000000">
      <w:pPr>
        <w:pStyle w:val="Normal12"/>
        <w:widowControl w:val="0"/>
        <w:spacing w:before="200" w:line="260" w:lineRule="atLeast"/>
        <w:ind w:left="400"/>
        <w:jc w:val="both"/>
      </w:pPr>
      <w:bookmarkStart w:id="1377" w:name="Bookmark_para_44_3"/>
      <w:bookmarkEnd w:id="1377"/>
      <w:r>
        <w:rPr>
          <w:rFonts w:ascii="Arial" w:eastAsia="Arial" w:hAnsi="Arial" w:cs="Arial"/>
          <w:color w:val="000000"/>
          <w:sz w:val="20"/>
        </w:rPr>
        <w:t>(2) the nature of the criminal activity involved and the importance, complexity, context, and duration of the police communication  [**12] at issue;</w:t>
      </w:r>
    </w:p>
    <w:p w14:paraId="602E6943" w14:textId="77777777" w:rsidR="00D041A2" w:rsidRDefault="00000000">
      <w:pPr>
        <w:pStyle w:val="Normal12"/>
        <w:widowControl w:val="0"/>
        <w:spacing w:line="260" w:lineRule="atLeast"/>
        <w:ind w:left="400"/>
        <w:jc w:val="both"/>
      </w:pPr>
      <w:bookmarkStart w:id="1378" w:name="Bookmark_para_45_3"/>
      <w:bookmarkStart w:id="1379" w:name="Bookmark_I56XJBHY2HM6SM0020000400"/>
      <w:bookmarkEnd w:id="1378"/>
      <w:bookmarkEnd w:id="1379"/>
      <w:r>
        <w:rPr>
          <w:rFonts w:ascii="Arial" w:eastAsia="Arial" w:hAnsi="Arial" w:cs="Arial"/>
          <w:color w:val="000000"/>
          <w:sz w:val="20"/>
        </w:rPr>
        <w:t>(3) the location of the communication and whether it is a one-on-one communication; and</w:t>
      </w:r>
    </w:p>
    <w:p w14:paraId="6F89079A" w14:textId="77777777" w:rsidR="00D041A2" w:rsidRDefault="00000000">
      <w:pPr>
        <w:pStyle w:val="Normal12"/>
        <w:widowControl w:val="0"/>
        <w:spacing w:line="260" w:lineRule="atLeast"/>
        <w:ind w:left="400"/>
        <w:jc w:val="both"/>
      </w:pPr>
      <w:bookmarkStart w:id="1380" w:name="Bookmark_para_46_3"/>
      <w:bookmarkStart w:id="1381" w:name="Bookmark_I56XJBHY2HM6SM0020000400_2"/>
      <w:bookmarkEnd w:id="1380"/>
      <w:bookmarkEnd w:id="1381"/>
      <w:r>
        <w:rPr>
          <w:rFonts w:ascii="Arial" w:eastAsia="Arial" w:hAnsi="Arial" w:cs="Arial"/>
          <w:color w:val="000000"/>
          <w:sz w:val="20"/>
        </w:rPr>
        <w:t>(4) whether the arrestee's requested method of communication imposes an undue burden or fundamental change and whether another effective, but non-burdensome, method of communication exists.</w:t>
      </w:r>
    </w:p>
    <w:p w14:paraId="76F59E18" w14:textId="77777777" w:rsidR="00D041A2" w:rsidRDefault="00000000">
      <w:pPr>
        <w:pStyle w:val="Normal12"/>
        <w:widowControl w:val="0"/>
        <w:spacing w:before="200" w:line="260" w:lineRule="atLeast"/>
        <w:jc w:val="both"/>
      </w:pPr>
      <w:bookmarkStart w:id="1382" w:name="Bookmark_I56XJBHY2HM6SM0020000400_3"/>
      <w:bookmarkStart w:id="1383" w:name="Bookmark_I56XJBHY2HM6SM0040000400"/>
      <w:bookmarkStart w:id="1384" w:name="Bookmark_I56XJBHY2HM6SM0010000400"/>
      <w:bookmarkEnd w:id="1382"/>
      <w:bookmarkEnd w:id="1383"/>
      <w:bookmarkEnd w:id="1384"/>
      <w:r>
        <w:rPr>
          <w:rFonts w:ascii="Arial" w:eastAsia="Arial" w:hAnsi="Arial" w:cs="Arial"/>
          <w:color w:val="000000"/>
          <w:sz w:val="20"/>
          <w:u w:val="single"/>
        </w:rPr>
        <w:t>Id</w:t>
      </w:r>
      <w:r>
        <w:rPr>
          <w:rFonts w:ascii="Arial" w:eastAsia="Arial" w:hAnsi="Arial" w:cs="Arial"/>
          <w:color w:val="000000"/>
          <w:sz w:val="20"/>
        </w:rPr>
        <w:t xml:space="preserve">. at 1087. </w:t>
      </w:r>
      <w:bookmarkStart w:id="1385" w:name="Bookmark_I56XJBHY2HM6SM0040000400_2"/>
      <w:bookmarkEnd w:id="1385"/>
      <w:r>
        <w:rPr>
          <w:rFonts w:ascii="Arial" w:eastAsia="Arial" w:hAnsi="Arial" w:cs="Arial"/>
          <w:color w:val="000000"/>
          <w:sz w:val="20"/>
        </w:rPr>
        <w:t xml:space="preserve">After reviewing the facts and circumstances, the Eleventh Circuit held that waiting for an oral interpreter before taking field sobriety tests was not a reasonable modification of police procedures given the "exigent circumstances" of a DUI stop on the side of a highway, the on-the-spot judgment required of police, and the serious public safety concerns in DUI criminal activity. </w:t>
      </w:r>
      <w:bookmarkStart w:id="1386" w:name="Bookmark_I56XJBHY2HM6SM0030000400"/>
      <w:bookmarkEnd w:id="1386"/>
      <w:r>
        <w:rPr>
          <w:rFonts w:ascii="Arial" w:eastAsia="Arial" w:hAnsi="Arial" w:cs="Arial"/>
          <w:color w:val="000000"/>
          <w:sz w:val="20"/>
          <w:u w:val="single"/>
        </w:rPr>
        <w:t>Id</w:t>
      </w:r>
      <w:r>
        <w:rPr>
          <w:rFonts w:ascii="Arial" w:eastAsia="Arial" w:hAnsi="Arial" w:cs="Arial"/>
          <w:color w:val="000000"/>
          <w:sz w:val="20"/>
        </w:rPr>
        <w:t>. at 1086.</w:t>
      </w:r>
    </w:p>
    <w:p w14:paraId="47BF085D" w14:textId="77777777" w:rsidR="00D041A2" w:rsidRDefault="00000000">
      <w:pPr>
        <w:pStyle w:val="Normal12"/>
        <w:widowControl w:val="0"/>
        <w:spacing w:before="200" w:line="260" w:lineRule="atLeast"/>
        <w:jc w:val="both"/>
      </w:pPr>
      <w:bookmarkStart w:id="1387" w:name="Bookmark_para_47_2"/>
      <w:bookmarkStart w:id="1388" w:name="Bookmark_I3719266WB0000BRKCJ002K1"/>
      <w:bookmarkStart w:id="1389" w:name="Bookmark_I56XJBHY2N1RPV0010000400"/>
      <w:bookmarkEnd w:id="1387"/>
      <w:bookmarkEnd w:id="1388"/>
      <w:bookmarkEnd w:id="1389"/>
      <w:r>
        <w:rPr>
          <w:rFonts w:ascii="Arial" w:eastAsia="Arial" w:hAnsi="Arial" w:cs="Arial"/>
          <w:color w:val="000000"/>
          <w:sz w:val="20"/>
        </w:rPr>
        <w:t xml:space="preserve">Bahl argues his traffic stop did not present the same level of risk to public safety that the DUI stop presented in </w:t>
      </w:r>
      <w:bookmarkStart w:id="1390" w:name="Bookmark_I56XJBHY2HM6SM0050000400"/>
      <w:bookmarkEnd w:id="1390"/>
      <w:r>
        <w:rPr>
          <w:rFonts w:ascii="Arial" w:eastAsia="Arial" w:hAnsi="Arial" w:cs="Arial"/>
          <w:color w:val="000000"/>
          <w:sz w:val="20"/>
          <w:u w:val="single"/>
        </w:rPr>
        <w:t>Bircoll</w:t>
      </w:r>
      <w:r>
        <w:rPr>
          <w:rFonts w:ascii="Arial" w:eastAsia="Arial" w:hAnsi="Arial" w:cs="Arial"/>
          <w:color w:val="000000"/>
          <w:sz w:val="20"/>
        </w:rPr>
        <w:t>. However, even viewing the circumstances in the light most favorable to Bahl, it is clear the situation quickly escalated from a routine traffic stop, necessitating an immediate response from Bobrowski. First, Bahl was observed driving through traffic against a red light at rush hour. The district court found this to be more than a minor traffic offense; rather, it was "dangerous behavior"  [**13] that "posed a high threat to public safety." Second, Bahl resisted Bobrowski's efforts to identify him. Any reasonable person stopped in his car by a police officer knows he will be asked to produce his drivers license. Bahl testified he had been pulled over several times and knew he needed to show his license; however, he claimed he did not understand Bobrowski was asking him for it. Finally, after Bobrowski pushed Bahl's shoulder and grabbed his wrist, Bahl reached back into the interior of his car. At this point, the situation was no longer controlled. It was under these circumstances that the district court concluded it would have been unreasonable to expect Bobrowski to return to his squad car for pen and paper.</w:t>
      </w:r>
    </w:p>
    <w:p w14:paraId="06B0A531" w14:textId="77777777" w:rsidR="00D041A2" w:rsidRDefault="00000000">
      <w:pPr>
        <w:pStyle w:val="Normal12"/>
        <w:widowControl w:val="0"/>
        <w:spacing w:before="200" w:line="260" w:lineRule="atLeast"/>
        <w:jc w:val="both"/>
      </w:pPr>
      <w:bookmarkStart w:id="1391" w:name="Bookmark_para_48_2"/>
      <w:bookmarkStart w:id="1392" w:name="Bookmark_I56XJBHY2N1RPV0030000400"/>
      <w:bookmarkStart w:id="1393" w:name="Bookmark_LNHNREFclscc4_6"/>
      <w:bookmarkEnd w:id="1391"/>
      <w:bookmarkEnd w:id="1392"/>
      <w:bookmarkEnd w:id="1393"/>
      <w:r>
        <w:rPr>
          <w:rFonts w:ascii="Arial" w:eastAsia="Arial" w:hAnsi="Arial" w:cs="Arial"/>
          <w:color w:val="000000"/>
          <w:sz w:val="20"/>
        </w:rPr>
        <w:t xml:space="preserve">The duties of police officers during a traffic stop call for the exercise of significant judgment and discretion, and we will not second guess those judgments, where, as here, an officer is presented with exigent or unexpected circumstances. </w:t>
      </w:r>
      <w:bookmarkStart w:id="1394" w:name="Bookmark_I56XJBHY2N1RPV0050000400"/>
      <w:bookmarkEnd w:id="1394"/>
      <w:r>
        <w:rPr>
          <w:rFonts w:ascii="Arial" w:eastAsia="Arial" w:hAnsi="Arial" w:cs="Arial"/>
          <w:color w:val="000000"/>
          <w:sz w:val="20"/>
        </w:rPr>
        <w:t xml:space="preserve">In these circumstances, it would be unreasonable to require that certain accommodations be made in light of overriding public safety concerns. </w:t>
      </w:r>
      <w:r>
        <w:rPr>
          <w:rFonts w:ascii="Arial" w:eastAsia="Arial" w:hAnsi="Arial" w:cs="Arial"/>
          <w:color w:val="000000"/>
          <w:sz w:val="20"/>
          <w:u w:val="single"/>
        </w:rPr>
        <w:t xml:space="preserve">See </w:t>
      </w:r>
      <w:bookmarkStart w:id="1395" w:name="Bookmark_I56XJBHY2N1RPV0020000400"/>
      <w:bookmarkEnd w:id="1395"/>
      <w:r>
        <w:rPr>
          <w:rFonts w:ascii="Arial" w:eastAsia="Arial" w:hAnsi="Arial" w:cs="Arial"/>
          <w:color w:val="000000"/>
          <w:sz w:val="20"/>
          <w:u w:val="single"/>
        </w:rPr>
        <w:t>Tucker v. Tennessee</w:t>
      </w:r>
      <w:r>
        <w:rPr>
          <w:rFonts w:ascii="Arial" w:eastAsia="Arial" w:hAnsi="Arial" w:cs="Arial"/>
          <w:color w:val="000000"/>
          <w:sz w:val="20"/>
        </w:rPr>
        <w:t xml:space="preserve">, 539 F.3d 526, 536 (6th Cir. 2009) ("We rely on and expect law enforcement  [**14] officers to respond fluidly to changing situations and individuals they encounter. </w:t>
      </w:r>
      <w:bookmarkStart w:id="1396" w:name="Bookmark_I56XJBHY2N1RPV0050000400_2"/>
      <w:bookmarkEnd w:id="1396"/>
      <w:r>
        <w:rPr>
          <w:rFonts w:ascii="Arial" w:eastAsia="Arial" w:hAnsi="Arial" w:cs="Arial"/>
          <w:color w:val="000000"/>
          <w:sz w:val="20"/>
        </w:rPr>
        <w:t xml:space="preserve">Imposing a stringent requirement under the ADA is inconsistent with that expectation, and impedes their ability to perform their duties."); </w:t>
      </w:r>
      <w:bookmarkStart w:id="1397" w:name="Bookmark_I56XJBHY2N1RPV0040000400"/>
      <w:bookmarkEnd w:id="1397"/>
      <w:r>
        <w:rPr>
          <w:rFonts w:ascii="Arial" w:eastAsia="Arial" w:hAnsi="Arial" w:cs="Arial"/>
          <w:color w:val="000000"/>
          <w:sz w:val="20"/>
          <w:u w:val="single"/>
        </w:rPr>
        <w:t>Hainze v. Richards</w:t>
      </w:r>
      <w:r>
        <w:rPr>
          <w:rFonts w:ascii="Arial" w:eastAsia="Arial" w:hAnsi="Arial" w:cs="Arial"/>
          <w:color w:val="000000"/>
          <w:sz w:val="20"/>
        </w:rPr>
        <w:t>, 207 F.3d 795, 801 (5th Cir. 2000) ("Law enforcement personnel conducting in-the-field investigations already face the onerous task of frequently having to instantaneously identify, assess, and react to potentially life-threatening situations. To require the officers  [*786]  to factor in whether their actions are going to comply with the ADA, in the presence of exigent circumstances and prior to securing the safety of themselves, other officers, and any nearby civilians, would pose an unnecessary risk to innocents. While the purpose of the ADA is to prevent the discrimination of disabled individuals, we do not think Congress intended that the fulfillment of that objective be attained at the expense of the safety of the general public.").</w:t>
      </w:r>
    </w:p>
    <w:p w14:paraId="41BDEE44" w14:textId="77777777" w:rsidR="00D041A2" w:rsidRDefault="00000000">
      <w:pPr>
        <w:pStyle w:val="Normal12"/>
        <w:widowControl w:val="0"/>
        <w:spacing w:before="200" w:line="260" w:lineRule="atLeast"/>
        <w:jc w:val="both"/>
      </w:pPr>
      <w:bookmarkStart w:id="1398" w:name="Bookmark_para_49_2"/>
      <w:bookmarkEnd w:id="1398"/>
      <w:r>
        <w:rPr>
          <w:rFonts w:ascii="Arial" w:eastAsia="Arial" w:hAnsi="Arial" w:cs="Arial"/>
          <w:color w:val="000000"/>
          <w:sz w:val="20"/>
        </w:rPr>
        <w:t>Accordingly, we affirm the district court's entry of summary judgment in favor of the City on Bahl's claims regarding the traffic stop.</w:t>
      </w:r>
    </w:p>
    <w:p w14:paraId="2E6A79A6" w14:textId="77777777" w:rsidR="00D041A2" w:rsidRDefault="00000000">
      <w:pPr>
        <w:pStyle w:val="Normal12"/>
        <w:widowControl w:val="0"/>
        <w:spacing w:before="240" w:line="260" w:lineRule="atLeast"/>
      </w:pPr>
      <w:r>
        <w:br/>
      </w:r>
      <w:r>
        <w:rPr>
          <w:rFonts w:ascii="Arial" w:eastAsia="Arial" w:hAnsi="Arial" w:cs="Arial"/>
          <w:b/>
          <w:color w:val="000000"/>
          <w:sz w:val="20"/>
        </w:rPr>
        <w:t>B. Statement of the Charges</w:t>
      </w:r>
    </w:p>
    <w:p w14:paraId="45C9B211" w14:textId="77777777" w:rsidR="00D041A2" w:rsidRDefault="00000000">
      <w:pPr>
        <w:pStyle w:val="Normal12"/>
        <w:widowControl w:val="0"/>
        <w:spacing w:before="200" w:line="260" w:lineRule="atLeast"/>
        <w:jc w:val="both"/>
      </w:pPr>
      <w:bookmarkStart w:id="1399" w:name="Bookmark_para_50_2"/>
      <w:bookmarkEnd w:id="1399"/>
      <w:r>
        <w:rPr>
          <w:rFonts w:ascii="Arial" w:eastAsia="Arial" w:hAnsi="Arial" w:cs="Arial"/>
          <w:color w:val="000000"/>
          <w:sz w:val="20"/>
        </w:rPr>
        <w:t xml:space="preserve">In granting summary judgment to the City on Bahl's claim  [**15] that the City violated the ADA by not providing an ASL interpreter to tell him the reasons for his arrest, the district court noted that at the time shift commander Luna wrote the statement, Bahl's only request for an auxiliary aid was his request to Bobrowski to use writing. Bobrowski testified that Bahl never requested an interpreter from him. The only evidence of Bahl requesting an interpreter was a note he wrote to a Ramsey County deputy on the charge statement Bobrowski had already given him, which request did not specifically refer to the charge statement. Thus, when Luna wrote the statement of the charges, she was honoring Bahl's requested auxiliary aid. </w:t>
      </w:r>
      <w:r>
        <w:rPr>
          <w:rFonts w:ascii="Arial" w:eastAsia="Arial" w:hAnsi="Arial" w:cs="Arial"/>
          <w:color w:val="000000"/>
          <w:sz w:val="20"/>
          <w:u w:val="single"/>
        </w:rPr>
        <w:t>See</w:t>
      </w:r>
      <w:r>
        <w:rPr>
          <w:rFonts w:ascii="Arial" w:eastAsia="Arial" w:hAnsi="Arial" w:cs="Arial"/>
          <w:color w:val="000000"/>
          <w:sz w:val="20"/>
        </w:rPr>
        <w:t xml:space="preserve"> </w:t>
      </w:r>
      <w:bookmarkStart w:id="1400" w:name="Bookmark_LNHNREFclscc5_6"/>
      <w:bookmarkEnd w:id="1400"/>
      <w:r>
        <w:rPr>
          <w:rFonts w:ascii="Arial" w:eastAsia="Arial" w:hAnsi="Arial" w:cs="Arial"/>
          <w:color w:val="000000"/>
          <w:sz w:val="20"/>
        </w:rPr>
        <w:t>28 C.F.R. § 35.160(b)(2) ("In determining what types of auxiliary aids and services are necessary, a public entity shall give primary consideration to the requests of individuals with disabilities.").</w:t>
      </w:r>
    </w:p>
    <w:p w14:paraId="65C10B11" w14:textId="77777777" w:rsidR="00D041A2" w:rsidRDefault="00000000">
      <w:pPr>
        <w:pStyle w:val="Normal12"/>
        <w:widowControl w:val="0"/>
        <w:spacing w:before="200" w:line="260" w:lineRule="atLeast"/>
        <w:jc w:val="both"/>
      </w:pPr>
      <w:bookmarkStart w:id="1401" w:name="Bookmark_para_51_2"/>
      <w:bookmarkStart w:id="1402" w:name="Bookmark_I56XJBHY2SF8JF0020000400"/>
      <w:bookmarkEnd w:id="1401"/>
      <w:bookmarkEnd w:id="1402"/>
      <w:r>
        <w:rPr>
          <w:rFonts w:ascii="Arial" w:eastAsia="Arial" w:hAnsi="Arial" w:cs="Arial"/>
          <w:color w:val="000000"/>
          <w:sz w:val="20"/>
        </w:rPr>
        <w:t xml:space="preserve">In </w:t>
      </w:r>
      <w:r>
        <w:rPr>
          <w:rFonts w:ascii="Arial" w:eastAsia="Arial" w:hAnsi="Arial" w:cs="Arial"/>
          <w:color w:val="000000"/>
          <w:sz w:val="20"/>
          <w:u w:val="single"/>
        </w:rPr>
        <w:t>Loye</w:t>
      </w:r>
      <w:r>
        <w:rPr>
          <w:rFonts w:ascii="Arial" w:eastAsia="Arial" w:hAnsi="Arial" w:cs="Arial"/>
          <w:color w:val="000000"/>
          <w:sz w:val="20"/>
        </w:rPr>
        <w:t>, we recently considered whether deaf persons had been provided with meaningful access to county services</w:t>
      </w:r>
      <w:r>
        <w:rPr>
          <w:rFonts w:ascii="Arial" w:eastAsia="Arial" w:hAnsi="Arial" w:cs="Arial"/>
          <w:vertAlign w:val="superscript"/>
        </w:rPr>
        <w:footnoteReference w:customMarkFollows="1" w:id="73"/>
        <w:t>7</w:t>
      </w:r>
      <w:r>
        <w:rPr>
          <w:rFonts w:ascii="Arial" w:eastAsia="Arial" w:hAnsi="Arial" w:cs="Arial"/>
          <w:color w:val="000000"/>
          <w:sz w:val="20"/>
        </w:rPr>
        <w:t xml:space="preserve"> regarding a mercury contamination issue in the absence of ASL interpreters. </w:t>
      </w:r>
      <w:bookmarkStart w:id="1404" w:name="Bookmark_I56XJBHY2SF8JF0040000400"/>
      <w:bookmarkEnd w:id="1404"/>
      <w:r>
        <w:rPr>
          <w:rFonts w:ascii="Arial" w:eastAsia="Arial" w:hAnsi="Arial" w:cs="Arial"/>
          <w:color w:val="000000"/>
          <w:sz w:val="20"/>
        </w:rPr>
        <w:t xml:space="preserve">We focused on services offered during three relevant periods: (1) the emergency decontamination process, (2) community meetings between  [**16] victims and representatives of various government agencies conducted the following week, and (3) additional private meetings between a county nurse and hearing impaired evacuees, including plaintiffs. </w:t>
      </w:r>
      <w:bookmarkStart w:id="1405" w:name="Bookmark_I56XJBHY2SF8JF0010000400"/>
      <w:bookmarkEnd w:id="1405"/>
      <w:r>
        <w:rPr>
          <w:rFonts w:ascii="Arial" w:eastAsia="Arial" w:hAnsi="Arial" w:cs="Arial"/>
          <w:color w:val="000000"/>
          <w:sz w:val="20"/>
        </w:rPr>
        <w:t xml:space="preserve">625 F.3d at 496. Given the exigent circumstances of an emergency hazardous materials decontamination, we concluded that the use of gesturing, lip reading, writing and limited sign language, rather than an interpreter, was effective communication. </w:t>
      </w:r>
      <w:bookmarkStart w:id="1406" w:name="Bookmark_I56XJBHY2SF8JF0040000400_2"/>
      <w:bookmarkStart w:id="1407" w:name="Bookmark_I56XJBHY2HM6SN0010000400"/>
      <w:bookmarkStart w:id="1408" w:name="Bookmark_I56XJBHY2SF8JF0030000400"/>
      <w:bookmarkEnd w:id="1406"/>
      <w:bookmarkEnd w:id="1407"/>
      <w:bookmarkEnd w:id="1408"/>
      <w:r>
        <w:rPr>
          <w:rFonts w:ascii="Arial" w:eastAsia="Arial" w:hAnsi="Arial" w:cs="Arial"/>
          <w:color w:val="000000"/>
          <w:sz w:val="20"/>
          <w:u w:val="single"/>
        </w:rPr>
        <w:t>Id</w:t>
      </w:r>
      <w:r>
        <w:rPr>
          <w:rFonts w:ascii="Arial" w:eastAsia="Arial" w:hAnsi="Arial" w:cs="Arial"/>
          <w:color w:val="000000"/>
          <w:sz w:val="20"/>
        </w:rPr>
        <w:t xml:space="preserve">. at 498. </w:t>
      </w:r>
      <w:bookmarkStart w:id="1409" w:name="Bookmark_I56XJBHY2HM6SN0010000400_2"/>
      <w:bookmarkStart w:id="1410" w:name="Bookmark_I56XJBHY2HM6SN0030000400"/>
      <w:bookmarkEnd w:id="1409"/>
      <w:bookmarkEnd w:id="1410"/>
      <w:r>
        <w:rPr>
          <w:rFonts w:ascii="Arial" w:eastAsia="Arial" w:hAnsi="Arial" w:cs="Arial"/>
          <w:color w:val="000000"/>
          <w:sz w:val="20"/>
        </w:rPr>
        <w:t xml:space="preserve">Further, we held plaintiffs had meaningful access to the community meetings where the county reasonably attempted to provide interpreters at all but one of the meetings, and plaintiffs, within a reasonable time, were given an opportunity to learn information presented at those meetings and ask questions. </w:t>
      </w:r>
      <w:bookmarkStart w:id="1411" w:name="Bookmark_I3719267154000BRKCJ002K2"/>
      <w:bookmarkStart w:id="1412" w:name="Bookmark_I56XJBHY2HM6SN0050000400"/>
      <w:bookmarkStart w:id="1413" w:name="Bookmark_I56XJBHY2SF8JF0050000400"/>
      <w:bookmarkEnd w:id="1411"/>
      <w:bookmarkEnd w:id="1412"/>
      <w:bookmarkEnd w:id="1413"/>
      <w:r>
        <w:rPr>
          <w:rFonts w:ascii="Arial" w:eastAsia="Arial" w:hAnsi="Arial" w:cs="Arial"/>
          <w:color w:val="000000"/>
          <w:sz w:val="20"/>
          <w:u w:val="single"/>
        </w:rPr>
        <w:t>Id</w:t>
      </w:r>
      <w:r>
        <w:rPr>
          <w:rFonts w:ascii="Arial" w:eastAsia="Arial" w:hAnsi="Arial" w:cs="Arial"/>
          <w:color w:val="000000"/>
          <w:sz w:val="20"/>
        </w:rPr>
        <w:t xml:space="preserve">. at 499. </w:t>
      </w:r>
      <w:bookmarkStart w:id="1414" w:name="Bookmark_I56XJBHY2HM6SN0050000400_2"/>
      <w:bookmarkStart w:id="1415" w:name="Bookmark_I56XJBHY2HM6SN0030000400_2"/>
      <w:bookmarkEnd w:id="1414"/>
      <w:bookmarkEnd w:id="1415"/>
      <w:r>
        <w:rPr>
          <w:rFonts w:ascii="Arial" w:eastAsia="Arial" w:hAnsi="Arial" w:cs="Arial"/>
          <w:color w:val="000000"/>
          <w:sz w:val="20"/>
        </w:rPr>
        <w:t xml:space="preserve">Finally, with respect to the private meetings, we concluded the county nurse provided plaintiffs with meaningful access to county services because the information conveyed was relatively simple, and because there was no evidence that the county nurse "ignored a specific request for more effective communication or refused a specific request for an ASL interpreter." </w:t>
      </w:r>
      <w:bookmarkStart w:id="1416" w:name="Bookmark_I56XJBHY2HM6SN0020000400"/>
      <w:bookmarkEnd w:id="1416"/>
      <w:r>
        <w:rPr>
          <w:rFonts w:ascii="Arial" w:eastAsia="Arial" w:hAnsi="Arial" w:cs="Arial"/>
          <w:color w:val="000000"/>
          <w:sz w:val="20"/>
          <w:u w:val="single"/>
        </w:rPr>
        <w:t>Id</w:t>
      </w:r>
      <w:r>
        <w:rPr>
          <w:rFonts w:ascii="Arial" w:eastAsia="Arial" w:hAnsi="Arial" w:cs="Arial"/>
          <w:color w:val="000000"/>
          <w:sz w:val="20"/>
        </w:rPr>
        <w:t xml:space="preserve">. at 500. As with the private meetings in </w:t>
      </w:r>
      <w:bookmarkStart w:id="1417" w:name="Bookmark_I56XJBHY2HM6SN0050000400_3"/>
      <w:bookmarkStart w:id="1418" w:name="Bookmark_I56XJBHY2HM6SN0040000400"/>
      <w:bookmarkEnd w:id="1417"/>
      <w:bookmarkEnd w:id="1418"/>
      <w:r>
        <w:rPr>
          <w:rFonts w:ascii="Arial" w:eastAsia="Arial" w:hAnsi="Arial" w:cs="Arial"/>
          <w:color w:val="000000"/>
          <w:sz w:val="20"/>
          <w:u w:val="single"/>
        </w:rPr>
        <w:t>Loye</w:t>
      </w:r>
      <w:r>
        <w:rPr>
          <w:rFonts w:ascii="Arial" w:eastAsia="Arial" w:hAnsi="Arial" w:cs="Arial"/>
          <w:color w:val="000000"/>
          <w:sz w:val="20"/>
        </w:rPr>
        <w:t>, there  [**17] is no evidence in this case that the City ignored or refused a specific request from Bahl for an ASL interpreter.</w:t>
      </w:r>
    </w:p>
    <w:p w14:paraId="39D283A9" w14:textId="77777777" w:rsidR="00D041A2" w:rsidRDefault="00000000">
      <w:pPr>
        <w:pStyle w:val="Normal12"/>
        <w:widowControl w:val="0"/>
        <w:spacing w:before="200" w:line="260" w:lineRule="atLeast"/>
        <w:jc w:val="both"/>
      </w:pPr>
      <w:bookmarkStart w:id="1419" w:name="Bookmark_para_52_2"/>
      <w:bookmarkEnd w:id="1419"/>
      <w:r>
        <w:rPr>
          <w:rFonts w:ascii="Arial" w:eastAsia="Arial" w:hAnsi="Arial" w:cs="Arial"/>
          <w:color w:val="000000"/>
          <w:sz w:val="20"/>
        </w:rPr>
        <w:t xml:space="preserve">Moreover, like the medical test results and information regarding housing, social services and financial assistance communicated by the county nurse during the private  [*787]  meetings in </w:t>
      </w:r>
      <w:r>
        <w:rPr>
          <w:rFonts w:ascii="Arial" w:eastAsia="Arial" w:hAnsi="Arial" w:cs="Arial"/>
          <w:color w:val="000000"/>
          <w:sz w:val="20"/>
          <w:u w:val="single"/>
        </w:rPr>
        <w:t>Loye</w:t>
      </w:r>
      <w:r>
        <w:rPr>
          <w:rFonts w:ascii="Arial" w:eastAsia="Arial" w:hAnsi="Arial" w:cs="Arial"/>
          <w:color w:val="000000"/>
          <w:sz w:val="20"/>
        </w:rPr>
        <w:t xml:space="preserve">, the essence of the charge statement was also not complex. Bobrowski testified that when he gave the charge statement to Bahl, Bahl looked at it and nodded affirmatively. It was Bahl's testimony that he understood that the charge statement informed him of the reason for his arrest. </w:t>
      </w:r>
      <w:bookmarkStart w:id="1420" w:name="Bookmark_I56XJBHY2HM6SP0020000400"/>
      <w:bookmarkEnd w:id="1420"/>
      <w:r>
        <w:rPr>
          <w:rFonts w:ascii="Arial" w:eastAsia="Arial" w:hAnsi="Arial" w:cs="Arial"/>
          <w:color w:val="000000"/>
          <w:sz w:val="20"/>
        </w:rPr>
        <w:t xml:space="preserve">Furthermore, despite his claimed unfamiliarity with several legal terms used in the title of the violation, it is undisputed that Bahl wrote to another detainee that he had been arrested "[f]or fighting police." At his deposition, Bahl elaborated on the meaning of his note: "fighting with the police, that was my interpretation of what force meant because I just was referring back to that green form that said that word  [**18] force. It wasn't a word of mine." In light of the purpose of the communication and the context in which it was given, the charge statement covered a topic that was "not complex, and [Bahl's] responses and actions taken reflected that [Commander Luna's message] was understood," such that Bahl was provided with "meaningful access" to the service of being notified of the reason for his arrest. </w:t>
      </w:r>
      <w:r>
        <w:rPr>
          <w:rFonts w:ascii="Arial" w:eastAsia="Arial" w:hAnsi="Arial" w:cs="Arial"/>
          <w:color w:val="000000"/>
          <w:sz w:val="20"/>
          <w:u w:val="single"/>
        </w:rPr>
        <w:t xml:space="preserve">See </w:t>
      </w:r>
      <w:bookmarkStart w:id="1421" w:name="Bookmark_I56XJBHY2HM6SP0010000400"/>
      <w:bookmarkEnd w:id="1421"/>
      <w:r>
        <w:rPr>
          <w:rFonts w:ascii="Arial" w:eastAsia="Arial" w:hAnsi="Arial" w:cs="Arial"/>
          <w:color w:val="000000"/>
          <w:sz w:val="20"/>
          <w:u w:val="single"/>
        </w:rPr>
        <w:t>Loye</w:t>
      </w:r>
      <w:r>
        <w:rPr>
          <w:rFonts w:ascii="Arial" w:eastAsia="Arial" w:hAnsi="Arial" w:cs="Arial"/>
          <w:color w:val="000000"/>
          <w:sz w:val="20"/>
        </w:rPr>
        <w:t>, 625 F.3d at 500.</w:t>
      </w:r>
    </w:p>
    <w:p w14:paraId="5C11C73B" w14:textId="77777777" w:rsidR="00D041A2" w:rsidRDefault="00000000">
      <w:pPr>
        <w:pStyle w:val="Normal12"/>
        <w:widowControl w:val="0"/>
        <w:spacing w:before="200" w:line="260" w:lineRule="atLeast"/>
        <w:jc w:val="both"/>
      </w:pPr>
      <w:bookmarkStart w:id="1422" w:name="Bookmark_para_53_1"/>
      <w:bookmarkEnd w:id="1422"/>
      <w:r>
        <w:rPr>
          <w:rFonts w:ascii="Arial" w:eastAsia="Arial" w:hAnsi="Arial" w:cs="Arial"/>
          <w:color w:val="000000"/>
          <w:sz w:val="20"/>
        </w:rPr>
        <w:t>In sum, even giving Bahl the benefit of all reasonable inferences, no reasonable jury could conclude that the written charge statement did not provide Bahl with meaningful access to the service of being notified of the reason for his arrest. As discussed above, at the time Luna wrote the statement, the written communication was the exclusive auxiliary aid Bahl requested from the City and he understood it well enough to write to another detainee that he had been arrested for fighting with the police. For these reasons, we affirm the district court's entry of summary judgment in favor of the City on Bahl's claims regarding the statement of the charges.</w:t>
      </w:r>
    </w:p>
    <w:p w14:paraId="3114FE4C" w14:textId="77777777" w:rsidR="00D041A2" w:rsidRDefault="00000000">
      <w:pPr>
        <w:pStyle w:val="Normal12"/>
        <w:widowControl w:val="0"/>
        <w:spacing w:before="240" w:line="260" w:lineRule="atLeast"/>
      </w:pPr>
      <w:r>
        <w:br/>
      </w:r>
      <w:r>
        <w:rPr>
          <w:rFonts w:ascii="Arial" w:eastAsia="Arial" w:hAnsi="Arial" w:cs="Arial"/>
          <w:b/>
          <w:color w:val="000000"/>
          <w:sz w:val="20"/>
        </w:rPr>
        <w:t>C. Post-Arrest Interview</w:t>
      </w:r>
    </w:p>
    <w:p w14:paraId="0D6C779D" w14:textId="77777777" w:rsidR="00D041A2" w:rsidRDefault="00000000">
      <w:pPr>
        <w:pStyle w:val="Normal12"/>
        <w:widowControl w:val="0"/>
        <w:spacing w:before="200" w:line="260" w:lineRule="atLeast"/>
        <w:jc w:val="both"/>
      </w:pPr>
      <w:bookmarkStart w:id="1423" w:name="Bookmark_para_54_1"/>
      <w:bookmarkEnd w:id="1423"/>
      <w:r>
        <w:rPr>
          <w:rFonts w:ascii="Arial" w:eastAsia="Arial" w:hAnsi="Arial" w:cs="Arial"/>
          <w:color w:val="000000"/>
          <w:sz w:val="20"/>
        </w:rPr>
        <w:t>In granting summary judgment to the City on Bahl's claim that the City failed to provide him with  [**19] a custodial interrogation because of his disability, the district court ruled that interrogation of persons in custody cannot be characterized as a service for purposes of the ADA. The district court determined that before being charged, Bahl had "the right not to communicate, not the right to testify." Therefore, it concluded Bahl could not establish that he was denied a service due to his disability.</w:t>
      </w:r>
    </w:p>
    <w:p w14:paraId="153578E3" w14:textId="77777777" w:rsidR="00D041A2" w:rsidRDefault="00000000">
      <w:pPr>
        <w:pStyle w:val="Normal12"/>
        <w:widowControl w:val="0"/>
        <w:spacing w:before="200" w:line="260" w:lineRule="atLeast"/>
        <w:jc w:val="both"/>
      </w:pPr>
      <w:bookmarkStart w:id="1424" w:name="Bookmark_para_55_1"/>
      <w:bookmarkStart w:id="1425" w:name="Bookmark_I56XJBHY2HM6SP0040000400"/>
      <w:bookmarkEnd w:id="1424"/>
      <w:bookmarkEnd w:id="1425"/>
      <w:r>
        <w:rPr>
          <w:rFonts w:ascii="Arial" w:eastAsia="Arial" w:hAnsi="Arial" w:cs="Arial"/>
          <w:color w:val="000000"/>
          <w:sz w:val="20"/>
        </w:rPr>
        <w:t xml:space="preserve">On appeal, Bahl argues the district court erred in concluding that because there is no constitutional right to an interview, the post-arrest interview was not a covered "service or activity," and cites several instances where the statutes have been applied to services that are not constitutionally required. </w:t>
      </w:r>
      <w:r>
        <w:rPr>
          <w:rFonts w:ascii="Arial" w:eastAsia="Arial" w:hAnsi="Arial" w:cs="Arial"/>
          <w:color w:val="000000"/>
          <w:sz w:val="20"/>
          <w:u w:val="single"/>
        </w:rPr>
        <w:t xml:space="preserve">See, e.g., </w:t>
      </w:r>
      <w:bookmarkStart w:id="1426" w:name="Bookmark_I56XJBHY2HM6SP0030000400"/>
      <w:bookmarkEnd w:id="1426"/>
      <w:r>
        <w:rPr>
          <w:rFonts w:ascii="Arial" w:eastAsia="Arial" w:hAnsi="Arial" w:cs="Arial"/>
          <w:color w:val="000000"/>
          <w:sz w:val="20"/>
          <w:u w:val="single"/>
        </w:rPr>
        <w:t>Barden v. City of Sacramento</w:t>
      </w:r>
      <w:r>
        <w:rPr>
          <w:rFonts w:ascii="Arial" w:eastAsia="Arial" w:hAnsi="Arial" w:cs="Arial"/>
          <w:color w:val="000000"/>
          <w:sz w:val="20"/>
        </w:rPr>
        <w:t xml:space="preserve">, 292 F.3d 1073, 1076 (9th Cir. 2002) (maintenance of public sidewalks); </w:t>
      </w:r>
      <w:bookmarkStart w:id="1427" w:name="Bookmark_I56XJBHY2HM6SP0050000400"/>
      <w:bookmarkEnd w:id="1427"/>
      <w:r>
        <w:rPr>
          <w:rFonts w:ascii="Arial" w:eastAsia="Arial" w:hAnsi="Arial" w:cs="Arial"/>
          <w:color w:val="000000"/>
          <w:sz w:val="20"/>
          <w:u w:val="single"/>
        </w:rPr>
        <w:t>Johnson v. City of Saline</w:t>
      </w:r>
      <w:r>
        <w:rPr>
          <w:rFonts w:ascii="Arial" w:eastAsia="Arial" w:hAnsi="Arial" w:cs="Arial"/>
          <w:color w:val="000000"/>
          <w:sz w:val="20"/>
        </w:rPr>
        <w:t xml:space="preserve">, 151 F.3d 564, 569 (6th Cir. 1998) (contracting); </w:t>
      </w:r>
      <w:bookmarkStart w:id="1428" w:name="Bookmark_I56XJBHY2SF8JG0020000400"/>
      <w:bookmarkEnd w:id="1428"/>
      <w:r>
        <w:rPr>
          <w:rFonts w:ascii="Arial" w:eastAsia="Arial" w:hAnsi="Arial" w:cs="Arial"/>
          <w:color w:val="000000"/>
          <w:sz w:val="20"/>
          <w:u w:val="single"/>
        </w:rPr>
        <w:t>Yeskey v. Pa. Dep't of Corr</w:t>
      </w:r>
      <w:r>
        <w:rPr>
          <w:rFonts w:ascii="Arial" w:eastAsia="Arial" w:hAnsi="Arial" w:cs="Arial"/>
          <w:color w:val="000000"/>
          <w:sz w:val="20"/>
        </w:rPr>
        <w:t>., 118 F.3d 168, 171 (3d Cir. 1997) (prison's motivational boot camp). The City conceded at oral argument that the statutes have been applied to many services and activities that are not constitutionally required.</w:t>
      </w:r>
    </w:p>
    <w:p w14:paraId="3F6B4E71" w14:textId="77777777" w:rsidR="00D041A2" w:rsidRDefault="00000000">
      <w:pPr>
        <w:pStyle w:val="Normal12"/>
        <w:widowControl w:val="0"/>
        <w:spacing w:before="200" w:line="260" w:lineRule="atLeast"/>
        <w:jc w:val="both"/>
      </w:pPr>
      <w:bookmarkStart w:id="1429" w:name="Bookmark_para_56_1"/>
      <w:bookmarkStart w:id="1430" w:name="Bookmark_I56XJBHY2SF8JG0050000400"/>
      <w:bookmarkStart w:id="1431" w:name="Bookmark_I56XJBHY2N1RR00020000400"/>
      <w:bookmarkStart w:id="1432" w:name="Bookmark_I56XJBHY2HM6SS0010000400"/>
      <w:bookmarkStart w:id="1433" w:name="Bookmark_LNHNREFclscc6_6"/>
      <w:bookmarkEnd w:id="1429"/>
      <w:bookmarkEnd w:id="1430"/>
      <w:bookmarkEnd w:id="1431"/>
      <w:bookmarkEnd w:id="1432"/>
      <w:bookmarkEnd w:id="1433"/>
      <w:r>
        <w:rPr>
          <w:rFonts w:ascii="Arial" w:eastAsia="Arial" w:hAnsi="Arial" w:cs="Arial"/>
          <w:color w:val="000000"/>
          <w:sz w:val="20"/>
        </w:rPr>
        <w:t xml:space="preserve">Courts have broadly construed the "services, programs, or  [**20] activities" language in the ADA to encompass "anything a public entity does." </w:t>
      </w:r>
      <w:bookmarkStart w:id="1434" w:name="Bookmark_I56XJBHY2SF8JG0040000400"/>
      <w:bookmarkEnd w:id="1434"/>
      <w:r>
        <w:rPr>
          <w:rFonts w:ascii="Arial" w:eastAsia="Arial" w:hAnsi="Arial" w:cs="Arial"/>
          <w:color w:val="000000"/>
          <w:sz w:val="20"/>
          <w:u w:val="single"/>
        </w:rPr>
        <w:t>Bircoll</w:t>
      </w:r>
      <w:r>
        <w:rPr>
          <w:rFonts w:ascii="Arial" w:eastAsia="Arial" w:hAnsi="Arial" w:cs="Arial"/>
          <w:color w:val="000000"/>
          <w:sz w:val="20"/>
        </w:rPr>
        <w:t xml:space="preserve">, 480 F.3d at 1084. </w:t>
      </w:r>
      <w:bookmarkStart w:id="1435" w:name="Bookmark_I56XJBHY2HM6SS0030000400"/>
      <w:bookmarkStart w:id="1436" w:name="Bookmark_I56XJBHY28T51N0020000400"/>
      <w:bookmarkEnd w:id="1435"/>
      <w:bookmarkEnd w:id="1436"/>
      <w:r>
        <w:rPr>
          <w:rFonts w:ascii="Arial" w:eastAsia="Arial" w:hAnsi="Arial" w:cs="Arial"/>
          <w:color w:val="000000"/>
          <w:sz w:val="20"/>
          <w:u w:val="single"/>
        </w:rPr>
        <w:t xml:space="preserve">See also </w:t>
      </w:r>
      <w:bookmarkStart w:id="1437" w:name="Bookmark_I56XJBHY2N1RR00010000400"/>
      <w:bookmarkEnd w:id="1437"/>
      <w:r>
        <w:rPr>
          <w:rFonts w:ascii="Arial" w:eastAsia="Arial" w:hAnsi="Arial" w:cs="Arial"/>
          <w:color w:val="000000"/>
          <w:sz w:val="20"/>
          <w:u w:val="single"/>
        </w:rPr>
        <w:t>Seremeth v. Board of County Com'rs Frederick County</w:t>
      </w:r>
      <w:r>
        <w:rPr>
          <w:rFonts w:ascii="Arial" w:eastAsia="Arial" w:hAnsi="Arial" w:cs="Arial"/>
          <w:color w:val="000000"/>
          <w:sz w:val="20"/>
        </w:rPr>
        <w:t xml:space="preserve">, 673 F.3d 333, 338 (4th Cir. 2012); </w:t>
      </w:r>
      <w:bookmarkStart w:id="1438" w:name="Bookmark_I56XJBHY2N1RR00030000400"/>
      <w:bookmarkEnd w:id="1438"/>
      <w:r>
        <w:rPr>
          <w:rFonts w:ascii="Arial" w:eastAsia="Arial" w:hAnsi="Arial" w:cs="Arial"/>
          <w:color w:val="000000"/>
          <w:sz w:val="20"/>
          <w:u w:val="single"/>
        </w:rPr>
        <w:t>Tucker</w:t>
      </w:r>
      <w:r>
        <w:rPr>
          <w:rFonts w:ascii="Arial" w:eastAsia="Arial" w:hAnsi="Arial" w:cs="Arial"/>
          <w:color w:val="000000"/>
          <w:sz w:val="20"/>
        </w:rPr>
        <w:t xml:space="preserve">, 539 F.3d at 532 (citing </w:t>
      </w:r>
      <w:bookmarkStart w:id="1439" w:name="Bookmark_I56XJBHY2N1RR00050000400"/>
      <w:bookmarkEnd w:id="1439"/>
      <w:r>
        <w:rPr>
          <w:rFonts w:ascii="Arial" w:eastAsia="Arial" w:hAnsi="Arial" w:cs="Arial"/>
          <w:color w:val="000000"/>
          <w:sz w:val="20"/>
          <w:u w:val="single"/>
        </w:rPr>
        <w:t>Johnson</w:t>
      </w:r>
      <w:r>
        <w:rPr>
          <w:rFonts w:ascii="Arial" w:eastAsia="Arial" w:hAnsi="Arial" w:cs="Arial"/>
          <w:color w:val="000000"/>
          <w:sz w:val="20"/>
        </w:rPr>
        <w:t xml:space="preserve">, 151 F.3d at 569); </w:t>
      </w:r>
      <w:bookmarkStart w:id="1440" w:name="Bookmark_I56XJBHY2HM6SR0020000400"/>
      <w:bookmarkEnd w:id="1440"/>
      <w:r>
        <w:rPr>
          <w:rFonts w:ascii="Arial" w:eastAsia="Arial" w:hAnsi="Arial" w:cs="Arial"/>
          <w:color w:val="000000"/>
          <w:sz w:val="20"/>
          <w:u w:val="single"/>
        </w:rPr>
        <w:t>Barden</w:t>
      </w:r>
      <w:r>
        <w:rPr>
          <w:rFonts w:ascii="Arial" w:eastAsia="Arial" w:hAnsi="Arial" w:cs="Arial"/>
          <w:color w:val="000000"/>
          <w:sz w:val="20"/>
        </w:rPr>
        <w:t xml:space="preserve">, 292 F.3d at 1076; </w:t>
      </w:r>
      <w:bookmarkStart w:id="1441" w:name="Bookmark_I56XJBHY2HM6SR0040000400"/>
      <w:bookmarkEnd w:id="1441"/>
      <w:r>
        <w:rPr>
          <w:rFonts w:ascii="Arial" w:eastAsia="Arial" w:hAnsi="Arial" w:cs="Arial"/>
          <w:color w:val="000000"/>
          <w:sz w:val="20"/>
          <w:u w:val="single"/>
        </w:rPr>
        <w:t>Innovative Health Sys., Inc. v. City of White Plains</w:t>
      </w:r>
      <w:r>
        <w:rPr>
          <w:rFonts w:ascii="Arial" w:eastAsia="Arial" w:hAnsi="Arial" w:cs="Arial"/>
          <w:color w:val="000000"/>
          <w:sz w:val="20"/>
        </w:rPr>
        <w:t xml:space="preserve">, 117 F.3d 37, 44-45 (2d Cir. 1997), </w:t>
      </w:r>
      <w:r>
        <w:rPr>
          <w:rFonts w:ascii="Arial" w:eastAsia="Arial" w:hAnsi="Arial" w:cs="Arial"/>
          <w:i/>
          <w:color w:val="000000"/>
          <w:sz w:val="20"/>
        </w:rPr>
        <w:t>overruled on other grounds by</w:t>
      </w:r>
      <w:r>
        <w:rPr>
          <w:rFonts w:ascii="Arial" w:eastAsia="Arial" w:hAnsi="Arial" w:cs="Arial"/>
          <w:color w:val="000000"/>
          <w:sz w:val="20"/>
        </w:rPr>
        <w:t xml:space="preserve"> </w:t>
      </w:r>
      <w:bookmarkStart w:id="1442" w:name="Bookmark_I56XJBHY28T51M0010000400"/>
      <w:bookmarkEnd w:id="1442"/>
      <w:r>
        <w:rPr>
          <w:rFonts w:ascii="Arial" w:eastAsia="Arial" w:hAnsi="Arial" w:cs="Arial"/>
          <w:color w:val="000000"/>
          <w:sz w:val="20"/>
          <w:u w:val="single"/>
        </w:rPr>
        <w:t>Zervos v. Verizon N.Y., Inc</w:t>
      </w:r>
      <w:r>
        <w:rPr>
          <w:rFonts w:ascii="Arial" w:eastAsia="Arial" w:hAnsi="Arial" w:cs="Arial"/>
          <w:color w:val="000000"/>
          <w:sz w:val="20"/>
        </w:rPr>
        <w:t xml:space="preserve">., 252 F.3d 163 (2d Cir. 2001); </w:t>
      </w:r>
      <w:bookmarkStart w:id="1443" w:name="Bookmark_I56XJBHY28T51M0030000400"/>
      <w:bookmarkEnd w:id="1443"/>
      <w:r>
        <w:rPr>
          <w:rFonts w:ascii="Arial" w:eastAsia="Arial" w:hAnsi="Arial" w:cs="Arial"/>
          <w:color w:val="000000"/>
          <w:sz w:val="20"/>
          <w:u w:val="single"/>
        </w:rPr>
        <w:t>Yeskey</w:t>
      </w:r>
      <w:r>
        <w:rPr>
          <w:rFonts w:ascii="Arial" w:eastAsia="Arial" w:hAnsi="Arial" w:cs="Arial"/>
          <w:color w:val="000000"/>
          <w:sz w:val="20"/>
        </w:rPr>
        <w:t xml:space="preserve">, 118 F.3d at 171. Department of Justice regulations  [*788]  confirm that "title II applies to anything a public entity does." </w:t>
      </w:r>
      <w:bookmarkStart w:id="1444" w:name="Bookmark_I56XJBHY28T51M0050000400"/>
      <w:bookmarkEnd w:id="1444"/>
      <w:r>
        <w:rPr>
          <w:rFonts w:ascii="Arial" w:eastAsia="Arial" w:hAnsi="Arial" w:cs="Arial"/>
          <w:color w:val="000000"/>
          <w:sz w:val="20"/>
          <w:u w:val="single"/>
        </w:rPr>
        <w:t>Seremeth</w:t>
      </w:r>
      <w:r>
        <w:rPr>
          <w:rFonts w:ascii="Arial" w:eastAsia="Arial" w:hAnsi="Arial" w:cs="Arial"/>
          <w:color w:val="000000"/>
          <w:sz w:val="20"/>
        </w:rPr>
        <w:t xml:space="preserve">, 673 F.3d at 338 (quoting 28 C.F.R. Pt. 35, App. B). </w:t>
      </w:r>
      <w:bookmarkStart w:id="1445" w:name="Bookmark_I56XJBHY28T51N0020000400_2"/>
      <w:bookmarkStart w:id="1446" w:name="Bookmark_I56XJBHY2HM6SS0030000400_2"/>
      <w:bookmarkEnd w:id="1445"/>
      <w:bookmarkEnd w:id="1446"/>
      <w:r>
        <w:rPr>
          <w:rFonts w:ascii="Arial" w:eastAsia="Arial" w:hAnsi="Arial" w:cs="Arial"/>
          <w:color w:val="000000"/>
          <w:sz w:val="20"/>
          <w:u w:val="single"/>
        </w:rPr>
        <w:t>See also</w:t>
      </w:r>
      <w:r>
        <w:rPr>
          <w:rFonts w:ascii="Arial" w:eastAsia="Arial" w:hAnsi="Arial" w:cs="Arial"/>
          <w:color w:val="000000"/>
          <w:sz w:val="20"/>
        </w:rPr>
        <w:t xml:space="preserve"> H.R. Rep. No. 485(II), 101st Cong., 2d Sess., 84 (1990), </w:t>
      </w:r>
      <w:r>
        <w:rPr>
          <w:rFonts w:ascii="Arial" w:eastAsia="Arial" w:hAnsi="Arial" w:cs="Arial"/>
          <w:color w:val="000000"/>
          <w:sz w:val="20"/>
          <w:u w:val="single"/>
        </w:rPr>
        <w:t>reprinted in</w:t>
      </w:r>
      <w:r>
        <w:rPr>
          <w:rFonts w:ascii="Arial" w:eastAsia="Arial" w:hAnsi="Arial" w:cs="Arial"/>
          <w:color w:val="000000"/>
          <w:sz w:val="20"/>
        </w:rPr>
        <w:t xml:space="preserve"> 1990 U.S.C.C.A.N. 303, 367 (stating that Title II is intended to apply to "all actions of state and local governments.") In addition, courts also have recognized that the discrimination in the provision of services as outlined in the ADA is an injury in itself.</w:t>
      </w:r>
      <w:r>
        <w:rPr>
          <w:rFonts w:ascii="Arial" w:eastAsia="Arial" w:hAnsi="Arial" w:cs="Arial"/>
          <w:vertAlign w:val="superscript"/>
        </w:rPr>
        <w:footnoteReference w:customMarkFollows="1" w:id="74"/>
        <w:t>8</w:t>
      </w:r>
    </w:p>
    <w:p w14:paraId="12AD24D0" w14:textId="77777777" w:rsidR="00D041A2" w:rsidRDefault="00000000">
      <w:pPr>
        <w:pStyle w:val="Normal12"/>
        <w:widowControl w:val="0"/>
        <w:spacing w:before="200" w:line="260" w:lineRule="atLeast"/>
        <w:jc w:val="both"/>
      </w:pPr>
      <w:bookmarkStart w:id="1451" w:name="Bookmark_para_57_1"/>
      <w:bookmarkStart w:id="1452" w:name="Bookmark_I56XJBHY28T51N0040000400"/>
      <w:bookmarkStart w:id="1453" w:name="Bookmark_LNHNREFclscc7_6"/>
      <w:bookmarkEnd w:id="1451"/>
      <w:bookmarkEnd w:id="1452"/>
      <w:bookmarkEnd w:id="1453"/>
      <w:r>
        <w:rPr>
          <w:rFonts w:ascii="Arial" w:eastAsia="Arial" w:hAnsi="Arial" w:cs="Arial"/>
          <w:color w:val="000000"/>
          <w:sz w:val="20"/>
        </w:rPr>
        <w:t>While the City does not have to conduct a post-arrest interview</w:t>
      </w:r>
      <w:r>
        <w:rPr>
          <w:rFonts w:ascii="Arial" w:eastAsia="Arial" w:hAnsi="Arial" w:cs="Arial"/>
          <w:vertAlign w:val="superscript"/>
        </w:rPr>
        <w:footnoteReference w:customMarkFollows="1" w:id="75"/>
        <w:t>9</w:t>
      </w:r>
      <w:r>
        <w:rPr>
          <w:rFonts w:ascii="Arial" w:eastAsia="Arial" w:hAnsi="Arial" w:cs="Arial"/>
          <w:color w:val="000000"/>
          <w:sz w:val="20"/>
        </w:rPr>
        <w:t xml:space="preserve">, we find the ADA applies where, as here, the City told Bahl he would be interviewed by an investigator and actually began the process and advised him of his </w:t>
      </w:r>
      <w:r>
        <w:rPr>
          <w:rFonts w:ascii="Arial" w:eastAsia="Arial" w:hAnsi="Arial" w:cs="Arial"/>
          <w:color w:val="000000"/>
          <w:sz w:val="20"/>
          <w:u w:val="single"/>
        </w:rPr>
        <w:t>Miranda</w:t>
      </w:r>
      <w:r>
        <w:rPr>
          <w:rFonts w:ascii="Arial" w:eastAsia="Arial" w:hAnsi="Arial" w:cs="Arial"/>
          <w:color w:val="000000"/>
          <w:sz w:val="20"/>
        </w:rPr>
        <w:t xml:space="preserve">  [**22] rights. </w:t>
      </w:r>
      <w:r>
        <w:rPr>
          <w:rFonts w:ascii="Arial" w:eastAsia="Arial" w:hAnsi="Arial" w:cs="Arial"/>
          <w:color w:val="000000"/>
          <w:sz w:val="20"/>
          <w:u w:val="single"/>
        </w:rPr>
        <w:t xml:space="preserve">See also </w:t>
      </w:r>
      <w:bookmarkStart w:id="1455" w:name="Bookmark_I56XJBHY28T51N0030000400"/>
      <w:bookmarkEnd w:id="1455"/>
      <w:r>
        <w:rPr>
          <w:rFonts w:ascii="Arial" w:eastAsia="Arial" w:hAnsi="Arial" w:cs="Arial"/>
          <w:color w:val="000000"/>
          <w:sz w:val="20"/>
          <w:u w:val="single"/>
        </w:rPr>
        <w:t>Seremeth</w:t>
      </w:r>
      <w:r>
        <w:rPr>
          <w:rFonts w:ascii="Arial" w:eastAsia="Arial" w:hAnsi="Arial" w:cs="Arial"/>
          <w:color w:val="000000"/>
          <w:sz w:val="20"/>
        </w:rPr>
        <w:t xml:space="preserve">, 673 F.3d at 339 ("The ADA applies once the deputies attempted to question and obtain information from [the suspect]."). Specifically, Commander Luna informed Bahl in the charging statement, "[w]e will not be asking you any questions at this time. When an investigator interviews you a sign language interpreter can be provided if you wish." Unlike an arrest or a speeding ticket, a custodial interrogation with an interpreter would have afforded Bahl certain benefits, including the right to ask questions and tell his side of the story, which arguably could have affected the charging decision. Under these circumstances, we find </w:t>
      </w:r>
      <w:bookmarkStart w:id="1456" w:name="Bookmark_LNHNREFclscc8_6"/>
      <w:bookmarkEnd w:id="1456"/>
      <w:r>
        <w:rPr>
          <w:rFonts w:ascii="Arial" w:eastAsia="Arial" w:hAnsi="Arial" w:cs="Arial"/>
          <w:color w:val="000000"/>
          <w:sz w:val="20"/>
        </w:rPr>
        <w:t>the post-arrest interview to be a covered "service" or "activity."</w:t>
      </w:r>
    </w:p>
    <w:p w14:paraId="1769F849" w14:textId="77777777" w:rsidR="00D041A2" w:rsidRDefault="00000000">
      <w:pPr>
        <w:pStyle w:val="Normal12"/>
        <w:widowControl w:val="0"/>
        <w:spacing w:before="200" w:line="260" w:lineRule="atLeast"/>
        <w:jc w:val="both"/>
      </w:pPr>
      <w:bookmarkStart w:id="1457" w:name="Bookmark_para_58_1"/>
      <w:bookmarkEnd w:id="1457"/>
      <w:r>
        <w:rPr>
          <w:rFonts w:ascii="Arial" w:eastAsia="Arial" w:hAnsi="Arial" w:cs="Arial"/>
          <w:color w:val="000000"/>
          <w:sz w:val="20"/>
        </w:rPr>
        <w:t xml:space="preserve">At a minimum, a question of fact exists as to whether the City began to provide the service of a post-arrest interview by reading Bahl his Miranda rights. Gaden indicated that he decided  [**23] to interview Bahl when he began talking with Bahl and proceeded with the </w:t>
      </w:r>
      <w:r>
        <w:rPr>
          <w:rFonts w:ascii="Arial" w:eastAsia="Arial" w:hAnsi="Arial" w:cs="Arial"/>
          <w:color w:val="000000"/>
          <w:sz w:val="20"/>
          <w:u w:val="single"/>
        </w:rPr>
        <w:t>Miranda</w:t>
      </w:r>
      <w:r>
        <w:rPr>
          <w:rFonts w:ascii="Arial" w:eastAsia="Arial" w:hAnsi="Arial" w:cs="Arial"/>
          <w:color w:val="000000"/>
          <w:sz w:val="20"/>
        </w:rPr>
        <w:t xml:space="preserve"> waiver. Before starting the waiver, Gaden negotiated with Bahl as to when an interpreter would be obtained, writing, "I will read you the rights form, you can read along. Then I will go and look for interpreter." There was no need to advise Bahl of his </w:t>
      </w:r>
      <w:r>
        <w:rPr>
          <w:rFonts w:ascii="Arial" w:eastAsia="Arial" w:hAnsi="Arial" w:cs="Arial"/>
          <w:color w:val="000000"/>
          <w:sz w:val="20"/>
          <w:u w:val="single"/>
        </w:rPr>
        <w:t>Miranda</w:t>
      </w:r>
      <w:r>
        <w:rPr>
          <w:rFonts w:ascii="Arial" w:eastAsia="Arial" w:hAnsi="Arial" w:cs="Arial"/>
          <w:color w:val="000000"/>
          <w:sz w:val="20"/>
        </w:rPr>
        <w:t xml:space="preserve"> rights if the City was not going to proceed with the post arrest interview. After Bahl signed the waiver, Gaden asked him if he "would like to </w:t>
      </w:r>
      <w:r>
        <w:rPr>
          <w:rFonts w:ascii="Arial" w:eastAsia="Arial" w:hAnsi="Arial" w:cs="Arial"/>
          <w:color w:val="000000"/>
          <w:sz w:val="20"/>
          <w:u w:val="single"/>
        </w:rPr>
        <w:t>stop</w:t>
      </w:r>
      <w:r>
        <w:rPr>
          <w:rFonts w:ascii="Arial" w:eastAsia="Arial" w:hAnsi="Arial" w:cs="Arial"/>
          <w:color w:val="000000"/>
          <w:sz w:val="20"/>
        </w:rPr>
        <w:t xml:space="preserve"> [the interview] and have an interpreter present." Gaden would not have gone through the waiver process if he had not decided that an interview served an investigatory purpose.</w:t>
      </w:r>
    </w:p>
    <w:p w14:paraId="5766CF40" w14:textId="77777777" w:rsidR="00D041A2" w:rsidRDefault="00000000">
      <w:pPr>
        <w:pStyle w:val="Normal12"/>
        <w:widowControl w:val="0"/>
        <w:spacing w:before="200" w:line="260" w:lineRule="atLeast"/>
        <w:jc w:val="both"/>
      </w:pPr>
      <w:bookmarkStart w:id="1458" w:name="Bookmark_para_59_1"/>
      <w:bookmarkEnd w:id="1458"/>
      <w:r>
        <w:rPr>
          <w:rFonts w:ascii="Arial" w:eastAsia="Arial" w:hAnsi="Arial" w:cs="Arial"/>
          <w:color w:val="000000"/>
          <w:sz w:val="20"/>
        </w:rPr>
        <w:t xml:space="preserve">Finally, a question of fact exists as to why Gaden did not continue with Bahl's interview. </w:t>
      </w:r>
      <w:bookmarkStart w:id="1459" w:name="Bookmark_I56XJBHY2HM6ST0010000400"/>
      <w:bookmarkEnd w:id="1459"/>
      <w:r>
        <w:rPr>
          <w:rFonts w:ascii="Arial" w:eastAsia="Arial" w:hAnsi="Arial" w:cs="Arial"/>
          <w:color w:val="000000"/>
          <w:sz w:val="20"/>
        </w:rPr>
        <w:t>Although Gaden testified he  [*789]  "had all the elements required to submit the case" to the prosecuting attorney, and did not need to speak with Bahl any further, he also raised concern about the cost of providing an interpreter for Bahl. Gaden testified that after meeting with Bahl, he inquired about an interpreter but believed "it would have cost too much money." He did not remember the exact amount.</w:t>
      </w:r>
      <w:bookmarkStart w:id="1460" w:name="Bookmark_LNHNREFclscc9_6"/>
      <w:bookmarkEnd w:id="1460"/>
      <w:r>
        <w:rPr>
          <w:rFonts w:ascii="Arial" w:eastAsia="Arial" w:hAnsi="Arial" w:cs="Arial"/>
          <w:color w:val="000000"/>
          <w:sz w:val="20"/>
        </w:rPr>
        <w:t xml:space="preserve"> If the City terminated the interview because  [**24] it did not want to provide Bahl with an ASL interpreter, the City bears the burden of showing that providing an interpreter would have resulted in "undue financial and administrative burdens." 28 C.F.R. § 35.164. The fact that an ASL interpreter would "cost the government . . . perhaps more than the benefit received by [Bahl] is not a sufficient reason to reject the provision of aid." </w:t>
      </w:r>
      <w:bookmarkStart w:id="1461" w:name="Bookmark_I56XJBHY28T51N0050000400"/>
      <w:bookmarkEnd w:id="1461"/>
      <w:r>
        <w:rPr>
          <w:rFonts w:ascii="Arial" w:eastAsia="Arial" w:hAnsi="Arial" w:cs="Arial"/>
          <w:color w:val="000000"/>
          <w:sz w:val="20"/>
          <w:u w:val="single"/>
        </w:rPr>
        <w:t>Seremeth</w:t>
      </w:r>
      <w:r>
        <w:rPr>
          <w:rFonts w:ascii="Arial" w:eastAsia="Arial" w:hAnsi="Arial" w:cs="Arial"/>
          <w:color w:val="000000"/>
          <w:sz w:val="20"/>
        </w:rPr>
        <w:t>, 673 F.3d at 340.</w:t>
      </w:r>
    </w:p>
    <w:p w14:paraId="1E29B613" w14:textId="77777777" w:rsidR="00D041A2" w:rsidRDefault="00000000">
      <w:pPr>
        <w:pStyle w:val="Normal12"/>
        <w:widowControl w:val="0"/>
        <w:spacing w:before="200" w:line="260" w:lineRule="atLeast"/>
        <w:jc w:val="both"/>
      </w:pPr>
      <w:bookmarkStart w:id="1462" w:name="Bookmark_para_60_0"/>
      <w:bookmarkEnd w:id="1462"/>
      <w:r>
        <w:rPr>
          <w:rFonts w:ascii="Arial" w:eastAsia="Arial" w:hAnsi="Arial" w:cs="Arial"/>
          <w:color w:val="000000"/>
          <w:sz w:val="20"/>
        </w:rPr>
        <w:t>Because a reasonable jury could conclude that a public service had been initiated and was stopped due to Bahl's disability, we reverse and remand for further proceedings on this claim.</w:t>
      </w:r>
    </w:p>
    <w:p w14:paraId="413AB8FD" w14:textId="77777777" w:rsidR="00D041A2" w:rsidRDefault="00000000">
      <w:pPr>
        <w:pStyle w:val="Normal12"/>
        <w:widowControl w:val="0"/>
        <w:spacing w:before="240" w:line="260" w:lineRule="atLeast"/>
      </w:pPr>
      <w:r>
        <w:br/>
      </w:r>
      <w:r>
        <w:rPr>
          <w:rFonts w:ascii="Arial" w:eastAsia="Arial" w:hAnsi="Arial" w:cs="Arial"/>
          <w:b/>
          <w:color w:val="000000"/>
          <w:sz w:val="20"/>
        </w:rPr>
        <w:t>D. Vicarious official immunity</w:t>
      </w:r>
    </w:p>
    <w:p w14:paraId="04D7A3B2" w14:textId="77777777" w:rsidR="00D041A2" w:rsidRDefault="00000000">
      <w:pPr>
        <w:pStyle w:val="Normal12"/>
        <w:widowControl w:val="0"/>
        <w:spacing w:before="200" w:line="260" w:lineRule="atLeast"/>
        <w:jc w:val="both"/>
      </w:pPr>
      <w:bookmarkStart w:id="1463" w:name="Bookmark_para_61_0"/>
      <w:bookmarkEnd w:id="1463"/>
      <w:r>
        <w:rPr>
          <w:rFonts w:ascii="Arial" w:eastAsia="Arial" w:hAnsi="Arial" w:cs="Arial"/>
          <w:color w:val="000000"/>
          <w:sz w:val="20"/>
        </w:rPr>
        <w:t>Next, in granting summary judgment to the City on Bahl's MHRA claims, the district court concluded the City was immune from suit under the state law doctrine of vicarious official immunity.</w:t>
      </w:r>
    </w:p>
    <w:p w14:paraId="5FAF98B6" w14:textId="77777777" w:rsidR="00D041A2" w:rsidRDefault="00000000">
      <w:pPr>
        <w:pStyle w:val="Normal12"/>
        <w:widowControl w:val="0"/>
        <w:spacing w:before="200" w:line="260" w:lineRule="atLeast"/>
        <w:jc w:val="both"/>
      </w:pPr>
      <w:bookmarkStart w:id="1464" w:name="Bookmark_para_62_0"/>
      <w:bookmarkStart w:id="1465" w:name="Bookmark_I56XJBHY2HM6ST0030000400"/>
      <w:bookmarkEnd w:id="1464"/>
      <w:bookmarkEnd w:id="1465"/>
      <w:r>
        <w:rPr>
          <w:rFonts w:ascii="Arial" w:eastAsia="Arial" w:hAnsi="Arial" w:cs="Arial"/>
          <w:color w:val="000000"/>
          <w:sz w:val="20"/>
        </w:rPr>
        <w:t xml:space="preserve">On appeal, Bahl argues the district court erred in ruling vicarious official immunity barred his claims for damages under the MHRA because the doctrine does not apply when there is evidence of malice, </w:t>
      </w:r>
      <w:r>
        <w:rPr>
          <w:rFonts w:ascii="Arial" w:eastAsia="Arial" w:hAnsi="Arial" w:cs="Arial"/>
          <w:color w:val="000000"/>
          <w:sz w:val="20"/>
          <w:u w:val="single"/>
        </w:rPr>
        <w:t xml:space="preserve">e.g., </w:t>
      </w:r>
      <w:bookmarkStart w:id="1466" w:name="Bookmark_I56XJBHY2HM6ST0020000400"/>
      <w:bookmarkEnd w:id="1466"/>
      <w:r>
        <w:rPr>
          <w:rFonts w:ascii="Arial" w:eastAsia="Arial" w:hAnsi="Arial" w:cs="Arial"/>
          <w:color w:val="000000"/>
          <w:sz w:val="20"/>
          <w:u w:val="single"/>
        </w:rPr>
        <w:t>Beaulieu v. City of Mounds View</w:t>
      </w:r>
      <w:r>
        <w:rPr>
          <w:rFonts w:ascii="Arial" w:eastAsia="Arial" w:hAnsi="Arial" w:cs="Arial"/>
          <w:color w:val="000000"/>
          <w:sz w:val="20"/>
        </w:rPr>
        <w:t>, 518 N.W.2d 567, 570-71 (Minn. 1994), or where the public entity has failed to adopt adequate policies and procedures to ensure effective communication,  [**25] </w:t>
      </w:r>
      <w:r>
        <w:rPr>
          <w:rFonts w:ascii="Arial" w:eastAsia="Arial" w:hAnsi="Arial" w:cs="Arial"/>
          <w:color w:val="000000"/>
          <w:sz w:val="20"/>
          <w:u w:val="single"/>
        </w:rPr>
        <w:t xml:space="preserve">e.g., </w:t>
      </w:r>
      <w:bookmarkStart w:id="1467" w:name="Bookmark_I56XJBHY2HM6ST0040000400"/>
      <w:bookmarkEnd w:id="1467"/>
      <w:r>
        <w:rPr>
          <w:rFonts w:ascii="Arial" w:eastAsia="Arial" w:hAnsi="Arial" w:cs="Arial"/>
          <w:color w:val="000000"/>
          <w:sz w:val="20"/>
          <w:u w:val="single"/>
        </w:rPr>
        <w:t>Meier v. City of Columbia Heights</w:t>
      </w:r>
      <w:r>
        <w:rPr>
          <w:rFonts w:ascii="Arial" w:eastAsia="Arial" w:hAnsi="Arial" w:cs="Arial"/>
          <w:color w:val="000000"/>
          <w:sz w:val="20"/>
        </w:rPr>
        <w:t>, 686 N.W.2d 858, 866-67 (Minn. Ct. App. 2004). Bahl argues facts exist which would allow a jury to reasonably conclude that these exceptions to vicarious official immunity apply.</w:t>
      </w:r>
    </w:p>
    <w:p w14:paraId="6E826F08" w14:textId="77777777" w:rsidR="00D041A2" w:rsidRDefault="00000000">
      <w:pPr>
        <w:pStyle w:val="Normal12"/>
        <w:widowControl w:val="0"/>
        <w:spacing w:before="200" w:line="260" w:lineRule="atLeast"/>
        <w:jc w:val="both"/>
      </w:pPr>
      <w:bookmarkStart w:id="1468" w:name="Bookmark_para_63_0"/>
      <w:bookmarkStart w:id="1469" w:name="Bookmark_I56XJBHY2SF8JK0020000400"/>
      <w:bookmarkStart w:id="1470" w:name="Bookmark_I56XJBHY2SF8JK0040000400"/>
      <w:bookmarkStart w:id="1471" w:name="Bookmark_I56XJBHY2N1RR10010000400"/>
      <w:bookmarkStart w:id="1472" w:name="Bookmark_LNHNREFclscc10_6"/>
      <w:bookmarkEnd w:id="1468"/>
      <w:bookmarkEnd w:id="1469"/>
      <w:bookmarkEnd w:id="1470"/>
      <w:bookmarkEnd w:id="1471"/>
      <w:bookmarkEnd w:id="1472"/>
      <w:r>
        <w:rPr>
          <w:rFonts w:ascii="Arial" w:eastAsia="Arial" w:hAnsi="Arial" w:cs="Arial"/>
          <w:color w:val="000000"/>
          <w:sz w:val="20"/>
        </w:rPr>
        <w:t>Generally, if an employee is found to have immunity because the conduct at issue was within the scope of a discretionary duty, the claim against the municipal employer has been dismissed under the doctrine of vicarious official immunity.</w:t>
      </w:r>
      <w:r>
        <w:rPr>
          <w:rFonts w:ascii="Arial" w:eastAsia="Arial" w:hAnsi="Arial" w:cs="Arial"/>
          <w:vertAlign w:val="superscript"/>
        </w:rPr>
        <w:footnoteReference w:customMarkFollows="1" w:id="76"/>
        <w:t>10</w:t>
      </w:r>
      <w:r>
        <w:rPr>
          <w:rFonts w:ascii="Arial" w:eastAsia="Arial" w:hAnsi="Arial" w:cs="Arial"/>
          <w:color w:val="000000"/>
          <w:sz w:val="20"/>
        </w:rPr>
        <w:t xml:space="preserve"> </w:t>
      </w:r>
      <w:bookmarkStart w:id="1476" w:name="Bookmark_I56XJBHY2SF8JK0010000400"/>
      <w:bookmarkEnd w:id="1476"/>
      <w:r>
        <w:rPr>
          <w:rFonts w:ascii="Arial" w:eastAsia="Arial" w:hAnsi="Arial" w:cs="Arial"/>
          <w:color w:val="000000"/>
          <w:sz w:val="20"/>
          <w:u w:val="single"/>
        </w:rPr>
        <w:t>Pletan v. Gaines</w:t>
      </w:r>
      <w:r>
        <w:rPr>
          <w:rFonts w:ascii="Arial" w:eastAsia="Arial" w:hAnsi="Arial" w:cs="Arial"/>
          <w:color w:val="000000"/>
          <w:sz w:val="20"/>
        </w:rPr>
        <w:t xml:space="preserve">, 494 N.W.2d 38, 42 (Minn. 1992). It is undisputed that the decisions made by the City police officers were discretionary, so they were entitled to official immunity. Whether to extend official immunity vicariously to the City, however, is a "policy question." </w:t>
      </w:r>
      <w:r>
        <w:rPr>
          <w:rFonts w:ascii="Arial" w:eastAsia="Arial" w:hAnsi="Arial" w:cs="Arial"/>
          <w:i/>
          <w:color w:val="000000"/>
          <w:sz w:val="20"/>
        </w:rPr>
        <w:t>Id</w:t>
      </w:r>
      <w:r>
        <w:rPr>
          <w:rFonts w:ascii="Arial" w:eastAsia="Arial" w:hAnsi="Arial" w:cs="Arial"/>
          <w:color w:val="000000"/>
          <w:sz w:val="20"/>
        </w:rPr>
        <w:t xml:space="preserve">. In </w:t>
      </w:r>
      <w:bookmarkStart w:id="1477" w:name="Bookmark_I56XJBHY2SF8JK0030000400"/>
      <w:bookmarkEnd w:id="1477"/>
      <w:r>
        <w:rPr>
          <w:rFonts w:ascii="Arial" w:eastAsia="Arial" w:hAnsi="Arial" w:cs="Arial"/>
          <w:color w:val="000000"/>
          <w:sz w:val="20"/>
          <w:u w:val="single"/>
        </w:rPr>
        <w:t>S.W. v. Spring Lake Park School District No. 16</w:t>
      </w:r>
      <w:r>
        <w:rPr>
          <w:rFonts w:ascii="Arial" w:eastAsia="Arial" w:hAnsi="Arial" w:cs="Arial"/>
          <w:color w:val="000000"/>
          <w:sz w:val="20"/>
        </w:rPr>
        <w:t xml:space="preserve">, 592 N.W.2d 870, 877 (Minn. Ct. App. 1999), </w:t>
      </w:r>
      <w:r>
        <w:rPr>
          <w:rFonts w:ascii="Arial" w:eastAsia="Arial" w:hAnsi="Arial" w:cs="Arial"/>
          <w:color w:val="000000"/>
          <w:sz w:val="20"/>
          <w:u w:val="single"/>
        </w:rPr>
        <w:t>aff'd</w:t>
      </w:r>
      <w:r>
        <w:rPr>
          <w:rFonts w:ascii="Arial" w:eastAsia="Arial" w:hAnsi="Arial" w:cs="Arial"/>
          <w:color w:val="000000"/>
          <w:sz w:val="20"/>
        </w:rPr>
        <w:t>, 606 N.W.2d 62 (Minn. 2000), the Minnesota Court of Appeals declined to extend vicarious official immunity to a school district that had not adopted a security policy because to hold otherwise would effectively "reward the school district for its failure to develop and implement a basic . . . policy that would have applied in these circumstances."</w:t>
      </w:r>
    </w:p>
    <w:p w14:paraId="1CEA7BD9" w14:textId="77777777" w:rsidR="00D041A2" w:rsidRDefault="00000000">
      <w:pPr>
        <w:pStyle w:val="Normal12"/>
        <w:widowControl w:val="0"/>
        <w:spacing w:before="200" w:line="260" w:lineRule="atLeast"/>
        <w:jc w:val="both"/>
      </w:pPr>
      <w:bookmarkStart w:id="1478" w:name="Bookmark_para_64_0"/>
      <w:bookmarkStart w:id="1479" w:name="Bookmark_I56XJBHY2N1RR10030000400"/>
      <w:bookmarkEnd w:id="1478"/>
      <w:bookmarkEnd w:id="1479"/>
      <w:r>
        <w:rPr>
          <w:rFonts w:ascii="Arial" w:eastAsia="Arial" w:hAnsi="Arial" w:cs="Arial"/>
          <w:color w:val="000000"/>
          <w:sz w:val="20"/>
        </w:rPr>
        <w:t xml:space="preserve">The Minnesota Court of Appeals similarly rejected a city's claim for vicarious official immunity in </w:t>
      </w:r>
      <w:r>
        <w:rPr>
          <w:rFonts w:ascii="Arial" w:eastAsia="Arial" w:hAnsi="Arial" w:cs="Arial"/>
          <w:color w:val="000000"/>
          <w:sz w:val="20"/>
          <w:u w:val="single"/>
        </w:rPr>
        <w:t>Meier</w:t>
      </w:r>
      <w:r>
        <w:rPr>
          <w:rFonts w:ascii="Arial" w:eastAsia="Arial" w:hAnsi="Arial" w:cs="Arial"/>
          <w:color w:val="000000"/>
          <w:sz w:val="20"/>
        </w:rPr>
        <w:t xml:space="preserve">. There, the plaintiff property owner brought an action against the city and numerous individuals, alleging that certain items of her personal property were taken during an abatement of nuisance and other items left behind were damaged. </w:t>
      </w:r>
      <w:bookmarkStart w:id="1480" w:name="Bookmark_I56XJBHY2N1RR10050000400"/>
      <w:bookmarkEnd w:id="1480"/>
      <w:r>
        <w:rPr>
          <w:rFonts w:ascii="Arial" w:eastAsia="Arial" w:hAnsi="Arial" w:cs="Arial"/>
          <w:color w:val="000000"/>
          <w:sz w:val="20"/>
        </w:rPr>
        <w:t xml:space="preserve">The court found the individual defendants were entitled to immunity, but declined to extend vicarious official immunity because the city had no abatement  [*790]  procedures or policies in place to guide its employees on how to deal with nuisance properties. </w:t>
      </w:r>
      <w:bookmarkStart w:id="1481" w:name="Bookmark_I56XJBHY2N1RR10020000400"/>
      <w:bookmarkEnd w:id="1481"/>
      <w:r>
        <w:rPr>
          <w:rFonts w:ascii="Arial" w:eastAsia="Arial" w:hAnsi="Arial" w:cs="Arial"/>
          <w:color w:val="000000"/>
          <w:sz w:val="20"/>
        </w:rPr>
        <w:t xml:space="preserve">686 N.W.2d at 867. </w:t>
      </w:r>
      <w:bookmarkStart w:id="1482" w:name="Bookmark_I56XJBHY2N1RR10050000400_2"/>
      <w:bookmarkEnd w:id="1482"/>
      <w:r>
        <w:rPr>
          <w:rFonts w:ascii="Arial" w:eastAsia="Arial" w:hAnsi="Arial" w:cs="Arial"/>
          <w:color w:val="000000"/>
          <w:sz w:val="20"/>
        </w:rPr>
        <w:t xml:space="preserve">While the court specifically recognized that "[i]t is not the function of this court to require that appellant adopt or use any specific set of procedures," it concluded that the absence of any procedures left it unclear whether public health and individual property rights  [**27] were adequately protected. </w:t>
      </w:r>
      <w:r>
        <w:rPr>
          <w:rFonts w:ascii="Arial" w:eastAsia="Arial" w:hAnsi="Arial" w:cs="Arial"/>
          <w:color w:val="000000"/>
          <w:sz w:val="20"/>
          <w:u w:val="single"/>
        </w:rPr>
        <w:t>Id</w:t>
      </w:r>
      <w:r>
        <w:rPr>
          <w:rFonts w:ascii="Arial" w:eastAsia="Arial" w:hAnsi="Arial" w:cs="Arial"/>
          <w:color w:val="000000"/>
          <w:sz w:val="20"/>
        </w:rPr>
        <w:t xml:space="preserve">. The court found the absence of abatement procedures to be the "functional equivalent" of the school district's failure to adopt an adequate security plan in </w:t>
      </w:r>
      <w:bookmarkStart w:id="1483" w:name="Bookmark_I56XJBHY2N1RR10040000400"/>
      <w:bookmarkEnd w:id="1483"/>
      <w:r>
        <w:rPr>
          <w:rFonts w:ascii="Arial" w:eastAsia="Arial" w:hAnsi="Arial" w:cs="Arial"/>
          <w:color w:val="000000"/>
          <w:sz w:val="20"/>
          <w:u w:val="single"/>
        </w:rPr>
        <w:t>Spring Lake. Id</w:t>
      </w:r>
      <w:r>
        <w:rPr>
          <w:rFonts w:ascii="Arial" w:eastAsia="Arial" w:hAnsi="Arial" w:cs="Arial"/>
          <w:color w:val="000000"/>
          <w:sz w:val="20"/>
        </w:rPr>
        <w:t>. at 877.</w:t>
      </w:r>
    </w:p>
    <w:p w14:paraId="6A9DE3B5" w14:textId="77777777" w:rsidR="00D041A2" w:rsidRDefault="00000000">
      <w:pPr>
        <w:pStyle w:val="Normal12"/>
        <w:widowControl w:val="0"/>
        <w:spacing w:before="200" w:line="260" w:lineRule="atLeast"/>
        <w:jc w:val="both"/>
      </w:pPr>
      <w:bookmarkStart w:id="1484" w:name="Bookmark_para_65_0"/>
      <w:bookmarkStart w:id="1485" w:name="Bookmark_LNHNREFclscc12_5"/>
      <w:bookmarkEnd w:id="1484"/>
      <w:bookmarkEnd w:id="1485"/>
      <w:r>
        <w:rPr>
          <w:rFonts w:ascii="Arial" w:eastAsia="Arial" w:hAnsi="Arial" w:cs="Arial"/>
          <w:color w:val="000000"/>
          <w:sz w:val="20"/>
        </w:rPr>
        <w:t xml:space="preserve">Proper policies are also central to the ADA. Congress enacted the ADA to "provide clear, consistent, enforceable standards addressing discrimination against individuals with disabilities." 42 U.S.C. § 12101(b)(2). In its statement of findings and purpose, Congress noted that "discrimination against individuals with disabilities persist in such critical areas as . . . communication . . . and access to public services," and that individuals with disabilities face the discriminatory effects of "failure to make modifications to existing facilities and practices." 42 U.S.C. § 12101(a). The regulations promulgated under the ADA require public entities to "take appropriate steps to ensure that communications with . . . members of the public . . . with disabilities are </w:t>
      </w:r>
      <w:r>
        <w:rPr>
          <w:rFonts w:ascii="Arial" w:eastAsia="Arial" w:hAnsi="Arial" w:cs="Arial"/>
          <w:color w:val="000000"/>
          <w:sz w:val="20"/>
          <w:u w:val="single"/>
        </w:rPr>
        <w:t>as effective</w:t>
      </w:r>
      <w:r>
        <w:rPr>
          <w:rFonts w:ascii="Arial" w:eastAsia="Arial" w:hAnsi="Arial" w:cs="Arial"/>
          <w:color w:val="000000"/>
          <w:sz w:val="20"/>
        </w:rPr>
        <w:t xml:space="preserve"> as communications with others." 28 C.F.R. § 35.160(a) (emphasis added).</w:t>
      </w:r>
    </w:p>
    <w:p w14:paraId="46359994" w14:textId="77777777" w:rsidR="00D041A2" w:rsidRDefault="00000000">
      <w:pPr>
        <w:pStyle w:val="Normal12"/>
        <w:widowControl w:val="0"/>
        <w:spacing w:before="200" w:line="260" w:lineRule="atLeast"/>
        <w:jc w:val="both"/>
      </w:pPr>
      <w:bookmarkStart w:id="1486" w:name="Bookmark_para_66_0"/>
      <w:bookmarkEnd w:id="1486"/>
      <w:r>
        <w:rPr>
          <w:rFonts w:ascii="Arial" w:eastAsia="Arial" w:hAnsi="Arial" w:cs="Arial"/>
          <w:color w:val="000000"/>
          <w:sz w:val="20"/>
        </w:rPr>
        <w:t>Here, the record establishes that the City has a policy to provide appropriate aids and services when necessary to ensure effective  [**28] communication with persons "handicapped in communication;" however, the City has produced no standards or directives it uses to guide police supervisors and staff about how to communicate with deaf persons. This lack of guidance or standards is further evidenced by the fact that neither Bobrowski, Luna, nor Gaden had received any training on this policy. Gaden could not recall receiving any training on what to do when a deaf person requests a specific kind of communication device and could not explain how he determines whether effective communication is taking place with a deaf person.</w:t>
      </w:r>
      <w:r>
        <w:rPr>
          <w:rFonts w:ascii="Arial" w:eastAsia="Arial" w:hAnsi="Arial" w:cs="Arial"/>
          <w:vertAlign w:val="superscript"/>
        </w:rPr>
        <w:footnoteReference w:customMarkFollows="1" w:id="77"/>
        <w:t>11</w:t>
      </w:r>
      <w:r>
        <w:rPr>
          <w:rFonts w:ascii="Arial" w:eastAsia="Arial" w:hAnsi="Arial" w:cs="Arial"/>
          <w:color w:val="000000"/>
          <w:sz w:val="20"/>
        </w:rPr>
        <w:t xml:space="preserve"> Luna did not know how to obtain an interpreter for Bahl's interview. Bobrowski testified he had no training about who to contact or how to get an interpreter.</w:t>
      </w:r>
    </w:p>
    <w:p w14:paraId="1151A227" w14:textId="77777777" w:rsidR="00D041A2" w:rsidRDefault="00000000">
      <w:pPr>
        <w:pStyle w:val="Normal12"/>
        <w:widowControl w:val="0"/>
        <w:spacing w:before="200" w:line="260" w:lineRule="atLeast"/>
        <w:jc w:val="both"/>
      </w:pPr>
      <w:bookmarkStart w:id="1488" w:name="Bookmark_para_67"/>
      <w:bookmarkEnd w:id="1488"/>
      <w:r>
        <w:rPr>
          <w:rFonts w:ascii="Arial" w:eastAsia="Arial" w:hAnsi="Arial" w:cs="Arial"/>
          <w:color w:val="000000"/>
          <w:sz w:val="20"/>
        </w:rPr>
        <w:t xml:space="preserve">The absence of guidance from the City is analogous to the lack of policies and procedures in </w:t>
      </w:r>
      <w:r>
        <w:rPr>
          <w:rFonts w:ascii="Arial" w:eastAsia="Arial" w:hAnsi="Arial" w:cs="Arial"/>
          <w:color w:val="000000"/>
          <w:sz w:val="20"/>
          <w:u w:val="single"/>
        </w:rPr>
        <w:t>Spring Lake</w:t>
      </w:r>
      <w:r>
        <w:rPr>
          <w:rFonts w:ascii="Arial" w:eastAsia="Arial" w:hAnsi="Arial" w:cs="Arial"/>
          <w:color w:val="000000"/>
          <w:sz w:val="20"/>
        </w:rPr>
        <w:t xml:space="preserve"> and </w:t>
      </w:r>
      <w:r>
        <w:rPr>
          <w:rFonts w:ascii="Arial" w:eastAsia="Arial" w:hAnsi="Arial" w:cs="Arial"/>
          <w:color w:val="000000"/>
          <w:sz w:val="20"/>
          <w:u w:val="single"/>
        </w:rPr>
        <w:t>Meier</w:t>
      </w:r>
      <w:r>
        <w:rPr>
          <w:rFonts w:ascii="Arial" w:eastAsia="Arial" w:hAnsi="Arial" w:cs="Arial"/>
          <w:color w:val="000000"/>
          <w:sz w:val="20"/>
        </w:rPr>
        <w:t xml:space="preserve">. </w:t>
      </w:r>
      <w:bookmarkStart w:id="1489" w:name="Bookmark_I56XJBHY28T51P0020000400"/>
      <w:bookmarkStart w:id="1490" w:name="Bookmark_LNHNREFclscc13_5"/>
      <w:bookmarkEnd w:id="1489"/>
      <w:bookmarkEnd w:id="1490"/>
      <w:r>
        <w:rPr>
          <w:rFonts w:ascii="Arial" w:eastAsia="Arial" w:hAnsi="Arial" w:cs="Arial"/>
          <w:color w:val="000000"/>
          <w:sz w:val="20"/>
        </w:rPr>
        <w:t xml:space="preserve">A court should not be relieved of its responsibility to analyze policy considerations in determining whether to extend vicarious official immunity simply because </w:t>
      </w:r>
      <w:r>
        <w:rPr>
          <w:rFonts w:ascii="Arial" w:eastAsia="Arial" w:hAnsi="Arial" w:cs="Arial"/>
          <w:i/>
          <w:color w:val="000000"/>
          <w:sz w:val="20"/>
        </w:rPr>
        <w:t>some</w:t>
      </w:r>
      <w:r>
        <w:rPr>
          <w:rFonts w:ascii="Arial" w:eastAsia="Arial" w:hAnsi="Arial" w:cs="Arial"/>
          <w:color w:val="000000"/>
          <w:sz w:val="20"/>
        </w:rPr>
        <w:t xml:space="preserve">  [**29] policy is in place, regardless of whether it balances the interests involved or provides effective guidance. Again, it is undisputed that the individual officers were entitled to official immunity because they were acting "within the confines of an assigned duty." The question is whether the City should be liable for failing to develop and implement an adequate policy. If immunity attaches so long as </w:t>
      </w:r>
      <w:r>
        <w:rPr>
          <w:rFonts w:ascii="Arial" w:eastAsia="Arial" w:hAnsi="Arial" w:cs="Arial"/>
          <w:i/>
          <w:color w:val="000000"/>
          <w:sz w:val="20"/>
        </w:rPr>
        <w:t>some</w:t>
      </w:r>
      <w:r>
        <w:rPr>
          <w:rFonts w:ascii="Arial" w:eastAsia="Arial" w:hAnsi="Arial" w:cs="Arial"/>
          <w:color w:val="000000"/>
          <w:sz w:val="20"/>
        </w:rPr>
        <w:t xml:space="preserve"> policy exists, no matter how poorly developed and implemented, the City is rewarded for "its failure to develop and implement a basic . . . policy that would have applied in these circumstances." </w:t>
      </w:r>
      <w:bookmarkStart w:id="1491" w:name="Bookmark_I56XJBHY28T51P0010000400"/>
      <w:bookmarkEnd w:id="1491"/>
      <w:r>
        <w:rPr>
          <w:rFonts w:ascii="Arial" w:eastAsia="Arial" w:hAnsi="Arial" w:cs="Arial"/>
          <w:color w:val="000000"/>
          <w:sz w:val="20"/>
          <w:u w:val="single"/>
        </w:rPr>
        <w:t>Spring Lake</w:t>
      </w:r>
      <w:r>
        <w:rPr>
          <w:rFonts w:ascii="Arial" w:eastAsia="Arial" w:hAnsi="Arial" w:cs="Arial"/>
          <w:color w:val="000000"/>
          <w:sz w:val="20"/>
        </w:rPr>
        <w:t>, 592 N.W.2d at 877.</w:t>
      </w:r>
    </w:p>
    <w:p w14:paraId="03C66E6A" w14:textId="77777777" w:rsidR="00D041A2" w:rsidRDefault="00000000">
      <w:pPr>
        <w:pStyle w:val="Normal12"/>
        <w:widowControl w:val="0"/>
        <w:spacing w:before="200" w:line="260" w:lineRule="atLeast"/>
        <w:jc w:val="both"/>
      </w:pPr>
      <w:bookmarkStart w:id="1492" w:name="Bookmark_para_68"/>
      <w:bookmarkEnd w:id="1492"/>
      <w:r>
        <w:rPr>
          <w:rFonts w:ascii="Arial" w:eastAsia="Arial" w:hAnsi="Arial" w:cs="Arial"/>
          <w:color w:val="000000"/>
          <w:sz w:val="20"/>
        </w:rPr>
        <w:t>For these reasons, we will reverse the district's court grant of summary judgment on the City's request for vicarious official immunity with respect to the post-arrest interview.</w:t>
      </w:r>
    </w:p>
    <w:p w14:paraId="6E868D7B" w14:textId="77777777" w:rsidR="00D041A2" w:rsidRDefault="00000000">
      <w:pPr>
        <w:pStyle w:val="Normal12"/>
        <w:widowControl w:val="0"/>
        <w:spacing w:before="240" w:line="260" w:lineRule="atLeast"/>
      </w:pPr>
      <w:r>
        <w:br/>
      </w:r>
      <w:r>
        <w:rPr>
          <w:rFonts w:ascii="Arial" w:eastAsia="Arial" w:hAnsi="Arial" w:cs="Arial"/>
          <w:color w:val="000000"/>
          <w:sz w:val="20"/>
        </w:rPr>
        <w:t xml:space="preserve"> [*791]  </w:t>
      </w:r>
      <w:r>
        <w:rPr>
          <w:rFonts w:ascii="Arial" w:eastAsia="Arial" w:hAnsi="Arial" w:cs="Arial"/>
          <w:b/>
          <w:color w:val="000000"/>
          <w:sz w:val="20"/>
        </w:rPr>
        <w:t>E. Negligence per se</w:t>
      </w:r>
    </w:p>
    <w:p w14:paraId="3AEE91A2" w14:textId="77777777" w:rsidR="00D041A2" w:rsidRDefault="00000000">
      <w:pPr>
        <w:pStyle w:val="Normal12"/>
        <w:widowControl w:val="0"/>
        <w:spacing w:before="200" w:line="260" w:lineRule="atLeast"/>
        <w:jc w:val="both"/>
      </w:pPr>
      <w:bookmarkStart w:id="1493" w:name="Bookmark_para_69"/>
      <w:bookmarkEnd w:id="1493"/>
      <w:r>
        <w:rPr>
          <w:rFonts w:ascii="Arial" w:eastAsia="Arial" w:hAnsi="Arial" w:cs="Arial"/>
          <w:color w:val="000000"/>
          <w:sz w:val="20"/>
        </w:rPr>
        <w:t>Finally, in granting summary judgment to the City on Bahl's claim that the City violated its statutory duty under Minn. Stat. § 611.32 to provide him with an interpreter to communicate the reasons for his arrest and detention, the district court concluded that in light of its determination that written communication between Bahl and the City was effective, § 611.32  [**30] did not create a duty for the City to provide Bahl with an interpreter.</w:t>
      </w:r>
    </w:p>
    <w:p w14:paraId="6D55C7B2" w14:textId="77777777" w:rsidR="00D041A2" w:rsidRDefault="00000000">
      <w:pPr>
        <w:pStyle w:val="Normal12"/>
        <w:widowControl w:val="0"/>
        <w:spacing w:before="200" w:line="260" w:lineRule="atLeast"/>
        <w:jc w:val="both"/>
      </w:pPr>
      <w:bookmarkStart w:id="1494" w:name="Bookmark_para_70"/>
      <w:bookmarkEnd w:id="1494"/>
      <w:r>
        <w:rPr>
          <w:rFonts w:ascii="Arial" w:eastAsia="Arial" w:hAnsi="Arial" w:cs="Arial"/>
          <w:color w:val="000000"/>
          <w:sz w:val="20"/>
        </w:rPr>
        <w:t>On appeal, Bahl argues material facts contradict the district court's finding that he was not "disabled in communication," including the fact that his primary language is ASL, and his English language skills are limited. Bahl points to his identification of several key words he did not understand in the police statement, including "gross misdemeanor," "obstructing with force," "investigator," and "force."</w:t>
      </w:r>
    </w:p>
    <w:p w14:paraId="0EDADB52" w14:textId="77777777" w:rsidR="00D041A2" w:rsidRDefault="00000000">
      <w:pPr>
        <w:pStyle w:val="Normal12"/>
        <w:widowControl w:val="0"/>
        <w:spacing w:before="200" w:line="260" w:lineRule="atLeast"/>
        <w:jc w:val="both"/>
      </w:pPr>
      <w:bookmarkStart w:id="1495" w:name="Bookmark_para_71"/>
      <w:bookmarkEnd w:id="1495"/>
      <w:r>
        <w:rPr>
          <w:rFonts w:ascii="Arial" w:eastAsia="Arial" w:hAnsi="Arial" w:cs="Arial"/>
          <w:color w:val="000000"/>
          <w:sz w:val="20"/>
        </w:rPr>
        <w:t>The City responds that there can be no violation of the statute if the person communicates effectively in writing, and the record clearly demonstrates Bahl's competence, if not fluency, with English.</w:t>
      </w:r>
    </w:p>
    <w:p w14:paraId="7D1CA2BD" w14:textId="77777777" w:rsidR="00D041A2" w:rsidRDefault="00000000">
      <w:pPr>
        <w:pStyle w:val="Normal12"/>
        <w:widowControl w:val="0"/>
        <w:spacing w:before="200" w:line="260" w:lineRule="atLeast"/>
        <w:jc w:val="both"/>
      </w:pPr>
      <w:bookmarkStart w:id="1496" w:name="Bookmark_para_72"/>
      <w:bookmarkStart w:id="1497" w:name="Bookmark_I56XJBHY28T51P0040000400"/>
      <w:bookmarkStart w:id="1498" w:name="Bookmark_LNHNREFclscc14_4"/>
      <w:bookmarkEnd w:id="1496"/>
      <w:bookmarkEnd w:id="1497"/>
      <w:bookmarkEnd w:id="1498"/>
      <w:r>
        <w:rPr>
          <w:rFonts w:ascii="Arial" w:eastAsia="Arial" w:hAnsi="Arial" w:cs="Arial"/>
          <w:color w:val="000000"/>
          <w:sz w:val="20"/>
        </w:rPr>
        <w:t xml:space="preserve">Minnesota's public policy is to protect the rights of persons disabled in communications. </w:t>
      </w:r>
      <w:bookmarkStart w:id="1499" w:name="Bookmark_I56XJBHY28T51P0030000400"/>
      <w:bookmarkEnd w:id="1499"/>
      <w:r>
        <w:rPr>
          <w:rFonts w:ascii="Arial" w:eastAsia="Arial" w:hAnsi="Arial" w:cs="Arial"/>
          <w:color w:val="000000"/>
          <w:sz w:val="20"/>
          <w:u w:val="single"/>
        </w:rPr>
        <w:t>State v. Kail</w:t>
      </w:r>
      <w:r>
        <w:rPr>
          <w:rFonts w:ascii="Arial" w:eastAsia="Arial" w:hAnsi="Arial" w:cs="Arial"/>
          <w:color w:val="000000"/>
          <w:sz w:val="20"/>
        </w:rPr>
        <w:t xml:space="preserve">, 760 N.W.2d 16, 19 (Minn. Ct. App. 2009) (citing Minn. Stat. §§ 611.30-.34). Under § 611.32, an interpreter must be appointed when persons "disabled in communications" are arrested or are the subjects of certain judicial proceedings. A person is disabled in communication if he cannot fully understand the proceedings or any charges made against him by virtue of a hearing disorder or difficulty in speaking or understanding  [**31] the English language. </w:t>
      </w:r>
      <w:bookmarkStart w:id="1500" w:name="Bookmark_I56XJBHY2HM6SV0010000400"/>
      <w:bookmarkEnd w:id="1500"/>
      <w:r>
        <w:rPr>
          <w:rFonts w:ascii="Arial" w:eastAsia="Arial" w:hAnsi="Arial" w:cs="Arial"/>
          <w:color w:val="000000"/>
          <w:sz w:val="20"/>
        </w:rPr>
        <w:t xml:space="preserve">Minn. Stat. § 611.31. Whether a deaf person qualifies as a "person disabled in communication" depends on the communication method used during the proceeding. </w:t>
      </w:r>
      <w:bookmarkStart w:id="1501" w:name="Bookmark_I56XJBHY28T51P0050000400"/>
      <w:bookmarkEnd w:id="1501"/>
      <w:r>
        <w:rPr>
          <w:rFonts w:ascii="Arial" w:eastAsia="Arial" w:hAnsi="Arial" w:cs="Arial"/>
          <w:color w:val="000000"/>
          <w:sz w:val="20"/>
          <w:u w:val="single"/>
        </w:rPr>
        <w:t>Kail</w:t>
      </w:r>
      <w:r>
        <w:rPr>
          <w:rFonts w:ascii="Arial" w:eastAsia="Arial" w:hAnsi="Arial" w:cs="Arial"/>
          <w:color w:val="000000"/>
          <w:sz w:val="20"/>
        </w:rPr>
        <w:t>, 760 N.W.2d at 17.</w:t>
      </w:r>
    </w:p>
    <w:p w14:paraId="4E9C3794" w14:textId="77777777" w:rsidR="00D041A2" w:rsidRDefault="00000000">
      <w:pPr>
        <w:pStyle w:val="Normal12"/>
        <w:widowControl w:val="0"/>
        <w:spacing w:before="200" w:line="260" w:lineRule="atLeast"/>
        <w:jc w:val="both"/>
      </w:pPr>
      <w:bookmarkStart w:id="1502" w:name="Bookmark_para_73"/>
      <w:bookmarkEnd w:id="1502"/>
      <w:r>
        <w:rPr>
          <w:rFonts w:ascii="Arial" w:eastAsia="Arial" w:hAnsi="Arial" w:cs="Arial"/>
          <w:color w:val="000000"/>
          <w:sz w:val="20"/>
        </w:rPr>
        <w:t>Although Bahl identified several legal terms in the charge statement that he was unfamiliar with, when he was given the statement, he nodded affirmatively after looking at it. Moreover, he wrote to another detainee that he had been arrested "[f]or fighting police." Taking into account Bahl's own interpretation of the meaning of the charge statement, the record reflects no misunderstanding occasioned by Bahl's disability with respect to the charge notice, and demonstrates that he had meaningful access to the information conveyed. We therefore affirm the district court's grant of summary judgment on this claim.</w:t>
      </w:r>
    </w:p>
    <w:p w14:paraId="5A0CF99D" w14:textId="77777777" w:rsidR="00D041A2" w:rsidRDefault="00000000">
      <w:pPr>
        <w:pStyle w:val="Normal12"/>
        <w:widowControl w:val="0"/>
        <w:spacing w:before="120" w:line="260" w:lineRule="atLeast"/>
      </w:pPr>
      <w:r>
        <w:rPr>
          <w:rFonts w:ascii="Arial" w:eastAsia="Arial" w:hAnsi="Arial" w:cs="Arial"/>
          <w:color w:val="000000"/>
          <w:sz w:val="20"/>
        </w:rPr>
        <w:t>V.</w:t>
      </w:r>
    </w:p>
    <w:p w14:paraId="3ED0D580" w14:textId="77777777" w:rsidR="00D041A2" w:rsidRDefault="00000000">
      <w:pPr>
        <w:pStyle w:val="Normal12"/>
        <w:widowControl w:val="0"/>
        <w:spacing w:before="200" w:line="260" w:lineRule="atLeast"/>
        <w:jc w:val="both"/>
      </w:pPr>
      <w:bookmarkStart w:id="1503" w:name="Bookmark_para_74"/>
      <w:bookmarkEnd w:id="1503"/>
      <w:r>
        <w:rPr>
          <w:rFonts w:ascii="Arial" w:eastAsia="Arial" w:hAnsi="Arial" w:cs="Arial"/>
          <w:color w:val="000000"/>
          <w:sz w:val="20"/>
        </w:rPr>
        <w:t>For the reasons stated, we affirm in part, reverse in part, and remand to the district court for further proceedings consistent with this opinion.</w:t>
      </w:r>
    </w:p>
    <w:p w14:paraId="6C9B64B1" w14:textId="77777777" w:rsidR="00D041A2" w:rsidRDefault="00000000">
      <w:pPr>
        <w:pStyle w:val="Normal12"/>
        <w:widowControl w:val="0"/>
        <w:spacing w:before="240" w:line="260" w:lineRule="atLeast"/>
      </w:pPr>
      <w:bookmarkStart w:id="1504" w:name="Concur_by_0"/>
      <w:bookmarkEnd w:id="1504"/>
      <w:r>
        <w:rPr>
          <w:rFonts w:ascii="Arial" w:eastAsia="Arial" w:hAnsi="Arial" w:cs="Arial"/>
          <w:b/>
          <w:color w:val="000000"/>
          <w:sz w:val="20"/>
        </w:rPr>
        <w:t>Concur by:</w:t>
      </w:r>
      <w:r>
        <w:rPr>
          <w:rFonts w:ascii="Arial" w:eastAsia="Arial" w:hAnsi="Arial" w:cs="Arial"/>
          <w:color w:val="000000"/>
          <w:sz w:val="20"/>
        </w:rPr>
        <w:t> MURPHY; GRUENDER</w:t>
      </w:r>
    </w:p>
    <w:p w14:paraId="2072C84C" w14:textId="77777777" w:rsidR="00D041A2" w:rsidRDefault="00000000">
      <w:pPr>
        <w:pStyle w:val="Normal12"/>
        <w:keepNext/>
        <w:widowControl w:val="0"/>
        <w:spacing w:before="240" w:line="340" w:lineRule="atLeast"/>
      </w:pPr>
      <w:bookmarkStart w:id="1505" w:name="Concur_0"/>
      <w:bookmarkEnd w:id="1505"/>
      <w:r>
        <w:rPr>
          <w:rFonts w:ascii="Arial" w:eastAsia="Arial" w:hAnsi="Arial" w:cs="Arial"/>
          <w:b/>
          <w:color w:val="000000"/>
          <w:sz w:val="28"/>
        </w:rPr>
        <w:t>Concur</w:t>
      </w:r>
    </w:p>
    <w:p w14:paraId="6E7AD7F5" w14:textId="22BB15CD" w:rsidR="00D041A2" w:rsidRDefault="004D4403">
      <w:pPr>
        <w:pStyle w:val="Normal12"/>
        <w:spacing w:line="60" w:lineRule="exact"/>
      </w:pPr>
      <w:r>
        <w:rPr>
          <w:noProof/>
        </w:rPr>
        <mc:AlternateContent>
          <mc:Choice Requires="wps">
            <w:drawing>
              <wp:anchor distT="0" distB="0" distL="114300" distR="114300" simplePos="0" relativeHeight="251684864" behindDoc="0" locked="0" layoutInCell="1" allowOverlap="1" wp14:anchorId="218319AE" wp14:editId="36317750">
                <wp:simplePos x="0" y="0"/>
                <wp:positionH relativeFrom="column">
                  <wp:posOffset>0</wp:posOffset>
                </wp:positionH>
                <wp:positionV relativeFrom="paragraph">
                  <wp:posOffset>25400</wp:posOffset>
                </wp:positionV>
                <wp:extent cx="3187700" cy="0"/>
                <wp:effectExtent l="19050" t="15875" r="12700" b="12700"/>
                <wp:wrapTopAndBottom/>
                <wp:docPr id="182720685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7A57A" id="Line 2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9BBD5BA" w14:textId="77777777" w:rsidR="00D041A2" w:rsidRDefault="00D041A2">
      <w:pPr>
        <w:pStyle w:val="Normal12"/>
      </w:pPr>
    </w:p>
    <w:p w14:paraId="36032700" w14:textId="77777777" w:rsidR="00D041A2" w:rsidRDefault="00000000">
      <w:pPr>
        <w:pStyle w:val="Normal12"/>
        <w:widowControl w:val="0"/>
        <w:spacing w:before="200" w:line="260" w:lineRule="atLeast"/>
        <w:jc w:val="both"/>
      </w:pPr>
      <w:bookmarkStart w:id="1506" w:name="Bookmark_para_75"/>
      <w:bookmarkEnd w:id="1506"/>
      <w:r>
        <w:rPr>
          <w:rFonts w:ascii="Arial" w:eastAsia="Arial" w:hAnsi="Arial" w:cs="Arial"/>
          <w:color w:val="000000"/>
          <w:sz w:val="20"/>
        </w:rPr>
        <w:t>MURPHY, Circuit Judge, concurring.</w:t>
      </w:r>
    </w:p>
    <w:p w14:paraId="31FBEA2A" w14:textId="77777777" w:rsidR="00D041A2" w:rsidRDefault="00000000">
      <w:pPr>
        <w:pStyle w:val="Normal12"/>
        <w:widowControl w:val="0"/>
        <w:spacing w:before="200" w:line="260" w:lineRule="atLeast"/>
        <w:jc w:val="both"/>
      </w:pPr>
      <w:bookmarkStart w:id="1507" w:name="Bookmark_para_76"/>
      <w:bookmarkStart w:id="1508" w:name="Bookmark_I3719266P74000BRKCJ002K0"/>
      <w:bookmarkStart w:id="1509" w:name="Bookmark_I56XJBHY2HM6SV0030000400"/>
      <w:bookmarkEnd w:id="1507"/>
      <w:bookmarkEnd w:id="1508"/>
      <w:bookmarkEnd w:id="1509"/>
      <w:r>
        <w:rPr>
          <w:rFonts w:ascii="Arial" w:eastAsia="Arial" w:hAnsi="Arial" w:cs="Arial"/>
          <w:color w:val="000000"/>
          <w:sz w:val="20"/>
        </w:rPr>
        <w:t xml:space="preserve">I concur in the Court's opinion identifying issues of material fact which prevent summary judgment and remanding for further proceedings. A relevant question on remand will be whether  [**32] the City has developed an adequate policy to ensure effective communication with deaf individuals within the meaning of the ADA or the mandate of </w:t>
      </w:r>
      <w:bookmarkStart w:id="1510" w:name="Bookmark_I56XJBHY2HM6SV0020000400"/>
      <w:bookmarkEnd w:id="1510"/>
      <w:r>
        <w:rPr>
          <w:rFonts w:ascii="Arial" w:eastAsia="Arial" w:hAnsi="Arial" w:cs="Arial"/>
          <w:color w:val="000000"/>
          <w:sz w:val="20"/>
          <w:u w:val="single"/>
        </w:rPr>
        <w:t>Gorman v. Bartch</w:t>
      </w:r>
      <w:r>
        <w:rPr>
          <w:rFonts w:ascii="Arial" w:eastAsia="Arial" w:hAnsi="Arial" w:cs="Arial"/>
          <w:color w:val="000000"/>
          <w:sz w:val="20"/>
        </w:rPr>
        <w:t>, 152 F.3d 907, 913 (8th Cir. 1998).</w:t>
      </w:r>
    </w:p>
    <w:p w14:paraId="28532BD2" w14:textId="77777777" w:rsidR="00D041A2" w:rsidRDefault="00000000">
      <w:pPr>
        <w:pStyle w:val="Normal12"/>
        <w:widowControl w:val="0"/>
        <w:spacing w:before="200" w:line="260" w:lineRule="atLeast"/>
        <w:jc w:val="both"/>
      </w:pPr>
      <w:bookmarkStart w:id="1511" w:name="Bookmark_para_77"/>
      <w:bookmarkEnd w:id="1511"/>
      <w:r>
        <w:rPr>
          <w:rFonts w:ascii="Arial" w:eastAsia="Arial" w:hAnsi="Arial" w:cs="Arial"/>
          <w:color w:val="000000"/>
          <w:sz w:val="20"/>
        </w:rPr>
        <w:t>GRUENDER, Circuit Judge, concurring.</w:t>
      </w:r>
    </w:p>
    <w:p w14:paraId="19C4D39C" w14:textId="77777777" w:rsidR="00D041A2" w:rsidRDefault="00000000">
      <w:pPr>
        <w:pStyle w:val="Normal12"/>
        <w:widowControl w:val="0"/>
        <w:spacing w:before="200" w:line="260" w:lineRule="atLeast"/>
        <w:jc w:val="both"/>
      </w:pPr>
      <w:bookmarkStart w:id="1512" w:name="Bookmark_para_78"/>
      <w:bookmarkEnd w:id="1512"/>
      <w:r>
        <w:rPr>
          <w:rFonts w:ascii="Arial" w:eastAsia="Arial" w:hAnsi="Arial" w:cs="Arial"/>
          <w:color w:val="000000"/>
          <w:sz w:val="20"/>
        </w:rPr>
        <w:t xml:space="preserve">I concur in the Court's opinion, but I write separately to address further the issue of official immunity. Bahl concedes that the City has a policy stating that it will provide interpreters and other auxiliary aids to communicate effectively with "Persons Handicapped in Communication," defined to include both the hearing-impaired and those who are not proficient in  [*792]  speaking or understanding the English language. The City's policy requires officers to provide interpreters and other appropriate auxiliary aids for such individuals when necessary to carry out their duties. Furthermore, much of the officers' training focuses on skills applicable across the board for achieving effective communication. Steven Frazer Dep. 61:7-12, Sep. 1, 2009 ("We spend a huge amount of time in academy, FTO, and in-service training on the issues of communication. It is probably the single most trained topic in our police department in my career. And all of that training talks  [**33] about having effective communication."). That training encourages officers to "constantly assess[] all of the communications that are going on" with each individual to help an officer know whether effective communication is taking place. </w:t>
      </w:r>
      <w:r>
        <w:rPr>
          <w:rFonts w:ascii="Arial" w:eastAsia="Arial" w:hAnsi="Arial" w:cs="Arial"/>
          <w:i/>
          <w:color w:val="000000"/>
          <w:sz w:val="20"/>
        </w:rPr>
        <w:t>Id</w:t>
      </w:r>
      <w:r>
        <w:rPr>
          <w:rFonts w:ascii="Arial" w:eastAsia="Arial" w:hAnsi="Arial" w:cs="Arial"/>
          <w:color w:val="000000"/>
          <w:sz w:val="20"/>
        </w:rPr>
        <w:t>. at 63:8-14.</w:t>
      </w:r>
    </w:p>
    <w:p w14:paraId="2EF6C39E" w14:textId="77777777" w:rsidR="00D041A2" w:rsidRDefault="00000000">
      <w:pPr>
        <w:pStyle w:val="Normal12"/>
        <w:widowControl w:val="0"/>
        <w:spacing w:before="200" w:line="260" w:lineRule="atLeast"/>
        <w:jc w:val="both"/>
      </w:pPr>
      <w:bookmarkStart w:id="1513" w:name="Bookmark_para_79"/>
      <w:bookmarkEnd w:id="1513"/>
      <w:r>
        <w:rPr>
          <w:rFonts w:ascii="Arial" w:eastAsia="Arial" w:hAnsi="Arial" w:cs="Arial"/>
          <w:color w:val="000000"/>
          <w:sz w:val="20"/>
        </w:rPr>
        <w:t xml:space="preserve">I do not read the Court's opinion today to foreclose the possibility that such generally applicable policies and training might be sufficient to satisfy a municipality's duty "to develop and implement a </w:t>
      </w:r>
      <w:r>
        <w:rPr>
          <w:rFonts w:ascii="Arial" w:eastAsia="Arial" w:hAnsi="Arial" w:cs="Arial"/>
          <w:i/>
          <w:color w:val="000000"/>
          <w:sz w:val="20"/>
        </w:rPr>
        <w:t>basic</w:t>
      </w:r>
      <w:r>
        <w:rPr>
          <w:rFonts w:ascii="Arial" w:eastAsia="Arial" w:hAnsi="Arial" w:cs="Arial"/>
          <w:color w:val="000000"/>
          <w:sz w:val="20"/>
        </w:rPr>
        <w:t xml:space="preserve"> . . . policy" as required for entitlement to official immunity, </w:t>
      </w:r>
      <w:r>
        <w:rPr>
          <w:rFonts w:ascii="Arial" w:eastAsia="Arial" w:hAnsi="Arial" w:cs="Arial"/>
          <w:i/>
          <w:color w:val="000000"/>
          <w:sz w:val="20"/>
        </w:rPr>
        <w:t>see S.W. v. Spring Lake Park Sch. Dist. No. 16</w:t>
      </w:r>
      <w:r>
        <w:rPr>
          <w:rFonts w:ascii="Arial" w:eastAsia="Arial" w:hAnsi="Arial" w:cs="Arial"/>
          <w:color w:val="000000"/>
          <w:sz w:val="20"/>
        </w:rPr>
        <w:t xml:space="preserve">, 592 N.W.2d 870, 877 (Minn. Ct. App. 1999) (emphasis added), merely because the policy and training do not provide a separate formal program addressed solely to communicating with the hearing-impaired. Rather, the grant of summary judgment to the City was improper because the record at this stage does not reflect whether the extensive general communications training provided to the City's officers in fact covered even the most basic concepts applicable to communicating with the hearing-impaired. </w:t>
      </w:r>
      <w:r>
        <w:rPr>
          <w:rFonts w:ascii="Arial" w:eastAsia="Arial" w:hAnsi="Arial" w:cs="Arial"/>
          <w:i/>
          <w:color w:val="000000"/>
          <w:sz w:val="20"/>
        </w:rPr>
        <w:t>See ante</w:t>
      </w:r>
      <w:r>
        <w:rPr>
          <w:rFonts w:ascii="Arial" w:eastAsia="Arial" w:hAnsi="Arial" w:cs="Arial"/>
          <w:color w:val="000000"/>
          <w:sz w:val="20"/>
        </w:rPr>
        <w:t xml:space="preserve"> at 18-19 &amp; n.11. With these comments, I concur in the opinion of the Court.</w:t>
      </w:r>
    </w:p>
    <w:p w14:paraId="4BBB43DD" w14:textId="77777777" w:rsidR="00D041A2" w:rsidRDefault="00D041A2">
      <w:pPr>
        <w:pStyle w:val="Normal12"/>
      </w:pPr>
    </w:p>
    <w:p w14:paraId="6A27495A" w14:textId="32FD7C22" w:rsidR="00D041A2" w:rsidRDefault="00000000">
      <w:pPr>
        <w:pStyle w:val="Normal12"/>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85888" behindDoc="0" locked="0" layoutInCell="1" allowOverlap="1" wp14:anchorId="3D7CEA13" wp14:editId="608D9798">
                <wp:simplePos x="0" y="0"/>
                <wp:positionH relativeFrom="column">
                  <wp:posOffset>0</wp:posOffset>
                </wp:positionH>
                <wp:positionV relativeFrom="paragraph">
                  <wp:posOffset>127000</wp:posOffset>
                </wp:positionV>
                <wp:extent cx="6502400" cy="0"/>
                <wp:effectExtent l="9525" t="12700" r="12700" b="6350"/>
                <wp:wrapNone/>
                <wp:docPr id="663648833"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43576" id="Line 2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035FA42" w14:textId="77777777" w:rsidR="00D041A2" w:rsidRDefault="00D041A2">
      <w:pPr>
        <w:pStyle w:val="Normal13"/>
        <w:sectPr w:rsidR="00D041A2">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gutter="0"/>
          <w:cols w:space="720"/>
          <w:titlePg/>
        </w:sectPr>
      </w:pPr>
    </w:p>
    <w:p w14:paraId="31CE736B" w14:textId="77777777" w:rsidR="00D041A2" w:rsidRDefault="00D041A2">
      <w:pPr>
        <w:pStyle w:val="Normal13"/>
      </w:pPr>
    </w:p>
    <w:p w14:paraId="582EA79D" w14:textId="77777777" w:rsidR="00D041A2" w:rsidRDefault="00000000">
      <w:pPr>
        <w:pStyle w:val="Heading112"/>
        <w:keepNext w:val="0"/>
        <w:widowControl w:val="0"/>
        <w:spacing w:after="200" w:line="340" w:lineRule="atLeast"/>
        <w:jc w:val="center"/>
      </w:pPr>
      <w:r>
        <w:rPr>
          <w:rFonts w:eastAsia="Arial"/>
          <w:color w:val="000000"/>
          <w:sz w:val="28"/>
        </w:rPr>
        <w:t>Hunt v. Ga. Dep't of Cmty. Affairs</w:t>
      </w:r>
    </w:p>
    <w:p w14:paraId="10E10ECD" w14:textId="77777777" w:rsidR="00D041A2" w:rsidRDefault="00000000">
      <w:pPr>
        <w:pStyle w:val="Normal13"/>
        <w:widowControl w:val="0"/>
        <w:spacing w:before="120" w:line="260" w:lineRule="atLeast"/>
        <w:jc w:val="center"/>
      </w:pPr>
      <w:r>
        <w:rPr>
          <w:rFonts w:ascii="Arial" w:eastAsia="Arial" w:hAnsi="Arial" w:cs="Arial"/>
          <w:color w:val="000000"/>
          <w:sz w:val="20"/>
        </w:rPr>
        <w:t>United States Court of Appeals for the Eleventh Circuit</w:t>
      </w:r>
    </w:p>
    <w:p w14:paraId="25017D01" w14:textId="77777777" w:rsidR="00D041A2" w:rsidRDefault="00000000">
      <w:pPr>
        <w:pStyle w:val="Normal13"/>
        <w:widowControl w:val="0"/>
        <w:spacing w:before="120" w:line="260" w:lineRule="atLeast"/>
        <w:jc w:val="center"/>
      </w:pPr>
      <w:r>
        <w:rPr>
          <w:rFonts w:ascii="Arial" w:eastAsia="Arial" w:hAnsi="Arial" w:cs="Arial"/>
          <w:color w:val="000000"/>
          <w:sz w:val="20"/>
        </w:rPr>
        <w:t>September 18, 2012, Decided</w:t>
      </w:r>
    </w:p>
    <w:p w14:paraId="4525617C" w14:textId="77777777" w:rsidR="00D041A2" w:rsidRDefault="00000000">
      <w:pPr>
        <w:pStyle w:val="Normal13"/>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12-10935 Non-Argument Calendar</w:t>
      </w:r>
    </w:p>
    <w:p w14:paraId="4619AEE2" w14:textId="77777777" w:rsidR="00D041A2" w:rsidRDefault="00D041A2">
      <w:pPr>
        <w:pStyle w:val="Normal13"/>
        <w:widowControl w:val="0"/>
        <w:spacing w:line="240" w:lineRule="atLeast"/>
        <w:jc w:val="both"/>
      </w:pPr>
      <w:bookmarkStart w:id="1514" w:name="Bookmark_14"/>
      <w:bookmarkEnd w:id="1514"/>
    </w:p>
    <w:p w14:paraId="6256EFF6" w14:textId="77777777" w:rsidR="00D041A2" w:rsidRDefault="00000000">
      <w:pPr>
        <w:pStyle w:val="Normal13"/>
        <w:widowControl w:val="0"/>
        <w:spacing w:before="200" w:line="240" w:lineRule="atLeast"/>
      </w:pPr>
      <w:bookmarkStart w:id="1515" w:name="Reporter_12"/>
      <w:bookmarkEnd w:id="1515"/>
      <w:r>
        <w:rPr>
          <w:rFonts w:ascii="Arial" w:eastAsia="Arial" w:hAnsi="Arial" w:cs="Arial"/>
          <w:b/>
          <w:color w:val="000000"/>
          <w:sz w:val="18"/>
        </w:rPr>
        <w:t>Reporter</w:t>
      </w:r>
    </w:p>
    <w:p w14:paraId="3C40A4BB" w14:textId="77777777" w:rsidR="00D041A2" w:rsidRDefault="00000000">
      <w:pPr>
        <w:pStyle w:val="Normal13"/>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490 Fed. Appx. 196 *; 2012 U.S. App. LEXIS 19535 **; 2012 WL 4074568</w:t>
      </w:r>
    </w:p>
    <w:p w14:paraId="16FC7726" w14:textId="77777777" w:rsidR="00D041A2" w:rsidRDefault="00000000">
      <w:pPr>
        <w:pStyle w:val="Normal13"/>
        <w:widowControl w:val="0"/>
        <w:spacing w:before="120" w:line="260" w:lineRule="atLeast"/>
      </w:pPr>
      <w:r>
        <w:rPr>
          <w:rFonts w:ascii="Arial" w:eastAsia="Arial" w:hAnsi="Arial" w:cs="Arial"/>
          <w:color w:val="000000"/>
          <w:sz w:val="20"/>
        </w:rPr>
        <w:t>BONITA HUNT, Plaintiff-Appellant, versus GEORGIA DEPARTMENT OF COMMUNITY AFFAIRS, LARUTH HOLLOWAY, SABRA LEBLANC, GEOFFREY PARKER, JIM BALINGER, MICHAEL TIMMS, for the Georgia Department of Community Affairs, in their official and individual capacity, Defendants-Appellees.</w:t>
      </w:r>
    </w:p>
    <w:p w14:paraId="6E739EC8" w14:textId="77777777" w:rsidR="00D041A2" w:rsidRDefault="00000000">
      <w:pPr>
        <w:pStyle w:val="Normal13"/>
        <w:widowControl w:val="0"/>
        <w:spacing w:before="240" w:line="260" w:lineRule="atLeast"/>
        <w:jc w:val="both"/>
      </w:pPr>
      <w:bookmarkStart w:id="1516" w:name="Notice_7"/>
      <w:bookmarkEnd w:id="1516"/>
      <w:r>
        <w:rPr>
          <w:rFonts w:ascii="Arial" w:eastAsia="Arial" w:hAnsi="Arial" w:cs="Arial"/>
          <w:b/>
          <w:color w:val="000000"/>
          <w:sz w:val="20"/>
        </w:rPr>
        <w:t>Notice:</w:t>
      </w:r>
      <w:r>
        <w:rPr>
          <w:rFonts w:ascii="Arial" w:eastAsia="Arial" w:hAnsi="Arial" w:cs="Arial"/>
          <w:color w:val="000000"/>
          <w:sz w:val="20"/>
        </w:rPr>
        <w:t> </w:t>
      </w:r>
      <w:bookmarkStart w:id="1517" w:name="Bookmark_para_1_12"/>
      <w:bookmarkEnd w:id="1517"/>
      <w:r>
        <w:rPr>
          <w:rFonts w:ascii="Arial" w:eastAsia="Arial" w:hAnsi="Arial" w:cs="Arial"/>
          <w:color w:val="000000"/>
          <w:sz w:val="20"/>
        </w:rPr>
        <w:t>PLEASE REFER TO FEDERAL RULES OF APPELLATE PROCEDURE RULE 32.1 GOVERNING THE CITATION TO UNPUBLISHED OPINIONS.</w:t>
      </w:r>
    </w:p>
    <w:p w14:paraId="649F3E6A" w14:textId="77777777" w:rsidR="00D041A2" w:rsidRDefault="00000000">
      <w:pPr>
        <w:pStyle w:val="Normal13"/>
        <w:widowControl w:val="0"/>
        <w:spacing w:before="240" w:line="260" w:lineRule="atLeast"/>
        <w:jc w:val="both"/>
      </w:pPr>
      <w:bookmarkStart w:id="1518" w:name="Prior_History_12"/>
      <w:bookmarkEnd w:id="1518"/>
      <w:r>
        <w:rPr>
          <w:rFonts w:ascii="Arial" w:eastAsia="Arial" w:hAnsi="Arial" w:cs="Arial"/>
          <w:b/>
          <w:color w:val="000000"/>
          <w:sz w:val="20"/>
        </w:rPr>
        <w:t>Prior History:</w:t>
      </w:r>
      <w:r>
        <w:rPr>
          <w:rFonts w:ascii="Arial" w:eastAsia="Arial" w:hAnsi="Arial" w:cs="Arial"/>
          <w:color w:val="000000"/>
          <w:sz w:val="20"/>
        </w:rPr>
        <w:t>  [**1] </w:t>
      </w:r>
      <w:bookmarkStart w:id="1519" w:name="Bookmark_para_2_12"/>
      <w:bookmarkEnd w:id="1519"/>
      <w:r>
        <w:rPr>
          <w:rFonts w:ascii="Arial" w:eastAsia="Arial" w:hAnsi="Arial" w:cs="Arial"/>
          <w:color w:val="000000"/>
          <w:sz w:val="20"/>
        </w:rPr>
        <w:t>Appeal from the United States District Court for the Northern District of Georgia. D.C. Docket No. 1:09-cv-03137-AT.</w:t>
      </w:r>
    </w:p>
    <w:p w14:paraId="4C2A47BE" w14:textId="77777777" w:rsidR="00D041A2" w:rsidRDefault="00000000">
      <w:pPr>
        <w:pStyle w:val="Normal13"/>
        <w:widowControl w:val="0"/>
        <w:spacing w:before="120" w:line="260" w:lineRule="atLeast"/>
      </w:pPr>
      <w:r>
        <w:rPr>
          <w:rFonts w:ascii="Arial" w:eastAsia="Arial" w:hAnsi="Arial" w:cs="Arial"/>
          <w:color w:val="000000"/>
          <w:sz w:val="20"/>
        </w:rPr>
        <w:t>Hunt v. Ga. Dep't of Cmty. Affairs, 2010 U.S. Dist. LEXIS 136444 (N.D. Ga., Dec. 23, 2010)</w:t>
      </w:r>
    </w:p>
    <w:p w14:paraId="0D0F18B2" w14:textId="77777777" w:rsidR="00D041A2" w:rsidRDefault="00000000">
      <w:pPr>
        <w:pStyle w:val="Normal13"/>
        <w:widowControl w:val="0"/>
        <w:spacing w:before="240" w:line="260" w:lineRule="atLeast"/>
        <w:jc w:val="both"/>
      </w:pPr>
      <w:bookmarkStart w:id="1520" w:name="Disposition_4"/>
      <w:bookmarkEnd w:id="1520"/>
      <w:r>
        <w:rPr>
          <w:rFonts w:ascii="Arial" w:eastAsia="Arial" w:hAnsi="Arial" w:cs="Arial"/>
          <w:b/>
          <w:color w:val="000000"/>
          <w:sz w:val="20"/>
        </w:rPr>
        <w:t>Disposition:</w:t>
      </w:r>
      <w:r>
        <w:rPr>
          <w:rFonts w:ascii="Arial" w:eastAsia="Arial" w:hAnsi="Arial" w:cs="Arial"/>
          <w:color w:val="000000"/>
          <w:sz w:val="20"/>
        </w:rPr>
        <w:t> </w:t>
      </w:r>
      <w:bookmarkStart w:id="1521" w:name="Bookmark_clspara_5_0"/>
      <w:bookmarkEnd w:id="1521"/>
      <w:r>
        <w:rPr>
          <w:rFonts w:ascii="Arial" w:eastAsia="Arial" w:hAnsi="Arial" w:cs="Arial"/>
          <w:color w:val="000000"/>
          <w:sz w:val="20"/>
        </w:rPr>
        <w:t>AFFIRMED.</w:t>
      </w:r>
    </w:p>
    <w:p w14:paraId="173321E2" w14:textId="77777777" w:rsidR="00D041A2" w:rsidRDefault="00000000">
      <w:pPr>
        <w:pStyle w:val="Normal13"/>
        <w:widowControl w:val="0"/>
        <w:spacing w:before="240" w:line="260" w:lineRule="atLeast"/>
      </w:pPr>
      <w:bookmarkStart w:id="1522" w:name="Counsel_12"/>
      <w:bookmarkEnd w:id="1522"/>
      <w:r>
        <w:rPr>
          <w:rFonts w:ascii="Arial" w:eastAsia="Arial" w:hAnsi="Arial" w:cs="Arial"/>
          <w:b/>
          <w:color w:val="000000"/>
          <w:sz w:val="20"/>
        </w:rPr>
        <w:t>Counsel:</w:t>
      </w:r>
      <w:r>
        <w:rPr>
          <w:rFonts w:ascii="Arial" w:eastAsia="Arial" w:hAnsi="Arial" w:cs="Arial"/>
          <w:color w:val="000000"/>
          <w:sz w:val="20"/>
        </w:rPr>
        <w:t> For BONITA HUNT, Plaintiff - Appellant: Bonita Hunt, EAST POINT, GA.</w:t>
      </w:r>
    </w:p>
    <w:p w14:paraId="1FA79DF1" w14:textId="77777777" w:rsidR="00D041A2" w:rsidRDefault="00000000">
      <w:pPr>
        <w:pStyle w:val="Normal13"/>
        <w:widowControl w:val="0"/>
        <w:spacing w:before="120" w:line="260" w:lineRule="atLeast"/>
      </w:pPr>
      <w:r>
        <w:rPr>
          <w:rFonts w:ascii="Arial" w:eastAsia="Arial" w:hAnsi="Arial" w:cs="Arial"/>
          <w:color w:val="000000"/>
          <w:sz w:val="20"/>
        </w:rPr>
        <w:t>For GEORGIA DEPARTMENT OF COMMUNITY AFFAIRS, LARUTH HOLLOWAY, SABRA LEBLANC, JIM BALINGER, MICHAEL TIMMS, for the Georgia Department of Community Affairs, in their official and individual capacity, Defendant - Appellees: Keilani Kimes-Parker, Laura Louise Lones, Samuel Scott Olens, Attorney General's Office, ATLANTA, GA.</w:t>
      </w:r>
    </w:p>
    <w:p w14:paraId="7C62DAEC" w14:textId="77777777" w:rsidR="00D041A2" w:rsidRDefault="00000000">
      <w:pPr>
        <w:pStyle w:val="Normal13"/>
        <w:widowControl w:val="0"/>
        <w:spacing w:before="120" w:line="260" w:lineRule="atLeast"/>
      </w:pPr>
      <w:r>
        <w:rPr>
          <w:rFonts w:ascii="Arial" w:eastAsia="Arial" w:hAnsi="Arial" w:cs="Arial"/>
          <w:color w:val="000000"/>
          <w:sz w:val="20"/>
        </w:rPr>
        <w:t>For GEOFFREY PARKER, Defendant - Appellee: Laura Louise Lones, Attorney General's Office, ATLANTA, GA.</w:t>
      </w:r>
    </w:p>
    <w:p w14:paraId="77758EA9" w14:textId="77777777" w:rsidR="00D041A2" w:rsidRDefault="00000000">
      <w:pPr>
        <w:pStyle w:val="Normal13"/>
        <w:widowControl w:val="0"/>
        <w:spacing w:before="240" w:line="260" w:lineRule="atLeast"/>
      </w:pPr>
      <w:bookmarkStart w:id="1523" w:name="Judges_12"/>
      <w:bookmarkEnd w:id="1523"/>
      <w:r>
        <w:rPr>
          <w:rFonts w:ascii="Arial" w:eastAsia="Arial" w:hAnsi="Arial" w:cs="Arial"/>
          <w:b/>
          <w:color w:val="000000"/>
          <w:sz w:val="20"/>
        </w:rPr>
        <w:t>Judges:</w:t>
      </w:r>
      <w:r>
        <w:rPr>
          <w:rFonts w:ascii="Arial" w:eastAsia="Arial" w:hAnsi="Arial" w:cs="Arial"/>
          <w:color w:val="000000"/>
          <w:sz w:val="20"/>
        </w:rPr>
        <w:t> Before CARNES, HULL and MARCUS, Circuit Judges.</w:t>
      </w:r>
    </w:p>
    <w:p w14:paraId="73EEDE34" w14:textId="77777777" w:rsidR="00D041A2" w:rsidRDefault="00000000">
      <w:pPr>
        <w:pStyle w:val="Normal13"/>
        <w:keepNext/>
        <w:widowControl w:val="0"/>
        <w:spacing w:before="240" w:line="340" w:lineRule="atLeast"/>
      </w:pPr>
      <w:bookmarkStart w:id="1524" w:name="Opinion_12"/>
      <w:bookmarkEnd w:id="1524"/>
      <w:r>
        <w:rPr>
          <w:rFonts w:ascii="Arial" w:eastAsia="Arial" w:hAnsi="Arial" w:cs="Arial"/>
          <w:b/>
          <w:color w:val="000000"/>
          <w:sz w:val="28"/>
        </w:rPr>
        <w:t>Opinion</w:t>
      </w:r>
    </w:p>
    <w:p w14:paraId="2DCF77FD" w14:textId="69C2EEFA" w:rsidR="00D041A2" w:rsidRDefault="004D4403">
      <w:pPr>
        <w:pStyle w:val="Normal13"/>
        <w:spacing w:line="60" w:lineRule="exact"/>
      </w:pPr>
      <w:r>
        <w:rPr>
          <w:noProof/>
        </w:rPr>
        <mc:AlternateContent>
          <mc:Choice Requires="wps">
            <w:drawing>
              <wp:anchor distT="0" distB="0" distL="114300" distR="114300" simplePos="0" relativeHeight="251686912" behindDoc="0" locked="0" layoutInCell="1" allowOverlap="1" wp14:anchorId="7C2CA7C7" wp14:editId="4EE95DDE">
                <wp:simplePos x="0" y="0"/>
                <wp:positionH relativeFrom="column">
                  <wp:posOffset>0</wp:posOffset>
                </wp:positionH>
                <wp:positionV relativeFrom="paragraph">
                  <wp:posOffset>25400</wp:posOffset>
                </wp:positionV>
                <wp:extent cx="3187700" cy="0"/>
                <wp:effectExtent l="19050" t="15875" r="12700" b="12700"/>
                <wp:wrapTopAndBottom/>
                <wp:docPr id="152941973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17E13" id="Line 29"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B3AEB92" w14:textId="77777777" w:rsidR="00D041A2" w:rsidRDefault="00D041A2">
      <w:pPr>
        <w:pStyle w:val="Normal13"/>
      </w:pPr>
    </w:p>
    <w:p w14:paraId="6E6BFE87" w14:textId="77777777" w:rsidR="00D041A2" w:rsidRDefault="00000000">
      <w:pPr>
        <w:pStyle w:val="Normal13"/>
        <w:widowControl w:val="0"/>
        <w:spacing w:before="200" w:line="260" w:lineRule="atLeast"/>
        <w:jc w:val="both"/>
      </w:pPr>
      <w:bookmarkStart w:id="1525" w:name="Bookmark_para_3_12"/>
      <w:bookmarkEnd w:id="1525"/>
      <w:r>
        <w:rPr>
          <w:rFonts w:ascii="Arial" w:eastAsia="Arial" w:hAnsi="Arial" w:cs="Arial"/>
          <w:color w:val="000000"/>
          <w:sz w:val="20"/>
        </w:rPr>
        <w:t> [*197]  PER CURIAM:</w:t>
      </w:r>
    </w:p>
    <w:p w14:paraId="40106D9D" w14:textId="77777777" w:rsidR="00D041A2" w:rsidRDefault="00000000">
      <w:pPr>
        <w:pStyle w:val="Normal13"/>
        <w:widowControl w:val="0"/>
        <w:spacing w:before="200" w:line="260" w:lineRule="atLeast"/>
        <w:jc w:val="both"/>
      </w:pPr>
      <w:bookmarkStart w:id="1526" w:name="Bookmark_para_4_12"/>
      <w:bookmarkEnd w:id="1526"/>
      <w:r>
        <w:rPr>
          <w:rFonts w:ascii="Arial" w:eastAsia="Arial" w:hAnsi="Arial" w:cs="Arial"/>
          <w:color w:val="000000"/>
          <w:sz w:val="20"/>
        </w:rPr>
        <w:t xml:space="preserve">Plaintiff-Appellant Bonita Hunt </w:t>
      </w:r>
      <w:r>
        <w:rPr>
          <w:rFonts w:ascii="Arial" w:eastAsia="Arial" w:hAnsi="Arial" w:cs="Arial"/>
          <w:color w:val="000000"/>
          <w:sz w:val="20"/>
          <w:u w:val="single"/>
        </w:rPr>
        <w:t>pro se</w:t>
      </w:r>
      <w:r>
        <w:rPr>
          <w:rFonts w:ascii="Arial" w:eastAsia="Arial" w:hAnsi="Arial" w:cs="Arial"/>
          <w:color w:val="000000"/>
          <w:sz w:val="20"/>
        </w:rPr>
        <w:t xml:space="preserve"> appeals the district court's dismissal of her complaint asserting claims against the Defendant-Appellee Georgia Department of Community Affairs ("GDCA") under the Fair Housing Act ("FHA"), the Americans with Disabilities Act ("ADA"), and the Rehabilitation Act. The district</w:t>
      </w:r>
      <w:r>
        <w:rPr>
          <w:rFonts w:ascii="Arial" w:eastAsia="Arial" w:hAnsi="Arial" w:cs="Arial"/>
          <w:vertAlign w:val="superscript"/>
        </w:rPr>
        <w:footnoteReference w:customMarkFollows="1" w:id="78"/>
        <w:t>1</w:t>
      </w:r>
      <w:r>
        <w:rPr>
          <w:rFonts w:ascii="Arial" w:eastAsia="Arial" w:hAnsi="Arial" w:cs="Arial"/>
          <w:color w:val="000000"/>
          <w:sz w:val="20"/>
        </w:rPr>
        <w:t xml:space="preserve"> court dismissed Hunt's ADA and Rehabilitation Act claims as barred by the two-year statute of limitations and dismissed her FHA claim as barred by the Eleventh Amendment. After review, we affirm.</w:t>
      </w:r>
      <w:r>
        <w:rPr>
          <w:rFonts w:ascii="Arial" w:eastAsia="Arial" w:hAnsi="Arial" w:cs="Arial"/>
          <w:vertAlign w:val="superscript"/>
        </w:rPr>
        <w:footnoteReference w:customMarkFollows="1" w:id="79"/>
        <w:t>2</w:t>
      </w:r>
    </w:p>
    <w:p w14:paraId="514A0184" w14:textId="77777777" w:rsidR="00D041A2" w:rsidRDefault="00000000">
      <w:pPr>
        <w:pStyle w:val="Normal13"/>
        <w:widowControl w:val="0"/>
        <w:spacing w:before="240" w:line="260" w:lineRule="atLeast"/>
      </w:pPr>
      <w:r>
        <w:br/>
      </w:r>
      <w:r>
        <w:rPr>
          <w:rFonts w:ascii="Arial" w:eastAsia="Arial" w:hAnsi="Arial" w:cs="Arial"/>
          <w:b/>
          <w:color w:val="000000"/>
          <w:sz w:val="20"/>
        </w:rPr>
        <w:t>I. BACKGROUND</w:t>
      </w:r>
    </w:p>
    <w:p w14:paraId="1F290ADC" w14:textId="77777777" w:rsidR="00D041A2" w:rsidRDefault="00000000">
      <w:pPr>
        <w:pStyle w:val="Normal13"/>
        <w:widowControl w:val="0"/>
        <w:spacing w:before="200" w:line="260" w:lineRule="atLeast"/>
        <w:jc w:val="both"/>
      </w:pPr>
      <w:bookmarkStart w:id="1545" w:name="Bookmark_para_5_12"/>
      <w:bookmarkEnd w:id="1545"/>
      <w:r>
        <w:rPr>
          <w:rFonts w:ascii="Arial" w:eastAsia="Arial" w:hAnsi="Arial" w:cs="Arial"/>
          <w:color w:val="000000"/>
          <w:sz w:val="20"/>
        </w:rPr>
        <w:t xml:space="preserve">From 2004 to 2007, Hunt received a federal housing subsidy administered by Defendant GDCA. According to Plaintiff Hunt's </w:t>
      </w:r>
      <w:r>
        <w:rPr>
          <w:rFonts w:ascii="Arial" w:eastAsia="Arial" w:hAnsi="Arial" w:cs="Arial"/>
          <w:color w:val="000000"/>
          <w:sz w:val="20"/>
          <w:u w:val="single"/>
        </w:rPr>
        <w:t>pro se</w:t>
      </w:r>
      <w:r>
        <w:rPr>
          <w:rFonts w:ascii="Arial" w:eastAsia="Arial" w:hAnsi="Arial" w:cs="Arial"/>
          <w:color w:val="000000"/>
          <w:sz w:val="20"/>
        </w:rPr>
        <w:t xml:space="preserve"> complaint, filed  [**3] on October 20, 2009, Defendant GDCA discriminated against her and her children based on their race, their familial status and her son's disabilities by: (1) forcing them to remain in substandard housing that was infested by mold and rats and smelled of raw sewage until Hunt's lease expired on November 30, 2005; (2) refusing to give approval in May 2007 so that a live-in aide for Hunt's son could reside in Hunt's subsidized home; and (3) retaliating against Hunt, for her complaints, by making false allegations of fraud against her in a June 14, 2007 administrative hearing with the U.S. Department of Housing and Urban Development ("HUD").</w:t>
      </w:r>
    </w:p>
    <w:p w14:paraId="04924E9A" w14:textId="77777777" w:rsidR="00D041A2" w:rsidRDefault="00000000">
      <w:pPr>
        <w:pStyle w:val="Normal13"/>
        <w:widowControl w:val="0"/>
        <w:spacing w:before="240" w:line="260" w:lineRule="atLeast"/>
      </w:pPr>
      <w:r>
        <w:br/>
      </w:r>
      <w:r>
        <w:rPr>
          <w:rFonts w:ascii="Arial" w:eastAsia="Arial" w:hAnsi="Arial" w:cs="Arial"/>
          <w:b/>
          <w:color w:val="000000"/>
          <w:sz w:val="20"/>
        </w:rPr>
        <w:t>II. DISCUSSION</w:t>
      </w:r>
    </w:p>
    <w:p w14:paraId="7BDE11A7" w14:textId="77777777" w:rsidR="00D041A2" w:rsidRDefault="00000000">
      <w:pPr>
        <w:pStyle w:val="Normal13"/>
        <w:widowControl w:val="0"/>
        <w:spacing w:before="200" w:line="260" w:lineRule="atLeast"/>
        <w:jc w:val="both"/>
      </w:pPr>
      <w:bookmarkStart w:id="1546" w:name="Bookmark_para_6_12"/>
      <w:bookmarkStart w:id="1547" w:name="Bookmark_I56S30NP2N1RJJ0020000400"/>
      <w:bookmarkStart w:id="1548" w:name="Bookmark_LNHNREFclscc4_7"/>
      <w:bookmarkEnd w:id="1546"/>
      <w:bookmarkEnd w:id="1547"/>
      <w:bookmarkEnd w:id="1548"/>
      <w:r>
        <w:rPr>
          <w:rFonts w:ascii="Arial" w:eastAsia="Arial" w:hAnsi="Arial" w:cs="Arial"/>
          <w:color w:val="000000"/>
          <w:sz w:val="20"/>
        </w:rPr>
        <w:t xml:space="preserve">Title II of the ADA and the Rehabilitation Act do not contain independent statutes of limitation and thus are governed by the most analogous state statute of limitations, here </w:t>
      </w:r>
      <w:bookmarkStart w:id="1549" w:name="Bookmark_LNHNREFclscc5_7"/>
      <w:bookmarkEnd w:id="1549"/>
      <w:r>
        <w:rPr>
          <w:rFonts w:ascii="Arial" w:eastAsia="Arial" w:hAnsi="Arial" w:cs="Arial"/>
          <w:color w:val="000000"/>
          <w:sz w:val="20"/>
        </w:rPr>
        <w:t xml:space="preserve">Georgia's two-year statute of limitations for personal injury actions in O.C.G.A. § 9-3-33. </w:t>
      </w:r>
      <w:bookmarkStart w:id="1550" w:name="Bookmark_I56S30NP2N1RJJ0010000400"/>
      <w:bookmarkEnd w:id="1550"/>
      <w:r>
        <w:rPr>
          <w:rFonts w:ascii="Arial" w:eastAsia="Arial" w:hAnsi="Arial" w:cs="Arial"/>
          <w:color w:val="000000"/>
          <w:sz w:val="20"/>
          <w:u w:val="single"/>
        </w:rPr>
        <w:t>Everett v. Cobb Cnty. Sch. Dist</w:t>
      </w:r>
      <w:r>
        <w:rPr>
          <w:rFonts w:ascii="Arial" w:eastAsia="Arial" w:hAnsi="Arial" w:cs="Arial"/>
          <w:color w:val="000000"/>
          <w:sz w:val="20"/>
        </w:rPr>
        <w:t>., 138 F.3d 1407, 1409-10 (11th Cir. 1998). On appeal, Hunt does not dispute that the last act of alleged discrimination occurred in May 2007 and that she  [*198]  filed her federal complaint in October 2009, more than two years later. Instead, Hunt argues  [**4] that her complaint was nonetheless timely because she is entitled to either statutory tolling under the FHA or equitable tolling. We disagree.</w:t>
      </w:r>
      <w:r>
        <w:rPr>
          <w:rFonts w:ascii="Arial" w:eastAsia="Arial" w:hAnsi="Arial" w:cs="Arial"/>
          <w:vertAlign w:val="superscript"/>
        </w:rPr>
        <w:footnoteReference w:customMarkFollows="1" w:id="80"/>
        <w:t>3</w:t>
      </w:r>
    </w:p>
    <w:p w14:paraId="11583E37" w14:textId="77777777" w:rsidR="00D041A2" w:rsidRDefault="00000000">
      <w:pPr>
        <w:pStyle w:val="Normal13"/>
        <w:widowControl w:val="0"/>
        <w:spacing w:before="200" w:line="260" w:lineRule="atLeast"/>
        <w:jc w:val="both"/>
      </w:pPr>
      <w:bookmarkStart w:id="1559" w:name="Bookmark_para_7_12"/>
      <w:bookmarkEnd w:id="1559"/>
      <w:r>
        <w:rPr>
          <w:rFonts w:ascii="Arial" w:eastAsia="Arial" w:hAnsi="Arial" w:cs="Arial"/>
          <w:color w:val="000000"/>
          <w:sz w:val="20"/>
        </w:rPr>
        <w:t xml:space="preserve">Although </w:t>
      </w:r>
      <w:bookmarkStart w:id="1560" w:name="Bookmark_LNHNREFclscc8_7"/>
      <w:bookmarkEnd w:id="1560"/>
      <w:r>
        <w:rPr>
          <w:rFonts w:ascii="Arial" w:eastAsia="Arial" w:hAnsi="Arial" w:cs="Arial"/>
          <w:color w:val="000000"/>
          <w:sz w:val="20"/>
        </w:rPr>
        <w:t xml:space="preserve">the FHA contains a statutory tolling provision, </w:t>
      </w:r>
      <w:r>
        <w:rPr>
          <w:rFonts w:ascii="Arial" w:eastAsia="Arial" w:hAnsi="Arial" w:cs="Arial"/>
          <w:color w:val="000000"/>
          <w:sz w:val="20"/>
          <w:u w:val="single"/>
        </w:rPr>
        <w:t>see</w:t>
      </w:r>
      <w:r>
        <w:rPr>
          <w:rFonts w:ascii="Arial" w:eastAsia="Arial" w:hAnsi="Arial" w:cs="Arial"/>
          <w:color w:val="000000"/>
          <w:sz w:val="20"/>
        </w:rPr>
        <w:t xml:space="preserve"> 42 U.S.C. § 3613(a)(1)(B), Hunt cites no authority for her contention that it extends to claims raised under the ADA or the Rehabilitation Act. Further, nothing in the FHA purports to toll the running of the limitations period for a claim under the ADA or the Rehabilitation Act. Rather, the FHA's tolling provision expressly limits its reach to administrative proceedings concerning discriminatory housing practices made unlawful by  [**5] the Act itself. </w:t>
      </w:r>
      <w:r>
        <w:rPr>
          <w:rFonts w:ascii="Arial" w:eastAsia="Arial" w:hAnsi="Arial" w:cs="Arial"/>
          <w:color w:val="000000"/>
          <w:sz w:val="20"/>
          <w:u w:val="single"/>
        </w:rPr>
        <w:t>See</w:t>
      </w:r>
      <w:r>
        <w:rPr>
          <w:rFonts w:ascii="Arial" w:eastAsia="Arial" w:hAnsi="Arial" w:cs="Arial"/>
          <w:color w:val="000000"/>
          <w:sz w:val="20"/>
        </w:rPr>
        <w:t xml:space="preserve"> 42 U.S.C. § 3602(f) (defining a "discriminatory housing practice" as "an act that is unlawful under" four specified provisions of the FHA), § 3613(a)(1)(A), (B) (authorizing an aggrieved person to commence a civil action "not later than 2 years after the occurrence or the termination of an alleged discriminatory housing practice" and tolling the two-year period while "an administrative proceeding under this subchapter was pending with respect to a complaint or charge under this subchapter based upon such discriminatory housing practice"). Moreover, since the source of the limitation for FHA claims is distinct from that governing ADA and Rehabilitation Act claims, we see no reason to conclude that the FHA's express tolling provision should apply to an ADA or a Rehabilitation Act claim.</w:t>
      </w:r>
    </w:p>
    <w:p w14:paraId="015771EA" w14:textId="77777777" w:rsidR="00D041A2" w:rsidRDefault="00000000">
      <w:pPr>
        <w:pStyle w:val="Normal13"/>
        <w:widowControl w:val="0"/>
        <w:spacing w:before="200" w:line="260" w:lineRule="atLeast"/>
        <w:jc w:val="both"/>
      </w:pPr>
      <w:bookmarkStart w:id="1561" w:name="Bookmark_para_8_11"/>
      <w:bookmarkStart w:id="1562" w:name="Bookmark_I56S30NP2SF8P10050000400"/>
      <w:bookmarkEnd w:id="1561"/>
      <w:bookmarkEnd w:id="1562"/>
      <w:r>
        <w:rPr>
          <w:rFonts w:ascii="Arial" w:eastAsia="Arial" w:hAnsi="Arial" w:cs="Arial"/>
          <w:color w:val="000000"/>
          <w:sz w:val="20"/>
        </w:rPr>
        <w:t xml:space="preserve">Hunt alternatively argues that the limitations period for her ADA and Rehabilitation Act claims was equitably tolled during the administrative proceedings because HUD led her to believe that it had jurisdiction of those claims and that the FHA's statutory tolling provision applied to them. </w:t>
      </w:r>
      <w:bookmarkStart w:id="1563" w:name="Bookmark_LNHNREFclscc9_7"/>
      <w:bookmarkEnd w:id="1563"/>
      <w:r>
        <w:rPr>
          <w:rFonts w:ascii="Arial" w:eastAsia="Arial" w:hAnsi="Arial" w:cs="Arial"/>
          <w:color w:val="000000"/>
          <w:sz w:val="20"/>
        </w:rPr>
        <w:t xml:space="preserve">"The doctrine of equitable tolling allows a court to toll the statute of limitations until such  [**6] a time that the court determines would have been fair for the statute of limitations to begin running on the plaintiff's claims." </w:t>
      </w:r>
      <w:bookmarkStart w:id="1564" w:name="Bookmark_I56S30NP2SF8P10040000400"/>
      <w:bookmarkEnd w:id="1564"/>
      <w:r>
        <w:rPr>
          <w:rFonts w:ascii="Arial" w:eastAsia="Arial" w:hAnsi="Arial" w:cs="Arial"/>
          <w:color w:val="000000"/>
          <w:sz w:val="20"/>
          <w:u w:val="single"/>
        </w:rPr>
        <w:t>Arce v. Garcia</w:t>
      </w:r>
      <w:r>
        <w:rPr>
          <w:rFonts w:ascii="Arial" w:eastAsia="Arial" w:hAnsi="Arial" w:cs="Arial"/>
          <w:color w:val="000000"/>
          <w:sz w:val="20"/>
        </w:rPr>
        <w:t xml:space="preserve">, 434 F.3d 1254, 1261 (11th Cir. 2006). </w:t>
      </w:r>
      <w:bookmarkStart w:id="1565" w:name="Bookmark_I56S30NP28T46B0020000400"/>
      <w:bookmarkEnd w:id="1565"/>
      <w:r>
        <w:rPr>
          <w:rFonts w:ascii="Arial" w:eastAsia="Arial" w:hAnsi="Arial" w:cs="Arial"/>
          <w:color w:val="000000"/>
          <w:sz w:val="20"/>
        </w:rPr>
        <w:t xml:space="preserve">Because equitable tolling is an extraordinary remedy to be applied sparingly, it is appropriate only when a plaintiff untimely files due to extraordinary circumstances that are both beyond her control and unavoidable even with diligence. </w:t>
      </w:r>
      <w:bookmarkStart w:id="1566" w:name="Bookmark_I56S30NP28T46B0040000400"/>
      <w:bookmarkEnd w:id="1566"/>
      <w:r>
        <w:rPr>
          <w:rFonts w:ascii="Arial" w:eastAsia="Arial" w:hAnsi="Arial" w:cs="Arial"/>
          <w:color w:val="000000"/>
          <w:sz w:val="20"/>
          <w:u w:val="single"/>
        </w:rPr>
        <w:t>Id</w:t>
      </w:r>
      <w:r>
        <w:rPr>
          <w:rFonts w:ascii="Arial" w:eastAsia="Arial" w:hAnsi="Arial" w:cs="Arial"/>
          <w:color w:val="000000"/>
          <w:sz w:val="20"/>
        </w:rPr>
        <w:t xml:space="preserve">. Equitable tolling typically requires some affirmative misconduct, such as fraud, misinformation or deliberate concealment. </w:t>
      </w:r>
      <w:bookmarkStart w:id="1567" w:name="Bookmark_I56S30NP28T46B0040000400_2"/>
      <w:bookmarkStart w:id="1568" w:name="Bookmark_I56S30NP28T46B0020000400_2"/>
      <w:bookmarkStart w:id="1569" w:name="Bookmark_I56S30NP28T46B0010000400"/>
      <w:bookmarkEnd w:id="1567"/>
      <w:bookmarkEnd w:id="1568"/>
      <w:bookmarkEnd w:id="1569"/>
      <w:r>
        <w:rPr>
          <w:rFonts w:ascii="Arial" w:eastAsia="Arial" w:hAnsi="Arial" w:cs="Arial"/>
          <w:color w:val="000000"/>
          <w:sz w:val="20"/>
          <w:u w:val="single"/>
        </w:rPr>
        <w:t>Jackson v. Astrue</w:t>
      </w:r>
      <w:r>
        <w:rPr>
          <w:rFonts w:ascii="Arial" w:eastAsia="Arial" w:hAnsi="Arial" w:cs="Arial"/>
          <w:color w:val="000000"/>
          <w:sz w:val="20"/>
        </w:rPr>
        <w:t xml:space="preserve">, 506 F.3d 1349, 1355-56 (11th Cir. 2007). </w:t>
      </w:r>
      <w:bookmarkStart w:id="1570" w:name="Bookmark_I56S30NP2SF8P20010000400"/>
      <w:bookmarkEnd w:id="1570"/>
      <w:r>
        <w:rPr>
          <w:rFonts w:ascii="Arial" w:eastAsia="Arial" w:hAnsi="Arial" w:cs="Arial"/>
          <w:color w:val="000000"/>
          <w:sz w:val="20"/>
        </w:rPr>
        <w:t xml:space="preserve">"[I]gnorance of the law does not, on its own, satisfy the constricted 'extraordinary circumstances' test." </w:t>
      </w:r>
      <w:bookmarkStart w:id="1571" w:name="Bookmark_I56S30NP28T46B0030000400"/>
      <w:bookmarkEnd w:id="1571"/>
      <w:r>
        <w:rPr>
          <w:rFonts w:ascii="Arial" w:eastAsia="Arial" w:hAnsi="Arial" w:cs="Arial"/>
          <w:color w:val="000000"/>
          <w:sz w:val="20"/>
          <w:u w:val="single"/>
        </w:rPr>
        <w:t>Id</w:t>
      </w:r>
      <w:r>
        <w:rPr>
          <w:rFonts w:ascii="Arial" w:eastAsia="Arial" w:hAnsi="Arial" w:cs="Arial"/>
          <w:color w:val="000000"/>
          <w:sz w:val="20"/>
        </w:rPr>
        <w:t xml:space="preserve">. at 1356. </w:t>
      </w:r>
      <w:bookmarkStart w:id="1572" w:name="Bookmark_I56S30NP2SF8P20010000400_2"/>
      <w:bookmarkEnd w:id="1572"/>
      <w:r>
        <w:rPr>
          <w:rFonts w:ascii="Arial" w:eastAsia="Arial" w:hAnsi="Arial" w:cs="Arial"/>
          <w:color w:val="000000"/>
          <w:sz w:val="20"/>
        </w:rPr>
        <w:t xml:space="preserve">Accordingly, we have previously rejected the contention that </w:t>
      </w:r>
      <w:r>
        <w:rPr>
          <w:rFonts w:ascii="Arial" w:eastAsia="Arial" w:hAnsi="Arial" w:cs="Arial"/>
          <w:color w:val="000000"/>
          <w:sz w:val="20"/>
          <w:u w:val="single"/>
        </w:rPr>
        <w:t>pro se</w:t>
      </w:r>
      <w:r>
        <w:rPr>
          <w:rFonts w:ascii="Arial" w:eastAsia="Arial" w:hAnsi="Arial" w:cs="Arial"/>
          <w:color w:val="000000"/>
          <w:sz w:val="20"/>
        </w:rPr>
        <w:t xml:space="preserve"> status, ignorance of the judicial process or slow administrative proceedings warrant application of equitable tolling. </w:t>
      </w:r>
      <w:r>
        <w:rPr>
          <w:rFonts w:ascii="Arial" w:eastAsia="Arial" w:hAnsi="Arial" w:cs="Arial"/>
          <w:color w:val="000000"/>
          <w:sz w:val="20"/>
          <w:u w:val="single"/>
        </w:rPr>
        <w:t xml:space="preserve">See </w:t>
      </w:r>
      <w:bookmarkStart w:id="1573" w:name="Bookmark_I56S30NP28T46B0050000400"/>
      <w:bookmarkEnd w:id="1573"/>
      <w:r>
        <w:rPr>
          <w:rFonts w:ascii="Arial" w:eastAsia="Arial" w:hAnsi="Arial" w:cs="Arial"/>
          <w:color w:val="000000"/>
          <w:sz w:val="20"/>
          <w:u w:val="single"/>
        </w:rPr>
        <w:t>Wakefield v. R.R. Ret. Bd</w:t>
      </w:r>
      <w:r>
        <w:rPr>
          <w:rFonts w:ascii="Arial" w:eastAsia="Arial" w:hAnsi="Arial" w:cs="Arial"/>
          <w:color w:val="000000"/>
          <w:sz w:val="20"/>
        </w:rPr>
        <w:t>., 131 F.3d 967, 969-70 (11th Cir. 1997).</w:t>
      </w:r>
    </w:p>
    <w:p w14:paraId="12B9DEC0" w14:textId="77777777" w:rsidR="00D041A2" w:rsidRDefault="00000000">
      <w:pPr>
        <w:pStyle w:val="Normal13"/>
        <w:widowControl w:val="0"/>
        <w:spacing w:before="200" w:line="260" w:lineRule="atLeast"/>
        <w:jc w:val="both"/>
      </w:pPr>
      <w:bookmarkStart w:id="1574" w:name="Bookmark_para_9_10"/>
      <w:bookmarkEnd w:id="1574"/>
      <w:r>
        <w:rPr>
          <w:rFonts w:ascii="Arial" w:eastAsia="Arial" w:hAnsi="Arial" w:cs="Arial"/>
          <w:color w:val="000000"/>
          <w:sz w:val="20"/>
        </w:rPr>
        <w:t>Here, the district court did not err in concluding that Hunt failed to show extraordinary circumstances justifying equitable tolling. Contrary to Hunt's suggestion, nothing in the pleadings indicate HUD misled her  [**7] into allowing the statute of limitations for her ADA and Rehabilitation  [*199]  Act claims to expire. Although HUD informed Hunt that it had jurisdiction to enforce administratively the ADA and Rehabilitation Act claims in addition to the FHA claim, its statements regarding the limitations period and tolling during the administrative process were specific to those claims raised under the FHA. Specifically, in its September 11, 2009 letter to Hunt, HUD merely indicated that claims under the FHA for discriminatory housing practices were governed by a two-year statute of limitations and that the two-year period governing such claims did not include the time during which administrative proceedings were pending. HUD's letter was silent as to the limitations period governing claims under the ADA or the Rehabilitation Act and in no way suggested that the statute of limitations for those claims was also tolled during the administrative proceedings.</w:t>
      </w:r>
    </w:p>
    <w:p w14:paraId="7FA31CD3" w14:textId="77777777" w:rsidR="00D041A2" w:rsidRDefault="00000000">
      <w:pPr>
        <w:pStyle w:val="Normal13"/>
        <w:widowControl w:val="0"/>
        <w:spacing w:before="200" w:line="260" w:lineRule="atLeast"/>
        <w:jc w:val="both"/>
      </w:pPr>
      <w:bookmarkStart w:id="1575" w:name="Bookmark_para_10_10"/>
      <w:bookmarkEnd w:id="1575"/>
      <w:r>
        <w:rPr>
          <w:rFonts w:ascii="Arial" w:eastAsia="Arial" w:hAnsi="Arial" w:cs="Arial"/>
          <w:color w:val="000000"/>
          <w:sz w:val="20"/>
        </w:rPr>
        <w:t xml:space="preserve">Furthermore, </w:t>
      </w:r>
      <w:bookmarkStart w:id="1576" w:name="Bookmark_LNHNREFclscc10_7"/>
      <w:bookmarkEnd w:id="1576"/>
      <w:r>
        <w:rPr>
          <w:rFonts w:ascii="Arial" w:eastAsia="Arial" w:hAnsi="Arial" w:cs="Arial"/>
          <w:color w:val="000000"/>
          <w:sz w:val="20"/>
        </w:rPr>
        <w:t xml:space="preserve">the FHA explicitly states that an aggrieved person may commence a civil action for discriminatory housing practices regardless of whether an administrative complaint has been filed and without regard to the status of such a complaint. </w:t>
      </w:r>
      <w:r>
        <w:rPr>
          <w:rFonts w:ascii="Arial" w:eastAsia="Arial" w:hAnsi="Arial" w:cs="Arial"/>
          <w:color w:val="000000"/>
          <w:sz w:val="20"/>
          <w:u w:val="single"/>
        </w:rPr>
        <w:t>See</w:t>
      </w:r>
      <w:r>
        <w:rPr>
          <w:rFonts w:ascii="Arial" w:eastAsia="Arial" w:hAnsi="Arial" w:cs="Arial"/>
          <w:color w:val="000000"/>
          <w:sz w:val="20"/>
        </w:rPr>
        <w:t xml:space="preserve">  [**8] 42 U.S.C. § 613(a)(2). Thus, HUD's investigation into Hunt's complaint, even if delayed, did not prevent her from timely pursuing even her FHA claim, much less her ADA and Rehabilitation Act claims, in federal court. The fact that Hunt may have been ignorant of the relevant law, including her right to forgo the administrative process, does not constitute the type of extraordinary circumstances needed to justify equitable tolling. Accordingly, the district court did not err in dismissing Hunt's ADA and Rehabilitation Act claims against GDCA as barred by the statute of limitations.</w:t>
      </w:r>
    </w:p>
    <w:p w14:paraId="2F95D562" w14:textId="77777777" w:rsidR="00D041A2" w:rsidRDefault="00000000">
      <w:pPr>
        <w:pStyle w:val="Normal13"/>
        <w:widowControl w:val="0"/>
        <w:spacing w:before="200" w:line="260" w:lineRule="atLeast"/>
        <w:jc w:val="both"/>
      </w:pPr>
      <w:bookmarkStart w:id="1577" w:name="Bookmark_para_11_9"/>
      <w:bookmarkEnd w:id="1577"/>
      <w:r>
        <w:rPr>
          <w:rFonts w:ascii="Arial" w:eastAsia="Arial" w:hAnsi="Arial" w:cs="Arial"/>
          <w:color w:val="000000"/>
          <w:sz w:val="20"/>
        </w:rPr>
        <w:t xml:space="preserve">Hunt's appellate brief asserts in one sentence that the district court erred in dismissing her FHA claim as barred by the Eleventh Amendment because the GDCA waived immunity by receiving federal funds. </w:t>
      </w:r>
      <w:bookmarkStart w:id="1578" w:name="Bookmark_I56S30NP2SF8P20030000400"/>
      <w:bookmarkEnd w:id="1578"/>
      <w:r>
        <w:rPr>
          <w:rFonts w:ascii="Arial" w:eastAsia="Arial" w:hAnsi="Arial" w:cs="Arial"/>
          <w:color w:val="000000"/>
          <w:sz w:val="20"/>
        </w:rPr>
        <w:t xml:space="preserve">Hunt does not cite to any statute or authority to support her contention or provide any legal analysis of this waiver issue. </w:t>
      </w:r>
      <w:bookmarkStart w:id="1579" w:name="Bookmark_I56S30NP2SF8P20050000400"/>
      <w:bookmarkStart w:id="1580" w:name="Bookmark_LNHNREFclscc11_6"/>
      <w:bookmarkEnd w:id="1579"/>
      <w:bookmarkEnd w:id="1580"/>
      <w:r>
        <w:rPr>
          <w:rFonts w:ascii="Arial" w:eastAsia="Arial" w:hAnsi="Arial" w:cs="Arial"/>
          <w:color w:val="000000"/>
          <w:sz w:val="20"/>
        </w:rPr>
        <w:t xml:space="preserve">While we read briefs filed by </w:t>
      </w:r>
      <w:r>
        <w:rPr>
          <w:rFonts w:ascii="Arial" w:eastAsia="Arial" w:hAnsi="Arial" w:cs="Arial"/>
          <w:color w:val="000000"/>
          <w:sz w:val="20"/>
          <w:u w:val="single"/>
        </w:rPr>
        <w:t>pro se</w:t>
      </w:r>
      <w:r>
        <w:rPr>
          <w:rFonts w:ascii="Arial" w:eastAsia="Arial" w:hAnsi="Arial" w:cs="Arial"/>
          <w:color w:val="000000"/>
          <w:sz w:val="20"/>
        </w:rPr>
        <w:t xml:space="preserve"> litigants liberally, issues not briefed on appeal by a </w:t>
      </w:r>
      <w:r>
        <w:rPr>
          <w:rFonts w:ascii="Arial" w:eastAsia="Arial" w:hAnsi="Arial" w:cs="Arial"/>
          <w:color w:val="000000"/>
          <w:sz w:val="20"/>
          <w:u w:val="single"/>
        </w:rPr>
        <w:t>pro se</w:t>
      </w:r>
      <w:r>
        <w:rPr>
          <w:rFonts w:ascii="Arial" w:eastAsia="Arial" w:hAnsi="Arial" w:cs="Arial"/>
          <w:color w:val="000000"/>
          <w:sz w:val="20"/>
        </w:rPr>
        <w:t xml:space="preserve"> litigant are deemed abandoned. </w:t>
      </w:r>
      <w:bookmarkStart w:id="1581" w:name="Bookmark_I56S30NP2SF8P20020000400"/>
      <w:bookmarkEnd w:id="1581"/>
      <w:r>
        <w:rPr>
          <w:rFonts w:ascii="Arial" w:eastAsia="Arial" w:hAnsi="Arial" w:cs="Arial"/>
          <w:color w:val="000000"/>
          <w:sz w:val="20"/>
          <w:u w:val="single"/>
        </w:rPr>
        <w:t>Timson v. Sampson</w:t>
      </w:r>
      <w:r>
        <w:rPr>
          <w:rFonts w:ascii="Arial" w:eastAsia="Arial" w:hAnsi="Arial" w:cs="Arial"/>
          <w:color w:val="000000"/>
          <w:sz w:val="20"/>
        </w:rPr>
        <w:t xml:space="preserve">, 518 F.3d 870, 874 (11th Cir. 2008). </w:t>
      </w:r>
      <w:bookmarkStart w:id="1582" w:name="Bookmark_I56S30NP2SF8P20050000400_2"/>
      <w:bookmarkEnd w:id="1582"/>
      <w:r>
        <w:rPr>
          <w:rFonts w:ascii="Arial" w:eastAsia="Arial" w:hAnsi="Arial" w:cs="Arial"/>
          <w:color w:val="000000"/>
          <w:sz w:val="20"/>
        </w:rPr>
        <w:t xml:space="preserve">"On appeal, we require appellants to not only state their contentions to us, but also to give 'the reasons  [**9] for them, with citations to the authorities and parts of the record on which the appellant relies.'" </w:t>
      </w:r>
      <w:bookmarkStart w:id="1583" w:name="Bookmark_I56S30NP2SF8P20040000400"/>
      <w:bookmarkEnd w:id="1583"/>
      <w:r>
        <w:rPr>
          <w:rFonts w:ascii="Arial" w:eastAsia="Arial" w:hAnsi="Arial" w:cs="Arial"/>
          <w:color w:val="000000"/>
          <w:sz w:val="20"/>
          <w:u w:val="single"/>
        </w:rPr>
        <w:t>Doe v. Moore</w:t>
      </w:r>
      <w:r>
        <w:rPr>
          <w:rFonts w:ascii="Arial" w:eastAsia="Arial" w:hAnsi="Arial" w:cs="Arial"/>
          <w:color w:val="000000"/>
          <w:sz w:val="20"/>
        </w:rPr>
        <w:t>, 410 F.3d 1337, 1349 n.10 (11th Cir. 2005) (quoting Federal Rule of Appellate Procedure 28(a)(9)(A)). Hunt's bald assertion, without any substantive legal argument, does not adequately preserve this issue for appellate review.</w:t>
      </w:r>
    </w:p>
    <w:p w14:paraId="2227E31A" w14:textId="77777777" w:rsidR="00D041A2" w:rsidRDefault="00000000">
      <w:pPr>
        <w:pStyle w:val="Normal13"/>
        <w:widowControl w:val="0"/>
        <w:spacing w:before="200" w:line="260" w:lineRule="atLeast"/>
        <w:jc w:val="both"/>
      </w:pPr>
      <w:bookmarkStart w:id="1584" w:name="Bookmark_para_12_8"/>
      <w:bookmarkEnd w:id="1584"/>
      <w:r>
        <w:rPr>
          <w:rFonts w:ascii="Arial" w:eastAsia="Arial" w:hAnsi="Arial" w:cs="Arial"/>
          <w:color w:val="000000"/>
          <w:sz w:val="20"/>
        </w:rPr>
        <w:t>For all these reasons, we affirm the district court's dismissal of Hunt's complaint. Hunt's motion for oral argument is denied.</w:t>
      </w:r>
    </w:p>
    <w:p w14:paraId="6F400F65" w14:textId="77777777" w:rsidR="00D041A2" w:rsidRDefault="00000000">
      <w:pPr>
        <w:pStyle w:val="Normal13"/>
        <w:widowControl w:val="0"/>
        <w:spacing w:before="200" w:line="260" w:lineRule="atLeast"/>
        <w:jc w:val="both"/>
      </w:pPr>
      <w:bookmarkStart w:id="1585" w:name="Bookmark_para_13_7"/>
      <w:bookmarkEnd w:id="1585"/>
      <w:r>
        <w:rPr>
          <w:rFonts w:ascii="Arial" w:eastAsia="Arial" w:hAnsi="Arial" w:cs="Arial"/>
          <w:b/>
          <w:color w:val="000000"/>
          <w:sz w:val="20"/>
        </w:rPr>
        <w:t>AFFIRMED</w:t>
      </w:r>
      <w:r>
        <w:rPr>
          <w:rFonts w:ascii="Arial" w:eastAsia="Arial" w:hAnsi="Arial" w:cs="Arial"/>
          <w:color w:val="000000"/>
          <w:sz w:val="20"/>
        </w:rPr>
        <w:t>.</w:t>
      </w:r>
    </w:p>
    <w:p w14:paraId="079B8351" w14:textId="77777777" w:rsidR="00D041A2" w:rsidRDefault="00D041A2">
      <w:pPr>
        <w:pStyle w:val="Normal13"/>
      </w:pPr>
    </w:p>
    <w:p w14:paraId="74096402" w14:textId="37E5DAED" w:rsidR="00D041A2" w:rsidRDefault="00000000">
      <w:pPr>
        <w:pStyle w:val="Normal13"/>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87936" behindDoc="0" locked="0" layoutInCell="1" allowOverlap="1" wp14:anchorId="582D6511" wp14:editId="3C1CCCB4">
                <wp:simplePos x="0" y="0"/>
                <wp:positionH relativeFrom="column">
                  <wp:posOffset>0</wp:posOffset>
                </wp:positionH>
                <wp:positionV relativeFrom="paragraph">
                  <wp:posOffset>127000</wp:posOffset>
                </wp:positionV>
                <wp:extent cx="6502400" cy="0"/>
                <wp:effectExtent l="9525" t="12700" r="12700" b="6350"/>
                <wp:wrapNone/>
                <wp:docPr id="90601486"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084C2" id="Line 3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74E99AA" w14:textId="77777777" w:rsidR="00D041A2" w:rsidRDefault="00D041A2">
      <w:pPr>
        <w:pStyle w:val="Normal14"/>
        <w:sectPr w:rsidR="00D041A2">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gutter="0"/>
          <w:cols w:space="720"/>
          <w:titlePg/>
        </w:sectPr>
      </w:pPr>
    </w:p>
    <w:p w14:paraId="0D69C8D5" w14:textId="77777777" w:rsidR="00D041A2" w:rsidRDefault="00D041A2">
      <w:pPr>
        <w:pStyle w:val="Normal14"/>
      </w:pPr>
    </w:p>
    <w:p w14:paraId="2E4A3E17" w14:textId="77777777" w:rsidR="00D041A2" w:rsidRDefault="00000000">
      <w:pPr>
        <w:pStyle w:val="Heading113"/>
        <w:keepNext w:val="0"/>
        <w:widowControl w:val="0"/>
        <w:spacing w:after="200" w:line="340" w:lineRule="atLeast"/>
        <w:jc w:val="center"/>
      </w:pPr>
      <w:r>
        <w:rPr>
          <w:rFonts w:eastAsia="Arial"/>
          <w:color w:val="000000"/>
          <w:sz w:val="28"/>
        </w:rPr>
        <w:t>hip (Heightened Independence &amp; Progress), Inc. v. Port Auth.</w:t>
      </w:r>
    </w:p>
    <w:p w14:paraId="713CC05C" w14:textId="77777777" w:rsidR="00D041A2" w:rsidRDefault="00000000">
      <w:pPr>
        <w:pStyle w:val="Normal14"/>
        <w:widowControl w:val="0"/>
        <w:spacing w:before="120" w:line="260" w:lineRule="atLeast"/>
        <w:jc w:val="center"/>
      </w:pPr>
      <w:r>
        <w:rPr>
          <w:rFonts w:ascii="Arial" w:eastAsia="Arial" w:hAnsi="Arial" w:cs="Arial"/>
          <w:color w:val="000000"/>
          <w:sz w:val="20"/>
        </w:rPr>
        <w:t>United States Court of Appeals for the Third Circuit</w:t>
      </w:r>
    </w:p>
    <w:p w14:paraId="42AC789E" w14:textId="77777777" w:rsidR="00D041A2" w:rsidRDefault="00000000">
      <w:pPr>
        <w:pStyle w:val="Normal14"/>
        <w:widowControl w:val="0"/>
        <w:spacing w:before="120" w:line="260" w:lineRule="atLeast"/>
        <w:jc w:val="center"/>
      </w:pPr>
      <w:r>
        <w:rPr>
          <w:rFonts w:ascii="Arial" w:eastAsia="Arial" w:hAnsi="Arial" w:cs="Arial"/>
          <w:color w:val="000000"/>
          <w:sz w:val="20"/>
        </w:rPr>
        <w:t>May 23, 2012, Argued; September 11, 2012, Filed</w:t>
      </w:r>
    </w:p>
    <w:p w14:paraId="6D9C0E27" w14:textId="77777777" w:rsidR="00D041A2" w:rsidRDefault="00000000">
      <w:pPr>
        <w:pStyle w:val="Normal14"/>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11-3673, No. 11-3799</w:t>
      </w:r>
    </w:p>
    <w:p w14:paraId="16D7D652" w14:textId="77777777" w:rsidR="00D041A2" w:rsidRDefault="00D041A2">
      <w:pPr>
        <w:pStyle w:val="Normal14"/>
        <w:widowControl w:val="0"/>
        <w:spacing w:line="240" w:lineRule="atLeast"/>
        <w:jc w:val="both"/>
      </w:pPr>
      <w:bookmarkStart w:id="1586" w:name="Bookmark_15"/>
      <w:bookmarkEnd w:id="1586"/>
    </w:p>
    <w:p w14:paraId="7145CDD8" w14:textId="77777777" w:rsidR="00D041A2" w:rsidRDefault="00000000">
      <w:pPr>
        <w:pStyle w:val="Normal14"/>
        <w:widowControl w:val="0"/>
        <w:spacing w:before="200" w:line="240" w:lineRule="atLeast"/>
      </w:pPr>
      <w:bookmarkStart w:id="1587" w:name="Reporter_13"/>
      <w:bookmarkEnd w:id="1587"/>
      <w:r>
        <w:rPr>
          <w:rFonts w:ascii="Arial" w:eastAsia="Arial" w:hAnsi="Arial" w:cs="Arial"/>
          <w:b/>
          <w:color w:val="000000"/>
          <w:sz w:val="18"/>
        </w:rPr>
        <w:t>Reporter</w:t>
      </w:r>
    </w:p>
    <w:p w14:paraId="1DF6D14E" w14:textId="77777777" w:rsidR="00D041A2" w:rsidRDefault="00000000">
      <w:pPr>
        <w:pStyle w:val="Normal14"/>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693 F.3d 345 *; 2012 U.S. App. LEXIS 19045 **; 27 Am. Disabilities Cas. (BNA) 142; 2012 WL 3937552</w:t>
      </w:r>
    </w:p>
    <w:p w14:paraId="20C85E4D" w14:textId="77777777" w:rsidR="00D041A2" w:rsidRDefault="00000000">
      <w:pPr>
        <w:pStyle w:val="Normal14"/>
        <w:widowControl w:val="0"/>
        <w:spacing w:before="120" w:line="260" w:lineRule="atLeast"/>
      </w:pPr>
      <w:r>
        <w:rPr>
          <w:rFonts w:ascii="Arial" w:eastAsia="Arial" w:hAnsi="Arial" w:cs="Arial"/>
          <w:color w:val="000000"/>
          <w:sz w:val="20"/>
        </w:rPr>
        <w:t>HIP HEIGHTENED INDEPENDENCE AND PROGRESS, INC., a New Jersey Not-for-Profit Corporation; PETER GIMBEL; UNITED SPINAL ASSOCIATION, a New York Not-for-Profit Corporation, Appellants in No. 11-3799 v. THE PORT AUTHORITY OF NEW YORK AND NEW JERSEY, Appellant in No. 11-3673</w:t>
      </w:r>
    </w:p>
    <w:p w14:paraId="41D675F5" w14:textId="77777777" w:rsidR="00D041A2" w:rsidRDefault="00000000">
      <w:pPr>
        <w:pStyle w:val="Normal14"/>
        <w:widowControl w:val="0"/>
        <w:spacing w:before="240" w:line="260" w:lineRule="atLeast"/>
        <w:jc w:val="both"/>
      </w:pPr>
      <w:bookmarkStart w:id="1588" w:name="Prior_History_13"/>
      <w:bookmarkEnd w:id="1588"/>
      <w:r>
        <w:rPr>
          <w:rFonts w:ascii="Arial" w:eastAsia="Arial" w:hAnsi="Arial" w:cs="Arial"/>
          <w:b/>
          <w:color w:val="000000"/>
          <w:sz w:val="20"/>
        </w:rPr>
        <w:t>Prior History:</w:t>
      </w:r>
      <w:r>
        <w:rPr>
          <w:rFonts w:ascii="Arial" w:eastAsia="Arial" w:hAnsi="Arial" w:cs="Arial"/>
          <w:color w:val="000000"/>
          <w:sz w:val="20"/>
        </w:rPr>
        <w:t>  [**1] </w:t>
      </w:r>
      <w:bookmarkStart w:id="1589" w:name="Bookmark_para_1_13"/>
      <w:bookmarkEnd w:id="1589"/>
      <w:r>
        <w:rPr>
          <w:rFonts w:ascii="Arial" w:eastAsia="Arial" w:hAnsi="Arial" w:cs="Arial"/>
          <w:color w:val="000000"/>
          <w:sz w:val="20"/>
        </w:rPr>
        <w:t>On Appeal from the United States District Court for the District of New Jersey. (D.C. No. 07-cv-02982). District Judge: Honorable Stanley R. Chesler.</w:t>
      </w:r>
    </w:p>
    <w:p w14:paraId="5B780481" w14:textId="77777777" w:rsidR="00D041A2" w:rsidRDefault="00000000">
      <w:pPr>
        <w:pStyle w:val="Normal14"/>
        <w:widowControl w:val="0"/>
        <w:spacing w:before="120" w:line="260" w:lineRule="atLeast"/>
      </w:pPr>
      <w:r>
        <w:rPr>
          <w:rFonts w:ascii="Arial" w:eastAsia="Arial" w:hAnsi="Arial" w:cs="Arial"/>
          <w:color w:val="000000"/>
          <w:sz w:val="20"/>
        </w:rPr>
        <w:t>hip (Heightened Independence &amp; Progress), Inc. v. Port Auth., 2011 U.S. Dist. LEXIS 101558 (D.N.J., Sept. 6, 2011)</w:t>
      </w:r>
    </w:p>
    <w:p w14:paraId="2651B42A" w14:textId="77777777" w:rsidR="00D041A2" w:rsidRDefault="00000000">
      <w:pPr>
        <w:pStyle w:val="Normal14"/>
        <w:widowControl w:val="0"/>
        <w:spacing w:before="120" w:line="260" w:lineRule="atLeast"/>
      </w:pPr>
      <w:r>
        <w:rPr>
          <w:rFonts w:ascii="Arial" w:eastAsia="Arial" w:hAnsi="Arial" w:cs="Arial"/>
          <w:color w:val="000000"/>
          <w:sz w:val="20"/>
        </w:rPr>
        <w:t>hip (Heightened Independence &amp; Progress), Inc. v. Port Auth. of N.Y. &amp; N.J., 2008 U.S. Dist. LEXIS 25368 (D.N.J., Mar. 27, 2008)</w:t>
      </w:r>
    </w:p>
    <w:p w14:paraId="277966EE" w14:textId="77777777" w:rsidR="00D041A2" w:rsidRDefault="00000000">
      <w:pPr>
        <w:pStyle w:val="Normal14"/>
        <w:widowControl w:val="0"/>
        <w:spacing w:before="240" w:line="260" w:lineRule="atLeast"/>
      </w:pPr>
      <w:bookmarkStart w:id="1590" w:name="Counsel_13"/>
      <w:bookmarkEnd w:id="1590"/>
      <w:r>
        <w:rPr>
          <w:rFonts w:ascii="Arial" w:eastAsia="Arial" w:hAnsi="Arial" w:cs="Arial"/>
          <w:b/>
          <w:color w:val="000000"/>
          <w:sz w:val="20"/>
        </w:rPr>
        <w:t>Counsel:</w:t>
      </w:r>
      <w:r>
        <w:rPr>
          <w:rFonts w:ascii="Arial" w:eastAsia="Arial" w:hAnsi="Arial" w:cs="Arial"/>
          <w:color w:val="000000"/>
          <w:sz w:val="20"/>
        </w:rPr>
        <w:t> David J. Popiel, Esq. [Argued], Community Health Law Project, South Orange, NJ; Michael H. Isaac, Esq., Robert B. Stulberg, Esq. [Argued], Broach &amp; Stulberg, New York, NY, Attorneys for Appellees/Cross-Appellants.</w:t>
      </w:r>
    </w:p>
    <w:p w14:paraId="776E90B9" w14:textId="77777777" w:rsidR="00D041A2" w:rsidRDefault="00000000">
      <w:pPr>
        <w:pStyle w:val="Normal14"/>
        <w:widowControl w:val="0"/>
        <w:spacing w:before="120" w:line="260" w:lineRule="atLeast"/>
      </w:pPr>
      <w:r>
        <w:rPr>
          <w:rFonts w:ascii="Arial" w:eastAsia="Arial" w:hAnsi="Arial" w:cs="Arial"/>
          <w:color w:val="000000"/>
          <w:sz w:val="20"/>
        </w:rPr>
        <w:t>Frank C. Morris, Jr., Esq. [Argued], Epstein, Becker &amp; Green, Washington, DC; David W. Garland, Esq., Epstein, Becker &amp; Green, Newark, NJ; George P. Cook, Esq., Jason T. Watson, Esq., Port Authority of New York &amp; New Jersey, Jersey City, NJ; Megan Lee, Esq., Port Authority of New York &amp; New Jersey, Litigation and Corporate Security, New York, NY, Attorneys for Appellant/Cross-Appellee.</w:t>
      </w:r>
    </w:p>
    <w:p w14:paraId="67B3085C" w14:textId="77777777" w:rsidR="00D041A2" w:rsidRDefault="00000000">
      <w:pPr>
        <w:pStyle w:val="Normal14"/>
        <w:widowControl w:val="0"/>
        <w:spacing w:before="240" w:line="260" w:lineRule="atLeast"/>
      </w:pPr>
      <w:bookmarkStart w:id="1591" w:name="Judges_13"/>
      <w:bookmarkEnd w:id="1591"/>
      <w:r>
        <w:rPr>
          <w:rFonts w:ascii="Arial" w:eastAsia="Arial" w:hAnsi="Arial" w:cs="Arial"/>
          <w:b/>
          <w:color w:val="000000"/>
          <w:sz w:val="20"/>
        </w:rPr>
        <w:t>Judges:</w:t>
      </w:r>
      <w:r>
        <w:rPr>
          <w:rFonts w:ascii="Arial" w:eastAsia="Arial" w:hAnsi="Arial" w:cs="Arial"/>
          <w:color w:val="000000"/>
          <w:sz w:val="20"/>
        </w:rPr>
        <w:t> Before: RENDELL, FUENTES and HARDIMAN, Circuit Judges.</w:t>
      </w:r>
    </w:p>
    <w:p w14:paraId="5A5494B3" w14:textId="77777777" w:rsidR="00D041A2" w:rsidRDefault="00000000">
      <w:pPr>
        <w:pStyle w:val="Normal14"/>
        <w:widowControl w:val="0"/>
        <w:spacing w:before="240" w:line="260" w:lineRule="atLeast"/>
      </w:pPr>
      <w:bookmarkStart w:id="1592" w:name="Opinion_by_8"/>
      <w:bookmarkEnd w:id="1592"/>
      <w:r>
        <w:rPr>
          <w:rFonts w:ascii="Arial" w:eastAsia="Arial" w:hAnsi="Arial" w:cs="Arial"/>
          <w:b/>
          <w:color w:val="000000"/>
          <w:sz w:val="20"/>
        </w:rPr>
        <w:t>Opinion by:</w:t>
      </w:r>
      <w:r>
        <w:rPr>
          <w:rFonts w:ascii="Arial" w:eastAsia="Arial" w:hAnsi="Arial" w:cs="Arial"/>
          <w:color w:val="000000"/>
          <w:sz w:val="20"/>
        </w:rPr>
        <w:t> HARDIMAN</w:t>
      </w:r>
    </w:p>
    <w:p w14:paraId="79D98AB7" w14:textId="77777777" w:rsidR="00D041A2" w:rsidRDefault="00000000">
      <w:pPr>
        <w:pStyle w:val="Normal14"/>
        <w:keepNext/>
        <w:widowControl w:val="0"/>
        <w:spacing w:before="240" w:line="340" w:lineRule="atLeast"/>
      </w:pPr>
      <w:bookmarkStart w:id="1593" w:name="Opinion_13"/>
      <w:bookmarkEnd w:id="1593"/>
      <w:r>
        <w:rPr>
          <w:rFonts w:ascii="Arial" w:eastAsia="Arial" w:hAnsi="Arial" w:cs="Arial"/>
          <w:b/>
          <w:color w:val="000000"/>
          <w:sz w:val="28"/>
        </w:rPr>
        <w:t>Opinion</w:t>
      </w:r>
    </w:p>
    <w:p w14:paraId="29AB79B4" w14:textId="4915E08E" w:rsidR="00D041A2" w:rsidRDefault="004D4403">
      <w:pPr>
        <w:pStyle w:val="Normal14"/>
        <w:spacing w:line="60" w:lineRule="exact"/>
      </w:pPr>
      <w:r>
        <w:rPr>
          <w:noProof/>
        </w:rPr>
        <mc:AlternateContent>
          <mc:Choice Requires="wps">
            <w:drawing>
              <wp:anchor distT="0" distB="0" distL="114300" distR="114300" simplePos="0" relativeHeight="251688960" behindDoc="0" locked="0" layoutInCell="1" allowOverlap="1" wp14:anchorId="608B2D0B" wp14:editId="5FF159FB">
                <wp:simplePos x="0" y="0"/>
                <wp:positionH relativeFrom="column">
                  <wp:posOffset>0</wp:posOffset>
                </wp:positionH>
                <wp:positionV relativeFrom="paragraph">
                  <wp:posOffset>25400</wp:posOffset>
                </wp:positionV>
                <wp:extent cx="3187700" cy="0"/>
                <wp:effectExtent l="19050" t="15875" r="12700" b="12700"/>
                <wp:wrapTopAndBottom/>
                <wp:docPr id="3562513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55BC7" id="Line 3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268C589" w14:textId="77777777" w:rsidR="00D041A2" w:rsidRDefault="00D041A2">
      <w:pPr>
        <w:pStyle w:val="Normal14"/>
        <w:spacing w:line="120" w:lineRule="exact"/>
      </w:pPr>
    </w:p>
    <w:p w14:paraId="786ED5C2" w14:textId="77777777" w:rsidR="00D041A2" w:rsidRDefault="00000000">
      <w:pPr>
        <w:pStyle w:val="Normal14"/>
        <w:widowControl w:val="0"/>
        <w:spacing w:before="240" w:line="260" w:lineRule="atLeast"/>
      </w:pPr>
      <w:r>
        <w:br/>
      </w:r>
      <w:r>
        <w:rPr>
          <w:rFonts w:ascii="Arial" w:eastAsia="Arial" w:hAnsi="Arial" w:cs="Arial"/>
          <w:color w:val="000000"/>
          <w:sz w:val="20"/>
        </w:rPr>
        <w:t> [*349]  OPINION OF THE COURT</w:t>
      </w:r>
    </w:p>
    <w:p w14:paraId="4F0B6E22" w14:textId="77777777" w:rsidR="00D041A2" w:rsidRDefault="00000000">
      <w:pPr>
        <w:pStyle w:val="Normal14"/>
        <w:widowControl w:val="0"/>
        <w:spacing w:before="200" w:line="260" w:lineRule="atLeast"/>
        <w:jc w:val="both"/>
      </w:pPr>
      <w:bookmarkStart w:id="1594" w:name="Bookmark_para_2_13"/>
      <w:bookmarkEnd w:id="1594"/>
      <w:r>
        <w:rPr>
          <w:rFonts w:ascii="Arial" w:eastAsia="Arial" w:hAnsi="Arial" w:cs="Arial"/>
          <w:color w:val="000000"/>
          <w:sz w:val="20"/>
        </w:rPr>
        <w:t xml:space="preserve">HARDIMAN, </w:t>
      </w:r>
      <w:r>
        <w:rPr>
          <w:rFonts w:ascii="Arial" w:eastAsia="Arial" w:hAnsi="Arial" w:cs="Arial"/>
          <w:i/>
          <w:color w:val="000000"/>
          <w:sz w:val="20"/>
        </w:rPr>
        <w:t>Circuit Judge</w:t>
      </w:r>
      <w:r>
        <w:rPr>
          <w:rFonts w:ascii="Arial" w:eastAsia="Arial" w:hAnsi="Arial" w:cs="Arial"/>
          <w:color w:val="000000"/>
          <w:sz w:val="20"/>
        </w:rPr>
        <w:t>.</w:t>
      </w:r>
    </w:p>
    <w:p w14:paraId="048CF588" w14:textId="77777777" w:rsidR="00D041A2" w:rsidRDefault="00000000">
      <w:pPr>
        <w:pStyle w:val="Normal14"/>
        <w:widowControl w:val="0"/>
        <w:spacing w:before="200" w:line="260" w:lineRule="atLeast"/>
        <w:jc w:val="both"/>
      </w:pPr>
      <w:bookmarkStart w:id="1595" w:name="Bookmark_para_3_13"/>
      <w:bookmarkEnd w:id="1595"/>
      <w:r>
        <w:rPr>
          <w:rFonts w:ascii="Arial" w:eastAsia="Arial" w:hAnsi="Arial" w:cs="Arial"/>
          <w:color w:val="000000"/>
          <w:sz w:val="20"/>
        </w:rPr>
        <w:t>The Port Authority of New York and New Jersey (Authority) appeals the District Court's summary judgment, which orders the Authority to make modifications to its Grove Street Station to bring it into compliance with the Americans with Disabilities Act (ADA) of 1990, Pub. L. No. 101-336, 104 Stat. 378 (codified as amended at 42 U.S.C. §§ 12101-12213).  [**2] We will vacate this judgment and remand the case for further proceedings. In a cross-appeal, Plaintiffs Heightened Independence and Progress, Inc. (hip), the United Spinal Association, and Peter Gimbel appeal the District Court's order dismissing their state-law claims on the basis that allowing such claims to proceed would violate the interstate compact between New York and New Jersey that created the Authority. That order of the District Court will be affirmed.</w:t>
      </w:r>
    </w:p>
    <w:p w14:paraId="2EB41A74" w14:textId="77777777" w:rsidR="00D041A2" w:rsidRDefault="00000000">
      <w:pPr>
        <w:pStyle w:val="Normal14"/>
        <w:widowControl w:val="0"/>
        <w:spacing w:before="120" w:line="260" w:lineRule="atLeast"/>
      </w:pPr>
      <w:r>
        <w:rPr>
          <w:rFonts w:ascii="Arial" w:eastAsia="Arial" w:hAnsi="Arial" w:cs="Arial"/>
          <w:color w:val="000000"/>
          <w:sz w:val="20"/>
        </w:rPr>
        <w:t>I</w:t>
      </w:r>
    </w:p>
    <w:p w14:paraId="4E67A8E2" w14:textId="77777777" w:rsidR="00D041A2" w:rsidRDefault="00000000">
      <w:pPr>
        <w:pStyle w:val="Normal14"/>
        <w:widowControl w:val="0"/>
        <w:spacing w:before="120" w:line="260" w:lineRule="atLeast"/>
      </w:pPr>
      <w:r>
        <w:rPr>
          <w:rFonts w:ascii="Arial" w:eastAsia="Arial" w:hAnsi="Arial" w:cs="Arial"/>
          <w:color w:val="000000"/>
          <w:sz w:val="20"/>
        </w:rPr>
        <w:t>A</w:t>
      </w:r>
    </w:p>
    <w:p w14:paraId="79C6D0A5" w14:textId="77777777" w:rsidR="00D041A2" w:rsidRDefault="00000000">
      <w:pPr>
        <w:pStyle w:val="Normal14"/>
        <w:widowControl w:val="0"/>
        <w:spacing w:before="200" w:line="260" w:lineRule="atLeast"/>
        <w:jc w:val="both"/>
      </w:pPr>
      <w:bookmarkStart w:id="1596" w:name="Bookmark_para_4_13"/>
      <w:bookmarkEnd w:id="1596"/>
      <w:r>
        <w:rPr>
          <w:rFonts w:ascii="Arial" w:eastAsia="Arial" w:hAnsi="Arial" w:cs="Arial"/>
          <w:color w:val="000000"/>
          <w:sz w:val="20"/>
        </w:rPr>
        <w:t>The Authority's wholly owned subsidiary, the Port Authority Trans-Hudson Corporation (PATH), operates the Grove Street Station in Jersey City, New Jersey, which is the subject of this lawsuit. The Station has three levels—street, mezzanine, and platform—and two street-level entrance sides—east and west. The Station can serve an eight-car train. The mezzanine is not connected between the east and west sides. One staircase connects the east mezzanine to a platform-level corridor, which leads out to the platform itself.</w:t>
      </w:r>
    </w:p>
    <w:p w14:paraId="5B3F5562" w14:textId="77777777" w:rsidR="00D041A2" w:rsidRDefault="00000000">
      <w:pPr>
        <w:pStyle w:val="Normal14"/>
        <w:widowControl w:val="0"/>
        <w:spacing w:before="200" w:line="260" w:lineRule="atLeast"/>
        <w:jc w:val="both"/>
      </w:pPr>
      <w:bookmarkStart w:id="1597" w:name="Bookmark_para_5_13"/>
      <w:bookmarkEnd w:id="1597"/>
      <w:r>
        <w:rPr>
          <w:rFonts w:ascii="Arial" w:eastAsia="Arial" w:hAnsi="Arial" w:cs="Arial"/>
          <w:color w:val="000000"/>
          <w:sz w:val="20"/>
        </w:rPr>
        <w:t>The Station was built in 1910, and in the 1970s PATH closed the east entrance and constructed two entrances on the west side. As reflected in a 2001 report, in 2000 PATH planned to expand the Station to accommodate  [**3] ten-car trains and persons with disabilities, a project that would have involved the construction of a new entrance and two elevators on the west side. After September 11, 2001, and the resulting closure of two of the Authority's stations—Exchange Place in New Jersey and World Trade Center in Manhattan—ridership increased at the Grove Street Station. Citing concerns about congestion and safety, PATH scrapped its renovation plans and undertook a different "fast track" project to reopen the east entrance.</w:t>
      </w:r>
    </w:p>
    <w:p w14:paraId="27BB6BCB" w14:textId="77777777" w:rsidR="00D041A2" w:rsidRDefault="00000000">
      <w:pPr>
        <w:pStyle w:val="Normal14"/>
        <w:widowControl w:val="0"/>
        <w:spacing w:before="200" w:line="260" w:lineRule="atLeast"/>
        <w:jc w:val="both"/>
      </w:pPr>
      <w:bookmarkStart w:id="1598" w:name="Bookmark_para_6_13"/>
      <w:bookmarkEnd w:id="1598"/>
      <w:r>
        <w:rPr>
          <w:rFonts w:ascii="Arial" w:eastAsia="Arial" w:hAnsi="Arial" w:cs="Arial"/>
          <w:color w:val="000000"/>
          <w:sz w:val="20"/>
        </w:rPr>
        <w:t>Construction began in 2002 and concluded in 2005. The project involved building a new street-level pavilion and focused on renovating the connections between the street and mezzanine levels on the east side only. The pavilion was built four inches above the sidewalk to comply with flood-plain construction requirements, and  [*350]  stairs were installed to connect the sidewalk and the building, which is also referred to as a "headhouse." The mezzanine was expanded to include a new fare-collection area. In addition, the platform corridor was reopened and the interior spaces connecting the three levels were rehabilitated. To complete the project, PATH purchased land adjacent to the Station from  [**4] a private company.</w:t>
      </w:r>
    </w:p>
    <w:p w14:paraId="5C230065" w14:textId="77777777" w:rsidR="00D041A2" w:rsidRDefault="00000000">
      <w:pPr>
        <w:pStyle w:val="Normal14"/>
        <w:widowControl w:val="0"/>
        <w:spacing w:before="200" w:line="260" w:lineRule="atLeast"/>
        <w:jc w:val="both"/>
      </w:pPr>
      <w:bookmarkStart w:id="1599" w:name="Bookmark_para_7_13"/>
      <w:bookmarkEnd w:id="1599"/>
      <w:r>
        <w:rPr>
          <w:rFonts w:ascii="Arial" w:eastAsia="Arial" w:hAnsi="Arial" w:cs="Arial"/>
          <w:color w:val="000000"/>
          <w:sz w:val="20"/>
        </w:rPr>
        <w:t>In 2006, after PATH had finished construction, its engineering department concluded that elevator installation was feasible only on the west side of the Station. PATH believed that the east-side platform would be too crowded with an elevator, leading to safety concerns, and that construction on the east side would result in service disruption and possible flooding.</w:t>
      </w:r>
    </w:p>
    <w:p w14:paraId="45D2FEA1" w14:textId="77777777" w:rsidR="00D041A2" w:rsidRDefault="00000000">
      <w:pPr>
        <w:pStyle w:val="Normal14"/>
        <w:widowControl w:val="0"/>
        <w:spacing w:before="120" w:line="260" w:lineRule="atLeast"/>
      </w:pPr>
      <w:r>
        <w:rPr>
          <w:rFonts w:ascii="Arial" w:eastAsia="Arial" w:hAnsi="Arial" w:cs="Arial"/>
          <w:color w:val="000000"/>
          <w:sz w:val="20"/>
        </w:rPr>
        <w:t>B</w:t>
      </w:r>
    </w:p>
    <w:p w14:paraId="4A7F3B75" w14:textId="77777777" w:rsidR="00D041A2" w:rsidRDefault="00000000">
      <w:pPr>
        <w:pStyle w:val="Normal14"/>
        <w:widowControl w:val="0"/>
        <w:spacing w:before="200" w:line="260" w:lineRule="atLeast"/>
        <w:jc w:val="both"/>
      </w:pPr>
      <w:bookmarkStart w:id="1600" w:name="Bookmark_para_8_12"/>
      <w:bookmarkEnd w:id="1600"/>
      <w:r>
        <w:rPr>
          <w:rFonts w:ascii="Arial" w:eastAsia="Arial" w:hAnsi="Arial" w:cs="Arial"/>
          <w:color w:val="000000"/>
          <w:sz w:val="20"/>
        </w:rPr>
        <w:t xml:space="preserve">Plaintiffs filed this lawsuit in state court in 2007, and the Authority removed the case to the District Court. The complaint alleges that the Grove Street Station renovations triggered an obligation under the ADA to make the Station accessible to handicapped persons. </w:t>
      </w:r>
      <w:bookmarkStart w:id="1601" w:name="Bookmark_I56PK5TS2HM5VD0020000400"/>
      <w:bookmarkEnd w:id="1601"/>
      <w:r>
        <w:rPr>
          <w:rFonts w:ascii="Arial" w:eastAsia="Arial" w:hAnsi="Arial" w:cs="Arial"/>
          <w:color w:val="000000"/>
          <w:sz w:val="20"/>
        </w:rPr>
        <w:t xml:space="preserve">It also alleges violations under New Jersey's Law Against Discrimination and certain New Jersey construction code provisions. The District Court dismissed the state-law claims, reasoning that, under the terms of the interstate compact that created the Authority, one state cannot unilaterally regulate the joint entity. </w:t>
      </w:r>
      <w:r>
        <w:rPr>
          <w:rFonts w:ascii="Arial" w:eastAsia="Arial" w:hAnsi="Arial" w:cs="Arial"/>
          <w:i/>
          <w:color w:val="000000"/>
          <w:sz w:val="20"/>
        </w:rPr>
        <w:t xml:space="preserve">See </w:t>
      </w:r>
      <w:bookmarkStart w:id="1602" w:name="Bookmark_I56PK5TS2HM5VD0010000400"/>
      <w:bookmarkEnd w:id="1602"/>
      <w:r>
        <w:rPr>
          <w:rFonts w:ascii="Arial" w:eastAsia="Arial" w:hAnsi="Arial" w:cs="Arial"/>
          <w:i/>
          <w:color w:val="000000"/>
          <w:sz w:val="20"/>
        </w:rPr>
        <w:t>hip, Inc. v. Port Auth. of N.Y. &amp; N.J. (hip I)</w:t>
      </w:r>
      <w:r>
        <w:rPr>
          <w:rFonts w:ascii="Arial" w:eastAsia="Arial" w:hAnsi="Arial" w:cs="Arial"/>
          <w:color w:val="000000"/>
          <w:sz w:val="20"/>
        </w:rPr>
        <w:t>, No. 07-2982, 2008 U.S. Dist. LEXIS 25368, 2008 WL 852445, at *4-6 (D.N.J. Mar. 28, 2008).  [**5] Following further proceedings and failed settlement attempts, the parties filed cross-motions for summary judgment.</w:t>
      </w:r>
    </w:p>
    <w:p w14:paraId="0E18D099" w14:textId="77777777" w:rsidR="00D041A2" w:rsidRDefault="00000000">
      <w:pPr>
        <w:pStyle w:val="Normal14"/>
        <w:widowControl w:val="0"/>
        <w:spacing w:before="200" w:line="260" w:lineRule="atLeast"/>
        <w:jc w:val="both"/>
      </w:pPr>
      <w:bookmarkStart w:id="1603" w:name="Bookmark_para_9_11"/>
      <w:bookmarkEnd w:id="1603"/>
      <w:r>
        <w:rPr>
          <w:rFonts w:ascii="Arial" w:eastAsia="Arial" w:hAnsi="Arial" w:cs="Arial"/>
          <w:color w:val="000000"/>
          <w:sz w:val="20"/>
        </w:rPr>
        <w:t xml:space="preserve">The District Court entered summary judgment for Plaintiffs. </w:t>
      </w:r>
      <w:bookmarkStart w:id="1604" w:name="Bookmark_I56PK5TS2HM5VD0040000400"/>
      <w:bookmarkEnd w:id="1604"/>
      <w:r>
        <w:rPr>
          <w:rFonts w:ascii="Arial" w:eastAsia="Arial" w:hAnsi="Arial" w:cs="Arial"/>
          <w:color w:val="000000"/>
          <w:sz w:val="20"/>
        </w:rPr>
        <w:t xml:space="preserve">During discovery, five schemes for making the east entrance ADA-compliant were produced, and the Authority's engineering department evaluated each of those schemes. The Court held that of the five, two—Schemes 4 and 5, which propose installation of a mezzanine-to-platform Limited Use Limited Access (LULA) elevator—are feasible. Consequently, the Court ordered the Authority to make the east entrance accessible. </w:t>
      </w:r>
      <w:bookmarkStart w:id="1605" w:name="Bookmark_I56PK5TS2HM5VD0030000400"/>
      <w:bookmarkEnd w:id="1605"/>
      <w:r>
        <w:rPr>
          <w:rFonts w:ascii="Arial" w:eastAsia="Arial" w:hAnsi="Arial" w:cs="Arial"/>
          <w:i/>
          <w:color w:val="000000"/>
          <w:sz w:val="20"/>
        </w:rPr>
        <w:t>hip, Inc. v. Port Auth. of N.Y. &amp; N.J. (hip II)</w:t>
      </w:r>
      <w:r>
        <w:rPr>
          <w:rFonts w:ascii="Arial" w:eastAsia="Arial" w:hAnsi="Arial" w:cs="Arial"/>
          <w:color w:val="000000"/>
          <w:sz w:val="20"/>
        </w:rPr>
        <w:t>, No. 07-2982, 2011 U.S. Dist. LEXIS 101558, 2011 WL 3957532, at *3-5 (D.N.J. Sept. 6, 2011). The parties timely filed notices of appeal.</w:t>
      </w:r>
    </w:p>
    <w:p w14:paraId="69072FEF" w14:textId="77777777" w:rsidR="00D041A2" w:rsidRDefault="00000000">
      <w:pPr>
        <w:pStyle w:val="Normal14"/>
        <w:widowControl w:val="0"/>
        <w:spacing w:before="120" w:line="260" w:lineRule="atLeast"/>
      </w:pPr>
      <w:r>
        <w:rPr>
          <w:rFonts w:ascii="Arial" w:eastAsia="Arial" w:hAnsi="Arial" w:cs="Arial"/>
          <w:color w:val="000000"/>
          <w:sz w:val="20"/>
        </w:rPr>
        <w:t>II</w:t>
      </w:r>
    </w:p>
    <w:p w14:paraId="53C6C00F" w14:textId="77777777" w:rsidR="00D041A2" w:rsidRDefault="00000000">
      <w:pPr>
        <w:pStyle w:val="Normal14"/>
        <w:widowControl w:val="0"/>
        <w:spacing w:before="200" w:line="260" w:lineRule="atLeast"/>
        <w:jc w:val="both"/>
      </w:pPr>
      <w:bookmarkStart w:id="1606" w:name="Bookmark_para_10_11"/>
      <w:bookmarkEnd w:id="1606"/>
      <w:r>
        <w:rPr>
          <w:rFonts w:ascii="Arial" w:eastAsia="Arial" w:hAnsi="Arial" w:cs="Arial"/>
          <w:color w:val="000000"/>
          <w:sz w:val="20"/>
        </w:rPr>
        <w:t>The ADA is a complex law codified in numerous statutes in the United States Code. Regulations have been promulgated by the Department of Transportation to implement those statutes. And pursuant to 42 U.S.C. § 12204, the Architectural and Transportation Barriers Compliance Board has issued a set of ADA Accessibility Guidelines (ADAAG). The Department of Justice produces an ADA "technical assistance manual," which provides still further guidance. The litigants  [**6] here dispute the interpretation of several of these provisions as applied to the Grove Street Station construction project.</w:t>
      </w:r>
    </w:p>
    <w:p w14:paraId="0AC2F04B" w14:textId="77777777" w:rsidR="00D041A2" w:rsidRDefault="00000000">
      <w:pPr>
        <w:pStyle w:val="Normal14"/>
        <w:widowControl w:val="0"/>
        <w:spacing w:before="200" w:line="260" w:lineRule="atLeast"/>
        <w:jc w:val="both"/>
      </w:pPr>
      <w:bookmarkStart w:id="1607" w:name="Bookmark_para_11_10"/>
      <w:bookmarkStart w:id="1608" w:name="Bookmark_I56PK5TS2N1RN90010000400"/>
      <w:bookmarkEnd w:id="1607"/>
      <w:bookmarkEnd w:id="1608"/>
      <w:r>
        <w:rPr>
          <w:rFonts w:ascii="Arial" w:eastAsia="Arial" w:hAnsi="Arial" w:cs="Arial"/>
          <w:color w:val="000000"/>
          <w:sz w:val="20"/>
        </w:rPr>
        <w:t xml:space="preserve">For example, and as a preliminary matter, </w:t>
      </w:r>
      <w:bookmarkStart w:id="1609" w:name="Bookmark_LNHNREFclscc1_8"/>
      <w:bookmarkEnd w:id="1609"/>
      <w:r>
        <w:rPr>
          <w:rFonts w:ascii="Arial" w:eastAsia="Arial" w:hAnsi="Arial" w:cs="Arial"/>
          <w:color w:val="000000"/>
          <w:sz w:val="20"/>
        </w:rPr>
        <w:t xml:space="preserve">the regulations and the ADAAG impose different obligations on different kinds of construction projects. "New facility" construction is distinguished from the "alteration" of existing facilities. </w:t>
      </w:r>
      <w:r>
        <w:rPr>
          <w:rFonts w:ascii="Arial" w:eastAsia="Arial" w:hAnsi="Arial" w:cs="Arial"/>
          <w:i/>
          <w:color w:val="000000"/>
          <w:sz w:val="20"/>
        </w:rPr>
        <w:t>See</w:t>
      </w:r>
      <w:r>
        <w:rPr>
          <w:rFonts w:ascii="Arial" w:eastAsia="Arial" w:hAnsi="Arial" w:cs="Arial"/>
          <w:color w:val="000000"/>
          <w:sz w:val="20"/>
        </w:rPr>
        <w:t xml:space="preserve"> 49 C.F.R. §§ 37.41, 37.43; ADAAG §§ 4.1.3r, 4.1.6; </w:t>
      </w:r>
      <w:bookmarkStart w:id="1610" w:name="Bookmark_I56PK5TS2HM5VD0050000400"/>
      <w:bookmarkEnd w:id="1610"/>
      <w:r>
        <w:rPr>
          <w:rFonts w:ascii="Arial" w:eastAsia="Arial" w:hAnsi="Arial" w:cs="Arial"/>
          <w:i/>
          <w:color w:val="000000"/>
          <w:sz w:val="20"/>
        </w:rPr>
        <w:t>Regents of Mercersburg Coll. v. Republic Franklin Ins. Co</w:t>
      </w:r>
      <w:r>
        <w:rPr>
          <w:rFonts w:ascii="Arial" w:eastAsia="Arial" w:hAnsi="Arial" w:cs="Arial"/>
          <w:color w:val="000000"/>
          <w:sz w:val="20"/>
        </w:rPr>
        <w:t>., 458 F.3d 159, 168-69 (3d Cir. 2006). The ADAAG also recognizes another category of construction, "addition," though it treats additions largely as alterations. ADAAG § 4.1.5. Generally, the ADA is more onerous on new construction projects than it is on alterations.</w:t>
      </w:r>
    </w:p>
    <w:p w14:paraId="738935D9" w14:textId="77777777" w:rsidR="00D041A2" w:rsidRDefault="00000000">
      <w:pPr>
        <w:pStyle w:val="Normal14"/>
        <w:widowControl w:val="0"/>
        <w:spacing w:before="200" w:line="260" w:lineRule="atLeast"/>
        <w:jc w:val="both"/>
      </w:pPr>
      <w:bookmarkStart w:id="1611" w:name="Bookmark_para_12_9"/>
      <w:bookmarkStart w:id="1612" w:name="Bookmark_I56PK5TS2N1RN90030000400"/>
      <w:bookmarkEnd w:id="1611"/>
      <w:bookmarkEnd w:id="1612"/>
      <w:r>
        <w:rPr>
          <w:rFonts w:ascii="Arial" w:eastAsia="Arial" w:hAnsi="Arial" w:cs="Arial"/>
          <w:color w:val="000000"/>
          <w:sz w:val="20"/>
        </w:rPr>
        <w:t xml:space="preserve">The District Court treated the Station renovations as an alteration but recognized that they "may also qualify as new construction  [*351]  and/or addition." </w:t>
      </w:r>
      <w:bookmarkStart w:id="1613" w:name="Bookmark_I56PK5TS2N1RN90020000400"/>
      <w:bookmarkEnd w:id="1613"/>
      <w:r>
        <w:rPr>
          <w:rFonts w:ascii="Arial" w:eastAsia="Arial" w:hAnsi="Arial" w:cs="Arial"/>
          <w:i/>
          <w:color w:val="000000"/>
          <w:sz w:val="20"/>
        </w:rPr>
        <w:t>hip II</w:t>
      </w:r>
      <w:r>
        <w:rPr>
          <w:rFonts w:ascii="Arial" w:eastAsia="Arial" w:hAnsi="Arial" w:cs="Arial"/>
          <w:color w:val="000000"/>
          <w:sz w:val="20"/>
        </w:rPr>
        <w:t xml:space="preserve">, 2011 U.S. Dist. LEXIS 101558, 2011 WL 3957532, at *3. On appeal, Plaintiffs urge application of the new-construction rules, arguing that the "headhouse" is an entirely new structure. We reject this argument for two reasons. First, Plaintiffs' notice of appeal unambiguously specifies only the District Court's dismissal order, and not  [**7] its summary judgment. </w:t>
      </w:r>
      <w:r>
        <w:rPr>
          <w:rFonts w:ascii="Arial" w:eastAsia="Arial" w:hAnsi="Arial" w:cs="Arial"/>
          <w:i/>
          <w:color w:val="000000"/>
          <w:sz w:val="20"/>
        </w:rPr>
        <w:t>See</w:t>
      </w:r>
      <w:r>
        <w:rPr>
          <w:rFonts w:ascii="Arial" w:eastAsia="Arial" w:hAnsi="Arial" w:cs="Arial"/>
          <w:color w:val="000000"/>
          <w:sz w:val="20"/>
        </w:rPr>
        <w:t xml:space="preserve"> Fed. R. App. P. 3(c)(1)(B) (</w:t>
      </w:r>
      <w:bookmarkStart w:id="1614" w:name="Bookmark_LNHNREFclscc2_8"/>
      <w:bookmarkEnd w:id="1614"/>
      <w:r>
        <w:rPr>
          <w:rFonts w:ascii="Arial" w:eastAsia="Arial" w:hAnsi="Arial" w:cs="Arial"/>
          <w:color w:val="000000"/>
          <w:sz w:val="20"/>
        </w:rPr>
        <w:t xml:space="preserve">"The notice of appeal must . . . designate the judgment, order, or part thereof being appealed . . . ."). </w:t>
      </w:r>
      <w:bookmarkStart w:id="1615" w:name="Bookmark_I56PK5TS2N1RN90050000400"/>
      <w:bookmarkEnd w:id="1615"/>
      <w:r>
        <w:rPr>
          <w:rFonts w:ascii="Arial" w:eastAsia="Arial" w:hAnsi="Arial" w:cs="Arial"/>
          <w:color w:val="000000"/>
          <w:sz w:val="20"/>
        </w:rPr>
        <w:t xml:space="preserve">In fact, the notice of appeal indicates it appeals the dismissal order only "insofar as the order dismisses with prejudice the New Jersey state law claims raised in the Complaint." </w:t>
      </w:r>
      <w:r>
        <w:rPr>
          <w:rFonts w:ascii="Arial" w:eastAsia="Arial" w:hAnsi="Arial" w:cs="Arial"/>
          <w:b/>
          <w:color w:val="000000"/>
          <w:sz w:val="20"/>
        </w:rPr>
        <w:t>(JA 5.)</w:t>
      </w:r>
      <w:r>
        <w:rPr>
          <w:rFonts w:ascii="Arial" w:eastAsia="Arial" w:hAnsi="Arial" w:cs="Arial"/>
          <w:color w:val="000000"/>
          <w:sz w:val="20"/>
        </w:rPr>
        <w:t xml:space="preserve"> Although there are circumstances under which we may review an order not specified in the notice of appeal, none is present in this appeal. </w:t>
      </w:r>
      <w:r>
        <w:rPr>
          <w:rFonts w:ascii="Arial" w:eastAsia="Arial" w:hAnsi="Arial" w:cs="Arial"/>
          <w:i/>
          <w:color w:val="000000"/>
          <w:sz w:val="20"/>
        </w:rPr>
        <w:t xml:space="preserve">See </w:t>
      </w:r>
      <w:bookmarkStart w:id="1616" w:name="Bookmark_I56PK5TS2N1RN90040000400"/>
      <w:bookmarkEnd w:id="1616"/>
      <w:r>
        <w:rPr>
          <w:rFonts w:ascii="Arial" w:eastAsia="Arial" w:hAnsi="Arial" w:cs="Arial"/>
          <w:i/>
          <w:color w:val="000000"/>
          <w:sz w:val="20"/>
        </w:rPr>
        <w:t>Sulima v. Tobyhanna Army Depot</w:t>
      </w:r>
      <w:r>
        <w:rPr>
          <w:rFonts w:ascii="Arial" w:eastAsia="Arial" w:hAnsi="Arial" w:cs="Arial"/>
          <w:color w:val="000000"/>
          <w:sz w:val="20"/>
        </w:rPr>
        <w:t>, 602 F.3d 177, 184 (3d Cir. 2010). While we have jurisdiction to review the summary judgment because the Authority has appealed that order, we will not entertain Plaintiffs' challenge to an order from which they failed to appeal.</w:t>
      </w:r>
    </w:p>
    <w:p w14:paraId="71E3C668" w14:textId="77777777" w:rsidR="00D041A2" w:rsidRDefault="00000000">
      <w:pPr>
        <w:pStyle w:val="Normal14"/>
        <w:widowControl w:val="0"/>
        <w:spacing w:before="200" w:line="260" w:lineRule="atLeast"/>
        <w:jc w:val="both"/>
      </w:pPr>
      <w:bookmarkStart w:id="1617" w:name="Bookmark_para_13_8"/>
      <w:bookmarkEnd w:id="1617"/>
      <w:r>
        <w:rPr>
          <w:rFonts w:ascii="Arial" w:eastAsia="Arial" w:hAnsi="Arial" w:cs="Arial"/>
          <w:color w:val="000000"/>
          <w:sz w:val="20"/>
        </w:rPr>
        <w:t xml:space="preserve">Second, we think the District Court's characterization of the construction project as an alteration was sound. </w:t>
      </w:r>
      <w:bookmarkStart w:id="1618" w:name="Bookmark_LNHNREFclscc3_8"/>
      <w:bookmarkEnd w:id="1618"/>
      <w:r>
        <w:rPr>
          <w:rFonts w:ascii="Arial" w:eastAsia="Arial" w:hAnsi="Arial" w:cs="Arial"/>
          <w:color w:val="000000"/>
          <w:sz w:val="20"/>
        </w:rPr>
        <w:t xml:space="preserve">The regulations clearly distinguish between new construction and alterations, and because the obligations of the builder under each scheme are different, a given construction project must be classified as one or the other. An alteration is "a change to an existing facility, including, but not limited to, remodeling, renovation, rehabilitation,  [**8] reconstruction, historic restoration, changes or rearrangement in structural parts or elements, and changes or rearrangement in the plan configuration of walls and full-height partitions." 49 C.F.R. § 37.3. The Grove Street Station project plainly falls under this definition, and it would be a stretch to claim that the Station, which existed in substantially the same form and for the same purpose prior to the renovation, is a new facility. Moreover, the modifications clearly exceeded the scope of the definitional exclusions from "alteration," such as "[n]ormal maintenance, reroofing, painting or wallpapering," because "they affect[ed] the usability of the building or facility." </w:t>
      </w:r>
      <w:r>
        <w:rPr>
          <w:rFonts w:ascii="Arial" w:eastAsia="Arial" w:hAnsi="Arial" w:cs="Arial"/>
          <w:i/>
          <w:color w:val="000000"/>
          <w:sz w:val="20"/>
        </w:rPr>
        <w:t>Id</w:t>
      </w:r>
      <w:r>
        <w:rPr>
          <w:rFonts w:ascii="Arial" w:eastAsia="Arial" w:hAnsi="Arial" w:cs="Arial"/>
          <w:color w:val="000000"/>
          <w:sz w:val="20"/>
        </w:rPr>
        <w:t>. Accordingly, in this case we will apply only the ADA provisions applicable to alterations.</w:t>
      </w:r>
    </w:p>
    <w:p w14:paraId="4A3F784B" w14:textId="77777777" w:rsidR="00D041A2" w:rsidRDefault="00000000">
      <w:pPr>
        <w:pStyle w:val="Normal14"/>
        <w:widowControl w:val="0"/>
        <w:spacing w:before="200" w:line="260" w:lineRule="atLeast"/>
        <w:jc w:val="both"/>
      </w:pPr>
      <w:bookmarkStart w:id="1619" w:name="Bookmark_para_14_7"/>
      <w:bookmarkStart w:id="1620" w:name="Bookmark_I56PK5TS2N1RNB0020000400"/>
      <w:bookmarkEnd w:id="1619"/>
      <w:bookmarkEnd w:id="1620"/>
      <w:r>
        <w:rPr>
          <w:rFonts w:ascii="Arial" w:eastAsia="Arial" w:hAnsi="Arial" w:cs="Arial"/>
          <w:color w:val="000000"/>
          <w:sz w:val="20"/>
        </w:rPr>
        <w:t xml:space="preserve">As noted, this case comes to us on the appeal of an order resolving cross-motions for summary judgment. </w:t>
      </w:r>
      <w:bookmarkStart w:id="1621" w:name="Bookmark_I56PK5TT2N1RNC0010000400"/>
      <w:bookmarkStart w:id="1622" w:name="Bookmark_LNHNREFclscc4_8"/>
      <w:bookmarkEnd w:id="1621"/>
      <w:bookmarkEnd w:id="1622"/>
      <w:r>
        <w:rPr>
          <w:rFonts w:ascii="Arial" w:eastAsia="Arial" w:hAnsi="Arial" w:cs="Arial"/>
          <w:color w:val="000000"/>
          <w:sz w:val="20"/>
        </w:rPr>
        <w:t xml:space="preserve">"When reviewing a district court's summary judgment decision in an ADA case, we exercise plenary review, applying the same standard as the district court." </w:t>
      </w:r>
      <w:bookmarkStart w:id="1623" w:name="Bookmark_I56PK5TS2N1RNB0010000400"/>
      <w:bookmarkEnd w:id="1623"/>
      <w:r>
        <w:rPr>
          <w:rFonts w:ascii="Arial" w:eastAsia="Arial" w:hAnsi="Arial" w:cs="Arial"/>
          <w:i/>
          <w:color w:val="000000"/>
          <w:sz w:val="20"/>
        </w:rPr>
        <w:t>Sulima</w:t>
      </w:r>
      <w:r>
        <w:rPr>
          <w:rFonts w:ascii="Arial" w:eastAsia="Arial" w:hAnsi="Arial" w:cs="Arial"/>
          <w:color w:val="000000"/>
          <w:sz w:val="20"/>
        </w:rPr>
        <w:t xml:space="preserve">, 602 F.3d at 184 (citing </w:t>
      </w:r>
      <w:bookmarkStart w:id="1624" w:name="Bookmark_I56PK5TS2N1RNB0030000400"/>
      <w:bookmarkEnd w:id="1624"/>
      <w:r>
        <w:rPr>
          <w:rFonts w:ascii="Arial" w:eastAsia="Arial" w:hAnsi="Arial" w:cs="Arial"/>
          <w:i/>
          <w:color w:val="000000"/>
          <w:sz w:val="20"/>
        </w:rPr>
        <w:t>Turner v. Hershey Chocolate USA</w:t>
      </w:r>
      <w:r>
        <w:rPr>
          <w:rFonts w:ascii="Arial" w:eastAsia="Arial" w:hAnsi="Arial" w:cs="Arial"/>
          <w:color w:val="000000"/>
          <w:sz w:val="20"/>
        </w:rPr>
        <w:t xml:space="preserve">, 440 F.3d 604, 611 (3d Cir. 2006)). </w:t>
      </w:r>
      <w:bookmarkStart w:id="1625" w:name="Bookmark_LNHNREFclscc5_8"/>
      <w:bookmarkEnd w:id="1625"/>
      <w:r>
        <w:rPr>
          <w:rFonts w:ascii="Arial" w:eastAsia="Arial" w:hAnsi="Arial" w:cs="Arial"/>
          <w:color w:val="000000"/>
          <w:sz w:val="20"/>
        </w:rPr>
        <w:t xml:space="preserve">"Summary judgment is appropriate if, viewing the record in  [**9] the light most favorable to the non-moving party, there are no genuine issues of material fact and the moving party is entitled to judgment as a matter of law."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accord</w:t>
      </w:r>
      <w:r>
        <w:rPr>
          <w:rFonts w:ascii="Arial" w:eastAsia="Arial" w:hAnsi="Arial" w:cs="Arial"/>
          <w:color w:val="000000"/>
          <w:sz w:val="20"/>
        </w:rPr>
        <w:t xml:space="preserve"> Fed. R. Civ. P. 56(a). </w:t>
      </w:r>
      <w:bookmarkStart w:id="1626" w:name="Bookmark_I56PK5TT2N1RNC0010000400_2"/>
      <w:bookmarkEnd w:id="1626"/>
      <w:r>
        <w:rPr>
          <w:rFonts w:ascii="Arial" w:eastAsia="Arial" w:hAnsi="Arial" w:cs="Arial"/>
          <w:color w:val="000000"/>
          <w:sz w:val="20"/>
        </w:rPr>
        <w:t>In considering Plaintiffs' and the Authority's motions, we must "construe[] facts and draw[] inferences in favor of the party against whom the motion under consideration is made."</w:t>
      </w:r>
      <w:r>
        <w:rPr>
          <w:rFonts w:ascii="Arial" w:eastAsia="Arial" w:hAnsi="Arial" w:cs="Arial"/>
          <w:vertAlign w:val="superscript"/>
        </w:rPr>
        <w:footnoteReference w:customMarkFollows="1" w:id="81"/>
        <w:t>1</w:t>
      </w:r>
      <w:r>
        <w:rPr>
          <w:rFonts w:ascii="Arial" w:eastAsia="Arial" w:hAnsi="Arial" w:cs="Arial"/>
          <w:color w:val="000000"/>
          <w:sz w:val="20"/>
        </w:rPr>
        <w:t xml:space="preserve"> </w:t>
      </w:r>
      <w:bookmarkStart w:id="1631" w:name="Bookmark_I56PK5TS2N1RNB0050000400"/>
      <w:bookmarkEnd w:id="1631"/>
      <w:r>
        <w:rPr>
          <w:rFonts w:ascii="Arial" w:eastAsia="Arial" w:hAnsi="Arial" w:cs="Arial"/>
          <w:i/>
          <w:color w:val="000000"/>
          <w:sz w:val="20"/>
        </w:rPr>
        <w:t>J.S. ex rel. Snyder v. Blue Mountain Sch. Dist</w:t>
      </w:r>
      <w:r>
        <w:rPr>
          <w:rFonts w:ascii="Arial" w:eastAsia="Arial" w:hAnsi="Arial" w:cs="Arial"/>
          <w:color w:val="000000"/>
          <w:sz w:val="20"/>
        </w:rPr>
        <w:t>., 650 F.3d 915, 925 (3d Cir. 2011) (en banc) (internal quotation marks omitted).</w:t>
      </w:r>
    </w:p>
    <w:p w14:paraId="7FF6C077" w14:textId="77777777" w:rsidR="00D041A2" w:rsidRDefault="00000000">
      <w:pPr>
        <w:pStyle w:val="Normal14"/>
        <w:widowControl w:val="0"/>
        <w:spacing w:before="120" w:line="260" w:lineRule="atLeast"/>
      </w:pPr>
      <w:r>
        <w:rPr>
          <w:rFonts w:ascii="Arial" w:eastAsia="Arial" w:hAnsi="Arial" w:cs="Arial"/>
          <w:color w:val="000000"/>
          <w:sz w:val="20"/>
        </w:rPr>
        <w:t>III</w:t>
      </w:r>
    </w:p>
    <w:p w14:paraId="384292A9" w14:textId="77777777" w:rsidR="00D041A2" w:rsidRDefault="00000000">
      <w:pPr>
        <w:pStyle w:val="Normal14"/>
        <w:widowControl w:val="0"/>
        <w:spacing w:before="200" w:line="260" w:lineRule="atLeast"/>
        <w:jc w:val="both"/>
      </w:pPr>
      <w:bookmarkStart w:id="1632" w:name="Bookmark_para_15_7"/>
      <w:bookmarkEnd w:id="1632"/>
      <w:r>
        <w:rPr>
          <w:rFonts w:ascii="Arial" w:eastAsia="Arial" w:hAnsi="Arial" w:cs="Arial"/>
          <w:color w:val="000000"/>
          <w:sz w:val="20"/>
        </w:rPr>
        <w:t xml:space="preserve">The touchstone of our analysis in this appeal is </w:t>
      </w:r>
      <w:bookmarkStart w:id="1633" w:name="Bookmark_LNHNREFclscc7_8"/>
      <w:bookmarkEnd w:id="1633"/>
      <w:r>
        <w:rPr>
          <w:rFonts w:ascii="Arial" w:eastAsia="Arial" w:hAnsi="Arial" w:cs="Arial"/>
          <w:color w:val="000000"/>
          <w:sz w:val="20"/>
        </w:rPr>
        <w:t>the Authority's obligation—triggered because it altered the Station—to make the Station accessible "to the maximum  [*352]  extent feasible." This requirement appears in 42 U.S.C. § 12147(a) and 49 C.F.R. § 37.43(a)(1), as well as in the "technical infeasibility" guideline, ADAAG § 4.1.6(1)(j), which is discussed in greater detail below.</w:t>
      </w:r>
    </w:p>
    <w:p w14:paraId="6D0139EE" w14:textId="77777777" w:rsidR="00D041A2" w:rsidRDefault="00000000">
      <w:pPr>
        <w:pStyle w:val="Normal14"/>
        <w:widowControl w:val="0"/>
        <w:spacing w:before="200" w:line="260" w:lineRule="atLeast"/>
        <w:ind w:left="400"/>
        <w:jc w:val="both"/>
      </w:pPr>
      <w:bookmarkStart w:id="1634" w:name="Bookmark_para_16_7"/>
      <w:bookmarkStart w:id="1635" w:name="Bookmark_LNHNREFclscc8_8"/>
      <w:bookmarkEnd w:id="1634"/>
      <w:bookmarkEnd w:id="1635"/>
      <w:r>
        <w:rPr>
          <w:rFonts w:ascii="Arial" w:eastAsia="Arial" w:hAnsi="Arial" w:cs="Arial"/>
          <w:color w:val="000000"/>
          <w:sz w:val="20"/>
        </w:rPr>
        <w:t>As  [**10] used in this section, the phrase to the maximum extent feasible applies to the occasional case where the nature of an existing facility makes it impossible to comply fully with applicable accessibility standards through a planned alteration. In these circumstances, the entity shall provide the maximum physical accessibility feasible. Any altered features of the facility or portion of the facility that can be made accessible shall be made accessible. If providing accessibility to certain individuals with disabilities (e.g., those who use wheelchairs) would not be feasible, the facility shall be made accessible to individuals with other types of disabilities (e.g., those who use crutches, those who have impaired vision or hearing, or those who have other impairments).</w:t>
      </w:r>
    </w:p>
    <w:p w14:paraId="631845D0" w14:textId="77777777" w:rsidR="00D041A2" w:rsidRDefault="00000000">
      <w:pPr>
        <w:pStyle w:val="Normal14"/>
        <w:widowControl w:val="0"/>
        <w:spacing w:line="260" w:lineRule="atLeast"/>
        <w:jc w:val="both"/>
      </w:pPr>
      <w:r>
        <w:rPr>
          <w:rFonts w:ascii="Arial" w:eastAsia="Arial" w:hAnsi="Arial" w:cs="Arial"/>
          <w:color w:val="000000"/>
          <w:sz w:val="20"/>
        </w:rPr>
        <w:t>49 C.F.R. § 37.43(b). Where we discuss "feasibility" in this opinion, we do so only for the sake of expedience, recognizing that the actual standard—"to the maximum extent feasible"—is much more demanding.</w:t>
      </w:r>
    </w:p>
    <w:p w14:paraId="353B1B33" w14:textId="77777777" w:rsidR="00D041A2" w:rsidRDefault="00000000">
      <w:pPr>
        <w:pStyle w:val="Normal14"/>
        <w:widowControl w:val="0"/>
        <w:spacing w:before="200" w:line="260" w:lineRule="atLeast"/>
        <w:jc w:val="both"/>
      </w:pPr>
      <w:bookmarkStart w:id="1636" w:name="Bookmark_para_17_7"/>
      <w:bookmarkStart w:id="1637" w:name="Bookmark_I56PK5TT2N1RNC0050000400"/>
      <w:bookmarkEnd w:id="1636"/>
      <w:bookmarkEnd w:id="1637"/>
      <w:r>
        <w:rPr>
          <w:rFonts w:ascii="Arial" w:eastAsia="Arial" w:hAnsi="Arial" w:cs="Arial"/>
          <w:color w:val="000000"/>
          <w:sz w:val="20"/>
        </w:rPr>
        <w:t>Having discerned the appropriate regulatory framework that governs this appeal, we turn to the substantive disputes. The Authority proffers five reasons why it is entitled to summary judgment or, alternatively, summary  [**11] judgment was wrongly entered for Plaintiffs. Two of these arguments—that the ADA did not require the Authority to make the platform accessible because it was not an "altered portion[]" of the facility, 42 U.S.C. § 12147(a), and that the Authority was excused from making ADA-compliant modifications because the cost of those changes would have been disproportionate, 49 C.F.R. § 37.43(e)-(f)—were not preserved in the District Court, so we will not consider them here.</w:t>
      </w:r>
      <w:r>
        <w:rPr>
          <w:rFonts w:ascii="Arial" w:eastAsia="Arial" w:hAnsi="Arial" w:cs="Arial"/>
          <w:vertAlign w:val="superscript"/>
        </w:rPr>
        <w:footnoteReference w:customMarkFollows="1" w:id="82"/>
        <w:t>2</w:t>
      </w:r>
      <w:r>
        <w:rPr>
          <w:rFonts w:ascii="Arial" w:eastAsia="Arial" w:hAnsi="Arial" w:cs="Arial"/>
          <w:color w:val="000000"/>
          <w:sz w:val="20"/>
        </w:rPr>
        <w:t xml:space="preserve"> </w:t>
      </w:r>
      <w:bookmarkStart w:id="1639" w:name="Bookmark_I56PK5TT2N1RNC0040000400"/>
      <w:bookmarkEnd w:id="1639"/>
      <w:r>
        <w:rPr>
          <w:rFonts w:ascii="Arial" w:eastAsia="Arial" w:hAnsi="Arial" w:cs="Arial"/>
          <w:i/>
          <w:color w:val="000000"/>
          <w:sz w:val="20"/>
        </w:rPr>
        <w:t>Tri-M Grp., LLC v. Sharp</w:t>
      </w:r>
      <w:r>
        <w:rPr>
          <w:rFonts w:ascii="Arial" w:eastAsia="Arial" w:hAnsi="Arial" w:cs="Arial"/>
          <w:color w:val="000000"/>
          <w:sz w:val="20"/>
        </w:rPr>
        <w:t>, 638 F.3d 406, 416 (3d Cir. 2011). That leaves three of the Authority's arguments for us to resolve: first, the accessibility modifications ordered by the District Court could not have been accomplished because they would require the acquisition of subterranean property rights currently owned by Jersey City; second, the ordered modifications would have been "technically infeasible" under ADAAG § 4.1.6(1)(j), or, in the alternative, there are triable factual disputes regarding technical infeasibility; and third, the ordered modifications would not have been feasible because, if implemented, the Station might not have complied with National Fire Protection Association Standard 130 (NFPA 130), a fire-safety  [**12] code the Authority has adopted. We hold that neither side is entitled to summary judgment on these issues.</w:t>
      </w:r>
    </w:p>
    <w:p w14:paraId="378F36D0" w14:textId="77777777" w:rsidR="00D041A2" w:rsidRDefault="00000000">
      <w:pPr>
        <w:pStyle w:val="Normal14"/>
        <w:widowControl w:val="0"/>
        <w:spacing w:before="200" w:line="260" w:lineRule="atLeast"/>
        <w:jc w:val="both"/>
      </w:pPr>
      <w:bookmarkStart w:id="1640" w:name="Bookmark_para_18_7"/>
      <w:bookmarkStart w:id="1641" w:name="Bookmark_I56PK5TT28T4J20020000400"/>
      <w:bookmarkEnd w:id="1640"/>
      <w:bookmarkEnd w:id="1641"/>
      <w:r>
        <w:rPr>
          <w:rFonts w:ascii="Arial" w:eastAsia="Arial" w:hAnsi="Arial" w:cs="Arial"/>
          <w:color w:val="000000"/>
          <w:sz w:val="20"/>
        </w:rPr>
        <w:t xml:space="preserve">In considering the parties' arguments under the ADA, it is important to bear in mind that </w:t>
      </w:r>
      <w:bookmarkStart w:id="1642" w:name="Bookmark_LNHNREFclscc9_8"/>
      <w:bookmarkEnd w:id="1642"/>
      <w:r>
        <w:rPr>
          <w:rFonts w:ascii="Arial" w:eastAsia="Arial" w:hAnsi="Arial" w:cs="Arial"/>
          <w:color w:val="000000"/>
          <w:sz w:val="20"/>
        </w:rPr>
        <w:t xml:space="preserve">the ADA's obligations are triggered at the time the construction  [*353]  is undertaken, not after it has been completed and litigation has commenced. </w:t>
      </w:r>
      <w:r>
        <w:rPr>
          <w:rFonts w:ascii="Arial" w:eastAsia="Arial" w:hAnsi="Arial" w:cs="Arial"/>
          <w:i/>
          <w:color w:val="000000"/>
          <w:sz w:val="20"/>
        </w:rPr>
        <w:t xml:space="preserve">See </w:t>
      </w:r>
      <w:bookmarkStart w:id="1643" w:name="Bookmark_I56PK5TT28T4J20010000400"/>
      <w:bookmarkEnd w:id="1643"/>
      <w:r>
        <w:rPr>
          <w:rFonts w:ascii="Arial" w:eastAsia="Arial" w:hAnsi="Arial" w:cs="Arial"/>
          <w:i/>
          <w:color w:val="000000"/>
          <w:sz w:val="20"/>
        </w:rPr>
        <w:t>Roberts v. Royal Atl. Corp</w:t>
      </w:r>
      <w:r>
        <w:rPr>
          <w:rFonts w:ascii="Arial" w:eastAsia="Arial" w:hAnsi="Arial" w:cs="Arial"/>
          <w:color w:val="000000"/>
          <w:sz w:val="20"/>
        </w:rPr>
        <w:t xml:space="preserve">., 542 F.3d 363, 375 (2d Cir. 2008)  [**13] (describing the ADA-compliance inquiry as "backward-looking"). Consequently, in assessing whether the Authority has violated the ADA, we evaluate the circumstances as of the time of construction. Questions of the feasibility of a proposed ADA-compliant modification, then, are directed not toward whether it would be feasible to execute the modification </w:t>
      </w:r>
      <w:r>
        <w:rPr>
          <w:rFonts w:ascii="Arial" w:eastAsia="Arial" w:hAnsi="Arial" w:cs="Arial"/>
          <w:i/>
          <w:color w:val="000000"/>
          <w:sz w:val="20"/>
        </w:rPr>
        <w:t>today</w:t>
      </w:r>
      <w:r>
        <w:rPr>
          <w:rFonts w:ascii="Arial" w:eastAsia="Arial" w:hAnsi="Arial" w:cs="Arial"/>
          <w:color w:val="000000"/>
          <w:sz w:val="20"/>
        </w:rPr>
        <w:t>, but rather whether it would have been feasible between 2002 and 2005. The District Court did not address this question, but, rather, chose from the options for reconstructing the station that were presented as "feasible after the fact." We cannot endorse this approach, and, accordingly, will remand for consideration of "feasibility" anew, as of the time of construction. The parties present us with numerous arguments as to why it would or would not have been feasible to make Grove Street Station ADA-accessible as part of the project at that time by installing an elevator to the platform level. These arguments were addressed to (and in some instances, ruled upon by) the District Court as part of the summary judgment motion proceedings. We will proceed to consider them.</w:t>
      </w:r>
    </w:p>
    <w:p w14:paraId="0C36A7C0" w14:textId="77777777" w:rsidR="00D041A2" w:rsidRDefault="00000000">
      <w:pPr>
        <w:pStyle w:val="Normal14"/>
        <w:widowControl w:val="0"/>
        <w:spacing w:before="120" w:line="260" w:lineRule="atLeast"/>
      </w:pPr>
      <w:r>
        <w:rPr>
          <w:rFonts w:ascii="Arial" w:eastAsia="Arial" w:hAnsi="Arial" w:cs="Arial"/>
          <w:color w:val="000000"/>
          <w:sz w:val="20"/>
        </w:rPr>
        <w:t>A</w:t>
      </w:r>
    </w:p>
    <w:p w14:paraId="27CE3097" w14:textId="77777777" w:rsidR="00D041A2" w:rsidRDefault="00000000">
      <w:pPr>
        <w:pStyle w:val="Normal14"/>
        <w:widowControl w:val="0"/>
        <w:spacing w:before="200" w:line="260" w:lineRule="atLeast"/>
        <w:jc w:val="both"/>
      </w:pPr>
      <w:bookmarkStart w:id="1644" w:name="Bookmark_para_19_7"/>
      <w:bookmarkEnd w:id="1644"/>
      <w:r>
        <w:rPr>
          <w:rFonts w:ascii="Arial" w:eastAsia="Arial" w:hAnsi="Arial" w:cs="Arial"/>
          <w:color w:val="000000"/>
          <w:sz w:val="20"/>
        </w:rPr>
        <w:t xml:space="preserve">The Authority's first preserved argument is that the ADA does  [**14] not and cannot mandate a public transit authority to purchase subterranean property rights held by another party, which it would be required to do under Schemes 4 and 5. </w:t>
      </w:r>
      <w:bookmarkStart w:id="1645" w:name="Bookmark_I56PK5TT28T4J20040000400"/>
      <w:bookmarkEnd w:id="1645"/>
      <w:r>
        <w:rPr>
          <w:rFonts w:ascii="Arial" w:eastAsia="Arial" w:hAnsi="Arial" w:cs="Arial"/>
          <w:color w:val="000000"/>
          <w:sz w:val="20"/>
        </w:rPr>
        <w:t xml:space="preserve">It frames this argument under </w:t>
      </w:r>
      <w:bookmarkStart w:id="1646" w:name="Bookmark_LNHNREFclscc10_8"/>
      <w:bookmarkEnd w:id="1646"/>
      <w:r>
        <w:rPr>
          <w:rFonts w:ascii="Arial" w:eastAsia="Arial" w:hAnsi="Arial" w:cs="Arial"/>
          <w:color w:val="000000"/>
          <w:sz w:val="20"/>
        </w:rPr>
        <w:t xml:space="preserve">ADAAG § 4.1.6(1)(j), which states that "if compliance with [the alteration guideline] is technically infeasible, the alteration shall provide accessibility to the maximum extent feasible," and defines "technically infeasible" to mean, in relevant part, that "other existing physical or site constraints prohibit modification or addition of elements, spaces, or features which are in full and strict compliance with the minimum requirements for new construction and which are necessary to provide accessibility." ADAAG § 4.1.6(1)(j). We agree with the parties that the Authority bears the burden of proving technical infeasibility, as § 4.1.6(1)(j) acts as a kind of affirmative defense to otherwise applicable ADA compliance requirements. </w:t>
      </w:r>
      <w:r>
        <w:rPr>
          <w:rFonts w:ascii="Arial" w:eastAsia="Arial" w:hAnsi="Arial" w:cs="Arial"/>
          <w:i/>
          <w:color w:val="000000"/>
          <w:sz w:val="20"/>
        </w:rPr>
        <w:t xml:space="preserve">Cf. </w:t>
      </w:r>
      <w:bookmarkStart w:id="1647" w:name="Bookmark_I56PK5TT28T4J20030000400"/>
      <w:bookmarkEnd w:id="1647"/>
      <w:r>
        <w:rPr>
          <w:rFonts w:ascii="Arial" w:eastAsia="Arial" w:hAnsi="Arial" w:cs="Arial"/>
          <w:i/>
          <w:color w:val="000000"/>
          <w:sz w:val="20"/>
        </w:rPr>
        <w:t>Roberts</w:t>
      </w:r>
      <w:r>
        <w:rPr>
          <w:rFonts w:ascii="Arial" w:eastAsia="Arial" w:hAnsi="Arial" w:cs="Arial"/>
          <w:color w:val="000000"/>
          <w:sz w:val="20"/>
        </w:rPr>
        <w:t xml:space="preserve">, 542 F.3d at 370-71 (discussing </w:t>
      </w:r>
      <w:bookmarkStart w:id="1648" w:name="Bookmark_I56PK5TT28T4J20050000400"/>
      <w:bookmarkEnd w:id="1648"/>
      <w:r>
        <w:rPr>
          <w:rFonts w:ascii="Arial" w:eastAsia="Arial" w:hAnsi="Arial" w:cs="Arial"/>
          <w:i/>
          <w:color w:val="000000"/>
          <w:sz w:val="20"/>
        </w:rPr>
        <w:t>Borkowski v. Valley Cent. Sch. Dist</w:t>
      </w:r>
      <w:r>
        <w:rPr>
          <w:rFonts w:ascii="Arial" w:eastAsia="Arial" w:hAnsi="Arial" w:cs="Arial"/>
          <w:color w:val="000000"/>
          <w:sz w:val="20"/>
        </w:rPr>
        <w:t xml:space="preserve">., 63 F.3d 131, 138 (2d Cir. 1995)) (holding in a Title III ADA case that the plaintiff need only "mak[e] a facially plausible demonstration that the modification is an alteration" before  [**15] the burden shifts to the defendant to show it is not an alteration); </w:t>
      </w:r>
      <w:bookmarkStart w:id="1649" w:name="Bookmark_I56PK5TT2SF7YS0020000400"/>
      <w:bookmarkEnd w:id="1649"/>
      <w:r>
        <w:rPr>
          <w:rFonts w:ascii="Arial" w:eastAsia="Arial" w:hAnsi="Arial" w:cs="Arial"/>
          <w:i/>
          <w:color w:val="000000"/>
          <w:sz w:val="20"/>
        </w:rPr>
        <w:t>Turner</w:t>
      </w:r>
      <w:r>
        <w:rPr>
          <w:rFonts w:ascii="Arial" w:eastAsia="Arial" w:hAnsi="Arial" w:cs="Arial"/>
          <w:color w:val="000000"/>
          <w:sz w:val="20"/>
        </w:rPr>
        <w:t>, 440 F.3d at 614 (observing that a disabled employee must make a prima facie showing that a proposed accommodation is possible before the burden shifts to the employer to prove that the accommodation is unreasonable or unduly burdensome).</w:t>
      </w:r>
    </w:p>
    <w:p w14:paraId="2C2AE168" w14:textId="77777777" w:rsidR="00D041A2" w:rsidRDefault="00000000">
      <w:pPr>
        <w:pStyle w:val="Normal14"/>
        <w:widowControl w:val="0"/>
        <w:spacing w:before="200" w:line="260" w:lineRule="atLeast"/>
        <w:jc w:val="both"/>
      </w:pPr>
      <w:bookmarkStart w:id="1650" w:name="Bookmark_para_20_7"/>
      <w:bookmarkStart w:id="1651" w:name="Bookmark_I56PK5TT2SF7YS0050000400"/>
      <w:bookmarkStart w:id="1652" w:name="Bookmark_I56PK5TT2N1RND0020000400"/>
      <w:bookmarkEnd w:id="1650"/>
      <w:bookmarkEnd w:id="1651"/>
      <w:bookmarkEnd w:id="1652"/>
      <w:r>
        <w:rPr>
          <w:rFonts w:ascii="Arial" w:eastAsia="Arial" w:hAnsi="Arial" w:cs="Arial"/>
          <w:color w:val="000000"/>
          <w:sz w:val="20"/>
        </w:rPr>
        <w:t xml:space="preserve">In </w:t>
      </w:r>
      <w:bookmarkStart w:id="1653" w:name="Bookmark_I56PK5TT2SF7YS0040000400"/>
      <w:bookmarkEnd w:id="1653"/>
      <w:r>
        <w:rPr>
          <w:rFonts w:ascii="Arial" w:eastAsia="Arial" w:hAnsi="Arial" w:cs="Arial"/>
          <w:i/>
          <w:color w:val="000000"/>
          <w:sz w:val="20"/>
        </w:rPr>
        <w:t>Disabled in Action of Pennsylvania v. Southeastern Pennsylvania Transportation Authority (DIA v. SEPTA)</w:t>
      </w:r>
      <w:r>
        <w:rPr>
          <w:rFonts w:ascii="Arial" w:eastAsia="Arial" w:hAnsi="Arial" w:cs="Arial"/>
          <w:color w:val="000000"/>
          <w:sz w:val="20"/>
        </w:rPr>
        <w:t xml:space="preserve">, 635 F.3d 87 (3d Cir. 2011), we considered a similar issue regarding whether a district court can order ADA compliance notwithstanding the fact that the defendant does not presently possess property rights necessary to make the ordered modifications. In that case, DIA sued SEPTA and the City of Philadelphia over accessibility barriers at two subway access points, the 15th Street Courtyard and City Hall Courtyard. </w:t>
      </w:r>
      <w:bookmarkStart w:id="1654" w:name="Bookmark_I56PK5TT2N1RND0010000400"/>
      <w:bookmarkEnd w:id="1654"/>
      <w:r>
        <w:rPr>
          <w:rFonts w:ascii="Arial" w:eastAsia="Arial" w:hAnsi="Arial" w:cs="Arial"/>
          <w:i/>
          <w:color w:val="000000"/>
          <w:sz w:val="20"/>
        </w:rPr>
        <w:t>Id</w:t>
      </w:r>
      <w:r>
        <w:rPr>
          <w:rFonts w:ascii="Arial" w:eastAsia="Arial" w:hAnsi="Arial" w:cs="Arial"/>
          <w:color w:val="000000"/>
          <w:sz w:val="20"/>
        </w:rPr>
        <w:t xml:space="preserve">. at 91. </w:t>
      </w:r>
      <w:bookmarkStart w:id="1655" w:name="Bookmark_I56PK5TT2N1RND0040000400"/>
      <w:bookmarkEnd w:id="1655"/>
      <w:r>
        <w:rPr>
          <w:rFonts w:ascii="Arial" w:eastAsia="Arial" w:hAnsi="Arial" w:cs="Arial"/>
          <w:color w:val="000000"/>
          <w:sz w:val="20"/>
        </w:rPr>
        <w:t xml:space="preserve">Early in the litigation, the city and DIA reached a settlement in which the city agreed to allow SEPTA to build an elevator on its property at the 15th Street Courtyard and was dismissed from the suit as a result. </w:t>
      </w:r>
      <w:r>
        <w:rPr>
          <w:rFonts w:ascii="Arial" w:eastAsia="Arial" w:hAnsi="Arial" w:cs="Arial"/>
          <w:i/>
          <w:color w:val="000000"/>
          <w:sz w:val="20"/>
        </w:rPr>
        <w:t>Id</w:t>
      </w:r>
      <w:r>
        <w:rPr>
          <w:rFonts w:ascii="Arial" w:eastAsia="Arial" w:hAnsi="Arial" w:cs="Arial"/>
          <w:color w:val="000000"/>
          <w:sz w:val="20"/>
        </w:rPr>
        <w:t xml:space="preserve">. We affirmed the district court's order that SEPTA make both courtyards accessible. </w:t>
      </w:r>
      <w:bookmarkStart w:id="1656" w:name="Bookmark_I56PK5TT2SF7YT0010000400"/>
      <w:bookmarkStart w:id="1657" w:name="Bookmark_I56PK5TT2N1RND0030000400"/>
      <w:bookmarkEnd w:id="1656"/>
      <w:bookmarkEnd w:id="1657"/>
      <w:r>
        <w:rPr>
          <w:rFonts w:ascii="Arial" w:eastAsia="Arial" w:hAnsi="Arial" w:cs="Arial"/>
          <w:i/>
          <w:color w:val="000000"/>
          <w:sz w:val="20"/>
        </w:rPr>
        <w:t>Id</w:t>
      </w:r>
      <w:r>
        <w:rPr>
          <w:rFonts w:ascii="Arial" w:eastAsia="Arial" w:hAnsi="Arial" w:cs="Arial"/>
          <w:color w:val="000000"/>
          <w:sz w:val="20"/>
        </w:rPr>
        <w:t xml:space="preserve">. at 97. </w:t>
      </w:r>
      <w:bookmarkStart w:id="1658" w:name="Bookmark_I56PK5TT2SF7YT0010000400_2"/>
      <w:bookmarkEnd w:id="1658"/>
      <w:r>
        <w:rPr>
          <w:rFonts w:ascii="Arial" w:eastAsia="Arial" w:hAnsi="Arial" w:cs="Arial"/>
          <w:color w:val="000000"/>
          <w:sz w:val="20"/>
        </w:rPr>
        <w:t xml:space="preserve">Because compliance at the City Hall Courtyard  [**16] also  [*354]  required use of the city's property, SEPTA argued that the Court could not order modification of that site without rejoining the city in the suit. </w:t>
      </w:r>
      <w:r>
        <w:rPr>
          <w:rFonts w:ascii="Arial" w:eastAsia="Arial" w:hAnsi="Arial" w:cs="Arial"/>
          <w:i/>
          <w:color w:val="000000"/>
          <w:sz w:val="20"/>
        </w:rPr>
        <w:t>Id</w:t>
      </w:r>
      <w:r>
        <w:rPr>
          <w:rFonts w:ascii="Arial" w:eastAsia="Arial" w:hAnsi="Arial" w:cs="Arial"/>
          <w:color w:val="000000"/>
          <w:sz w:val="20"/>
        </w:rPr>
        <w:t xml:space="preserve">. Ultimately rejecting SEPTA's argument for the necessity of joinder pursuant to Federal Rule of Civil Procedure 19, we reasoned that because the city had already settled with DIA with respect to the other location, the city "must [have] be[en] aware of DIA's current position," and that the fact that the issue had not yet arisen in the lower court meant it did not pose a significant hurdle to relief. </w:t>
      </w:r>
      <w:bookmarkStart w:id="1659" w:name="Bookmark_I56PK5TT2N1RND0050000400"/>
      <w:bookmarkEnd w:id="1659"/>
      <w:r>
        <w:rPr>
          <w:rFonts w:ascii="Arial" w:eastAsia="Arial" w:hAnsi="Arial" w:cs="Arial"/>
          <w:i/>
          <w:color w:val="000000"/>
          <w:sz w:val="20"/>
        </w:rPr>
        <w:t>Id</w:t>
      </w:r>
      <w:r>
        <w:rPr>
          <w:rFonts w:ascii="Arial" w:eastAsia="Arial" w:hAnsi="Arial" w:cs="Arial"/>
          <w:color w:val="000000"/>
          <w:sz w:val="20"/>
        </w:rPr>
        <w:t xml:space="preserve">. at 98. The majority of the panel concluded that "SEPTA [would] have to work with the City in complying with [its] decision, something the City ha[d] already agreed to do with respect to the 15th Street Courtyard." </w:t>
      </w:r>
      <w:r>
        <w:rPr>
          <w:rFonts w:ascii="Arial" w:eastAsia="Arial" w:hAnsi="Arial" w:cs="Arial"/>
          <w:i/>
          <w:color w:val="000000"/>
          <w:sz w:val="20"/>
        </w:rPr>
        <w:t>Id</w:t>
      </w:r>
      <w:r>
        <w:rPr>
          <w:rFonts w:ascii="Arial" w:eastAsia="Arial" w:hAnsi="Arial" w:cs="Arial"/>
          <w:color w:val="000000"/>
          <w:sz w:val="20"/>
        </w:rPr>
        <w:t>.</w:t>
      </w:r>
    </w:p>
    <w:p w14:paraId="04161060" w14:textId="77777777" w:rsidR="00D041A2" w:rsidRDefault="00000000">
      <w:pPr>
        <w:pStyle w:val="Normal14"/>
        <w:widowControl w:val="0"/>
        <w:spacing w:before="200" w:line="260" w:lineRule="atLeast"/>
        <w:jc w:val="both"/>
      </w:pPr>
      <w:bookmarkStart w:id="1660" w:name="Bookmark_para_21_7"/>
      <w:bookmarkStart w:id="1661" w:name="Bookmark_I5PRPSHNBX60010919W001WB"/>
      <w:bookmarkStart w:id="1662" w:name="Bookmark_I56PK5TT2SF7YT0030000400"/>
      <w:bookmarkEnd w:id="1660"/>
      <w:bookmarkEnd w:id="1661"/>
      <w:bookmarkEnd w:id="1662"/>
      <w:r>
        <w:rPr>
          <w:rFonts w:ascii="Arial" w:eastAsia="Arial" w:hAnsi="Arial" w:cs="Arial"/>
          <w:color w:val="000000"/>
          <w:sz w:val="20"/>
        </w:rPr>
        <w:t>Of course here, unlike</w:t>
      </w:r>
      <w:bookmarkStart w:id="1663" w:name="Bookmark_I56PK5TT2SF7YT0020000400"/>
      <w:bookmarkEnd w:id="1663"/>
      <w:r>
        <w:rPr>
          <w:rFonts w:ascii="Arial" w:eastAsia="Arial" w:hAnsi="Arial" w:cs="Arial"/>
          <w:color w:val="000000"/>
          <w:sz w:val="20"/>
        </w:rPr>
        <w:t xml:space="preserve"> </w:t>
      </w:r>
      <w:r>
        <w:rPr>
          <w:rFonts w:ascii="Arial" w:eastAsia="Arial" w:hAnsi="Arial" w:cs="Arial"/>
          <w:i/>
          <w:color w:val="000000"/>
          <w:sz w:val="20"/>
        </w:rPr>
        <w:t>DIA</w:t>
      </w:r>
      <w:r>
        <w:rPr>
          <w:rFonts w:ascii="Arial" w:eastAsia="Arial" w:hAnsi="Arial" w:cs="Arial"/>
          <w:color w:val="000000"/>
          <w:sz w:val="20"/>
        </w:rPr>
        <w:t>, we have less of a clear indication that Jersey City is willing to cooperate with the Authority in making the station accessible. Though Plaintiffs have presented evidence that the mayor has indicated that the City could allow access to the property, it is the City Council that must vote on any such matter. Because we lack any similar indication from the City Council, we cannot assume that the  [**17] Authority will be able to acquire the land rights it needs to implement Scheme 4 or 5. Accordingly, summary judgment need not be entered for the Authority, either.</w:t>
      </w:r>
    </w:p>
    <w:p w14:paraId="5D7EF230" w14:textId="77777777" w:rsidR="00D041A2" w:rsidRDefault="00000000">
      <w:pPr>
        <w:pStyle w:val="Normal14"/>
        <w:widowControl w:val="0"/>
        <w:spacing w:before="200" w:line="260" w:lineRule="atLeast"/>
        <w:jc w:val="both"/>
      </w:pPr>
      <w:bookmarkStart w:id="1664" w:name="Bookmark_para_22_7"/>
      <w:bookmarkEnd w:id="1664"/>
      <w:r>
        <w:rPr>
          <w:rFonts w:ascii="Arial" w:eastAsia="Arial" w:hAnsi="Arial" w:cs="Arial"/>
          <w:color w:val="000000"/>
          <w:sz w:val="20"/>
        </w:rPr>
        <w:t xml:space="preserve">As we see it, </w:t>
      </w:r>
      <w:bookmarkStart w:id="1665" w:name="Bookmark_LNHNREFclscc11_7"/>
      <w:bookmarkEnd w:id="1665"/>
      <w:r>
        <w:rPr>
          <w:rFonts w:ascii="Arial" w:eastAsia="Arial" w:hAnsi="Arial" w:cs="Arial"/>
          <w:color w:val="000000"/>
          <w:sz w:val="20"/>
        </w:rPr>
        <w:t>the mere fact that the Authority would now have to acquire land from a third-party is not sufficient to render the proposed accommodations per se infeasible. Indeed, in considering feasibility, as we must, as of the time of the original construction, the Authority may have been able to negotiate for the use or ownership of the relevant land in the manner it had to facilitate construction of the headhouse for the east entrance. In light of the mayor's letter to the Plaintiffs, this may still be the case. There is, however, an open factual question as to whether the relief ordered by the District Court would now be ineffective because the City Council might refuse to negotiate a subterranean easement or sale to the Authority. On this point, we remand for further development of the record.</w:t>
      </w:r>
    </w:p>
    <w:p w14:paraId="6A1E07EE" w14:textId="77777777" w:rsidR="00D041A2" w:rsidRDefault="00000000">
      <w:pPr>
        <w:pStyle w:val="Normal14"/>
        <w:widowControl w:val="0"/>
        <w:spacing w:before="200" w:line="260" w:lineRule="atLeast"/>
        <w:jc w:val="both"/>
      </w:pPr>
      <w:bookmarkStart w:id="1666" w:name="Bookmark_para_23_7"/>
      <w:bookmarkEnd w:id="1666"/>
      <w:r>
        <w:rPr>
          <w:rFonts w:ascii="Arial" w:eastAsia="Arial" w:hAnsi="Arial" w:cs="Arial"/>
          <w:color w:val="000000"/>
          <w:sz w:val="20"/>
        </w:rPr>
        <w:t>While it may be the case that joinder of the City becomes appropriate, as we see it, this issue can just as easily be resolved by introducing evidence of the City Council's intent to approve or deny the Authority's use or acquisition  [**18] of the land required under Schemes 4 and 5. Until the Authority has demonstrated that the Council will not allow it to use the land, we cannot conclude that the proposed accommodations are infeasible within the meaning of the ADA.</w:t>
      </w:r>
    </w:p>
    <w:p w14:paraId="1D233644" w14:textId="77777777" w:rsidR="00D041A2" w:rsidRDefault="00000000">
      <w:pPr>
        <w:pStyle w:val="Normal14"/>
        <w:widowControl w:val="0"/>
        <w:spacing w:before="120" w:line="260" w:lineRule="atLeast"/>
      </w:pPr>
      <w:r>
        <w:rPr>
          <w:rFonts w:ascii="Arial" w:eastAsia="Arial" w:hAnsi="Arial" w:cs="Arial"/>
          <w:color w:val="000000"/>
          <w:sz w:val="20"/>
        </w:rPr>
        <w:t>B</w:t>
      </w:r>
    </w:p>
    <w:p w14:paraId="6AE58B65" w14:textId="77777777" w:rsidR="00D041A2" w:rsidRDefault="00000000">
      <w:pPr>
        <w:pStyle w:val="Normal14"/>
        <w:widowControl w:val="0"/>
        <w:spacing w:before="200" w:line="260" w:lineRule="atLeast"/>
        <w:jc w:val="both"/>
      </w:pPr>
      <w:bookmarkStart w:id="1667" w:name="Bookmark_para_24_6"/>
      <w:bookmarkEnd w:id="1667"/>
      <w:r>
        <w:rPr>
          <w:rFonts w:ascii="Arial" w:eastAsia="Arial" w:hAnsi="Arial" w:cs="Arial"/>
          <w:color w:val="000000"/>
          <w:sz w:val="20"/>
        </w:rPr>
        <w:t>The next two issues focus on the consequences of implementing Schemes 4 and 5. Because the appropriate inquiry under the ADA is backward-looking, and because Schemes 4 and 5 have been presented as prospective possibilities, those schemes may not be identical to those asserted by Plaintiffs at trial on remand. However, we recognize that the proposed modifications that might have been feasible between 2002 and 2005 may closely resemble the concept behind Schemes 4 and 5—LULA elevators to the platform—and therefore we proceed to address the feasibility concerns raised by the parties with respect to those schemes.</w:t>
      </w:r>
    </w:p>
    <w:p w14:paraId="0321807B" w14:textId="77777777" w:rsidR="00D041A2" w:rsidRDefault="00000000">
      <w:pPr>
        <w:pStyle w:val="Normal14"/>
        <w:widowControl w:val="0"/>
        <w:spacing w:before="200" w:line="260" w:lineRule="atLeast"/>
        <w:jc w:val="both"/>
      </w:pPr>
      <w:bookmarkStart w:id="1668" w:name="Bookmark_para_25_6"/>
      <w:bookmarkStart w:id="1669" w:name="Bookmark_I56PK5TT2SF7YT0050000400"/>
      <w:bookmarkEnd w:id="1668"/>
      <w:bookmarkEnd w:id="1669"/>
      <w:r>
        <w:rPr>
          <w:rFonts w:ascii="Arial" w:eastAsia="Arial" w:hAnsi="Arial" w:cs="Arial"/>
          <w:color w:val="000000"/>
          <w:sz w:val="20"/>
        </w:rPr>
        <w:t xml:space="preserve">The parties dispute whether both of the schemes found feasible by the District Court require the removal of a load-bearing part of the Station or are otherwise technically infeasible. In addition to the definition set forth above, </w:t>
      </w:r>
      <w:bookmarkStart w:id="1670" w:name="Bookmark_LNHNREFclscc12_6"/>
      <w:bookmarkEnd w:id="1670"/>
      <w:r>
        <w:rPr>
          <w:rFonts w:ascii="Arial" w:eastAsia="Arial" w:hAnsi="Arial" w:cs="Arial"/>
          <w:color w:val="000000"/>
          <w:sz w:val="20"/>
        </w:rPr>
        <w:t xml:space="preserve">technical infeasibility exists where the modification "has little likelihood of being accomplished because existing structural  [**19] conditions would  [*355]  require removing or altering a load-bearing member which is an essential part of the structural frame." ADAAG § 4.1.6(1)(j). "The structural frame shall be considered to be the columns and the girders, beams, trusses and spandrels having direct connections to the columns and all other members which are essential to the stability of the building as a whole." ADAAG § 3.5; </w:t>
      </w:r>
      <w:r>
        <w:rPr>
          <w:rFonts w:ascii="Arial" w:eastAsia="Arial" w:hAnsi="Arial" w:cs="Arial"/>
          <w:i/>
          <w:color w:val="000000"/>
          <w:sz w:val="20"/>
        </w:rPr>
        <w:t>see</w:t>
      </w:r>
      <w:r>
        <w:rPr>
          <w:rFonts w:ascii="Arial" w:eastAsia="Arial" w:hAnsi="Arial" w:cs="Arial"/>
          <w:color w:val="000000"/>
          <w:sz w:val="20"/>
        </w:rPr>
        <w:t xml:space="preserve"> </w:t>
      </w:r>
      <w:bookmarkStart w:id="1671" w:name="Bookmark_I56PK5TT2SF7YT0040000400"/>
      <w:bookmarkEnd w:id="1671"/>
      <w:r>
        <w:rPr>
          <w:rFonts w:ascii="Arial" w:eastAsia="Arial" w:hAnsi="Arial" w:cs="Arial"/>
          <w:color w:val="000000"/>
          <w:sz w:val="20"/>
        </w:rPr>
        <w:t>Americans With Disabilities Act (ADA) Accessibility Guidelines for Buildings and Facilities, 56 Fed. Reg. 35,408, 35,428 (July 26, 1991) (responding to a comment on the proposed guidelines by opining that the "structural frame" definition does "not include wood or metal studs or joists used in light-frame construction of interior walls and floors"). As noted, technical infeasibility also encompasses situations where "other existing physical or site constraints prohibit modification."</w:t>
      </w:r>
    </w:p>
    <w:p w14:paraId="374A999E" w14:textId="77777777" w:rsidR="00D041A2" w:rsidRDefault="00000000">
      <w:pPr>
        <w:pStyle w:val="Normal14"/>
        <w:widowControl w:val="0"/>
        <w:spacing w:before="200" w:line="260" w:lineRule="atLeast"/>
        <w:jc w:val="both"/>
      </w:pPr>
      <w:bookmarkStart w:id="1672" w:name="Bookmark_para_26_6"/>
      <w:bookmarkEnd w:id="1672"/>
      <w:r>
        <w:rPr>
          <w:rFonts w:ascii="Arial" w:eastAsia="Arial" w:hAnsi="Arial" w:cs="Arial"/>
          <w:color w:val="000000"/>
          <w:sz w:val="20"/>
        </w:rPr>
        <w:t xml:space="preserve">The parties did not develop a good factual record on this issue below. The Authority argues that "a roof structure" would need to be removed in Scheme 4 and avers there were "[f]actual conflicts" over the load-bearing-member issue in the District Court. Authority Br. 23-24. The Authority's reply brief provides further  [**20] citations to record evidence that suggests, but stops short of explicitly stating, that in order to implement Schemes 4 or 5 the Station's "structural conditions would require removing or altering a load-bearing member which is an essential part of the structural frame." </w:t>
      </w:r>
      <w:r>
        <w:rPr>
          <w:rFonts w:ascii="Arial" w:eastAsia="Arial" w:hAnsi="Arial" w:cs="Arial"/>
          <w:i/>
          <w:color w:val="000000"/>
          <w:sz w:val="20"/>
        </w:rPr>
        <w:t>See</w:t>
      </w:r>
      <w:r>
        <w:rPr>
          <w:rFonts w:ascii="Arial" w:eastAsia="Arial" w:hAnsi="Arial" w:cs="Arial"/>
          <w:color w:val="000000"/>
          <w:sz w:val="20"/>
        </w:rPr>
        <w:t xml:space="preserve"> Authority Reply Br. 16-18 (citing JA 415, 810, 1601-02). To offer just one example, the Authority's feasibility report on Plaintiffs' proposed Schemes 4 and 5 notes that those schemes "[m]ay require structural modifications to 'pressure slab' below stair at station entrance." (JA 1601-02.) The Authority claims this "pressure slab" is a load-bearing member falling within the technical infeasibility exception.</w:t>
      </w:r>
    </w:p>
    <w:p w14:paraId="43F41F50" w14:textId="77777777" w:rsidR="00D041A2" w:rsidRDefault="00000000">
      <w:pPr>
        <w:pStyle w:val="Normal14"/>
        <w:widowControl w:val="0"/>
        <w:spacing w:before="200" w:line="260" w:lineRule="atLeast"/>
        <w:jc w:val="both"/>
      </w:pPr>
      <w:bookmarkStart w:id="1673" w:name="Bookmark_para_27_6"/>
      <w:bookmarkEnd w:id="1673"/>
      <w:r>
        <w:rPr>
          <w:rFonts w:ascii="Arial" w:eastAsia="Arial" w:hAnsi="Arial" w:cs="Arial"/>
          <w:color w:val="000000"/>
          <w:sz w:val="20"/>
        </w:rPr>
        <w:t>By contrast, Plaintiffs assert there is no record evidence that the removal of a load-bearing member would be necessary under either scheme and they present an expert who opines that Schemes 4 and 5 are feasible. The Authority counters that Plaintiffs' expert does not understand the meaning of technical infeasibility.</w:t>
      </w:r>
    </w:p>
    <w:p w14:paraId="07621389" w14:textId="77777777" w:rsidR="00D041A2" w:rsidRDefault="00000000">
      <w:pPr>
        <w:pStyle w:val="Normal14"/>
        <w:widowControl w:val="0"/>
        <w:spacing w:before="200" w:line="260" w:lineRule="atLeast"/>
        <w:jc w:val="both"/>
      </w:pPr>
      <w:bookmarkStart w:id="1674" w:name="Bookmark_para_28_6"/>
      <w:bookmarkEnd w:id="1674"/>
      <w:r>
        <w:rPr>
          <w:rFonts w:ascii="Arial" w:eastAsia="Arial" w:hAnsi="Arial" w:cs="Arial"/>
          <w:color w:val="000000"/>
          <w:sz w:val="20"/>
        </w:rPr>
        <w:t>The lack of clarity in the record indicates there is a genuine dispute of material fact over whether a load-bearing member would need to be removed to make the east side accessible, whether Schemes  [**21] 4 and 5 are otherwise technically infeasible, and whether they would have been infeasible had they been incorporated into the original construction plans. Therefore, these issues must be submitted for trial.</w:t>
      </w:r>
    </w:p>
    <w:p w14:paraId="58942F95" w14:textId="77777777" w:rsidR="00D041A2" w:rsidRDefault="00000000">
      <w:pPr>
        <w:pStyle w:val="Normal14"/>
        <w:widowControl w:val="0"/>
        <w:spacing w:before="120" w:line="260" w:lineRule="atLeast"/>
      </w:pPr>
      <w:r>
        <w:rPr>
          <w:rFonts w:ascii="Arial" w:eastAsia="Arial" w:hAnsi="Arial" w:cs="Arial"/>
          <w:color w:val="000000"/>
          <w:sz w:val="20"/>
        </w:rPr>
        <w:t>C</w:t>
      </w:r>
    </w:p>
    <w:p w14:paraId="47F2458A" w14:textId="77777777" w:rsidR="00D041A2" w:rsidRDefault="00000000">
      <w:pPr>
        <w:pStyle w:val="Normal14"/>
        <w:widowControl w:val="0"/>
        <w:spacing w:before="200" w:line="260" w:lineRule="atLeast"/>
        <w:jc w:val="both"/>
      </w:pPr>
      <w:bookmarkStart w:id="1675" w:name="Bookmark_para_29_5"/>
      <w:bookmarkStart w:id="1676" w:name="Bookmark_I56PK5TT2SF7YW0020000400"/>
      <w:bookmarkEnd w:id="1675"/>
      <w:bookmarkEnd w:id="1676"/>
      <w:r>
        <w:rPr>
          <w:rFonts w:ascii="Arial" w:eastAsia="Arial" w:hAnsi="Arial" w:cs="Arial"/>
          <w:color w:val="000000"/>
          <w:sz w:val="20"/>
        </w:rPr>
        <w:t xml:space="preserve">Finally, the Authority contends that because Schemes 4 and 5 do not pass scrutiny under a fire-safety standard (NFPA 130), their implementation would not be "feasible" under the ADA. NFPA 130, titled "Standard for Fixed Guideway Transit and Passenger Rail Systems," contains numerous recommendations for designing rail systems to minimize risks associated with fire. The Authority highlights two of these recommendations as relevant to Schemes 4 and 5. First, as the District Court put it, "a bidirectional corridor must be at least 44 inches wide to ensure safe ingress and egress." </w:t>
      </w:r>
      <w:bookmarkStart w:id="1677" w:name="Bookmark_I56PK5TT2SF7YW0010000400"/>
      <w:bookmarkEnd w:id="1677"/>
      <w:r>
        <w:rPr>
          <w:rFonts w:ascii="Arial" w:eastAsia="Arial" w:hAnsi="Arial" w:cs="Arial"/>
          <w:i/>
          <w:color w:val="000000"/>
          <w:sz w:val="20"/>
        </w:rPr>
        <w:t>hip II</w:t>
      </w:r>
      <w:r>
        <w:rPr>
          <w:rFonts w:ascii="Arial" w:eastAsia="Arial" w:hAnsi="Arial" w:cs="Arial"/>
          <w:color w:val="000000"/>
          <w:sz w:val="20"/>
        </w:rPr>
        <w:t>, 2011 U.S. Dist. LEXIS 101558, 2011 WL 3957532, at *4. Second, according to the Authority, evacuation must be possible "from the most remote point on the platform to a point of safety in six minutes or less." Authority Br. 25. The District Court held that the corridor width in Schemes 4 and 5 exceeded the 44-inch minimum but the Court did not address the egress time restriction.</w:t>
      </w:r>
    </w:p>
    <w:p w14:paraId="346293E1" w14:textId="77777777" w:rsidR="00D041A2" w:rsidRDefault="00000000">
      <w:pPr>
        <w:pStyle w:val="Normal14"/>
        <w:widowControl w:val="0"/>
        <w:spacing w:before="200" w:line="260" w:lineRule="atLeast"/>
        <w:jc w:val="both"/>
      </w:pPr>
      <w:bookmarkStart w:id="1678" w:name="Bookmark_para_30_5"/>
      <w:bookmarkEnd w:id="1678"/>
      <w:r>
        <w:rPr>
          <w:rFonts w:ascii="Arial" w:eastAsia="Arial" w:hAnsi="Arial" w:cs="Arial"/>
          <w:color w:val="000000"/>
          <w:sz w:val="20"/>
        </w:rPr>
        <w:t>The parties disagree about the deference owed to NFPA  [**22] 130 under the ADA's framework. Plaintiffs characterize it as a  [*356]  safety standard that the Authority voluntarily implements, which cannot trump the mandatory ADA. The Authority suggests NFPA 130 implementation is necessary under federal transportation regulations that mandate compliance with fire-safety standards. For its part, the ADA does not address where, if at all, safety standards fit within its regulatory framework.</w:t>
      </w:r>
    </w:p>
    <w:p w14:paraId="44CFE2EC" w14:textId="77777777" w:rsidR="00D041A2" w:rsidRDefault="00000000">
      <w:pPr>
        <w:pStyle w:val="Normal14"/>
        <w:widowControl w:val="0"/>
        <w:spacing w:before="200" w:line="260" w:lineRule="atLeast"/>
        <w:jc w:val="both"/>
      </w:pPr>
      <w:bookmarkStart w:id="1679" w:name="Bookmark_para_31_5"/>
      <w:bookmarkStart w:id="1680" w:name="Bookmark_I56PK5TT2SF7YW0040000400"/>
      <w:bookmarkEnd w:id="1679"/>
      <w:bookmarkEnd w:id="1680"/>
      <w:r>
        <w:rPr>
          <w:rFonts w:ascii="Arial" w:eastAsia="Arial" w:hAnsi="Arial" w:cs="Arial"/>
          <w:color w:val="000000"/>
          <w:sz w:val="20"/>
        </w:rPr>
        <w:t xml:space="preserve">We believe </w:t>
      </w:r>
      <w:bookmarkStart w:id="1681" w:name="Bookmark_LNHNREFclscc13_6"/>
      <w:bookmarkEnd w:id="1681"/>
      <w:r>
        <w:rPr>
          <w:rFonts w:ascii="Arial" w:eastAsia="Arial" w:hAnsi="Arial" w:cs="Arial"/>
          <w:color w:val="000000"/>
          <w:sz w:val="20"/>
        </w:rPr>
        <w:t xml:space="preserve">the "maximum extent feasible" test can account for such safety standards. "[T]he phrase to the maximum extent feasible applies to the occasional case where </w:t>
      </w:r>
      <w:r>
        <w:rPr>
          <w:rFonts w:ascii="Arial" w:eastAsia="Arial" w:hAnsi="Arial" w:cs="Arial"/>
          <w:i/>
          <w:color w:val="000000"/>
          <w:sz w:val="20"/>
        </w:rPr>
        <w:t>the nature of an existing facility</w:t>
      </w:r>
      <w:r>
        <w:rPr>
          <w:rFonts w:ascii="Arial" w:eastAsia="Arial" w:hAnsi="Arial" w:cs="Arial"/>
          <w:color w:val="000000"/>
          <w:sz w:val="20"/>
        </w:rPr>
        <w:t xml:space="preserve"> makes it impossible to comply fully with applicable accessibility standards through a planned alteration." 49 C.F.R. § 37.43(b) (emphasis added); </w:t>
      </w:r>
      <w:r>
        <w:rPr>
          <w:rFonts w:ascii="Arial" w:eastAsia="Arial" w:hAnsi="Arial" w:cs="Arial"/>
          <w:i/>
          <w:color w:val="000000"/>
          <w:sz w:val="20"/>
        </w:rPr>
        <w:t>see</w:t>
      </w:r>
      <w:r>
        <w:rPr>
          <w:rFonts w:ascii="Arial" w:eastAsia="Arial" w:hAnsi="Arial" w:cs="Arial"/>
          <w:color w:val="000000"/>
          <w:sz w:val="20"/>
        </w:rPr>
        <w:t xml:space="preserve"> </w:t>
      </w:r>
      <w:bookmarkStart w:id="1682" w:name="Bookmark_I56PK5TT2SF7YW0030000400"/>
      <w:bookmarkEnd w:id="1682"/>
      <w:r>
        <w:rPr>
          <w:rFonts w:ascii="Arial" w:eastAsia="Arial" w:hAnsi="Arial" w:cs="Arial"/>
          <w:color w:val="000000"/>
          <w:sz w:val="20"/>
        </w:rPr>
        <w:t>56 Fed. Reg. at 35,428 ("[E]xisting physical or site constraints prohibiting full and strict compliance . . . can result from legitimate legal requirements (e.g., a right of way agreement preventing construction of a ramp in front of a building)."). The ability to comply with safety standards relates to "the nature of an existing facility." We leave it to the District Court to determine in the first instance the weight to  [**23] be accorded to these safety standards. Nevertheless, we think it likely that where compliance with a safety standard is required by law, a modification that would not comply with that safety standard is not "feasible." Even where the standard is not legally mandated, if it is uniformly implemented by the agency under ADA scrutiny and widely used by other transit agencies, a district court should be reluctant to order the agency to deviate from it.</w:t>
      </w:r>
    </w:p>
    <w:p w14:paraId="76415CCF" w14:textId="77777777" w:rsidR="00D041A2" w:rsidRDefault="00000000">
      <w:pPr>
        <w:pStyle w:val="Normal14"/>
        <w:widowControl w:val="0"/>
        <w:spacing w:before="200" w:line="260" w:lineRule="atLeast"/>
        <w:jc w:val="both"/>
      </w:pPr>
      <w:bookmarkStart w:id="1683" w:name="Bookmark_para_32_5"/>
      <w:bookmarkEnd w:id="1683"/>
      <w:r>
        <w:rPr>
          <w:rFonts w:ascii="Arial" w:eastAsia="Arial" w:hAnsi="Arial" w:cs="Arial"/>
          <w:color w:val="000000"/>
          <w:sz w:val="20"/>
        </w:rPr>
        <w:t xml:space="preserve">We cannot discern the significance of NFPA 130 from the record before us, in large part because of the manner in which the issue was presented by the Authority to the District Court. The Authority did not raise NFPA 130 until after the Court heard argument on the motions for summary judgment (even if it did raise evacuation concerns more broadly), and the expert affidavits it submitted generically reference exit time but do not squarely address the six-minute limitation. </w:t>
      </w:r>
      <w:bookmarkStart w:id="1684" w:name="Bookmark_LNHNREFclscc14_5"/>
      <w:bookmarkEnd w:id="1684"/>
      <w:r>
        <w:rPr>
          <w:rFonts w:ascii="Arial" w:eastAsia="Arial" w:hAnsi="Arial" w:cs="Arial"/>
          <w:color w:val="000000"/>
          <w:sz w:val="20"/>
        </w:rPr>
        <w:t>Highly technical arguments require specificity in presentation, and while we cannot say that the Authority failed to raise this argument before the District Court, we understand why the District Court believed the corridor-width issue to be the only one presented by NFPA 130.  [**24] At the same time, Plaintiffs' expert was unfamiliar with NFPA 130 and offered no opinion on the Station's egress capacity. On this record, both the nature of the NFPA 130 requirement and whether Schemes 4 or 5 satisfy it are unclear and may be addressed by the District Court on remand.</w:t>
      </w:r>
    </w:p>
    <w:p w14:paraId="449272AD" w14:textId="77777777" w:rsidR="00D041A2" w:rsidRDefault="00000000">
      <w:pPr>
        <w:pStyle w:val="Normal14"/>
        <w:widowControl w:val="0"/>
        <w:spacing w:before="200" w:line="260" w:lineRule="atLeast"/>
        <w:jc w:val="both"/>
      </w:pPr>
      <w:bookmarkStart w:id="1685" w:name="Bookmark_para_33_5"/>
      <w:bookmarkEnd w:id="1685"/>
      <w:r>
        <w:rPr>
          <w:rFonts w:ascii="Arial" w:eastAsia="Arial" w:hAnsi="Arial" w:cs="Arial"/>
          <w:color w:val="000000"/>
          <w:sz w:val="20"/>
        </w:rPr>
        <w:t>In sum, there are three triable issues of fact related to the feasibility of Schemes 4 and 5 under § 12147(a) or § 4.1.6(1)(j): the acquisition of property rights from Jersey City; the technical infeasibility of making Grove Street Station ADA-accessible, and, in particular, whether either requires removing or altering a load-bearing member; and the compliance (and necessity of compliance) of those Schemes with NFPA 130. Some of these issues may be resolved prior to submission of the case to the jury as described more fully above.</w:t>
      </w:r>
    </w:p>
    <w:p w14:paraId="41462BE4" w14:textId="77777777" w:rsidR="00D041A2" w:rsidRDefault="00000000">
      <w:pPr>
        <w:pStyle w:val="Normal14"/>
        <w:widowControl w:val="0"/>
        <w:spacing w:before="120" w:line="260" w:lineRule="atLeast"/>
      </w:pPr>
      <w:r>
        <w:rPr>
          <w:rFonts w:ascii="Arial" w:eastAsia="Arial" w:hAnsi="Arial" w:cs="Arial"/>
          <w:color w:val="000000"/>
          <w:sz w:val="20"/>
        </w:rPr>
        <w:t>IV</w:t>
      </w:r>
    </w:p>
    <w:p w14:paraId="3C0EA9E3" w14:textId="77777777" w:rsidR="00D041A2" w:rsidRDefault="00000000">
      <w:pPr>
        <w:pStyle w:val="Normal14"/>
        <w:widowControl w:val="0"/>
        <w:spacing w:before="200" w:line="260" w:lineRule="atLeast"/>
        <w:jc w:val="both"/>
      </w:pPr>
      <w:bookmarkStart w:id="1686" w:name="Bookmark_para_34_5"/>
      <w:bookmarkEnd w:id="1686"/>
      <w:r>
        <w:rPr>
          <w:rFonts w:ascii="Arial" w:eastAsia="Arial" w:hAnsi="Arial" w:cs="Arial"/>
          <w:color w:val="000000"/>
          <w:sz w:val="20"/>
        </w:rPr>
        <w:t>Plaintiffs' cross-appeal concerns the District Court's dismissal of their state-law claims on the basis that the application of state law to an agency operating under an interstate compact is permissible only if provided for in the compact. Because the Authority's compact does not so provide, we will affirm.</w:t>
      </w:r>
    </w:p>
    <w:p w14:paraId="19983E10" w14:textId="77777777" w:rsidR="00D041A2" w:rsidRDefault="00000000">
      <w:pPr>
        <w:pStyle w:val="Normal14"/>
        <w:widowControl w:val="0"/>
        <w:spacing w:before="200" w:line="260" w:lineRule="atLeast"/>
        <w:jc w:val="both"/>
      </w:pPr>
      <w:bookmarkStart w:id="1687" w:name="Bookmark_para_35_5"/>
      <w:bookmarkStart w:id="1688" w:name="Bookmark_I56PK5TT2N1RNH0010000400"/>
      <w:bookmarkStart w:id="1689" w:name="Bookmark_I56PK5TT2N1RNH0050000400"/>
      <w:bookmarkStart w:id="1690" w:name="Bookmark_I56PK5TT28T4J50040000400"/>
      <w:bookmarkStart w:id="1691" w:name="Bookmark_LNHNREFclscc15_4"/>
      <w:bookmarkEnd w:id="1687"/>
      <w:bookmarkEnd w:id="1688"/>
      <w:bookmarkEnd w:id="1689"/>
      <w:bookmarkEnd w:id="1690"/>
      <w:bookmarkEnd w:id="1691"/>
      <w:r>
        <w:rPr>
          <w:rFonts w:ascii="Arial" w:eastAsia="Arial" w:hAnsi="Arial" w:cs="Arial"/>
          <w:color w:val="000000"/>
          <w:sz w:val="20"/>
        </w:rPr>
        <w:t xml:space="preserve">"A bi-state entity, created by compact, is 'not subject to the unilateral  [**25] control of any one of the States that compose the federal system.'" </w:t>
      </w:r>
      <w:bookmarkStart w:id="1692" w:name="Bookmark_I56PK5TT2SF7YW0050000400"/>
      <w:bookmarkEnd w:id="1692"/>
      <w:r>
        <w:rPr>
          <w:rFonts w:ascii="Arial" w:eastAsia="Arial" w:hAnsi="Arial" w:cs="Arial"/>
          <w:i/>
          <w:color w:val="000000"/>
          <w:sz w:val="20"/>
        </w:rPr>
        <w:t>Int'l Union of Operating Eng'rs, Local 542 v. Del. River Joint Toll Bridge Comm'n</w:t>
      </w:r>
      <w:r>
        <w:rPr>
          <w:rFonts w:ascii="Arial" w:eastAsia="Arial" w:hAnsi="Arial" w:cs="Arial"/>
          <w:color w:val="000000"/>
          <w:sz w:val="20"/>
        </w:rPr>
        <w:t xml:space="preserve">, 311 F.3d 273, 281  [*357]  (3d Cir. 2002) (quoting </w:t>
      </w:r>
      <w:bookmarkStart w:id="1693" w:name="Bookmark_I56PK5TT2N1RNH0020000400"/>
      <w:bookmarkEnd w:id="1693"/>
      <w:r>
        <w:rPr>
          <w:rFonts w:ascii="Arial" w:eastAsia="Arial" w:hAnsi="Arial" w:cs="Arial"/>
          <w:i/>
          <w:color w:val="000000"/>
          <w:sz w:val="20"/>
        </w:rPr>
        <w:t>Hess v. Port Auth. Trans-Hudson Corp</w:t>
      </w:r>
      <w:r>
        <w:rPr>
          <w:rFonts w:ascii="Arial" w:eastAsia="Arial" w:hAnsi="Arial" w:cs="Arial"/>
          <w:color w:val="000000"/>
          <w:sz w:val="20"/>
        </w:rPr>
        <w:t xml:space="preserve">., 513 U.S. 30, 42, 115 S. Ct. 394, 130 L. Ed. 2d 245 (1994)). </w:t>
      </w:r>
      <w:bookmarkStart w:id="1694" w:name="Bookmark_I56PK5TT2HM5VJ0010000400"/>
      <w:bookmarkEnd w:id="1694"/>
      <w:r>
        <w:rPr>
          <w:rFonts w:ascii="Arial" w:eastAsia="Arial" w:hAnsi="Arial" w:cs="Arial"/>
          <w:color w:val="000000"/>
          <w:sz w:val="20"/>
        </w:rPr>
        <w:t xml:space="preserve">This is so because interstate compacts entered into with congressional consent under the Compact Clause function as a "surrender[] [of] a portion of their sovereignty" to an "'independently functioning part[] of a regional polity and of a national union.'" </w:t>
      </w:r>
      <w:bookmarkStart w:id="1695" w:name="Bookmark_I56PK5TT2N1RNH0040000400"/>
      <w:bookmarkEnd w:id="1695"/>
      <w:r>
        <w:rPr>
          <w:rFonts w:ascii="Arial" w:eastAsia="Arial" w:hAnsi="Arial" w:cs="Arial"/>
          <w:i/>
          <w:color w:val="000000"/>
          <w:sz w:val="20"/>
        </w:rPr>
        <w:t>Id</w:t>
      </w:r>
      <w:r>
        <w:rPr>
          <w:rFonts w:ascii="Arial" w:eastAsia="Arial" w:hAnsi="Arial" w:cs="Arial"/>
          <w:color w:val="000000"/>
          <w:sz w:val="20"/>
        </w:rPr>
        <w:t xml:space="preserve">. at 276 (quoting </w:t>
      </w:r>
      <w:bookmarkStart w:id="1696" w:name="Bookmark_I56PK5TT28T4J50010000400"/>
      <w:bookmarkEnd w:id="1696"/>
      <w:r>
        <w:rPr>
          <w:rFonts w:ascii="Arial" w:eastAsia="Arial" w:hAnsi="Arial" w:cs="Arial"/>
          <w:i/>
          <w:color w:val="000000"/>
          <w:sz w:val="20"/>
        </w:rPr>
        <w:t>Hess</w:t>
      </w:r>
      <w:r>
        <w:rPr>
          <w:rFonts w:ascii="Arial" w:eastAsia="Arial" w:hAnsi="Arial" w:cs="Arial"/>
          <w:color w:val="000000"/>
          <w:sz w:val="20"/>
        </w:rPr>
        <w:t xml:space="preserve">, 513 U.S. at 40). "Such a surrender of state sovereignty should be treated with great care, and the Supreme Court has stated that courts should not find a surrender unless it has been 'expressed in terms too plain to be mistaken.'" </w:t>
      </w:r>
      <w:r>
        <w:rPr>
          <w:rFonts w:ascii="Arial" w:eastAsia="Arial" w:hAnsi="Arial" w:cs="Arial"/>
          <w:i/>
          <w:color w:val="000000"/>
          <w:sz w:val="20"/>
        </w:rPr>
        <w:t>Id</w:t>
      </w:r>
      <w:r>
        <w:rPr>
          <w:rFonts w:ascii="Arial" w:eastAsia="Arial" w:hAnsi="Arial" w:cs="Arial"/>
          <w:color w:val="000000"/>
          <w:sz w:val="20"/>
        </w:rPr>
        <w:t xml:space="preserve">. (quoting </w:t>
      </w:r>
      <w:bookmarkStart w:id="1697" w:name="Bookmark_I56PK5TT28T4J50030000400"/>
      <w:bookmarkEnd w:id="1697"/>
      <w:r>
        <w:rPr>
          <w:rFonts w:ascii="Arial" w:eastAsia="Arial" w:hAnsi="Arial" w:cs="Arial"/>
          <w:i/>
          <w:color w:val="000000"/>
          <w:sz w:val="20"/>
        </w:rPr>
        <w:t>Jefferson Branch Bank v. Skelly</w:t>
      </w:r>
      <w:r>
        <w:rPr>
          <w:rFonts w:ascii="Arial" w:eastAsia="Arial" w:hAnsi="Arial" w:cs="Arial"/>
          <w:color w:val="000000"/>
          <w:sz w:val="20"/>
        </w:rPr>
        <w:t xml:space="preserve">, 66 U.S. 436, 446, 17 L. Ed. 173 (1861)). </w:t>
      </w:r>
      <w:bookmarkStart w:id="1698" w:name="Bookmark_I56PK5TT2HM5VJ0010000400_2"/>
      <w:bookmarkEnd w:id="1698"/>
      <w:r>
        <w:rPr>
          <w:rFonts w:ascii="Arial" w:eastAsia="Arial" w:hAnsi="Arial" w:cs="Arial"/>
          <w:color w:val="000000"/>
          <w:sz w:val="20"/>
        </w:rPr>
        <w:t xml:space="preserve">"Our role in interpreting the Compact is, therefore, to effectuate the clear intent of both sovereign states, not to rewrite their agreement or order relief inconsistent with its express terms." </w:t>
      </w:r>
      <w:r>
        <w:rPr>
          <w:rFonts w:ascii="Arial" w:eastAsia="Arial" w:hAnsi="Arial" w:cs="Arial"/>
          <w:i/>
          <w:color w:val="000000"/>
          <w:sz w:val="20"/>
        </w:rPr>
        <w:t>Id</w:t>
      </w:r>
      <w:r>
        <w:rPr>
          <w:rFonts w:ascii="Arial" w:eastAsia="Arial" w:hAnsi="Arial" w:cs="Arial"/>
          <w:color w:val="000000"/>
          <w:sz w:val="20"/>
        </w:rPr>
        <w:t xml:space="preserve">. (citing </w:t>
      </w:r>
      <w:bookmarkStart w:id="1699" w:name="Bookmark_I56PK5TT28T4J50050000400"/>
      <w:bookmarkEnd w:id="1699"/>
      <w:r>
        <w:rPr>
          <w:rFonts w:ascii="Arial" w:eastAsia="Arial" w:hAnsi="Arial" w:cs="Arial"/>
          <w:i/>
          <w:color w:val="000000"/>
          <w:sz w:val="20"/>
        </w:rPr>
        <w:t>Texas v. New Mexico</w:t>
      </w:r>
      <w:r>
        <w:rPr>
          <w:rFonts w:ascii="Arial" w:eastAsia="Arial" w:hAnsi="Arial" w:cs="Arial"/>
          <w:color w:val="000000"/>
          <w:sz w:val="20"/>
        </w:rPr>
        <w:t>, 462 U.S. 554, 564-65, 103 S. Ct. 2558, 77 L. Ed. 2d 1 (1983)).</w:t>
      </w:r>
    </w:p>
    <w:p w14:paraId="0091A211" w14:textId="77777777" w:rsidR="00D041A2" w:rsidRDefault="00000000">
      <w:pPr>
        <w:pStyle w:val="Normal14"/>
        <w:widowControl w:val="0"/>
        <w:spacing w:before="200" w:line="260" w:lineRule="atLeast"/>
        <w:jc w:val="both"/>
      </w:pPr>
      <w:bookmarkStart w:id="1700" w:name="Bookmark_para_36_5"/>
      <w:bookmarkEnd w:id="1700"/>
      <w:r>
        <w:rPr>
          <w:rFonts w:ascii="Arial" w:eastAsia="Arial" w:hAnsi="Arial" w:cs="Arial"/>
          <w:color w:val="000000"/>
          <w:sz w:val="20"/>
        </w:rPr>
        <w:t xml:space="preserve">In </w:t>
      </w:r>
      <w:r>
        <w:rPr>
          <w:rFonts w:ascii="Arial" w:eastAsia="Arial" w:hAnsi="Arial" w:cs="Arial"/>
          <w:i/>
          <w:color w:val="000000"/>
          <w:sz w:val="20"/>
        </w:rPr>
        <w:t>Delaware River</w:t>
      </w:r>
      <w:r>
        <w:rPr>
          <w:rFonts w:ascii="Arial" w:eastAsia="Arial" w:hAnsi="Arial" w:cs="Arial"/>
          <w:color w:val="000000"/>
          <w:sz w:val="20"/>
        </w:rPr>
        <w:t xml:space="preserve">, we considered a compact that did not contain the </w:t>
      </w:r>
      <w:bookmarkStart w:id="1701" w:name="Bookmark_LNHNREFclscc16_3"/>
      <w:bookmarkEnd w:id="1701"/>
      <w:r>
        <w:rPr>
          <w:rFonts w:ascii="Arial" w:eastAsia="Arial" w:hAnsi="Arial" w:cs="Arial"/>
          <w:color w:val="000000"/>
          <w:sz w:val="20"/>
        </w:rPr>
        <w:t xml:space="preserve">"concurred in" language that is  [**26] frequently found in interstate compacts to allow a state to modify a compact with legislation, provided its partner state passes similar legislation. </w:t>
      </w:r>
      <w:bookmarkStart w:id="1702" w:name="Bookmark_I56PK5TT2HM5VJ0030000400"/>
      <w:bookmarkEnd w:id="1702"/>
      <w:r>
        <w:rPr>
          <w:rFonts w:ascii="Arial" w:eastAsia="Arial" w:hAnsi="Arial" w:cs="Arial"/>
          <w:i/>
          <w:color w:val="000000"/>
          <w:sz w:val="20"/>
        </w:rPr>
        <w:t>Id</w:t>
      </w:r>
      <w:r>
        <w:rPr>
          <w:rFonts w:ascii="Arial" w:eastAsia="Arial" w:hAnsi="Arial" w:cs="Arial"/>
          <w:color w:val="000000"/>
          <w:sz w:val="20"/>
        </w:rPr>
        <w:t xml:space="preserve">. Finding the absence of that language significant, we nonetheless reviewed various approaches taken by federal and state courts interpreting "concurred in" clauses in compacts. Some courts require an express statement of intent by both state legislatures to modify the compact, and other courts permit "complementary or parallel" actions of two state legislatures to imply the intent to modify the compact. </w:t>
      </w:r>
      <w:bookmarkStart w:id="1703" w:name="Bookmark_I56PK5TT2HM5VJ0050000400"/>
      <w:bookmarkStart w:id="1704" w:name="Bookmark_I56PK5TT2HM5VJ0020000400"/>
      <w:bookmarkEnd w:id="1703"/>
      <w:bookmarkEnd w:id="1704"/>
      <w:r>
        <w:rPr>
          <w:rFonts w:ascii="Arial" w:eastAsia="Arial" w:hAnsi="Arial" w:cs="Arial"/>
          <w:i/>
          <w:color w:val="000000"/>
          <w:sz w:val="20"/>
        </w:rPr>
        <w:t>Id</w:t>
      </w:r>
      <w:r>
        <w:rPr>
          <w:rFonts w:ascii="Arial" w:eastAsia="Arial" w:hAnsi="Arial" w:cs="Arial"/>
          <w:color w:val="000000"/>
          <w:sz w:val="20"/>
        </w:rPr>
        <w:t xml:space="preserve">. at 276-79. </w:t>
      </w:r>
      <w:bookmarkStart w:id="1705" w:name="Bookmark_I56PK5TT2HM5VJ0050000400_2"/>
      <w:bookmarkEnd w:id="1705"/>
      <w:r>
        <w:rPr>
          <w:rFonts w:ascii="Arial" w:eastAsia="Arial" w:hAnsi="Arial" w:cs="Arial"/>
          <w:color w:val="000000"/>
          <w:sz w:val="20"/>
        </w:rPr>
        <w:t xml:space="preserve">Ultimately we applied the "express intent standard" and found there was no evidence of intent by the states "to amend the Compact or apply their collective bargaining laws to the" bi-state entity. </w:t>
      </w:r>
      <w:bookmarkStart w:id="1706" w:name="Bookmark_I56PK5TT2HM5VJ0040000400"/>
      <w:bookmarkEnd w:id="1706"/>
      <w:r>
        <w:rPr>
          <w:rFonts w:ascii="Arial" w:eastAsia="Arial" w:hAnsi="Arial" w:cs="Arial"/>
          <w:i/>
          <w:color w:val="000000"/>
          <w:sz w:val="20"/>
        </w:rPr>
        <w:t>Id</w:t>
      </w:r>
      <w:r>
        <w:rPr>
          <w:rFonts w:ascii="Arial" w:eastAsia="Arial" w:hAnsi="Arial" w:cs="Arial"/>
          <w:color w:val="000000"/>
          <w:sz w:val="20"/>
        </w:rPr>
        <w:t>. at 280.</w:t>
      </w:r>
    </w:p>
    <w:p w14:paraId="6E0306C4" w14:textId="77777777" w:rsidR="00D041A2" w:rsidRDefault="00000000">
      <w:pPr>
        <w:pStyle w:val="Normal14"/>
        <w:widowControl w:val="0"/>
        <w:spacing w:before="200" w:line="260" w:lineRule="atLeast"/>
        <w:jc w:val="both"/>
      </w:pPr>
      <w:bookmarkStart w:id="1707" w:name="Bookmark_para_37_5"/>
      <w:bookmarkStart w:id="1708" w:name="Bookmark_LNHNREFclscc17_3"/>
      <w:bookmarkEnd w:id="1707"/>
      <w:bookmarkEnd w:id="1708"/>
      <w:r>
        <w:rPr>
          <w:rFonts w:ascii="Arial" w:eastAsia="Arial" w:hAnsi="Arial" w:cs="Arial"/>
          <w:color w:val="000000"/>
          <w:sz w:val="20"/>
        </w:rPr>
        <w:t xml:space="preserve">The compact between New York and New Jersey that created the Authority provides that "[t]he port authority shall have such additional powers and duties as may hereafter be delegated to or imposed upon it from time to time by the action of the legislature of either state </w:t>
      </w:r>
      <w:r>
        <w:rPr>
          <w:rFonts w:ascii="Arial" w:eastAsia="Arial" w:hAnsi="Arial" w:cs="Arial"/>
          <w:i/>
          <w:color w:val="000000"/>
          <w:sz w:val="20"/>
        </w:rPr>
        <w:t>concurred in</w:t>
      </w:r>
      <w:r>
        <w:rPr>
          <w:rFonts w:ascii="Arial" w:eastAsia="Arial" w:hAnsi="Arial" w:cs="Arial"/>
          <w:color w:val="000000"/>
          <w:sz w:val="20"/>
        </w:rPr>
        <w:t xml:space="preserve"> by the legislature of the other." N.J. Stat. Ann. § 32:1-8 (emphasis added) (codifying the compact); N.Y. Unconsol. Law § 6408 (same);  [**27] </w:t>
      </w:r>
      <w:r>
        <w:rPr>
          <w:rFonts w:ascii="Arial" w:eastAsia="Arial" w:hAnsi="Arial" w:cs="Arial"/>
          <w:i/>
          <w:color w:val="000000"/>
          <w:sz w:val="20"/>
        </w:rPr>
        <w:t>accord</w:t>
      </w:r>
      <w:r>
        <w:rPr>
          <w:rFonts w:ascii="Arial" w:eastAsia="Arial" w:hAnsi="Arial" w:cs="Arial"/>
          <w:color w:val="000000"/>
          <w:sz w:val="20"/>
        </w:rPr>
        <w:t xml:space="preserve"> N.J. Stat. Ann. § 32:1-4; N.Y. Unconsol. Law § 6404. However, there is no dispute that the New Jersey laws relied upon by Plaintiffs do not purport to regulate the Authority, nor do Plaintiffs contend that there is an implied agreement based on parallel legislation to amend the compact.</w:t>
      </w:r>
    </w:p>
    <w:p w14:paraId="05278DEF" w14:textId="77777777" w:rsidR="00D041A2" w:rsidRDefault="00000000">
      <w:pPr>
        <w:pStyle w:val="Normal14"/>
        <w:widowControl w:val="0"/>
        <w:spacing w:before="200" w:line="260" w:lineRule="atLeast"/>
        <w:jc w:val="both"/>
      </w:pPr>
      <w:bookmarkStart w:id="1709" w:name="Bookmark_para_38_5"/>
      <w:bookmarkStart w:id="1710" w:name="Bookmark_I56PK5TT2N1RNJ0020000400"/>
      <w:bookmarkEnd w:id="1709"/>
      <w:bookmarkEnd w:id="1710"/>
      <w:r>
        <w:rPr>
          <w:rFonts w:ascii="Arial" w:eastAsia="Arial" w:hAnsi="Arial" w:cs="Arial"/>
          <w:color w:val="000000"/>
          <w:sz w:val="20"/>
        </w:rPr>
        <w:t xml:space="preserve">Instead, relying on New York case law, Plaintiffs urge the panel to distinguish between "internal operations" and "external conduct" of the Authority in applying these compact principles. </w:t>
      </w:r>
      <w:bookmarkStart w:id="1711" w:name="Bookmark_I5PRPSHN37X0010919W001W8"/>
      <w:bookmarkStart w:id="1712" w:name="Bookmark_I56PK5TT28T4J60010000400"/>
      <w:bookmarkEnd w:id="1711"/>
      <w:bookmarkEnd w:id="1712"/>
      <w:r>
        <w:rPr>
          <w:rFonts w:ascii="Arial" w:eastAsia="Arial" w:hAnsi="Arial" w:cs="Arial"/>
          <w:i/>
          <w:color w:val="000000"/>
          <w:sz w:val="20"/>
        </w:rPr>
        <w:t xml:space="preserve">See </w:t>
      </w:r>
      <w:bookmarkStart w:id="1713" w:name="Bookmark_I56PK5TT2N1RNJ0010000400"/>
      <w:bookmarkEnd w:id="1713"/>
      <w:r>
        <w:rPr>
          <w:rFonts w:ascii="Arial" w:eastAsia="Arial" w:hAnsi="Arial" w:cs="Arial"/>
          <w:i/>
          <w:color w:val="000000"/>
          <w:sz w:val="20"/>
        </w:rPr>
        <w:t>Agesen v. Catherwood</w:t>
      </w:r>
      <w:r>
        <w:rPr>
          <w:rFonts w:ascii="Arial" w:eastAsia="Arial" w:hAnsi="Arial" w:cs="Arial"/>
          <w:color w:val="000000"/>
          <w:sz w:val="20"/>
        </w:rPr>
        <w:t xml:space="preserve">, 26 N.Y.2d 521, 260 N.E.2d 525, 526-27, 311 N.Y.S.2d 886 (N.Y. 1970); </w:t>
      </w:r>
      <w:r>
        <w:rPr>
          <w:rFonts w:ascii="Arial" w:eastAsia="Arial" w:hAnsi="Arial" w:cs="Arial"/>
          <w:i/>
          <w:color w:val="000000"/>
          <w:sz w:val="20"/>
        </w:rPr>
        <w:t xml:space="preserve">see also </w:t>
      </w:r>
      <w:bookmarkStart w:id="1714" w:name="Bookmark_I56PK5TT2N1RNJ0030000400"/>
      <w:bookmarkEnd w:id="1714"/>
      <w:r>
        <w:rPr>
          <w:rFonts w:ascii="Arial" w:eastAsia="Arial" w:hAnsi="Arial" w:cs="Arial"/>
          <w:i/>
          <w:color w:val="000000"/>
          <w:sz w:val="20"/>
        </w:rPr>
        <w:t>Dezaio v. Port Auth. of N.Y. &amp; N.J</w:t>
      </w:r>
      <w:r>
        <w:rPr>
          <w:rFonts w:ascii="Arial" w:eastAsia="Arial" w:hAnsi="Arial" w:cs="Arial"/>
          <w:color w:val="000000"/>
          <w:sz w:val="20"/>
        </w:rPr>
        <w:t xml:space="preserve">., 205 F.3d 62, 65 (2d Cir. 2000) (discussing Agesen but declining to apply New York state employment discrimination laws to the Authority, implicitly assuming that employment matters relate to the internal operation of the Authority). Specifically, Plaintiffs claim that while a state cannot regulate the Authority's internal operations on its own, it can regulate the external conduct of the agency. </w:t>
      </w:r>
      <w:bookmarkStart w:id="1715" w:name="Bookmark_I56PK5TT28T4J60010000400_2"/>
      <w:bookmarkEnd w:id="1715"/>
      <w:r>
        <w:rPr>
          <w:rFonts w:ascii="Arial" w:eastAsia="Arial" w:hAnsi="Arial" w:cs="Arial"/>
          <w:color w:val="000000"/>
          <w:sz w:val="20"/>
        </w:rPr>
        <w:t xml:space="preserve">Plaintiffs define external conduct as actions relating to "health and safety." </w:t>
      </w:r>
      <w:r>
        <w:rPr>
          <w:rFonts w:ascii="Arial" w:eastAsia="Arial" w:hAnsi="Arial" w:cs="Arial"/>
          <w:i/>
          <w:color w:val="000000"/>
          <w:sz w:val="20"/>
        </w:rPr>
        <w:t xml:space="preserve">See </w:t>
      </w:r>
      <w:bookmarkStart w:id="1716" w:name="Bookmark_I56PK5TT2N1RNJ0050000400"/>
      <w:bookmarkEnd w:id="1716"/>
      <w:r>
        <w:rPr>
          <w:rFonts w:ascii="Arial" w:eastAsia="Arial" w:hAnsi="Arial" w:cs="Arial"/>
          <w:i/>
          <w:color w:val="000000"/>
          <w:sz w:val="20"/>
        </w:rPr>
        <w:t>Agesen</w:t>
      </w:r>
      <w:r>
        <w:rPr>
          <w:rFonts w:ascii="Arial" w:eastAsia="Arial" w:hAnsi="Arial" w:cs="Arial"/>
          <w:color w:val="000000"/>
          <w:sz w:val="20"/>
        </w:rPr>
        <w:t>, 260 N.E.2d at 526-27.</w:t>
      </w:r>
    </w:p>
    <w:p w14:paraId="597CCB16" w14:textId="77777777" w:rsidR="00D041A2" w:rsidRDefault="00000000">
      <w:pPr>
        <w:pStyle w:val="Normal14"/>
        <w:widowControl w:val="0"/>
        <w:spacing w:before="200" w:line="260" w:lineRule="atLeast"/>
        <w:jc w:val="both"/>
      </w:pPr>
      <w:bookmarkStart w:id="1717" w:name="Bookmark_para_39_5"/>
      <w:bookmarkStart w:id="1718" w:name="Bookmark_I5PRPSHNGRB0010919W001WC"/>
      <w:bookmarkStart w:id="1719" w:name="Bookmark_I56PK5TT28T4J60030000400"/>
      <w:bookmarkEnd w:id="1717"/>
      <w:bookmarkEnd w:id="1718"/>
      <w:bookmarkEnd w:id="1719"/>
      <w:r>
        <w:rPr>
          <w:rFonts w:ascii="Arial" w:eastAsia="Arial" w:hAnsi="Arial" w:cs="Arial"/>
          <w:color w:val="000000"/>
          <w:sz w:val="20"/>
        </w:rPr>
        <w:t>There is no basis in Third Circuit precedent for the internal-external distinction, nor would such  [**28] a distinction necessarily be well-founded.</w:t>
      </w:r>
      <w:r>
        <w:rPr>
          <w:rFonts w:ascii="Arial" w:eastAsia="Arial" w:hAnsi="Arial" w:cs="Arial"/>
          <w:vertAlign w:val="superscript"/>
        </w:rPr>
        <w:footnoteReference w:customMarkFollows="1" w:id="83"/>
        <w:t>3</w:t>
      </w:r>
      <w:r>
        <w:rPr>
          <w:rFonts w:ascii="Arial" w:eastAsia="Arial" w:hAnsi="Arial" w:cs="Arial"/>
          <w:color w:val="000000"/>
          <w:sz w:val="20"/>
        </w:rPr>
        <w:t xml:space="preserve"> But we need not consider  [*358]  the matter, for even if such a distinction were adopted, the decision of whether to comply with an anti-discrimination statute in constructing a facility is best described as an "internal operation" because the decision does not relate to anything external to the Authority or to health or safety. </w:t>
      </w:r>
      <w:bookmarkStart w:id="1728" w:name="Bookmark_I56PK5TT28T4J60050000400"/>
      <w:bookmarkEnd w:id="1728"/>
      <w:r>
        <w:rPr>
          <w:rFonts w:ascii="Arial" w:eastAsia="Arial" w:hAnsi="Arial" w:cs="Arial"/>
          <w:color w:val="000000"/>
          <w:sz w:val="20"/>
        </w:rPr>
        <w:t>The Authority's decisions on station construction do not threaten physical harm to New Jersey's citizens. Consequently, just as the</w:t>
      </w:r>
      <w:bookmarkStart w:id="1729" w:name="Bookmark_I56PK5TT28T4J60020000400"/>
      <w:bookmarkEnd w:id="1729"/>
      <w:r>
        <w:rPr>
          <w:rFonts w:ascii="Arial" w:eastAsia="Arial" w:hAnsi="Arial" w:cs="Arial"/>
          <w:color w:val="000000"/>
          <w:sz w:val="20"/>
        </w:rPr>
        <w:t xml:space="preserve"> </w:t>
      </w:r>
      <w:r>
        <w:rPr>
          <w:rFonts w:ascii="Arial" w:eastAsia="Arial" w:hAnsi="Arial" w:cs="Arial"/>
          <w:i/>
          <w:color w:val="000000"/>
          <w:sz w:val="20"/>
        </w:rPr>
        <w:t>Dezaio</w:t>
      </w:r>
      <w:r>
        <w:rPr>
          <w:rFonts w:ascii="Arial" w:eastAsia="Arial" w:hAnsi="Arial" w:cs="Arial"/>
          <w:color w:val="000000"/>
          <w:sz w:val="20"/>
        </w:rPr>
        <w:t xml:space="preserve"> Court found that New York employment discrimination laws could not be applied to the Authority, so too is </w:t>
      </w:r>
      <w:bookmarkStart w:id="1730" w:name="Bookmark_LNHNREFclscc18_2"/>
      <w:bookmarkEnd w:id="1730"/>
      <w:r>
        <w:rPr>
          <w:rFonts w:ascii="Arial" w:eastAsia="Arial" w:hAnsi="Arial" w:cs="Arial"/>
          <w:color w:val="000000"/>
          <w:sz w:val="20"/>
        </w:rPr>
        <w:t xml:space="preserve">New Jersey barred from applying its civil rights and construction code statutes to the Authority. </w:t>
      </w:r>
      <w:bookmarkStart w:id="1731" w:name="Bookmark_I56PK5TT28T4J60050000400_2"/>
      <w:bookmarkEnd w:id="1731"/>
      <w:r>
        <w:rPr>
          <w:rFonts w:ascii="Arial" w:eastAsia="Arial" w:hAnsi="Arial" w:cs="Arial"/>
          <w:i/>
          <w:color w:val="000000"/>
          <w:sz w:val="20"/>
        </w:rPr>
        <w:t xml:space="preserve">Cf. </w:t>
      </w:r>
      <w:bookmarkStart w:id="1732" w:name="Bookmark_I56PK5TT28T4J60040000400"/>
      <w:bookmarkEnd w:id="1732"/>
      <w:r>
        <w:rPr>
          <w:rFonts w:ascii="Arial" w:eastAsia="Arial" w:hAnsi="Arial" w:cs="Arial"/>
          <w:i/>
          <w:color w:val="000000"/>
          <w:sz w:val="20"/>
        </w:rPr>
        <w:t>Am. Honda Fin. Corp. v. One 2008 Honda Pilot</w:t>
      </w:r>
      <w:r>
        <w:rPr>
          <w:rFonts w:ascii="Arial" w:eastAsia="Arial" w:hAnsi="Arial" w:cs="Arial"/>
          <w:color w:val="000000"/>
          <w:sz w:val="20"/>
        </w:rPr>
        <w:t>, 24 Misc. 3d 745, 878 N.Y.S.2d 597, 600 (N.Y. Sup. Ct. 2009) (suggesting that the Authority's claimed vehicular lien was an external matter not protected by its claim to autonomy but avoiding that holding because the Authority conceded the applicability of the state statute).</w:t>
      </w:r>
    </w:p>
    <w:p w14:paraId="2387ECDA" w14:textId="77777777" w:rsidR="00D041A2" w:rsidRDefault="00000000">
      <w:pPr>
        <w:pStyle w:val="Normal14"/>
        <w:widowControl w:val="0"/>
        <w:spacing w:before="200" w:line="260" w:lineRule="atLeast"/>
        <w:jc w:val="both"/>
      </w:pPr>
      <w:bookmarkStart w:id="1733" w:name="Bookmark_para_40_5"/>
      <w:bookmarkEnd w:id="1733"/>
      <w:r>
        <w:rPr>
          <w:rFonts w:ascii="Arial" w:eastAsia="Arial" w:hAnsi="Arial" w:cs="Arial"/>
          <w:color w:val="000000"/>
          <w:sz w:val="20"/>
        </w:rPr>
        <w:t xml:space="preserve">Plaintiffs also contend that "the Compact contains no express surrender of state sovereignty regarding external relations, including, among other things, barrier-free construction codes and related civil rights statutes," the subjects of Plaintiffs' state-law  [**30] claims, meaning the Authority lacks the power to avoid the reach of these New Jersey laws. Plaintiffs Br. 34. </w:t>
      </w:r>
      <w:bookmarkStart w:id="1734" w:name="Bookmark_I5PRPSHNNV60010919W001WD"/>
      <w:bookmarkStart w:id="1735" w:name="Bookmark_I56PK5TT2HM5VK0050000400"/>
      <w:bookmarkEnd w:id="1734"/>
      <w:bookmarkEnd w:id="1735"/>
      <w:r>
        <w:rPr>
          <w:rFonts w:ascii="Arial" w:eastAsia="Arial" w:hAnsi="Arial" w:cs="Arial"/>
          <w:color w:val="000000"/>
          <w:sz w:val="20"/>
        </w:rPr>
        <w:t xml:space="preserve">This argument misapprehends the notion of sovereignty surrender discussed in </w:t>
      </w:r>
      <w:r>
        <w:rPr>
          <w:rFonts w:ascii="Arial" w:eastAsia="Arial" w:hAnsi="Arial" w:cs="Arial"/>
          <w:i/>
          <w:color w:val="000000"/>
          <w:sz w:val="20"/>
        </w:rPr>
        <w:t>Hess</w:t>
      </w:r>
      <w:r>
        <w:rPr>
          <w:rFonts w:ascii="Arial" w:eastAsia="Arial" w:hAnsi="Arial" w:cs="Arial"/>
          <w:color w:val="000000"/>
          <w:sz w:val="20"/>
        </w:rPr>
        <w:t xml:space="preserve"> and </w:t>
      </w:r>
      <w:r>
        <w:rPr>
          <w:rFonts w:ascii="Arial" w:eastAsia="Arial" w:hAnsi="Arial" w:cs="Arial"/>
          <w:i/>
          <w:color w:val="000000"/>
          <w:sz w:val="20"/>
        </w:rPr>
        <w:t>Delaware River</w:t>
      </w:r>
      <w:r>
        <w:rPr>
          <w:rFonts w:ascii="Arial" w:eastAsia="Arial" w:hAnsi="Arial" w:cs="Arial"/>
          <w:color w:val="000000"/>
          <w:sz w:val="20"/>
        </w:rPr>
        <w:t xml:space="preserve">. </w:t>
      </w:r>
      <w:bookmarkStart w:id="1736" w:name="Bookmark_LNHNREFclscc20_1"/>
      <w:bookmarkEnd w:id="1736"/>
      <w:r>
        <w:rPr>
          <w:rFonts w:ascii="Arial" w:eastAsia="Arial" w:hAnsi="Arial" w:cs="Arial"/>
          <w:color w:val="000000"/>
          <w:sz w:val="20"/>
        </w:rPr>
        <w:t xml:space="preserve">While a court must be hesitant to find a surrender of sovereignty where it is ambiguous, here there is no question the states intended to create the Authority, and such surrender has already been recognized by numerous courts, including the United States Supreme Court in </w:t>
      </w:r>
      <w:r>
        <w:rPr>
          <w:rFonts w:ascii="Arial" w:eastAsia="Arial" w:hAnsi="Arial" w:cs="Arial"/>
          <w:i/>
          <w:color w:val="000000"/>
          <w:sz w:val="20"/>
        </w:rPr>
        <w:t>Hess</w:t>
      </w:r>
      <w:r>
        <w:rPr>
          <w:rFonts w:ascii="Arial" w:eastAsia="Arial" w:hAnsi="Arial" w:cs="Arial"/>
          <w:color w:val="000000"/>
          <w:sz w:val="20"/>
        </w:rPr>
        <w:t>. By expressly creating the bi-state entity, New York and New Jersey relinquished all control over the Authority unless otherwise stated in the compact. Under</w:t>
      </w:r>
      <w:bookmarkStart w:id="1737" w:name="Bookmark_I56PK5TT2HM5VK0040000400"/>
      <w:bookmarkEnd w:id="1737"/>
      <w:r>
        <w:rPr>
          <w:rFonts w:ascii="Arial" w:eastAsia="Arial" w:hAnsi="Arial" w:cs="Arial"/>
          <w:color w:val="000000"/>
          <w:sz w:val="20"/>
        </w:rPr>
        <w:t xml:space="preserve"> </w:t>
      </w:r>
      <w:r>
        <w:rPr>
          <w:rFonts w:ascii="Arial" w:eastAsia="Arial" w:hAnsi="Arial" w:cs="Arial"/>
          <w:i/>
          <w:color w:val="000000"/>
          <w:sz w:val="20"/>
        </w:rPr>
        <w:t>Delaware River</w:t>
      </w:r>
      <w:r>
        <w:rPr>
          <w:rFonts w:ascii="Arial" w:eastAsia="Arial" w:hAnsi="Arial" w:cs="Arial"/>
          <w:color w:val="000000"/>
          <w:sz w:val="20"/>
        </w:rPr>
        <w:t>, that autonomous entity cannot be unilaterally regulated by New Jersey.</w:t>
      </w:r>
    </w:p>
    <w:p w14:paraId="30962337" w14:textId="77777777" w:rsidR="00D041A2" w:rsidRDefault="00000000">
      <w:pPr>
        <w:pStyle w:val="Normal14"/>
        <w:widowControl w:val="0"/>
        <w:spacing w:before="120" w:line="260" w:lineRule="atLeast"/>
      </w:pPr>
      <w:r>
        <w:rPr>
          <w:rFonts w:ascii="Arial" w:eastAsia="Arial" w:hAnsi="Arial" w:cs="Arial"/>
          <w:color w:val="000000"/>
          <w:sz w:val="20"/>
        </w:rPr>
        <w:t>V</w:t>
      </w:r>
    </w:p>
    <w:p w14:paraId="0AD1BB6B" w14:textId="77777777" w:rsidR="00D041A2" w:rsidRDefault="00000000">
      <w:pPr>
        <w:pStyle w:val="Normal14"/>
        <w:widowControl w:val="0"/>
        <w:spacing w:before="200" w:line="260" w:lineRule="atLeast"/>
        <w:jc w:val="both"/>
      </w:pPr>
      <w:bookmarkStart w:id="1738" w:name="Bookmark_para_41_4"/>
      <w:bookmarkEnd w:id="1738"/>
      <w:r>
        <w:rPr>
          <w:rFonts w:ascii="Arial" w:eastAsia="Arial" w:hAnsi="Arial" w:cs="Arial"/>
          <w:color w:val="000000"/>
          <w:sz w:val="20"/>
        </w:rPr>
        <w:t>For the foregoing reasons, we will vacate the summary judgment of the District Court, we will affirm its dismissal of the state-law claims, and remand for further proceedings consistent with this opinion.</w:t>
      </w:r>
    </w:p>
    <w:p w14:paraId="2B0FA175" w14:textId="77777777" w:rsidR="00D041A2" w:rsidRDefault="00D041A2">
      <w:pPr>
        <w:pStyle w:val="Normal14"/>
      </w:pPr>
    </w:p>
    <w:p w14:paraId="11B1D814" w14:textId="51E16A11" w:rsidR="00D041A2" w:rsidRDefault="00000000">
      <w:pPr>
        <w:pStyle w:val="Normal14"/>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89984" behindDoc="0" locked="0" layoutInCell="1" allowOverlap="1" wp14:anchorId="564BE01A" wp14:editId="1FCB35F3">
                <wp:simplePos x="0" y="0"/>
                <wp:positionH relativeFrom="column">
                  <wp:posOffset>0</wp:posOffset>
                </wp:positionH>
                <wp:positionV relativeFrom="paragraph">
                  <wp:posOffset>127000</wp:posOffset>
                </wp:positionV>
                <wp:extent cx="6502400" cy="0"/>
                <wp:effectExtent l="9525" t="12700" r="12700" b="6350"/>
                <wp:wrapNone/>
                <wp:docPr id="1261014223"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A53E7" id="Line 3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EBB312F" w14:textId="77777777" w:rsidR="00D041A2" w:rsidRDefault="00D041A2">
      <w:pPr>
        <w:pStyle w:val="Normal15"/>
        <w:sectPr w:rsidR="00D041A2">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gutter="0"/>
          <w:cols w:space="720"/>
          <w:titlePg/>
        </w:sectPr>
      </w:pPr>
    </w:p>
    <w:p w14:paraId="1E5AC193" w14:textId="77777777" w:rsidR="00D041A2" w:rsidRDefault="00D041A2">
      <w:pPr>
        <w:pStyle w:val="Normal15"/>
      </w:pPr>
    </w:p>
    <w:p w14:paraId="1AC0F4A7" w14:textId="77777777" w:rsidR="00D041A2" w:rsidRDefault="00000000">
      <w:pPr>
        <w:pStyle w:val="Heading114"/>
        <w:keepNext w:val="0"/>
        <w:widowControl w:val="0"/>
        <w:spacing w:after="200" w:line="340" w:lineRule="atLeast"/>
        <w:jc w:val="center"/>
      </w:pPr>
      <w:r>
        <w:rPr>
          <w:rFonts w:eastAsia="Arial"/>
          <w:color w:val="000000"/>
          <w:sz w:val="28"/>
        </w:rPr>
        <w:t>Southwell v. Summit View of Farragut, LLC</w:t>
      </w:r>
    </w:p>
    <w:p w14:paraId="777672BF" w14:textId="77777777" w:rsidR="00D041A2" w:rsidRDefault="00000000">
      <w:pPr>
        <w:pStyle w:val="Normal15"/>
        <w:widowControl w:val="0"/>
        <w:spacing w:before="120" w:line="260" w:lineRule="atLeast"/>
        <w:jc w:val="center"/>
      </w:pPr>
      <w:r>
        <w:rPr>
          <w:rFonts w:ascii="Arial" w:eastAsia="Arial" w:hAnsi="Arial" w:cs="Arial"/>
          <w:color w:val="000000"/>
          <w:sz w:val="20"/>
        </w:rPr>
        <w:t>United States Court of Appeals for the Sixth Circuit</w:t>
      </w:r>
    </w:p>
    <w:p w14:paraId="161CFF8D" w14:textId="77777777" w:rsidR="00D041A2" w:rsidRDefault="00000000">
      <w:pPr>
        <w:pStyle w:val="Normal15"/>
        <w:widowControl w:val="0"/>
        <w:spacing w:before="120" w:line="260" w:lineRule="atLeast"/>
        <w:jc w:val="center"/>
      </w:pPr>
      <w:r>
        <w:rPr>
          <w:rFonts w:ascii="Arial" w:eastAsia="Arial" w:hAnsi="Arial" w:cs="Arial"/>
          <w:color w:val="000000"/>
          <w:sz w:val="20"/>
        </w:rPr>
        <w:t>August 9, 2012, Filed</w:t>
      </w:r>
    </w:p>
    <w:p w14:paraId="718488EE" w14:textId="77777777" w:rsidR="00D041A2" w:rsidRDefault="00000000">
      <w:pPr>
        <w:pStyle w:val="Normal15"/>
        <w:widowControl w:val="0"/>
        <w:spacing w:before="120" w:line="260" w:lineRule="atLeast"/>
        <w:jc w:val="center"/>
      </w:pPr>
      <w:r>
        <w:rPr>
          <w:rFonts w:ascii="Arial" w:eastAsia="Arial" w:hAnsi="Arial" w:cs="Arial"/>
          <w:color w:val="000000"/>
          <w:sz w:val="20"/>
        </w:rPr>
        <w:t>File Name: 12a0869n.06</w:t>
      </w:r>
    </w:p>
    <w:p w14:paraId="048601F5" w14:textId="77777777" w:rsidR="00D041A2" w:rsidRDefault="00000000">
      <w:pPr>
        <w:pStyle w:val="Normal15"/>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11-5992</w:t>
      </w:r>
    </w:p>
    <w:p w14:paraId="2405D245" w14:textId="77777777" w:rsidR="00D041A2" w:rsidRDefault="00D041A2">
      <w:pPr>
        <w:pStyle w:val="Normal15"/>
        <w:widowControl w:val="0"/>
        <w:spacing w:line="240" w:lineRule="atLeast"/>
        <w:jc w:val="both"/>
      </w:pPr>
      <w:bookmarkStart w:id="1739" w:name="Bookmark_16"/>
      <w:bookmarkEnd w:id="1739"/>
    </w:p>
    <w:p w14:paraId="0E6078BC" w14:textId="77777777" w:rsidR="00D041A2" w:rsidRDefault="00000000">
      <w:pPr>
        <w:pStyle w:val="Normal15"/>
        <w:widowControl w:val="0"/>
        <w:spacing w:before="200" w:line="240" w:lineRule="atLeast"/>
      </w:pPr>
      <w:bookmarkStart w:id="1740" w:name="Reporter_14"/>
      <w:bookmarkEnd w:id="1740"/>
      <w:r>
        <w:rPr>
          <w:rFonts w:ascii="Arial" w:eastAsia="Arial" w:hAnsi="Arial" w:cs="Arial"/>
          <w:b/>
          <w:color w:val="000000"/>
          <w:sz w:val="18"/>
        </w:rPr>
        <w:t>Reporter</w:t>
      </w:r>
    </w:p>
    <w:p w14:paraId="26048BB5" w14:textId="77777777" w:rsidR="00D041A2" w:rsidRDefault="00000000">
      <w:pPr>
        <w:pStyle w:val="Normal15"/>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494 Fed. Appx. 508 *; 2012 U.S. App. LEXIS 16798 **; 2012 FED App. 0869N (6th Cir.); 2012 WL 3340176</w:t>
      </w:r>
    </w:p>
    <w:p w14:paraId="17705634" w14:textId="77777777" w:rsidR="00D041A2" w:rsidRDefault="00000000">
      <w:pPr>
        <w:pStyle w:val="Normal15"/>
        <w:widowControl w:val="0"/>
        <w:spacing w:before="120" w:line="260" w:lineRule="atLeast"/>
      </w:pPr>
      <w:r>
        <w:rPr>
          <w:rFonts w:ascii="Arial" w:eastAsia="Arial" w:hAnsi="Arial" w:cs="Arial"/>
          <w:color w:val="000000"/>
          <w:sz w:val="20"/>
        </w:rPr>
        <w:t>ROBIN SOUTHWELL, Plaintiff-Appellant, v. SUMMIT VIEW OF FARRAGUT, LLC, Defendant-Appellee.</w:t>
      </w:r>
    </w:p>
    <w:p w14:paraId="4BA7CC40" w14:textId="77777777" w:rsidR="00D041A2" w:rsidRDefault="00000000">
      <w:pPr>
        <w:pStyle w:val="Normal15"/>
        <w:widowControl w:val="0"/>
        <w:spacing w:before="240" w:line="260" w:lineRule="atLeast"/>
        <w:jc w:val="both"/>
      </w:pPr>
      <w:bookmarkStart w:id="1741" w:name="Notice_8"/>
      <w:bookmarkEnd w:id="1741"/>
      <w:r>
        <w:rPr>
          <w:rFonts w:ascii="Arial" w:eastAsia="Arial" w:hAnsi="Arial" w:cs="Arial"/>
          <w:b/>
          <w:color w:val="000000"/>
          <w:sz w:val="20"/>
        </w:rPr>
        <w:t>Notice:</w:t>
      </w:r>
      <w:r>
        <w:rPr>
          <w:rFonts w:ascii="Arial" w:eastAsia="Arial" w:hAnsi="Arial" w:cs="Arial"/>
          <w:color w:val="000000"/>
          <w:sz w:val="20"/>
        </w:rPr>
        <w:t> </w:t>
      </w:r>
      <w:bookmarkStart w:id="1742" w:name="Bookmark_para_1_14"/>
      <w:bookmarkEnd w:id="1742"/>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14:paraId="7F539866" w14:textId="77777777" w:rsidR="00D041A2" w:rsidRDefault="00000000">
      <w:pPr>
        <w:pStyle w:val="Normal15"/>
        <w:widowControl w:val="0"/>
        <w:spacing w:before="240" w:line="260" w:lineRule="atLeast"/>
        <w:jc w:val="both"/>
      </w:pPr>
      <w:bookmarkStart w:id="1743" w:name="Prior_History_14"/>
      <w:bookmarkEnd w:id="1743"/>
      <w:r>
        <w:rPr>
          <w:rFonts w:ascii="Arial" w:eastAsia="Arial" w:hAnsi="Arial" w:cs="Arial"/>
          <w:b/>
          <w:color w:val="000000"/>
          <w:sz w:val="20"/>
        </w:rPr>
        <w:t>Prior History:</w:t>
      </w:r>
      <w:r>
        <w:rPr>
          <w:rFonts w:ascii="Arial" w:eastAsia="Arial" w:hAnsi="Arial" w:cs="Arial"/>
          <w:color w:val="000000"/>
          <w:sz w:val="20"/>
        </w:rPr>
        <w:t>  [**1] </w:t>
      </w:r>
      <w:bookmarkStart w:id="1744" w:name="Bookmark_para_2_14"/>
      <w:bookmarkEnd w:id="1744"/>
      <w:r>
        <w:rPr>
          <w:rFonts w:ascii="Arial" w:eastAsia="Arial" w:hAnsi="Arial" w:cs="Arial"/>
          <w:color w:val="000000"/>
          <w:sz w:val="20"/>
        </w:rPr>
        <w:t>ON APPEAL FROM THE UNITED STATES DISTRICT COURT FOR THE EASTERN DISTRICT OF TENNESSEE.</w:t>
      </w:r>
    </w:p>
    <w:p w14:paraId="450A8980" w14:textId="77777777" w:rsidR="00D041A2" w:rsidRDefault="00000000">
      <w:pPr>
        <w:pStyle w:val="Normal15"/>
        <w:widowControl w:val="0"/>
        <w:spacing w:before="120" w:line="260" w:lineRule="atLeast"/>
      </w:pPr>
      <w:r>
        <w:rPr>
          <w:rFonts w:ascii="Arial" w:eastAsia="Arial" w:hAnsi="Arial" w:cs="Arial"/>
          <w:color w:val="000000"/>
          <w:sz w:val="20"/>
        </w:rPr>
        <w:t>Southwell v. Summit View of Farragut LLC, 2011 U.S. Dist. LEXIS 77145 (E.D. Tenn., July 15, 2011)</w:t>
      </w:r>
    </w:p>
    <w:p w14:paraId="4049C47F" w14:textId="77777777" w:rsidR="00D041A2" w:rsidRDefault="00000000">
      <w:pPr>
        <w:pStyle w:val="Normal15"/>
        <w:widowControl w:val="0"/>
        <w:spacing w:before="240" w:line="260" w:lineRule="atLeast"/>
      </w:pPr>
      <w:bookmarkStart w:id="1745" w:name="Counsel_14"/>
      <w:bookmarkEnd w:id="1745"/>
      <w:r>
        <w:rPr>
          <w:rFonts w:ascii="Arial" w:eastAsia="Arial" w:hAnsi="Arial" w:cs="Arial"/>
          <w:b/>
          <w:color w:val="000000"/>
          <w:sz w:val="20"/>
        </w:rPr>
        <w:t>Counsel:</w:t>
      </w:r>
      <w:r>
        <w:rPr>
          <w:rFonts w:ascii="Arial" w:eastAsia="Arial" w:hAnsi="Arial" w:cs="Arial"/>
          <w:color w:val="000000"/>
          <w:sz w:val="20"/>
        </w:rPr>
        <w:t> For ROBIN SOUTHWELL, Plaintiff - Appellant: Belinda Gail Noah, Law Office, Tampa, FL.</w:t>
      </w:r>
    </w:p>
    <w:p w14:paraId="69042389" w14:textId="77777777" w:rsidR="00D041A2" w:rsidRDefault="00000000">
      <w:pPr>
        <w:pStyle w:val="Normal15"/>
        <w:widowControl w:val="0"/>
        <w:spacing w:before="120" w:line="260" w:lineRule="atLeast"/>
      </w:pPr>
      <w:r>
        <w:rPr>
          <w:rFonts w:ascii="Arial" w:eastAsia="Arial" w:hAnsi="Arial" w:cs="Arial"/>
          <w:color w:val="000000"/>
          <w:sz w:val="20"/>
        </w:rPr>
        <w:t>For SUMMIT VIEW OF FARRAGUT, LLC, Defendant - Appellee: Summer H. McMillan, Baker Donelson, Knoxville, TN.</w:t>
      </w:r>
    </w:p>
    <w:p w14:paraId="5ED43215" w14:textId="77777777" w:rsidR="00D041A2" w:rsidRDefault="00000000">
      <w:pPr>
        <w:pStyle w:val="Normal15"/>
        <w:widowControl w:val="0"/>
        <w:spacing w:before="240" w:line="260" w:lineRule="atLeast"/>
      </w:pPr>
      <w:bookmarkStart w:id="1746" w:name="Judges_14"/>
      <w:bookmarkEnd w:id="1746"/>
      <w:r>
        <w:rPr>
          <w:rFonts w:ascii="Arial" w:eastAsia="Arial" w:hAnsi="Arial" w:cs="Arial"/>
          <w:b/>
          <w:color w:val="000000"/>
          <w:sz w:val="20"/>
        </w:rPr>
        <w:t>Judges:</w:t>
      </w:r>
      <w:r>
        <w:rPr>
          <w:rFonts w:ascii="Arial" w:eastAsia="Arial" w:hAnsi="Arial" w:cs="Arial"/>
          <w:color w:val="000000"/>
          <w:sz w:val="20"/>
        </w:rPr>
        <w:t xml:space="preserve"> BEFORE: COLE and COOK, Circuit Judges; ROSEN, Chief District Judge. </w:t>
      </w:r>
      <w:r>
        <w:rPr>
          <w:rFonts w:ascii="Arial" w:eastAsia="Arial" w:hAnsi="Arial" w:cs="Arial"/>
          <w:vertAlign w:val="superscript"/>
        </w:rPr>
        <w:footnoteReference w:customMarkFollows="1" w:id="84"/>
        <w:t>*</w:t>
      </w:r>
    </w:p>
    <w:p w14:paraId="0D923E60" w14:textId="77777777" w:rsidR="00D041A2" w:rsidRDefault="00000000">
      <w:pPr>
        <w:pStyle w:val="Normal15"/>
        <w:widowControl w:val="0"/>
        <w:spacing w:before="240" w:line="260" w:lineRule="atLeast"/>
      </w:pPr>
      <w:bookmarkStart w:id="1748" w:name="Opinion_by_9"/>
      <w:bookmarkEnd w:id="1748"/>
      <w:r>
        <w:rPr>
          <w:rFonts w:ascii="Arial" w:eastAsia="Arial" w:hAnsi="Arial" w:cs="Arial"/>
          <w:b/>
          <w:color w:val="000000"/>
          <w:sz w:val="20"/>
        </w:rPr>
        <w:t>Opinion by:</w:t>
      </w:r>
      <w:r>
        <w:rPr>
          <w:rFonts w:ascii="Arial" w:eastAsia="Arial" w:hAnsi="Arial" w:cs="Arial"/>
          <w:color w:val="000000"/>
          <w:sz w:val="20"/>
        </w:rPr>
        <w:t> COLE</w:t>
      </w:r>
    </w:p>
    <w:p w14:paraId="3E6FAE2F" w14:textId="77777777" w:rsidR="00D041A2" w:rsidRDefault="00000000">
      <w:pPr>
        <w:pStyle w:val="Normal15"/>
        <w:keepNext/>
        <w:widowControl w:val="0"/>
        <w:spacing w:before="240" w:line="340" w:lineRule="atLeast"/>
      </w:pPr>
      <w:bookmarkStart w:id="1749" w:name="Opinion_14"/>
      <w:bookmarkEnd w:id="1749"/>
      <w:r>
        <w:rPr>
          <w:rFonts w:ascii="Arial" w:eastAsia="Arial" w:hAnsi="Arial" w:cs="Arial"/>
          <w:b/>
          <w:color w:val="000000"/>
          <w:sz w:val="28"/>
        </w:rPr>
        <w:t>Opinion</w:t>
      </w:r>
    </w:p>
    <w:p w14:paraId="5D7A1B96" w14:textId="62545F56" w:rsidR="00D041A2" w:rsidRDefault="004D4403">
      <w:pPr>
        <w:pStyle w:val="Normal15"/>
        <w:spacing w:line="60" w:lineRule="exact"/>
      </w:pPr>
      <w:r>
        <w:rPr>
          <w:noProof/>
        </w:rPr>
        <mc:AlternateContent>
          <mc:Choice Requires="wps">
            <w:drawing>
              <wp:anchor distT="0" distB="0" distL="114300" distR="114300" simplePos="0" relativeHeight="251691008" behindDoc="0" locked="0" layoutInCell="1" allowOverlap="1" wp14:anchorId="37E12EDF" wp14:editId="484D8E2E">
                <wp:simplePos x="0" y="0"/>
                <wp:positionH relativeFrom="column">
                  <wp:posOffset>0</wp:posOffset>
                </wp:positionH>
                <wp:positionV relativeFrom="paragraph">
                  <wp:posOffset>25400</wp:posOffset>
                </wp:positionV>
                <wp:extent cx="3187700" cy="0"/>
                <wp:effectExtent l="19050" t="15875" r="12700" b="12700"/>
                <wp:wrapTopAndBottom/>
                <wp:docPr id="262483225"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D9843" id="Line 3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0813384" w14:textId="77777777" w:rsidR="00D041A2" w:rsidRDefault="00D041A2">
      <w:pPr>
        <w:pStyle w:val="Normal15"/>
      </w:pPr>
    </w:p>
    <w:p w14:paraId="67A2299D" w14:textId="77777777" w:rsidR="00D041A2" w:rsidRDefault="00000000">
      <w:pPr>
        <w:pStyle w:val="Normal15"/>
        <w:widowControl w:val="0"/>
        <w:spacing w:before="200" w:line="260" w:lineRule="atLeast"/>
        <w:jc w:val="both"/>
      </w:pPr>
      <w:bookmarkStart w:id="1750" w:name="Bookmark_para_3_14"/>
      <w:bookmarkEnd w:id="1750"/>
      <w:r>
        <w:rPr>
          <w:rFonts w:ascii="Arial" w:eastAsia="Arial" w:hAnsi="Arial" w:cs="Arial"/>
          <w:color w:val="000000"/>
          <w:sz w:val="20"/>
        </w:rPr>
        <w:t> [*509]  COLE, Circuit Judge. Robin Southwell filed suit in the Circuit Court for Knox County, Tennessee, against the Summit View of Farragut nursing home, asserting that it was responsible for the death of her mother, Claudia Adkins. After the case was removed to federal court, the district court dismissed the suit under Federal Rule of Civil Procedure 12(b)(6), finding that Southwell did not comply with the pleading requirements for a malpractice action under the Tennessee Medical Malpractice Act ("TMMA"), and failed to state a claim for which relief can be granted under the Americans with Disabilities Act ("ADA"). On appeal, Southwell appears to concede that the district court was correct, but argues that  [**2] her complaint also sounds in ordinary negligence under Tennessee common law, and thus is not subject to the requirements of the TMMA. We AFFIRM the district court's dismissal of Southwell's complaint, but REVERSE the determination that the dismissal should be with prejudice and REMAND the case to the district  [*510]  court for Southwell to amend her complaint in support her ordinary negligence theory.</w:t>
      </w:r>
    </w:p>
    <w:p w14:paraId="532363FF" w14:textId="77777777" w:rsidR="00D041A2" w:rsidRDefault="00000000">
      <w:pPr>
        <w:pStyle w:val="Normal15"/>
        <w:widowControl w:val="0"/>
        <w:spacing w:before="120" w:line="260" w:lineRule="atLeast"/>
      </w:pPr>
      <w:r>
        <w:rPr>
          <w:rFonts w:ascii="Arial" w:eastAsia="Arial" w:hAnsi="Arial" w:cs="Arial"/>
          <w:color w:val="000000"/>
          <w:sz w:val="20"/>
        </w:rPr>
        <w:t>I. BACKGROUND</w:t>
      </w:r>
    </w:p>
    <w:p w14:paraId="0FC00010" w14:textId="77777777" w:rsidR="00D041A2" w:rsidRDefault="00000000">
      <w:pPr>
        <w:pStyle w:val="Normal15"/>
        <w:widowControl w:val="0"/>
        <w:spacing w:before="200" w:line="260" w:lineRule="atLeast"/>
        <w:jc w:val="both"/>
      </w:pPr>
      <w:bookmarkStart w:id="1751" w:name="Bookmark_para_4_14"/>
      <w:bookmarkStart w:id="1752" w:name="Bookmark_I56G60WF2HM6750020000400"/>
      <w:bookmarkEnd w:id="1751"/>
      <w:bookmarkEnd w:id="1752"/>
      <w:r>
        <w:rPr>
          <w:rFonts w:ascii="Arial" w:eastAsia="Arial" w:hAnsi="Arial" w:cs="Arial"/>
          <w:color w:val="000000"/>
          <w:sz w:val="20"/>
        </w:rPr>
        <w:t xml:space="preserve">On December 11, 2009, Claudia Adkins was transferred from the University of Tennessee Medical Center to the Summit View of Farragut nursing home ("Summit View"). </w:t>
      </w:r>
      <w:r>
        <w:rPr>
          <w:rFonts w:ascii="Arial" w:eastAsia="Arial" w:hAnsi="Arial" w:cs="Arial"/>
          <w:vertAlign w:val="superscript"/>
        </w:rPr>
        <w:footnoteReference w:customMarkFollows="1" w:id="85"/>
        <w:t>1</w:t>
      </w:r>
      <w:r>
        <w:rPr>
          <w:rFonts w:ascii="Arial" w:eastAsia="Arial" w:hAnsi="Arial" w:cs="Arial"/>
          <w:color w:val="000000"/>
          <w:sz w:val="20"/>
        </w:rPr>
        <w:t xml:space="preserve"> </w:t>
      </w:r>
      <w:bookmarkStart w:id="1758" w:name="Bookmark_I56G60WF2HM6750010000400"/>
      <w:bookmarkEnd w:id="1758"/>
      <w:r>
        <w:rPr>
          <w:rFonts w:ascii="Arial" w:eastAsia="Arial" w:hAnsi="Arial" w:cs="Arial"/>
          <w:i/>
          <w:color w:val="000000"/>
          <w:sz w:val="20"/>
        </w:rPr>
        <w:t>Southwell v. Summit View of Farragut LLC</w:t>
      </w:r>
      <w:r>
        <w:rPr>
          <w:rFonts w:ascii="Arial" w:eastAsia="Arial" w:hAnsi="Arial" w:cs="Arial"/>
          <w:color w:val="000000"/>
          <w:sz w:val="20"/>
        </w:rPr>
        <w:t xml:space="preserve">, No. 3:10-CV-550, 2011 U.S. Dist. LEXIS 77145, 2011 WL 2749614, at *1 (E.D. Tenn. July 15, 2011). Ms. Adkins was suffering from emphysema and cancer, as well as being deaf and blind. </w:t>
      </w:r>
      <w:r>
        <w:rPr>
          <w:rFonts w:ascii="Arial" w:eastAsia="Arial" w:hAnsi="Arial" w:cs="Arial"/>
          <w:i/>
          <w:color w:val="000000"/>
          <w:sz w:val="20"/>
        </w:rPr>
        <w:t>Id.</w:t>
      </w:r>
      <w:r>
        <w:rPr>
          <w:rFonts w:ascii="Arial" w:eastAsia="Arial" w:hAnsi="Arial" w:cs="Arial"/>
          <w:color w:val="000000"/>
          <w:sz w:val="20"/>
        </w:rPr>
        <w:t xml:space="preserve"> On October 6, 2010, Ms. Adkins died.</w:t>
      </w:r>
    </w:p>
    <w:p w14:paraId="53CF11CB" w14:textId="77777777" w:rsidR="00D041A2" w:rsidRDefault="00000000">
      <w:pPr>
        <w:pStyle w:val="Normal15"/>
        <w:widowControl w:val="0"/>
        <w:spacing w:before="200" w:line="260" w:lineRule="atLeast"/>
        <w:jc w:val="both"/>
      </w:pPr>
      <w:bookmarkStart w:id="1759" w:name="Bookmark_para_5_14"/>
      <w:bookmarkEnd w:id="1759"/>
      <w:r>
        <w:rPr>
          <w:rFonts w:ascii="Arial" w:eastAsia="Arial" w:hAnsi="Arial" w:cs="Arial"/>
          <w:color w:val="000000"/>
          <w:sz w:val="20"/>
        </w:rPr>
        <w:t>On November 23, 2010, Robin Southwell, the daughter of Adkins, filed suit against Summit View in Tennessee state court, alleging "Negligence-Medical Malpractice" (Count One) and "Wrongful Death" (Count Eleven). The case was removed to the district court for the Eastern District of Tennessee on December 20, 2010. Summit View filed a motion to dismiss under Rule 12(b)(6), arguing, inter alia, that Southwell had failed to provide proper notice to Summit View of her claim, as well as failed to provide an affidavit of good-faith from a medical expert, as required under the TMMA. In addition, Summit View construed Southwell's allegations regarding the lack of an interpreter as a claim under the ADA, and argued that the ADA did not provide any vehicle for relief to Southwell. The district court granted a dismissal with prejudice under 12(b)(6) on both the TMMA and ADA claims, and ordered the case  [**4] closed. This appeal followed.</w:t>
      </w:r>
    </w:p>
    <w:p w14:paraId="49EA8A7D" w14:textId="77777777" w:rsidR="00D041A2" w:rsidRDefault="00000000">
      <w:pPr>
        <w:pStyle w:val="Normal15"/>
        <w:widowControl w:val="0"/>
        <w:spacing w:before="120" w:line="260" w:lineRule="atLeast"/>
      </w:pPr>
      <w:r>
        <w:rPr>
          <w:rFonts w:ascii="Arial" w:eastAsia="Arial" w:hAnsi="Arial" w:cs="Arial"/>
          <w:color w:val="000000"/>
          <w:sz w:val="20"/>
        </w:rPr>
        <w:t>II. ANALYSIS</w:t>
      </w:r>
    </w:p>
    <w:p w14:paraId="45CFACE9" w14:textId="77777777" w:rsidR="00D041A2" w:rsidRDefault="00000000">
      <w:pPr>
        <w:pStyle w:val="Normal15"/>
        <w:widowControl w:val="0"/>
        <w:spacing w:before="200" w:line="260" w:lineRule="atLeast"/>
        <w:jc w:val="both"/>
      </w:pPr>
      <w:bookmarkStart w:id="1760" w:name="Bookmark_para_6_14"/>
      <w:bookmarkStart w:id="1761" w:name="Bookmark_I56G60WG2HM6770010000400"/>
      <w:bookmarkStart w:id="1762" w:name="Bookmark_I56G60WG2HM6770030000400"/>
      <w:bookmarkStart w:id="1763" w:name="Bookmark_I56G60WG2HM6770050000400"/>
      <w:bookmarkStart w:id="1764" w:name="Bookmark_LNHNREFclscc2_9"/>
      <w:bookmarkEnd w:id="1760"/>
      <w:bookmarkEnd w:id="1761"/>
      <w:bookmarkEnd w:id="1762"/>
      <w:bookmarkEnd w:id="1763"/>
      <w:bookmarkEnd w:id="1764"/>
      <w:r>
        <w:rPr>
          <w:rFonts w:ascii="Arial" w:eastAsia="Arial" w:hAnsi="Arial" w:cs="Arial"/>
          <w:color w:val="000000"/>
          <w:sz w:val="20"/>
        </w:rPr>
        <w:t xml:space="preserve">A motion to dismiss under Rule 12(b)(6) is reviewed de novo. </w:t>
      </w:r>
      <w:bookmarkStart w:id="1765" w:name="Bookmark_I56G60WF2HM6750050000400"/>
      <w:bookmarkEnd w:id="1765"/>
      <w:r>
        <w:rPr>
          <w:rFonts w:ascii="Arial" w:eastAsia="Arial" w:hAnsi="Arial" w:cs="Arial"/>
          <w:i/>
          <w:color w:val="000000"/>
          <w:sz w:val="20"/>
        </w:rPr>
        <w:t>Wee Care</w:t>
      </w:r>
      <w:r>
        <w:rPr>
          <w:rFonts w:ascii="Arial" w:eastAsia="Arial" w:hAnsi="Arial" w:cs="Arial"/>
          <w:color w:val="000000"/>
          <w:sz w:val="20"/>
        </w:rPr>
        <w:t xml:space="preserve">, 680 F.3d at 846. "The Court must construe the complaint in the light most favorable to the plaintiff, accept all the factual allegations as true, and determine whether the plaintiff can prove any set of facts in support of her claim that would entitle her to relief." </w:t>
      </w:r>
      <w:r>
        <w:rPr>
          <w:rFonts w:ascii="Arial" w:eastAsia="Arial" w:hAnsi="Arial" w:cs="Arial"/>
          <w:i/>
          <w:color w:val="000000"/>
          <w:sz w:val="20"/>
        </w:rPr>
        <w:t>Id.</w:t>
      </w:r>
      <w:r>
        <w:rPr>
          <w:rFonts w:ascii="Arial" w:eastAsia="Arial" w:hAnsi="Arial" w:cs="Arial"/>
          <w:color w:val="000000"/>
          <w:sz w:val="20"/>
        </w:rPr>
        <w:t xml:space="preserve"> (quoting </w:t>
      </w:r>
      <w:bookmarkStart w:id="1766" w:name="Bookmark_I56G60WG2HM6770020000400"/>
      <w:bookmarkEnd w:id="1766"/>
      <w:r>
        <w:rPr>
          <w:rFonts w:ascii="Arial" w:eastAsia="Arial" w:hAnsi="Arial" w:cs="Arial"/>
          <w:i/>
          <w:color w:val="000000"/>
          <w:sz w:val="20"/>
        </w:rPr>
        <w:t>Turker v. Ohio Dep't of Rehab &amp; Corr.</w:t>
      </w:r>
      <w:r>
        <w:rPr>
          <w:rFonts w:ascii="Arial" w:eastAsia="Arial" w:hAnsi="Arial" w:cs="Arial"/>
          <w:color w:val="000000"/>
          <w:sz w:val="20"/>
        </w:rPr>
        <w:t xml:space="preserve">, 157 F.3d 453, 456 (6th Cir. 1998)). However, "[t]o survive a motion to dismiss, [the plaintiff] must allege 'enough facts to state a claim to relief that is plausible on its face." </w:t>
      </w:r>
      <w:r>
        <w:rPr>
          <w:rFonts w:ascii="Arial" w:eastAsia="Arial" w:hAnsi="Arial" w:cs="Arial"/>
          <w:i/>
          <w:color w:val="000000"/>
          <w:sz w:val="20"/>
        </w:rPr>
        <w:t>Id.</w:t>
      </w:r>
      <w:r>
        <w:rPr>
          <w:rFonts w:ascii="Arial" w:eastAsia="Arial" w:hAnsi="Arial" w:cs="Arial"/>
          <w:color w:val="000000"/>
          <w:sz w:val="20"/>
        </w:rPr>
        <w:t xml:space="preserve"> (quoting </w:t>
      </w:r>
      <w:bookmarkStart w:id="1767" w:name="Bookmark_I56G60WG2HM6770040000400"/>
      <w:bookmarkEnd w:id="1767"/>
      <w:r>
        <w:rPr>
          <w:rFonts w:ascii="Arial" w:eastAsia="Arial" w:hAnsi="Arial" w:cs="Arial"/>
          <w:i/>
          <w:color w:val="000000"/>
          <w:sz w:val="20"/>
        </w:rPr>
        <w:t>Traverse Bay Area Intermediate Sch. Dist. v. Mich. Dep't of Educ.</w:t>
      </w:r>
      <w:r>
        <w:rPr>
          <w:rFonts w:ascii="Arial" w:eastAsia="Arial" w:hAnsi="Arial" w:cs="Arial"/>
          <w:color w:val="000000"/>
          <w:sz w:val="20"/>
        </w:rPr>
        <w:t>, 615 F.3d 622, 627 (6th Cir. 2010)) (second alteration in original) (internal quotation marks omitted).</w:t>
      </w:r>
    </w:p>
    <w:p w14:paraId="4B2935C5" w14:textId="77777777" w:rsidR="00D041A2" w:rsidRDefault="00000000">
      <w:pPr>
        <w:pStyle w:val="Normal15"/>
        <w:widowControl w:val="0"/>
        <w:spacing w:before="240" w:line="260" w:lineRule="atLeast"/>
      </w:pPr>
      <w:r>
        <w:br/>
      </w:r>
      <w:r>
        <w:rPr>
          <w:rFonts w:ascii="Arial" w:eastAsia="Arial" w:hAnsi="Arial" w:cs="Arial"/>
          <w:i/>
          <w:color w:val="000000"/>
          <w:sz w:val="20"/>
        </w:rPr>
        <w:t>A. The District Court's Jurisdiction</w:t>
      </w:r>
    </w:p>
    <w:p w14:paraId="07009937" w14:textId="77777777" w:rsidR="00D041A2" w:rsidRDefault="00000000">
      <w:pPr>
        <w:pStyle w:val="Normal15"/>
        <w:widowControl w:val="0"/>
        <w:spacing w:before="200" w:line="260" w:lineRule="atLeast"/>
        <w:jc w:val="both"/>
      </w:pPr>
      <w:bookmarkStart w:id="1768" w:name="Bookmark_para_7_14"/>
      <w:bookmarkEnd w:id="1768"/>
      <w:r>
        <w:rPr>
          <w:rFonts w:ascii="Arial" w:eastAsia="Arial" w:hAnsi="Arial" w:cs="Arial"/>
          <w:color w:val="000000"/>
          <w:sz w:val="20"/>
        </w:rPr>
        <w:t xml:space="preserve">As a threshold matter, we must determine whether the district court had jurisdiction to consider this claim. Summit View of Farragut, LLC, removed this case to the Eastern District of Tennessee on the basis of diversity of citizenship between the parties. 28 U.S.C. §§ 1332, 1441(b). </w:t>
      </w:r>
      <w:bookmarkStart w:id="1769" w:name="Bookmark_I56G60WG28T44S0020000400"/>
      <w:bookmarkEnd w:id="1769"/>
      <w:r>
        <w:rPr>
          <w:rFonts w:ascii="Arial" w:eastAsia="Arial" w:hAnsi="Arial" w:cs="Arial"/>
          <w:color w:val="000000"/>
          <w:sz w:val="20"/>
        </w:rPr>
        <w:t xml:space="preserve">However, the Notice of Removal references the residency of the Plaintiff Robin Southwell,  [**5] as opposed to the residency of the decedent Claudia Adkins. </w:t>
      </w:r>
      <w:r>
        <w:rPr>
          <w:rFonts w:ascii="Arial" w:eastAsia="Arial" w:hAnsi="Arial" w:cs="Arial"/>
          <w:i/>
          <w:color w:val="000000"/>
          <w:sz w:val="20"/>
        </w:rPr>
        <w:t>See</w:t>
      </w:r>
      <w:r>
        <w:rPr>
          <w:rFonts w:ascii="Arial" w:eastAsia="Arial" w:hAnsi="Arial" w:cs="Arial"/>
          <w:color w:val="000000"/>
          <w:sz w:val="20"/>
        </w:rPr>
        <w:t xml:space="preserve"> </w:t>
      </w:r>
      <w:bookmarkStart w:id="1770" w:name="Bookmark_LNHNREFclscc3_9"/>
      <w:bookmarkEnd w:id="1770"/>
      <w:r>
        <w:rPr>
          <w:rFonts w:ascii="Arial" w:eastAsia="Arial" w:hAnsi="Arial" w:cs="Arial"/>
          <w:color w:val="000000"/>
          <w:sz w:val="20"/>
        </w:rPr>
        <w:t xml:space="preserve">28 U.S.C. § 1332(c)(2) ("[T[he legal representative of the estate of a decedent shall be deemed to be a citizen only of the same State as the decedent . . . ."). Furthermore, as </w:t>
      </w:r>
      <w:bookmarkStart w:id="1771" w:name="Bookmark_LNHNREFclscc4_9"/>
      <w:bookmarkEnd w:id="1771"/>
      <w:r>
        <w:rPr>
          <w:rFonts w:ascii="Arial" w:eastAsia="Arial" w:hAnsi="Arial" w:cs="Arial"/>
          <w:color w:val="000000"/>
          <w:sz w:val="20"/>
        </w:rPr>
        <w:t xml:space="preserve">a limited liability company, Summit View has "the citizenship of each partner or member." </w:t>
      </w:r>
      <w:bookmarkStart w:id="1772" w:name="Bookmark_I56G60WG28T44S0010000400"/>
      <w:bookmarkEnd w:id="1772"/>
      <w:r>
        <w:rPr>
          <w:rFonts w:ascii="Arial" w:eastAsia="Arial" w:hAnsi="Arial" w:cs="Arial"/>
          <w:i/>
          <w:color w:val="000000"/>
          <w:sz w:val="20"/>
        </w:rPr>
        <w:t xml:space="preserve">Delay v. Rosenthal </w:t>
      </w:r>
      <w:r>
        <w:rPr>
          <w:rFonts w:ascii="Arial" w:eastAsia="Arial" w:hAnsi="Arial" w:cs="Arial"/>
          <w:color w:val="000000"/>
          <w:sz w:val="20"/>
        </w:rPr>
        <w:t> [*511] </w:t>
      </w:r>
      <w:r>
        <w:rPr>
          <w:rFonts w:ascii="Arial" w:eastAsia="Arial" w:hAnsi="Arial" w:cs="Arial"/>
          <w:i/>
          <w:color w:val="000000"/>
          <w:sz w:val="20"/>
        </w:rPr>
        <w:t xml:space="preserve"> Collins Group, LLC</w:t>
      </w:r>
      <w:r>
        <w:rPr>
          <w:rFonts w:ascii="Arial" w:eastAsia="Arial" w:hAnsi="Arial" w:cs="Arial"/>
          <w:color w:val="000000"/>
          <w:sz w:val="20"/>
        </w:rPr>
        <w:t>, 585 F.3d 1003, 1005 (6th Cir. 2009). Summit View did not properly allege or establish in the Notice of Removal that all entities composing the limited liability company are completely diverse from Claudia Adkins.</w:t>
      </w:r>
    </w:p>
    <w:p w14:paraId="3D0293DE" w14:textId="77777777" w:rsidR="00D041A2" w:rsidRDefault="00000000">
      <w:pPr>
        <w:pStyle w:val="Normal15"/>
        <w:widowControl w:val="0"/>
        <w:spacing w:before="200" w:line="260" w:lineRule="atLeast"/>
        <w:jc w:val="both"/>
      </w:pPr>
      <w:bookmarkStart w:id="1773" w:name="Bookmark_para_8_13"/>
      <w:bookmarkEnd w:id="1773"/>
      <w:r>
        <w:rPr>
          <w:rFonts w:ascii="Arial" w:eastAsia="Arial" w:hAnsi="Arial" w:cs="Arial"/>
          <w:color w:val="000000"/>
          <w:sz w:val="20"/>
        </w:rPr>
        <w:t>On July 11. 2012, we ordered Summit View to show cause why this matter should not be dismissed for lack of jurisdiction. Summit View responded with affidavits establishing that each of the owners of the Summit View LLC are domiciled in the state of Tennessee. In addition, Summit View asserted, based on the complaint and the demand letter sent by Southwell's counsel prior to the initiation of litigation, that Adkins resided in Florida from December 16, 2009, until her death on October 6, 2010. Southwell did not file any response to Summit View's showing.</w:t>
      </w:r>
    </w:p>
    <w:p w14:paraId="26EF9107" w14:textId="77777777" w:rsidR="00D041A2" w:rsidRDefault="00000000">
      <w:pPr>
        <w:pStyle w:val="Normal15"/>
        <w:widowControl w:val="0"/>
        <w:spacing w:before="200" w:line="260" w:lineRule="atLeast"/>
        <w:jc w:val="both"/>
      </w:pPr>
      <w:bookmarkStart w:id="1774" w:name="Bookmark_para_9_12"/>
      <w:bookmarkStart w:id="1775" w:name="Bookmark_I56G60WG28T44S0040000400"/>
      <w:bookmarkEnd w:id="1774"/>
      <w:bookmarkEnd w:id="1775"/>
      <w:r>
        <w:rPr>
          <w:rFonts w:ascii="Arial" w:eastAsia="Arial" w:hAnsi="Arial" w:cs="Arial"/>
          <w:color w:val="000000"/>
          <w:sz w:val="20"/>
        </w:rPr>
        <w:t xml:space="preserve">In light of Summit View's representations, we conclude that  [**6] the district court has jurisdiction to consider this case. </w:t>
      </w:r>
      <w:r>
        <w:rPr>
          <w:rFonts w:ascii="Arial" w:eastAsia="Arial" w:hAnsi="Arial" w:cs="Arial"/>
          <w:vertAlign w:val="superscript"/>
        </w:rPr>
        <w:footnoteReference w:customMarkFollows="1" w:id="86"/>
        <w:t>2</w:t>
      </w:r>
      <w:r>
        <w:rPr>
          <w:rFonts w:ascii="Arial" w:eastAsia="Arial" w:hAnsi="Arial" w:cs="Arial"/>
          <w:color w:val="000000"/>
          <w:sz w:val="20"/>
        </w:rPr>
        <w:t xml:space="preserve"> The affidavits provided by Summit View establish that the LLC is a Tennessee corporation for purposes of diversity jurisdiction. Likewise, Summit View has established that Adkins was a citizen of Florida for diversity purposes. Even if Adkins was a Tennessee domiciliary at the time she was under the care of Summit View, </w:t>
      </w:r>
      <w:bookmarkStart w:id="1782" w:name="Bookmark_LNHNREFclscc5_9"/>
      <w:bookmarkEnd w:id="1782"/>
      <w:r>
        <w:rPr>
          <w:rFonts w:ascii="Arial" w:eastAsia="Arial" w:hAnsi="Arial" w:cs="Arial"/>
          <w:color w:val="000000"/>
          <w:sz w:val="20"/>
        </w:rPr>
        <w:t xml:space="preserve">"[e]stablishment of new domicile is determined by two factors: residence in the new domicile, and the intention to remain there." </w:t>
      </w:r>
      <w:bookmarkStart w:id="1783" w:name="Bookmark_I56G60WG28T44S0030000400"/>
      <w:bookmarkEnd w:id="1783"/>
      <w:r>
        <w:rPr>
          <w:rFonts w:ascii="Arial" w:eastAsia="Arial" w:hAnsi="Arial" w:cs="Arial"/>
          <w:i/>
          <w:color w:val="000000"/>
          <w:sz w:val="20"/>
        </w:rPr>
        <w:t>Von Dunser v. Aronoff</w:t>
      </w:r>
      <w:r>
        <w:rPr>
          <w:rFonts w:ascii="Arial" w:eastAsia="Arial" w:hAnsi="Arial" w:cs="Arial"/>
          <w:color w:val="000000"/>
          <w:sz w:val="20"/>
        </w:rPr>
        <w:t>, 915 F.2d 1071, 1072 (6th Cir. 1990). Southwell does not dispute that Adkins was physically present in Florida for ten months prior to her death, and there is no evidence to suggest that Adkins had an intention, or an ability, to return to Tennessee at some future point. This is sufficient to establish that Adkins was domiciled in Florida prior to her death. Thus, Adkins and Summit View are completely diverse, and jurisdiction over this matter is proper.</w:t>
      </w:r>
    </w:p>
    <w:p w14:paraId="4F9B8A2A" w14:textId="77777777" w:rsidR="00D041A2" w:rsidRDefault="00000000">
      <w:pPr>
        <w:pStyle w:val="Normal15"/>
        <w:widowControl w:val="0"/>
        <w:spacing w:before="240" w:line="260" w:lineRule="atLeast"/>
      </w:pPr>
      <w:r>
        <w:br/>
      </w:r>
      <w:r>
        <w:rPr>
          <w:rFonts w:ascii="Arial" w:eastAsia="Arial" w:hAnsi="Arial" w:cs="Arial"/>
          <w:i/>
          <w:color w:val="000000"/>
          <w:sz w:val="20"/>
        </w:rPr>
        <w:t>B. The District Court's Opinion</w:t>
      </w:r>
    </w:p>
    <w:p w14:paraId="1D10582F" w14:textId="77777777" w:rsidR="00D041A2" w:rsidRDefault="00000000">
      <w:pPr>
        <w:pStyle w:val="Normal15"/>
        <w:widowControl w:val="0"/>
        <w:spacing w:before="200" w:line="260" w:lineRule="atLeast"/>
        <w:jc w:val="both"/>
      </w:pPr>
      <w:bookmarkStart w:id="1784" w:name="Bookmark_para_10_12"/>
      <w:bookmarkEnd w:id="1784"/>
      <w:r>
        <w:rPr>
          <w:rFonts w:ascii="Arial" w:eastAsia="Arial" w:hAnsi="Arial" w:cs="Arial"/>
          <w:color w:val="000000"/>
          <w:sz w:val="20"/>
        </w:rPr>
        <w:t xml:space="preserve">The district court dismissed Southwell's medical malpractice claim on two independent grounds. </w:t>
      </w:r>
      <w:bookmarkStart w:id="1785" w:name="Bookmark_I56G60WG2SF84Y0050000400"/>
      <w:bookmarkEnd w:id="1785"/>
      <w:r>
        <w:rPr>
          <w:rFonts w:ascii="Arial" w:eastAsia="Arial" w:hAnsi="Arial" w:cs="Arial"/>
          <w:color w:val="000000"/>
          <w:sz w:val="20"/>
        </w:rPr>
        <w:t xml:space="preserve">First, the district court found that Southwell failed to provide Adkins's date of birth, as well as an affidavit of proper service, in her notice of claim to Summit View. As both of those elements are required under the TMMA, </w:t>
      </w:r>
      <w:r>
        <w:rPr>
          <w:rFonts w:ascii="Arial" w:eastAsia="Arial" w:hAnsi="Arial" w:cs="Arial"/>
          <w:i/>
          <w:color w:val="000000"/>
          <w:sz w:val="20"/>
        </w:rPr>
        <w:t>see</w:t>
      </w:r>
      <w:r>
        <w:rPr>
          <w:rFonts w:ascii="Arial" w:eastAsia="Arial" w:hAnsi="Arial" w:cs="Arial"/>
          <w:color w:val="000000"/>
          <w:sz w:val="20"/>
        </w:rPr>
        <w:t xml:space="preserve"> Tenn. Code Ann. §§ 29-26-121(a)(2)(A) &amp; (a)(4), the district court held that Southwell did not provide proper notice of the malpractice claim to Summit View. Second, the district court found that Southwell never filed a certificate from an expert witness  [**8] supporting Southwell's good faith belief that Summit View violated the applicable standard of care, as required under § 29-26-122(a). Failure to follow these requirements ordinarily results in the dismissal of the TMMA claim. </w:t>
      </w:r>
      <w:r>
        <w:rPr>
          <w:rFonts w:ascii="Arial" w:eastAsia="Arial" w:hAnsi="Arial" w:cs="Arial"/>
          <w:i/>
          <w:color w:val="000000"/>
          <w:sz w:val="20"/>
        </w:rPr>
        <w:t>See id.</w:t>
      </w:r>
      <w:r>
        <w:rPr>
          <w:rFonts w:ascii="Arial" w:eastAsia="Arial" w:hAnsi="Arial" w:cs="Arial"/>
          <w:color w:val="000000"/>
          <w:sz w:val="20"/>
        </w:rPr>
        <w:t xml:space="preserve"> § 29-26-122(c) (</w:t>
      </w:r>
      <w:bookmarkStart w:id="1786" w:name="Bookmark_LNHNREFclscc6_9"/>
      <w:bookmarkEnd w:id="1786"/>
      <w:r>
        <w:rPr>
          <w:rFonts w:ascii="Arial" w:eastAsia="Arial" w:hAnsi="Arial" w:cs="Arial"/>
          <w:color w:val="000000"/>
          <w:sz w:val="20"/>
        </w:rPr>
        <w:t xml:space="preserve">"The failure of a plaintiff to file a certificate of good faith in compliance with this section shall, upon motion, make the action subject to dismissal with prejudice."); </w:t>
      </w:r>
      <w:bookmarkStart w:id="1787" w:name="Bookmark_I56G60WG2SF84Y0040000400"/>
      <w:bookmarkEnd w:id="1787"/>
      <w:r>
        <w:rPr>
          <w:rFonts w:ascii="Arial" w:eastAsia="Arial" w:hAnsi="Arial" w:cs="Arial"/>
          <w:i/>
          <w:color w:val="000000"/>
          <w:sz w:val="20"/>
        </w:rPr>
        <w:t>Long v. Hillcrest Healthcare-West</w:t>
      </w:r>
      <w:r>
        <w:rPr>
          <w:rFonts w:ascii="Arial" w:eastAsia="Arial" w:hAnsi="Arial" w:cs="Arial"/>
          <w:color w:val="000000"/>
          <w:sz w:val="20"/>
        </w:rPr>
        <w:t>, No. E2009-01405-COA-R3-CV, 2010 Tenn. App. LEXIS 272, 2010 WL 1526065, at *4 (Tenn. Ct. App. April 16, 2010) ("We hold that the gravamen of plaintiff's complaint sounds in medical malpractice,  [*512]  plaintiff was required to comply with the notice requirement found in Tenn. Code Ann. § 29-26-121(a) . . . . Having failed to comply, plaintiff's medical malpractice claims were subject to dismissal, as the Trial Court properly found.").</w:t>
      </w:r>
    </w:p>
    <w:p w14:paraId="1713BE45" w14:textId="77777777" w:rsidR="00D041A2" w:rsidRDefault="00000000">
      <w:pPr>
        <w:pStyle w:val="Normal15"/>
        <w:widowControl w:val="0"/>
        <w:spacing w:before="200" w:line="260" w:lineRule="atLeast"/>
        <w:jc w:val="both"/>
      </w:pPr>
      <w:bookmarkStart w:id="1788" w:name="Bookmark_para_11_11"/>
      <w:bookmarkStart w:id="1789" w:name="Bookmark_I56G60WG2SF8510020000400"/>
      <w:bookmarkEnd w:id="1788"/>
      <w:bookmarkEnd w:id="1789"/>
      <w:r>
        <w:rPr>
          <w:rFonts w:ascii="Arial" w:eastAsia="Arial" w:hAnsi="Arial" w:cs="Arial"/>
          <w:color w:val="000000"/>
          <w:sz w:val="20"/>
        </w:rPr>
        <w:t xml:space="preserve">Southwell does not appear to challenge these determinations on appeal. Moreover, a review of Tennessee case law interpreting these provisions of the TMMA shows that a plaintiff may overcome the failure to comply with the TMMA's pleading requirements only by a showing of "good cause" or "excusable neglect." </w:t>
      </w:r>
      <w:r>
        <w:rPr>
          <w:rFonts w:ascii="Arial" w:eastAsia="Arial" w:hAnsi="Arial" w:cs="Arial"/>
          <w:i/>
          <w:color w:val="000000"/>
          <w:sz w:val="20"/>
        </w:rPr>
        <w:t xml:space="preserve">See </w:t>
      </w:r>
      <w:bookmarkStart w:id="1790" w:name="Bookmark_I56G60WG2SF8510010000400"/>
      <w:bookmarkEnd w:id="1790"/>
      <w:r>
        <w:rPr>
          <w:rFonts w:ascii="Arial" w:eastAsia="Arial" w:hAnsi="Arial" w:cs="Arial"/>
          <w:i/>
          <w:color w:val="000000"/>
          <w:sz w:val="20"/>
        </w:rPr>
        <w:t>Brandon v. Williamson Med. Ctr.</w:t>
      </w:r>
      <w:r>
        <w:rPr>
          <w:rFonts w:ascii="Arial" w:eastAsia="Arial" w:hAnsi="Arial" w:cs="Arial"/>
          <w:color w:val="000000"/>
          <w:sz w:val="20"/>
        </w:rPr>
        <w:t xml:space="preserve">, 343 S.W.3d 784, 789-91 (Tenn. Ct. App. 2010)  [**9] (defining under what circumstances a plaintiff can establish "good cause" or "excusable neglect" under § 29-26-122(c)); </w:t>
      </w:r>
      <w:bookmarkStart w:id="1791" w:name="Bookmark_I56G60WG2SF8510030000400"/>
      <w:bookmarkEnd w:id="1791"/>
      <w:r>
        <w:rPr>
          <w:rFonts w:ascii="Arial" w:eastAsia="Arial" w:hAnsi="Arial" w:cs="Arial"/>
          <w:i/>
          <w:color w:val="000000"/>
          <w:sz w:val="20"/>
        </w:rPr>
        <w:t>Howell v. Claiborne &amp; Hughes Health Ctr.,</w:t>
      </w:r>
      <w:r>
        <w:rPr>
          <w:rFonts w:ascii="Arial" w:eastAsia="Arial" w:hAnsi="Arial" w:cs="Arial"/>
          <w:color w:val="000000"/>
          <w:sz w:val="20"/>
        </w:rPr>
        <w:t xml:space="preserve"> 2010 Tenn. App. LEXIS 400, 2010 WL 2539651, at *15-17 (Tenn. Ct. App. June 24, 2010) (holding that cause existed to decline to dismiss a TMMA claim for a defect in the notice where the hospital was clearly aware of the pendency of the claim). Southwell asserts no reason for her failure to follow the pleading requirements, and we cannot find any in the record. As such, we affirm the district court's dismissal of Southwell's TMMA claim.</w:t>
      </w:r>
    </w:p>
    <w:p w14:paraId="6B772392" w14:textId="77777777" w:rsidR="00D041A2" w:rsidRDefault="00000000">
      <w:pPr>
        <w:pStyle w:val="Normal15"/>
        <w:widowControl w:val="0"/>
        <w:spacing w:before="200" w:line="260" w:lineRule="atLeast"/>
        <w:jc w:val="both"/>
      </w:pPr>
      <w:bookmarkStart w:id="1792" w:name="Bookmark_para_12_10"/>
      <w:bookmarkStart w:id="1793" w:name="Bookmark_I56G60WG2HM6790010000400"/>
      <w:bookmarkStart w:id="1794" w:name="Bookmark_I46885WF2HC00079X2M003P8"/>
      <w:bookmarkStart w:id="1795" w:name="Bookmark_I56G60WG2HM6790030000400"/>
      <w:bookmarkEnd w:id="1792"/>
      <w:bookmarkEnd w:id="1793"/>
      <w:bookmarkEnd w:id="1794"/>
      <w:bookmarkEnd w:id="1795"/>
      <w:r>
        <w:rPr>
          <w:rFonts w:ascii="Arial" w:eastAsia="Arial" w:hAnsi="Arial" w:cs="Arial"/>
          <w:color w:val="000000"/>
          <w:sz w:val="20"/>
        </w:rPr>
        <w:t xml:space="preserve">The district court also dismissed Southwell's claim under the ADA. The district court construed Southwell's complaint to seek relief under </w:t>
      </w:r>
      <w:bookmarkStart w:id="1796" w:name="Bookmark_LNHNREFclscc7_9"/>
      <w:bookmarkEnd w:id="1796"/>
      <w:r>
        <w:rPr>
          <w:rFonts w:ascii="Arial" w:eastAsia="Arial" w:hAnsi="Arial" w:cs="Arial"/>
          <w:color w:val="000000"/>
          <w:sz w:val="20"/>
        </w:rPr>
        <w:t xml:space="preserve">Title III of the ADA, which applies to "Public Accommodations and Services Operated by Private Entities." 42 U.S.C. § 12182 </w:t>
      </w:r>
      <w:r>
        <w:rPr>
          <w:rFonts w:ascii="Arial" w:eastAsia="Arial" w:hAnsi="Arial" w:cs="Arial"/>
          <w:i/>
          <w:color w:val="000000"/>
          <w:sz w:val="20"/>
        </w:rPr>
        <w:t>et seq</w:t>
      </w:r>
      <w:r>
        <w:rPr>
          <w:rFonts w:ascii="Arial" w:eastAsia="Arial" w:hAnsi="Arial" w:cs="Arial"/>
          <w:color w:val="000000"/>
          <w:sz w:val="20"/>
        </w:rPr>
        <w:t xml:space="preserve">. However, Title III of the ADA provides only injunctive relief, not monetary damages, to successful plaintiffs. "[T]he enforcement statute [for Title III] is 42 U.S.C. § 12188, which incorporates the remedies of 42 U.S.C. § 2000a-3(a), and that section does not include money damages." </w:t>
      </w:r>
      <w:bookmarkStart w:id="1797" w:name="Bookmark_I56G60WG2SF8510050000400"/>
      <w:bookmarkEnd w:id="1797"/>
      <w:r>
        <w:rPr>
          <w:rFonts w:ascii="Arial" w:eastAsia="Arial" w:hAnsi="Arial" w:cs="Arial"/>
          <w:i/>
          <w:color w:val="000000"/>
          <w:sz w:val="20"/>
        </w:rPr>
        <w:t>Smith v. Wal-Mart Stores, Inc.</w:t>
      </w:r>
      <w:r>
        <w:rPr>
          <w:rFonts w:ascii="Arial" w:eastAsia="Arial" w:hAnsi="Arial" w:cs="Arial"/>
          <w:color w:val="000000"/>
          <w:sz w:val="20"/>
        </w:rPr>
        <w:t xml:space="preserve">, 167 F.3d 286, 293 (6th Cir. 1999). As Southwell  [**10] may not seek monetary damages, and Adkins's death makes any conceivable injunctive relief moot, the district court concluded that Southwell could not receive relief under the ADA. Again, Southwell does not directly challenge this determination </w:t>
      </w:r>
      <w:r>
        <w:rPr>
          <w:rFonts w:ascii="Arial" w:eastAsia="Arial" w:hAnsi="Arial" w:cs="Arial"/>
          <w:vertAlign w:val="superscript"/>
        </w:rPr>
        <w:footnoteReference w:customMarkFollows="1" w:id="87"/>
        <w:t>3</w:t>
      </w:r>
      <w:r>
        <w:rPr>
          <w:rFonts w:ascii="Arial" w:eastAsia="Arial" w:hAnsi="Arial" w:cs="Arial"/>
          <w:color w:val="000000"/>
          <w:sz w:val="20"/>
        </w:rPr>
        <w:t>, and our review of the record and the case law supports the district court's conclusion. As such, we affirm the district court's dismissal of Southwell's ADA claim.</w:t>
      </w:r>
    </w:p>
    <w:p w14:paraId="549C9551" w14:textId="77777777" w:rsidR="00D041A2" w:rsidRDefault="00000000">
      <w:pPr>
        <w:pStyle w:val="Normal15"/>
        <w:widowControl w:val="0"/>
        <w:spacing w:before="240" w:line="260" w:lineRule="atLeast"/>
      </w:pPr>
      <w:r>
        <w:br/>
      </w:r>
      <w:r>
        <w:rPr>
          <w:rFonts w:ascii="Arial" w:eastAsia="Arial" w:hAnsi="Arial" w:cs="Arial"/>
          <w:i/>
          <w:color w:val="000000"/>
          <w:sz w:val="20"/>
        </w:rPr>
        <w:t>C. Southwell's Arguments on Appeal</w:t>
      </w:r>
    </w:p>
    <w:p w14:paraId="1619393E" w14:textId="77777777" w:rsidR="00D041A2" w:rsidRDefault="00000000">
      <w:pPr>
        <w:pStyle w:val="Normal15"/>
        <w:widowControl w:val="0"/>
        <w:spacing w:before="200" w:line="260" w:lineRule="atLeast"/>
        <w:jc w:val="both"/>
      </w:pPr>
      <w:bookmarkStart w:id="1801" w:name="Bookmark_para_13_9"/>
      <w:bookmarkStart w:id="1802" w:name="Bookmark_I56G60WG2HM6790050000400"/>
      <w:bookmarkStart w:id="1803" w:name="Bookmark_I56G60WG2HM67B0020000400"/>
      <w:bookmarkEnd w:id="1801"/>
      <w:bookmarkEnd w:id="1802"/>
      <w:bookmarkEnd w:id="1803"/>
      <w:r>
        <w:rPr>
          <w:rFonts w:ascii="Arial" w:eastAsia="Arial" w:hAnsi="Arial" w:cs="Arial"/>
          <w:color w:val="000000"/>
          <w:sz w:val="20"/>
        </w:rPr>
        <w:t xml:space="preserve">Rather than attack the district court's conclusions directly, Southwell argues that the district court failed to address her allegations  [**11] of ordinary negligence and wrongful death when it dismissed her claim in its entirety. </w:t>
      </w:r>
      <w:bookmarkStart w:id="1804" w:name="Bookmark_LNHNREFclscc9_9"/>
      <w:bookmarkEnd w:id="1804"/>
      <w:r>
        <w:rPr>
          <w:rFonts w:ascii="Arial" w:eastAsia="Arial" w:hAnsi="Arial" w:cs="Arial"/>
          <w:color w:val="000000"/>
          <w:sz w:val="20"/>
        </w:rPr>
        <w:t xml:space="preserve">Under Tennessee law, a claim may "be separated into acts and omissions constituting medical malpractice and acts and omissions constituting ordinary negligence." </w:t>
      </w:r>
      <w:bookmarkStart w:id="1805" w:name="Bookmark_I56G60WG2HM6790040000400"/>
      <w:bookmarkEnd w:id="1805"/>
      <w:r>
        <w:rPr>
          <w:rFonts w:ascii="Arial" w:eastAsia="Arial" w:hAnsi="Arial" w:cs="Arial"/>
          <w:i/>
          <w:color w:val="000000"/>
          <w:sz w:val="20"/>
        </w:rPr>
        <w:t>Estate of French v. Stratford House</w:t>
      </w:r>
      <w:r>
        <w:rPr>
          <w:rFonts w:ascii="Arial" w:eastAsia="Arial" w:hAnsi="Arial" w:cs="Arial"/>
          <w:color w:val="000000"/>
          <w:sz w:val="20"/>
        </w:rPr>
        <w:t xml:space="preserve">, 333 S.W.3d 546, 558 (Tenn. 2011). In </w:t>
      </w:r>
      <w:r>
        <w:rPr>
          <w:rFonts w:ascii="Arial" w:eastAsia="Arial" w:hAnsi="Arial" w:cs="Arial"/>
          <w:i/>
          <w:color w:val="000000"/>
          <w:sz w:val="20"/>
        </w:rPr>
        <w:t>French</w:t>
      </w:r>
      <w:r>
        <w:rPr>
          <w:rFonts w:ascii="Arial" w:eastAsia="Arial" w:hAnsi="Arial" w:cs="Arial"/>
          <w:color w:val="000000"/>
          <w:sz w:val="20"/>
        </w:rPr>
        <w:t xml:space="preserve">, the Tennessee Supreme Court noted that "not all care given to patients at nursing home facilities is necessarily related to the rendering of medical care by a medical professional." </w:t>
      </w:r>
      <w:bookmarkStart w:id="1806" w:name="Bookmark_I56G60WG2HM67B0010000400"/>
      <w:bookmarkEnd w:id="1806"/>
      <w:r>
        <w:rPr>
          <w:rFonts w:ascii="Arial" w:eastAsia="Arial" w:hAnsi="Arial" w:cs="Arial"/>
          <w:i/>
          <w:color w:val="000000"/>
          <w:sz w:val="20"/>
        </w:rPr>
        <w:t>Id.</w:t>
      </w:r>
      <w:r>
        <w:rPr>
          <w:rFonts w:ascii="Arial" w:eastAsia="Arial" w:hAnsi="Arial" w:cs="Arial"/>
          <w:color w:val="000000"/>
          <w:sz w:val="20"/>
        </w:rPr>
        <w:t xml:space="preserve"> at 560. The court drew a distinction between "[t]he assessment of a patient's condition and the development of a plan of care," which would be subject to  [*513]  the TMMA, and "[a] nursing home's failure to ensure that its staff, including certified nursing assistants, actually complies with the plan of care and performs services that, however necessary, are routine and nonmedical in nature," which falls into the category of ordinary negligence. </w:t>
      </w:r>
      <w:r>
        <w:rPr>
          <w:rFonts w:ascii="Arial" w:eastAsia="Arial" w:hAnsi="Arial" w:cs="Arial"/>
          <w:i/>
          <w:color w:val="000000"/>
          <w:sz w:val="20"/>
        </w:rPr>
        <w:t>Id.</w:t>
      </w:r>
      <w:r>
        <w:rPr>
          <w:rFonts w:ascii="Arial" w:eastAsia="Arial" w:hAnsi="Arial" w:cs="Arial"/>
          <w:color w:val="000000"/>
          <w:sz w:val="20"/>
        </w:rPr>
        <w:t xml:space="preserve"> Thus, if Southwell's claims can be construed as relating to the implementation of the plan of care for Adkins, as opposed to the medical determinations that informed the development of the plan, then her claim could go forward despite her  [**12] failure to properly plead a claim under the TMMA.</w:t>
      </w:r>
    </w:p>
    <w:p w14:paraId="60B5B9D1" w14:textId="77777777" w:rsidR="00D041A2" w:rsidRDefault="00000000">
      <w:pPr>
        <w:pStyle w:val="Normal15"/>
        <w:widowControl w:val="0"/>
        <w:spacing w:before="200" w:line="260" w:lineRule="atLeast"/>
        <w:jc w:val="both"/>
      </w:pPr>
      <w:bookmarkStart w:id="1807" w:name="Bookmark_para_14_8"/>
      <w:bookmarkStart w:id="1808" w:name="Bookmark_I46885WFG0T00079X2M00342"/>
      <w:bookmarkStart w:id="1809" w:name="Bookmark_I56G60WG2HM67B0040000400"/>
      <w:bookmarkEnd w:id="1807"/>
      <w:bookmarkEnd w:id="1808"/>
      <w:bookmarkEnd w:id="1809"/>
      <w:r>
        <w:rPr>
          <w:rFonts w:ascii="Arial" w:eastAsia="Arial" w:hAnsi="Arial" w:cs="Arial"/>
          <w:color w:val="000000"/>
          <w:sz w:val="20"/>
        </w:rPr>
        <w:t xml:space="preserve">Southwell asserts three specific factual allegations against Summit View that could plausibly be construed as sounding in the failure to implement a plan of care, and thus constitute a claim for ordinary negligence under Tennessee law : (1) failing to "tak[e] proper care of the late Claudia Adkins, including placing her in a suitable room," (2) failing to properly care for Adkins's emphysema and cancer; and (3) failing to "promptly inform[] the supervising Nursing Home Physician of the progression and deterioration of the patient's condition . . . ." However, there is nothing in Southwell's complaint that asserts that these alleged failures stem from non-medical personnel's implementation of Adkins's plan of care, which would be required to make out an ordinary negligence complaint under </w:t>
      </w:r>
      <w:bookmarkStart w:id="1810" w:name="Bookmark_I56G60WG2HM67B0030000400"/>
      <w:bookmarkEnd w:id="1810"/>
      <w:r>
        <w:rPr>
          <w:rFonts w:ascii="Arial" w:eastAsia="Arial" w:hAnsi="Arial" w:cs="Arial"/>
          <w:i/>
          <w:color w:val="000000"/>
          <w:sz w:val="20"/>
        </w:rPr>
        <w:t>French</w:t>
      </w:r>
      <w:r>
        <w:rPr>
          <w:rFonts w:ascii="Arial" w:eastAsia="Arial" w:hAnsi="Arial" w:cs="Arial"/>
          <w:color w:val="000000"/>
          <w:sz w:val="20"/>
        </w:rPr>
        <w:t>. Thus, even with a liberal reading of the complaint, Southwell's ordinary negligence claim should be dismissed as well.</w:t>
      </w:r>
    </w:p>
    <w:p w14:paraId="36A66CE7" w14:textId="77777777" w:rsidR="00D041A2" w:rsidRDefault="00000000">
      <w:pPr>
        <w:pStyle w:val="Normal15"/>
        <w:widowControl w:val="0"/>
        <w:spacing w:before="200" w:line="260" w:lineRule="atLeast"/>
        <w:jc w:val="both"/>
      </w:pPr>
      <w:bookmarkStart w:id="1811" w:name="Bookmark_para_15_8"/>
      <w:bookmarkStart w:id="1812" w:name="Bookmark_I56G60WG28T44W0010000400"/>
      <w:bookmarkEnd w:id="1811"/>
      <w:bookmarkEnd w:id="1812"/>
      <w:r>
        <w:rPr>
          <w:rFonts w:ascii="Arial" w:eastAsia="Arial" w:hAnsi="Arial" w:cs="Arial"/>
          <w:color w:val="000000"/>
          <w:sz w:val="20"/>
        </w:rPr>
        <w:t xml:space="preserve">Nevertheless, </w:t>
      </w:r>
      <w:bookmarkStart w:id="1813" w:name="Bookmark_LNHNREFclscc10_9"/>
      <w:bookmarkEnd w:id="1813"/>
      <w:r>
        <w:rPr>
          <w:rFonts w:ascii="Arial" w:eastAsia="Arial" w:hAnsi="Arial" w:cs="Arial"/>
          <w:color w:val="000000"/>
          <w:sz w:val="20"/>
        </w:rPr>
        <w:t xml:space="preserve">"where a more carefully drafted complaint might state a claim, a plaintiff must be given at least one chance to amend the complaint before the district court dismisses the action with prejudice." </w:t>
      </w:r>
      <w:bookmarkStart w:id="1814" w:name="Bookmark_I56G60WG2HM67B0050000400"/>
      <w:bookmarkEnd w:id="1814"/>
      <w:r>
        <w:rPr>
          <w:rFonts w:ascii="Arial" w:eastAsia="Arial" w:hAnsi="Arial" w:cs="Arial"/>
          <w:i/>
          <w:color w:val="000000"/>
          <w:sz w:val="20"/>
        </w:rPr>
        <w:t>U.S. ex rel. Bledsoe v. Cmty. Health Sys., Inc.</w:t>
      </w:r>
      <w:r>
        <w:rPr>
          <w:rFonts w:ascii="Arial" w:eastAsia="Arial" w:hAnsi="Arial" w:cs="Arial"/>
          <w:color w:val="000000"/>
          <w:sz w:val="20"/>
        </w:rPr>
        <w:t xml:space="preserve">, 342 F.3d 634, 644 (6th Cir. 2003)  [**13] (internal citations and quotation marks omitted). Here, the district court dismissed the entire action, including the ordinary negligence theory, when it dismissed the TMMA and ADA claims. Thus, Southwell did not have her "one chance" to amend her complaint and substantiate her ordinary negligence claim. For this reason, we reverse the dismissal of the complaint and remand the action back to the district court to give Southwell an opportunity to amend her complaint with regard to the ordinary negligence theory. </w:t>
      </w:r>
      <w:r>
        <w:rPr>
          <w:rFonts w:ascii="Arial" w:eastAsia="Arial" w:hAnsi="Arial" w:cs="Arial"/>
          <w:vertAlign w:val="superscript"/>
        </w:rPr>
        <w:footnoteReference w:customMarkFollows="1" w:id="88"/>
        <w:t>4</w:t>
      </w:r>
    </w:p>
    <w:p w14:paraId="29ACBBED" w14:textId="77777777" w:rsidR="00D041A2" w:rsidRDefault="00000000">
      <w:pPr>
        <w:pStyle w:val="Normal15"/>
        <w:widowControl w:val="0"/>
        <w:spacing w:before="200" w:line="260" w:lineRule="atLeast"/>
        <w:jc w:val="both"/>
      </w:pPr>
      <w:bookmarkStart w:id="1822" w:name="Bookmark_para_16_8"/>
      <w:bookmarkStart w:id="1823" w:name="Bookmark_I56G60WG28T4500020000400"/>
      <w:bookmarkEnd w:id="1822"/>
      <w:bookmarkEnd w:id="1823"/>
      <w:r>
        <w:rPr>
          <w:rFonts w:ascii="Arial" w:eastAsia="Arial" w:hAnsi="Arial" w:cs="Arial"/>
          <w:color w:val="000000"/>
          <w:sz w:val="20"/>
        </w:rPr>
        <w:t>Finally, Southwell continues to assert a wrongful death claim.  [**14] </w:t>
      </w:r>
      <w:bookmarkStart w:id="1824" w:name="Bookmark_LNHNREFclscc12_7"/>
      <w:bookmarkEnd w:id="1824"/>
      <w:r>
        <w:rPr>
          <w:rFonts w:ascii="Arial" w:eastAsia="Arial" w:hAnsi="Arial" w:cs="Arial"/>
          <w:color w:val="000000"/>
          <w:sz w:val="20"/>
        </w:rPr>
        <w:t xml:space="preserve">Under Tennessee law, a wrongful death claim "does not create a new cause of action for the plaintiffs, but simply preserves [the decedent's] right of action which would otherwise be extinguished by her death." </w:t>
      </w:r>
      <w:bookmarkStart w:id="1825" w:name="Bookmark_I56G60WG28T4500010000400"/>
      <w:bookmarkEnd w:id="1825"/>
      <w:r>
        <w:rPr>
          <w:rFonts w:ascii="Arial" w:eastAsia="Arial" w:hAnsi="Arial" w:cs="Arial"/>
          <w:i/>
          <w:color w:val="000000"/>
          <w:sz w:val="20"/>
        </w:rPr>
        <w:t>Rogers v. Donelson-Hermitage Chamber of Commerce</w:t>
      </w:r>
      <w:r>
        <w:rPr>
          <w:rFonts w:ascii="Arial" w:eastAsia="Arial" w:hAnsi="Arial" w:cs="Arial"/>
          <w:color w:val="000000"/>
          <w:sz w:val="20"/>
        </w:rPr>
        <w:t xml:space="preserve">, 807 S.W.2d 242, 245 (Tenn. Ct. App. 1990); </w:t>
      </w:r>
      <w:r>
        <w:rPr>
          <w:rFonts w:ascii="Arial" w:eastAsia="Arial" w:hAnsi="Arial" w:cs="Arial"/>
          <w:i/>
          <w:color w:val="000000"/>
          <w:sz w:val="20"/>
        </w:rPr>
        <w:t>see also</w:t>
      </w:r>
      <w:r>
        <w:rPr>
          <w:rFonts w:ascii="Arial" w:eastAsia="Arial" w:hAnsi="Arial" w:cs="Arial"/>
          <w:color w:val="000000"/>
          <w:sz w:val="20"/>
        </w:rPr>
        <w:t xml:space="preserve"> Tenn. Code Ann. § 20-5-106(a) (codifying wrongful death claims under Tennessee law). In other words, the "wrongful death" claim is entirely derivative of, and tied to, the underlying tort theory that establishes the harm to the decedent. Southwell is thus free to plead in her amended complaint that the injuries suffered by Adkins from the ordinary negligence of Summit View resulted in the death of Adkins.</w:t>
      </w:r>
    </w:p>
    <w:p w14:paraId="62B23D0D" w14:textId="77777777" w:rsidR="00D041A2" w:rsidRDefault="00000000">
      <w:pPr>
        <w:pStyle w:val="Normal15"/>
        <w:widowControl w:val="0"/>
        <w:spacing w:before="240" w:line="260" w:lineRule="atLeast"/>
      </w:pPr>
      <w:r>
        <w:br/>
      </w:r>
      <w:r>
        <w:rPr>
          <w:rFonts w:ascii="Arial" w:eastAsia="Arial" w:hAnsi="Arial" w:cs="Arial"/>
          <w:color w:val="000000"/>
          <w:sz w:val="20"/>
        </w:rPr>
        <w:t> [*514]  III. CONCLUSION</w:t>
      </w:r>
    </w:p>
    <w:p w14:paraId="6ADD0046" w14:textId="77777777" w:rsidR="00D041A2" w:rsidRDefault="00000000">
      <w:pPr>
        <w:pStyle w:val="Normal15"/>
        <w:widowControl w:val="0"/>
        <w:spacing w:before="200" w:line="260" w:lineRule="atLeast"/>
        <w:jc w:val="both"/>
      </w:pPr>
      <w:bookmarkStart w:id="1826" w:name="Bookmark_para_17_8"/>
      <w:bookmarkEnd w:id="1826"/>
      <w:r>
        <w:rPr>
          <w:rFonts w:ascii="Arial" w:eastAsia="Arial" w:hAnsi="Arial" w:cs="Arial"/>
          <w:color w:val="000000"/>
          <w:sz w:val="20"/>
        </w:rPr>
        <w:t>We AFFIRM the district court's dismissal of the TMMA and ADA claims, but REVERSE and REMAND to the district court to allow Southwell to amend her complaint in accordance with this opinion.</w:t>
      </w:r>
    </w:p>
    <w:p w14:paraId="3B60747E" w14:textId="77777777" w:rsidR="00D041A2" w:rsidRDefault="00D041A2">
      <w:pPr>
        <w:pStyle w:val="Normal15"/>
      </w:pPr>
    </w:p>
    <w:p w14:paraId="7E61D15F" w14:textId="15FF25C1" w:rsidR="00D041A2" w:rsidRDefault="00000000">
      <w:pPr>
        <w:pStyle w:val="Normal15"/>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92032" behindDoc="0" locked="0" layoutInCell="1" allowOverlap="1" wp14:anchorId="54CFEA4A" wp14:editId="571D3174">
                <wp:simplePos x="0" y="0"/>
                <wp:positionH relativeFrom="column">
                  <wp:posOffset>0</wp:posOffset>
                </wp:positionH>
                <wp:positionV relativeFrom="paragraph">
                  <wp:posOffset>127000</wp:posOffset>
                </wp:positionV>
                <wp:extent cx="6502400" cy="0"/>
                <wp:effectExtent l="9525" t="12700" r="12700" b="6350"/>
                <wp:wrapNone/>
                <wp:docPr id="35171447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0F21E" id="Line 3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9AA3448" w14:textId="77777777" w:rsidR="00D041A2" w:rsidRDefault="00D041A2">
      <w:pPr>
        <w:pStyle w:val="Normal16"/>
        <w:sectPr w:rsidR="00D041A2">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gutter="0"/>
          <w:cols w:space="720"/>
          <w:titlePg/>
        </w:sectPr>
      </w:pPr>
    </w:p>
    <w:p w14:paraId="61A470EA" w14:textId="77777777" w:rsidR="00D041A2" w:rsidRDefault="00D041A2">
      <w:pPr>
        <w:pStyle w:val="Normal16"/>
      </w:pPr>
    </w:p>
    <w:p w14:paraId="7C8CBB23" w14:textId="77777777" w:rsidR="00D041A2" w:rsidRDefault="00000000">
      <w:pPr>
        <w:pStyle w:val="Heading115"/>
        <w:keepNext w:val="0"/>
        <w:widowControl w:val="0"/>
        <w:spacing w:after="200" w:line="340" w:lineRule="atLeast"/>
        <w:jc w:val="center"/>
      </w:pPr>
      <w:r>
        <w:rPr>
          <w:rFonts w:eastAsia="Arial"/>
          <w:color w:val="000000"/>
          <w:sz w:val="28"/>
        </w:rPr>
        <w:t>Taylor v. Harbour Pointe Homeowners Ass'n</w:t>
      </w:r>
    </w:p>
    <w:p w14:paraId="3DF430C4" w14:textId="77777777" w:rsidR="00D041A2" w:rsidRDefault="00000000">
      <w:pPr>
        <w:pStyle w:val="Normal16"/>
        <w:widowControl w:val="0"/>
        <w:spacing w:before="120" w:line="260" w:lineRule="atLeast"/>
        <w:jc w:val="center"/>
      </w:pPr>
      <w:r>
        <w:rPr>
          <w:rFonts w:ascii="Arial" w:eastAsia="Arial" w:hAnsi="Arial" w:cs="Arial"/>
          <w:color w:val="000000"/>
          <w:sz w:val="20"/>
        </w:rPr>
        <w:t>United States Court of Appeals for the Second Circuit</w:t>
      </w:r>
    </w:p>
    <w:p w14:paraId="5BFF9D34" w14:textId="77777777" w:rsidR="00D041A2" w:rsidRDefault="00000000">
      <w:pPr>
        <w:pStyle w:val="Normal16"/>
        <w:widowControl w:val="0"/>
        <w:spacing w:before="120" w:line="260" w:lineRule="atLeast"/>
        <w:jc w:val="center"/>
      </w:pPr>
      <w:r>
        <w:rPr>
          <w:rFonts w:ascii="Arial" w:eastAsia="Arial" w:hAnsi="Arial" w:cs="Arial"/>
          <w:color w:val="000000"/>
          <w:sz w:val="20"/>
        </w:rPr>
        <w:t>April 16, 2012, Argued; August 2, 2012, Decided</w:t>
      </w:r>
    </w:p>
    <w:p w14:paraId="783EB119" w14:textId="77777777" w:rsidR="00D041A2" w:rsidRDefault="00000000">
      <w:pPr>
        <w:pStyle w:val="Normal16"/>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Docket Nos. 11-951-cv; 11-2218-cv</w:t>
      </w:r>
    </w:p>
    <w:p w14:paraId="181D0ACA" w14:textId="77777777" w:rsidR="00D041A2" w:rsidRDefault="00D041A2">
      <w:pPr>
        <w:pStyle w:val="Normal16"/>
        <w:widowControl w:val="0"/>
        <w:spacing w:line="240" w:lineRule="atLeast"/>
        <w:jc w:val="both"/>
      </w:pPr>
      <w:bookmarkStart w:id="1827" w:name="Bookmark_17"/>
      <w:bookmarkEnd w:id="1827"/>
    </w:p>
    <w:p w14:paraId="2D33A0DB" w14:textId="77777777" w:rsidR="00D041A2" w:rsidRDefault="00000000">
      <w:pPr>
        <w:pStyle w:val="Normal16"/>
        <w:widowControl w:val="0"/>
        <w:spacing w:before="200" w:line="240" w:lineRule="atLeast"/>
      </w:pPr>
      <w:bookmarkStart w:id="1828" w:name="Reporter_15"/>
      <w:bookmarkEnd w:id="1828"/>
      <w:r>
        <w:rPr>
          <w:rFonts w:ascii="Arial" w:eastAsia="Arial" w:hAnsi="Arial" w:cs="Arial"/>
          <w:b/>
          <w:color w:val="000000"/>
          <w:sz w:val="18"/>
        </w:rPr>
        <w:t>Reporter</w:t>
      </w:r>
    </w:p>
    <w:p w14:paraId="30AEB140" w14:textId="77777777" w:rsidR="00D041A2" w:rsidRDefault="00000000">
      <w:pPr>
        <w:pStyle w:val="Normal16"/>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690 F.3d 44 *; 2012 U.S. App. LEXIS 16216 **; 83 Fed. R. Serv. 3d (Callaghan) 336; 2012 WL 3125257</w:t>
      </w:r>
    </w:p>
    <w:p w14:paraId="38D2A6DD" w14:textId="77777777" w:rsidR="00D041A2" w:rsidRDefault="00000000">
      <w:pPr>
        <w:pStyle w:val="Normal16"/>
        <w:widowControl w:val="0"/>
        <w:spacing w:before="120" w:line="260" w:lineRule="atLeast"/>
      </w:pPr>
      <w:r>
        <w:rPr>
          <w:rFonts w:ascii="Arial" w:eastAsia="Arial" w:hAnsi="Arial" w:cs="Arial"/>
          <w:color w:val="000000"/>
          <w:sz w:val="20"/>
        </w:rPr>
        <w:t>SUZANNE K. TAYLOR, Plaintiff-Appellant-Cross-Appellee, v. HARBOUR POINTE HOMEOWNERS ASSOCIATION AND CANDACE GRASER, Defendants-Appellees-Cross-Appellants.</w:t>
      </w:r>
    </w:p>
    <w:p w14:paraId="0458321F" w14:textId="77777777" w:rsidR="00D041A2" w:rsidRDefault="00000000">
      <w:pPr>
        <w:pStyle w:val="Normal16"/>
        <w:widowControl w:val="0"/>
        <w:spacing w:before="240" w:line="260" w:lineRule="atLeast"/>
      </w:pPr>
      <w:bookmarkStart w:id="1829" w:name="Subsequent_History_2"/>
      <w:bookmarkEnd w:id="1829"/>
      <w:r>
        <w:rPr>
          <w:rFonts w:ascii="Arial" w:eastAsia="Arial" w:hAnsi="Arial" w:cs="Arial"/>
          <w:b/>
          <w:color w:val="000000"/>
          <w:sz w:val="20"/>
        </w:rPr>
        <w:t>Subsequent History:</w:t>
      </w:r>
      <w:r>
        <w:rPr>
          <w:rFonts w:ascii="Arial" w:eastAsia="Arial" w:hAnsi="Arial" w:cs="Arial"/>
          <w:color w:val="000000"/>
          <w:sz w:val="20"/>
        </w:rPr>
        <w:t> Costs and fees proceeding at, On remand at, Application granted by Taylor v. Harbour Pointe Homeowners Ass'n, 2012 U.S. Dist. LEXIS 173338 (W.D.N.Y., Dec. 6, 2012)</w:t>
      </w:r>
    </w:p>
    <w:p w14:paraId="46878DD4" w14:textId="77777777" w:rsidR="00D041A2" w:rsidRDefault="00000000">
      <w:pPr>
        <w:pStyle w:val="Normal16"/>
        <w:widowControl w:val="0"/>
        <w:spacing w:before="120" w:line="260" w:lineRule="atLeast"/>
      </w:pPr>
      <w:r>
        <w:rPr>
          <w:rFonts w:ascii="Arial" w:eastAsia="Arial" w:hAnsi="Arial" w:cs="Arial"/>
          <w:color w:val="000000"/>
          <w:sz w:val="20"/>
        </w:rPr>
        <w:t>US Supreme Court certiorari denied by Taylor v. Harbour Pointe Homeowners Ass'n, 2013 U.S. LEXIS 1175 (U.S., Feb. 19, 2013)</w:t>
      </w:r>
    </w:p>
    <w:p w14:paraId="5958CB31" w14:textId="77777777" w:rsidR="00D041A2" w:rsidRDefault="00000000">
      <w:pPr>
        <w:pStyle w:val="Normal16"/>
        <w:widowControl w:val="0"/>
        <w:spacing w:before="240" w:line="260" w:lineRule="atLeast"/>
        <w:jc w:val="both"/>
      </w:pPr>
      <w:bookmarkStart w:id="1830" w:name="Prior_History_15"/>
      <w:bookmarkEnd w:id="1830"/>
      <w:r>
        <w:rPr>
          <w:rFonts w:ascii="Arial" w:eastAsia="Arial" w:hAnsi="Arial" w:cs="Arial"/>
          <w:b/>
          <w:color w:val="000000"/>
          <w:sz w:val="20"/>
        </w:rPr>
        <w:t>Prior History:</w:t>
      </w:r>
      <w:r>
        <w:rPr>
          <w:rFonts w:ascii="Arial" w:eastAsia="Arial" w:hAnsi="Arial" w:cs="Arial"/>
          <w:color w:val="000000"/>
          <w:sz w:val="20"/>
        </w:rPr>
        <w:t>  [**1] </w:t>
      </w:r>
      <w:bookmarkStart w:id="1831" w:name="Bookmark_para_1_15"/>
      <w:bookmarkEnd w:id="1831"/>
      <w:r>
        <w:rPr>
          <w:rFonts w:ascii="Arial" w:eastAsia="Arial" w:hAnsi="Arial" w:cs="Arial"/>
          <w:color w:val="000000"/>
          <w:sz w:val="20"/>
        </w:rPr>
        <w:t>Cross-appeals from (1) a judgment of the United States District Court for the Western District of New York (Curtin, J.) granting Defendants-Appellees-Cross-Appellants Harbour Pointe Homeowners Association ("HPHA") and Candace Graser's motion for summary judgment and dismissing Plaintiff-Appellant-Cross-Appellee Suzanne Taylor's Fair Housing Act claim, and (2) an order of that court denying prevailing parties' motion for attorneys' fees under 42 U.S.C. § 3613(c)(2). We dismiss Taylor's appeal for failure to comply with Rule 28 of the Federal Rules of Appellate Procedure and Local Rule 28.1. We further conclude that Taylor's claim is frivolous, and that the district court improperly denied the HPHA and Graser's motion for attorneys' fees.</w:t>
      </w:r>
    </w:p>
    <w:p w14:paraId="3E77F416" w14:textId="77777777" w:rsidR="00D041A2" w:rsidRDefault="00000000">
      <w:pPr>
        <w:pStyle w:val="Normal16"/>
        <w:widowControl w:val="0"/>
        <w:spacing w:before="120" w:line="260" w:lineRule="atLeast"/>
      </w:pPr>
      <w:r>
        <w:rPr>
          <w:rFonts w:ascii="Arial" w:eastAsia="Arial" w:hAnsi="Arial" w:cs="Arial"/>
          <w:color w:val="000000"/>
          <w:sz w:val="20"/>
        </w:rPr>
        <w:t>Taylor v. Harbour Pointe Homeowners Ass'n, 2011 U.S. Dist. LEXIS 48739 (W.D.N.Y., May 6, 2011)</w:t>
      </w:r>
    </w:p>
    <w:p w14:paraId="1ADBCF4E" w14:textId="77777777" w:rsidR="00D041A2" w:rsidRDefault="00000000">
      <w:pPr>
        <w:pStyle w:val="Normal16"/>
        <w:widowControl w:val="0"/>
        <w:spacing w:before="120" w:line="260" w:lineRule="atLeast"/>
      </w:pPr>
      <w:r>
        <w:rPr>
          <w:rFonts w:ascii="Arial" w:eastAsia="Arial" w:hAnsi="Arial" w:cs="Arial"/>
          <w:color w:val="000000"/>
          <w:sz w:val="20"/>
        </w:rPr>
        <w:t>Taylor v. Harbour Pointe Homeowners Ass'n, 2011 U.S. Dist. LEXIS 16148 (W.D.N.Y., Feb. 16, 2011)</w:t>
      </w:r>
    </w:p>
    <w:p w14:paraId="7DAC989B" w14:textId="77777777" w:rsidR="00D041A2" w:rsidRDefault="00000000">
      <w:pPr>
        <w:pStyle w:val="Normal16"/>
        <w:widowControl w:val="0"/>
        <w:spacing w:before="240" w:line="260" w:lineRule="atLeast"/>
        <w:jc w:val="both"/>
      </w:pPr>
      <w:bookmarkStart w:id="1832" w:name="Disposition_5"/>
      <w:bookmarkEnd w:id="1832"/>
      <w:r>
        <w:rPr>
          <w:rFonts w:ascii="Arial" w:eastAsia="Arial" w:hAnsi="Arial" w:cs="Arial"/>
          <w:b/>
          <w:color w:val="000000"/>
          <w:sz w:val="20"/>
        </w:rPr>
        <w:t>Disposition:</w:t>
      </w:r>
      <w:r>
        <w:rPr>
          <w:rFonts w:ascii="Arial" w:eastAsia="Arial" w:hAnsi="Arial" w:cs="Arial"/>
          <w:color w:val="000000"/>
          <w:sz w:val="20"/>
        </w:rPr>
        <w:t> </w:t>
      </w:r>
      <w:bookmarkStart w:id="1833" w:name="Bookmark_clspara_5_1"/>
      <w:bookmarkEnd w:id="1833"/>
      <w:r>
        <w:rPr>
          <w:rFonts w:ascii="Arial" w:eastAsia="Arial" w:hAnsi="Arial" w:cs="Arial"/>
          <w:color w:val="000000"/>
          <w:sz w:val="20"/>
        </w:rPr>
        <w:t>The appeal is DISMISSED. On the cross-appeal concerning fees, the order of the district court is REVERSED, and the case is REMANDED.</w:t>
      </w:r>
    </w:p>
    <w:p w14:paraId="61677821" w14:textId="77777777" w:rsidR="00D041A2" w:rsidRDefault="00000000">
      <w:pPr>
        <w:pStyle w:val="Normal16"/>
        <w:widowControl w:val="0"/>
        <w:spacing w:before="240" w:line="260" w:lineRule="atLeast"/>
      </w:pPr>
      <w:bookmarkStart w:id="1834" w:name="Counsel_15"/>
      <w:bookmarkEnd w:id="1834"/>
      <w:r>
        <w:rPr>
          <w:rFonts w:ascii="Arial" w:eastAsia="Arial" w:hAnsi="Arial" w:cs="Arial"/>
          <w:b/>
          <w:color w:val="000000"/>
          <w:sz w:val="20"/>
        </w:rPr>
        <w:t>Counsel:</w:t>
      </w:r>
      <w:r>
        <w:rPr>
          <w:rFonts w:ascii="Arial" w:eastAsia="Arial" w:hAnsi="Arial" w:cs="Arial"/>
          <w:color w:val="000000"/>
          <w:sz w:val="20"/>
        </w:rPr>
        <w:t> CHARLES L. MILLER, II (Lindy Korn, on the brief), Law Office of Lindy Korn, Buffalo, NY, for Plaintiff-Appellant-Cross-Appellee.</w:t>
      </w:r>
    </w:p>
    <w:p w14:paraId="597873B6" w14:textId="77777777" w:rsidR="00D041A2" w:rsidRDefault="00000000">
      <w:pPr>
        <w:pStyle w:val="Normal16"/>
        <w:widowControl w:val="0"/>
        <w:spacing w:before="120" w:line="260" w:lineRule="atLeast"/>
      </w:pPr>
      <w:r>
        <w:rPr>
          <w:rFonts w:ascii="Arial" w:eastAsia="Arial" w:hAnsi="Arial" w:cs="Arial"/>
          <w:color w:val="000000"/>
          <w:sz w:val="20"/>
        </w:rPr>
        <w:t>MINRYU KIM (Alan Bozer, on the brief), Phillips Lytle LLP, Buffalo, NY, for Defendants-Appellees-Cross-Appellants.</w:t>
      </w:r>
    </w:p>
    <w:p w14:paraId="7CFBF244" w14:textId="77777777" w:rsidR="00D041A2" w:rsidRDefault="00000000">
      <w:pPr>
        <w:pStyle w:val="Normal16"/>
        <w:widowControl w:val="0"/>
        <w:spacing w:before="240" w:line="260" w:lineRule="atLeast"/>
      </w:pPr>
      <w:bookmarkStart w:id="1835" w:name="Judges_15"/>
      <w:bookmarkEnd w:id="1835"/>
      <w:r>
        <w:rPr>
          <w:rFonts w:ascii="Arial" w:eastAsia="Arial" w:hAnsi="Arial" w:cs="Arial"/>
          <w:b/>
          <w:color w:val="000000"/>
          <w:sz w:val="20"/>
        </w:rPr>
        <w:t>Judges:</w:t>
      </w:r>
      <w:r>
        <w:rPr>
          <w:rFonts w:ascii="Arial" w:eastAsia="Arial" w:hAnsi="Arial" w:cs="Arial"/>
          <w:color w:val="000000"/>
          <w:sz w:val="20"/>
        </w:rPr>
        <w:t> Before: JACOBS, Chief Judge, B.D. PARKER, and HALL, Circuit Judges.</w:t>
      </w:r>
    </w:p>
    <w:p w14:paraId="688A2325" w14:textId="77777777" w:rsidR="00D041A2" w:rsidRDefault="00000000">
      <w:pPr>
        <w:pStyle w:val="Normal16"/>
        <w:widowControl w:val="0"/>
        <w:spacing w:before="240" w:line="260" w:lineRule="atLeast"/>
      </w:pPr>
      <w:bookmarkStart w:id="1836" w:name="Opinion_by_10"/>
      <w:bookmarkEnd w:id="1836"/>
      <w:r>
        <w:rPr>
          <w:rFonts w:ascii="Arial" w:eastAsia="Arial" w:hAnsi="Arial" w:cs="Arial"/>
          <w:b/>
          <w:color w:val="000000"/>
          <w:sz w:val="20"/>
        </w:rPr>
        <w:t>Opinion by:</w:t>
      </w:r>
      <w:r>
        <w:rPr>
          <w:rFonts w:ascii="Arial" w:eastAsia="Arial" w:hAnsi="Arial" w:cs="Arial"/>
          <w:color w:val="000000"/>
          <w:sz w:val="20"/>
        </w:rPr>
        <w:t> BARRINGTON D.  [**2] PARKER</w:t>
      </w:r>
    </w:p>
    <w:p w14:paraId="167339CE" w14:textId="77777777" w:rsidR="00D041A2" w:rsidRDefault="00000000">
      <w:pPr>
        <w:pStyle w:val="Normal16"/>
        <w:keepNext/>
        <w:widowControl w:val="0"/>
        <w:spacing w:before="240" w:line="340" w:lineRule="atLeast"/>
      </w:pPr>
      <w:bookmarkStart w:id="1837" w:name="Opinion_15"/>
      <w:bookmarkEnd w:id="1837"/>
      <w:r>
        <w:rPr>
          <w:rFonts w:ascii="Arial" w:eastAsia="Arial" w:hAnsi="Arial" w:cs="Arial"/>
          <w:b/>
          <w:color w:val="000000"/>
          <w:sz w:val="28"/>
        </w:rPr>
        <w:t>Opinion</w:t>
      </w:r>
    </w:p>
    <w:p w14:paraId="5D7D54DF" w14:textId="06B21A36" w:rsidR="00D041A2" w:rsidRDefault="004D4403">
      <w:pPr>
        <w:pStyle w:val="Normal16"/>
        <w:spacing w:line="60" w:lineRule="exact"/>
      </w:pPr>
      <w:r>
        <w:rPr>
          <w:noProof/>
        </w:rPr>
        <mc:AlternateContent>
          <mc:Choice Requires="wps">
            <w:drawing>
              <wp:anchor distT="0" distB="0" distL="114300" distR="114300" simplePos="0" relativeHeight="251693056" behindDoc="0" locked="0" layoutInCell="1" allowOverlap="1" wp14:anchorId="475C0B73" wp14:editId="46A0177E">
                <wp:simplePos x="0" y="0"/>
                <wp:positionH relativeFrom="column">
                  <wp:posOffset>0</wp:posOffset>
                </wp:positionH>
                <wp:positionV relativeFrom="paragraph">
                  <wp:posOffset>25400</wp:posOffset>
                </wp:positionV>
                <wp:extent cx="3187700" cy="0"/>
                <wp:effectExtent l="19050" t="15875" r="12700" b="12700"/>
                <wp:wrapTopAndBottom/>
                <wp:docPr id="73666828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E5CD1" id="Line 3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C2DE254" w14:textId="77777777" w:rsidR="00D041A2" w:rsidRDefault="00D041A2">
      <w:pPr>
        <w:pStyle w:val="Normal16"/>
      </w:pPr>
    </w:p>
    <w:p w14:paraId="775078E5" w14:textId="77777777" w:rsidR="00D041A2" w:rsidRDefault="00000000">
      <w:pPr>
        <w:pStyle w:val="Normal16"/>
        <w:widowControl w:val="0"/>
        <w:spacing w:before="200" w:line="260" w:lineRule="atLeast"/>
        <w:jc w:val="both"/>
      </w:pPr>
      <w:bookmarkStart w:id="1838" w:name="Bookmark_para_2_15"/>
      <w:bookmarkEnd w:id="1838"/>
      <w:r>
        <w:rPr>
          <w:rFonts w:ascii="Arial" w:eastAsia="Arial" w:hAnsi="Arial" w:cs="Arial"/>
          <w:color w:val="000000"/>
          <w:sz w:val="20"/>
        </w:rPr>
        <w:t xml:space="preserve"> [*46]  </w:t>
      </w:r>
      <w:r>
        <w:rPr>
          <w:rFonts w:ascii="Arial" w:eastAsia="Arial" w:hAnsi="Arial" w:cs="Arial"/>
          <w:smallCaps/>
          <w:color w:val="000000"/>
          <w:sz w:val="20"/>
        </w:rPr>
        <w:t>Barrington D. Parker</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14:paraId="653AD4DD" w14:textId="77777777" w:rsidR="00D041A2" w:rsidRDefault="00000000">
      <w:pPr>
        <w:pStyle w:val="Normal16"/>
        <w:widowControl w:val="0"/>
        <w:spacing w:before="200" w:line="260" w:lineRule="atLeast"/>
        <w:jc w:val="both"/>
      </w:pPr>
      <w:bookmarkStart w:id="1839" w:name="Bookmark_para_3_15"/>
      <w:bookmarkEnd w:id="1839"/>
      <w:r>
        <w:rPr>
          <w:rFonts w:ascii="Arial" w:eastAsia="Arial" w:hAnsi="Arial" w:cs="Arial"/>
          <w:color w:val="000000"/>
          <w:sz w:val="20"/>
        </w:rPr>
        <w:t xml:space="preserve">Suzanne Taylor appeals from a judgment of the United States District Court for the Western District of New York (Curtin, </w:t>
      </w:r>
      <w:r>
        <w:rPr>
          <w:rFonts w:ascii="Arial" w:eastAsia="Arial" w:hAnsi="Arial" w:cs="Arial"/>
          <w:i/>
          <w:color w:val="000000"/>
          <w:sz w:val="20"/>
        </w:rPr>
        <w:t>J</w:t>
      </w:r>
      <w:r>
        <w:rPr>
          <w:rFonts w:ascii="Arial" w:eastAsia="Arial" w:hAnsi="Arial" w:cs="Arial"/>
          <w:color w:val="000000"/>
          <w:sz w:val="20"/>
        </w:rPr>
        <w:t>.). The court granted Harbour Pointe Homeowners Association ("HPHA") and Candace Graser's motion for summary judgment and dismissed Taylor's failure to accommodate claim under the Fair Housing Act ("FHA").</w:t>
      </w:r>
      <w:r>
        <w:rPr>
          <w:rFonts w:ascii="Arial" w:eastAsia="Arial" w:hAnsi="Arial" w:cs="Arial"/>
          <w:vertAlign w:val="superscript"/>
        </w:rPr>
        <w:footnoteReference w:customMarkFollows="1" w:id="89"/>
        <w:t>1</w:t>
      </w:r>
      <w:r>
        <w:rPr>
          <w:rFonts w:ascii="Arial" w:eastAsia="Arial" w:hAnsi="Arial" w:cs="Arial"/>
          <w:color w:val="000000"/>
          <w:sz w:val="20"/>
        </w:rPr>
        <w:t xml:space="preserve"> The HPHA and Graser cross-appeal from an order of the district court denying their motion, as prevailing parties, for attorneys' fees under 42 U.S.C. § 3613(c)(2). Because Taylor did not comply with Rule 28 of the Federal Rules of Appellate Procedure or Local Rule 28.1, we dismiss her appeal. In addition, because we conclude that Taylor's FHA claim is frivolous, the HPHA and Graser are entitled to an award of attorneys' fees.</w:t>
      </w:r>
    </w:p>
    <w:p w14:paraId="1D04FCE0" w14:textId="77777777" w:rsidR="00D041A2" w:rsidRDefault="00000000">
      <w:pPr>
        <w:pStyle w:val="Normal16"/>
        <w:widowControl w:val="0"/>
        <w:spacing w:before="240" w:line="260" w:lineRule="atLeast"/>
      </w:pPr>
      <w:r>
        <w:br/>
      </w:r>
      <w:r>
        <w:rPr>
          <w:rFonts w:ascii="Arial" w:eastAsia="Arial" w:hAnsi="Arial" w:cs="Arial"/>
          <w:b/>
          <w:color w:val="000000"/>
          <w:sz w:val="20"/>
        </w:rPr>
        <w:t>BACKGROUND</w:t>
      </w:r>
    </w:p>
    <w:p w14:paraId="6365E800" w14:textId="77777777" w:rsidR="00D041A2" w:rsidRDefault="00000000">
      <w:pPr>
        <w:pStyle w:val="Normal16"/>
        <w:widowControl w:val="0"/>
        <w:spacing w:before="200" w:line="260" w:lineRule="atLeast"/>
        <w:jc w:val="both"/>
      </w:pPr>
      <w:bookmarkStart w:id="1842" w:name="Bookmark_para_4_15"/>
      <w:bookmarkEnd w:id="1842"/>
      <w:r>
        <w:rPr>
          <w:rFonts w:ascii="Arial" w:eastAsia="Arial" w:hAnsi="Arial" w:cs="Arial"/>
          <w:color w:val="000000"/>
          <w:sz w:val="20"/>
        </w:rPr>
        <w:t>The material facts are not in dispute. For several years, Taylor,  [**3] a member of the bar who alleges that she suffers from clinical depression, has lived in Harbour Pointe Common, a private community in Buffalo, New York. The community is managed by the HPHA. During the time the events that gave rise to this action occurred, Graser was the president of the HPHA's board of directors.</w:t>
      </w:r>
    </w:p>
    <w:p w14:paraId="578244E8" w14:textId="77777777" w:rsidR="00D041A2" w:rsidRDefault="00000000">
      <w:pPr>
        <w:pStyle w:val="Normal16"/>
        <w:widowControl w:val="0"/>
        <w:spacing w:before="200" w:line="260" w:lineRule="atLeast"/>
        <w:jc w:val="both"/>
      </w:pPr>
      <w:bookmarkStart w:id="1843" w:name="Bookmark_para_5_15"/>
      <w:bookmarkEnd w:id="1843"/>
      <w:r>
        <w:rPr>
          <w:rFonts w:ascii="Arial" w:eastAsia="Arial" w:hAnsi="Arial" w:cs="Arial"/>
          <w:color w:val="000000"/>
          <w:sz w:val="20"/>
        </w:rPr>
        <w:t xml:space="preserve">For a number of years, Taylor's glass-enclosed patio, visible from the main thoroughfare of Harbour Pointe Common, was in a state of disarray. Neighbors described the patio as a "pigsty." </w:t>
      </w:r>
      <w:r>
        <w:rPr>
          <w:rFonts w:ascii="Arial" w:eastAsia="Arial" w:hAnsi="Arial" w:cs="Arial"/>
          <w:b/>
          <w:color w:val="000000"/>
          <w:sz w:val="20"/>
        </w:rPr>
        <w:t>[A 146]</w:t>
      </w:r>
      <w:r>
        <w:rPr>
          <w:rFonts w:ascii="Arial" w:eastAsia="Arial" w:hAnsi="Arial" w:cs="Arial"/>
          <w:color w:val="000000"/>
          <w:sz w:val="20"/>
        </w:rPr>
        <w:t xml:space="preserve"> At various times, residents of the complex approached Graser expressing displeasure at the patio's disorderly state. Graser repeatedly asked Taylor to clean up her patio; Taylor repeatedly stated that she would. </w:t>
      </w:r>
      <w:r>
        <w:rPr>
          <w:rFonts w:ascii="Arial" w:eastAsia="Arial" w:hAnsi="Arial" w:cs="Arial"/>
          <w:b/>
          <w:color w:val="000000"/>
          <w:sz w:val="20"/>
        </w:rPr>
        <w:t>[A 150-53]</w:t>
      </w:r>
      <w:r>
        <w:rPr>
          <w:rFonts w:ascii="Arial" w:eastAsia="Arial" w:hAnsi="Arial" w:cs="Arial"/>
          <w:color w:val="000000"/>
          <w:sz w:val="20"/>
        </w:rPr>
        <w:t xml:space="preserve"> In response to particular requests, Taylor gave Graser and other neighbors permission to move a barbecue grill off Taylor's patio. She also permitted them to put up trellises and gave them permission to hang curtains to block the view of the patio from the road. Although Taylor's neighbors offered to assist her in cleaning the patio, Taylor expressed a preference to clean it herself. According to Taylor, in June 2008 she told Graser that if her neighbors — rather  [**4] than Taylor herself — were to clean up her patio, it would exacerbate her depression; specifically, it would "set[] [her] back in [her] recovery . . .[,] isolate [her], . . . and . . . make[] it that much harder . . . to make any progress at all." </w:t>
      </w:r>
      <w:r>
        <w:rPr>
          <w:rFonts w:ascii="Arial" w:eastAsia="Arial" w:hAnsi="Arial" w:cs="Arial"/>
          <w:b/>
          <w:color w:val="000000"/>
          <w:sz w:val="20"/>
        </w:rPr>
        <w:t>[A 235.]</w:t>
      </w:r>
    </w:p>
    <w:p w14:paraId="3B9A4A41" w14:textId="77777777" w:rsidR="00D041A2" w:rsidRDefault="00000000">
      <w:pPr>
        <w:pStyle w:val="Normal16"/>
        <w:widowControl w:val="0"/>
        <w:spacing w:before="200" w:line="260" w:lineRule="atLeast"/>
        <w:jc w:val="both"/>
      </w:pPr>
      <w:bookmarkStart w:id="1844" w:name="Bookmark_para_6_15"/>
      <w:bookmarkEnd w:id="1844"/>
      <w:r>
        <w:rPr>
          <w:rFonts w:ascii="Arial" w:eastAsia="Arial" w:hAnsi="Arial" w:cs="Arial"/>
          <w:color w:val="000000"/>
          <w:sz w:val="20"/>
        </w:rPr>
        <w:t xml:space="preserve">On June 4, 2008, Taylor took a trip out of town. While she was away, her neighbor Norman Cramp noticed that Taylor's garage door was open. </w:t>
      </w:r>
      <w:r>
        <w:rPr>
          <w:rFonts w:ascii="Arial" w:eastAsia="Arial" w:hAnsi="Arial" w:cs="Arial"/>
          <w:b/>
          <w:color w:val="000000"/>
          <w:sz w:val="20"/>
        </w:rPr>
        <w:t>[A 170-71]</w:t>
      </w:r>
      <w:r>
        <w:rPr>
          <w:rFonts w:ascii="Arial" w:eastAsia="Arial" w:hAnsi="Arial" w:cs="Arial"/>
          <w:color w:val="000000"/>
          <w:sz w:val="20"/>
        </w:rPr>
        <w:t xml:space="preserve"> Cramp contacted Taylor, who ultimately gave him permission to retrieve her garage door opener and close the door. </w:t>
      </w:r>
      <w:r>
        <w:rPr>
          <w:rFonts w:ascii="Arial" w:eastAsia="Arial" w:hAnsi="Arial" w:cs="Arial"/>
          <w:b/>
          <w:color w:val="000000"/>
          <w:sz w:val="20"/>
        </w:rPr>
        <w:t>[A 134-36]</w:t>
      </w:r>
      <w:r>
        <w:rPr>
          <w:rFonts w:ascii="Arial" w:eastAsia="Arial" w:hAnsi="Arial" w:cs="Arial"/>
          <w:color w:val="000000"/>
          <w:sz w:val="20"/>
        </w:rPr>
        <w:t xml:space="preserve"> Cramp, Graser, and a third neighbor, George Woepperer, went to Taylor's house. They closed her garage door and, while there, cleaned up Taylor's patio and consolidated several items in the corner of Taylor's garage. </w:t>
      </w:r>
      <w:r>
        <w:rPr>
          <w:rFonts w:ascii="Arial" w:eastAsia="Arial" w:hAnsi="Arial" w:cs="Arial"/>
          <w:b/>
          <w:color w:val="000000"/>
          <w:sz w:val="20"/>
        </w:rPr>
        <w:t>[A 159-60]</w:t>
      </w:r>
    </w:p>
    <w:p w14:paraId="291F6E84" w14:textId="77777777" w:rsidR="00D041A2" w:rsidRDefault="00000000">
      <w:pPr>
        <w:pStyle w:val="Normal16"/>
        <w:widowControl w:val="0"/>
        <w:spacing w:before="200" w:line="260" w:lineRule="atLeast"/>
        <w:jc w:val="both"/>
      </w:pPr>
      <w:bookmarkStart w:id="1845" w:name="Bookmark_para_7_15"/>
      <w:bookmarkEnd w:id="1845"/>
      <w:r>
        <w:rPr>
          <w:rFonts w:ascii="Arial" w:eastAsia="Arial" w:hAnsi="Arial" w:cs="Arial"/>
          <w:color w:val="000000"/>
          <w:sz w:val="20"/>
        </w:rPr>
        <w:t xml:space="preserve"> [*47]  Taylor returned home on June 10 and discovered that the mess on her patio had been cleared. She subsequently e-mailed Graser and the HPHA to complain of their "trespass," and also called the police and filed a police report complaining that her neighbors had engaged in trespass and burglary. </w:t>
      </w:r>
      <w:r>
        <w:rPr>
          <w:rFonts w:ascii="Arial" w:eastAsia="Arial" w:hAnsi="Arial" w:cs="Arial"/>
          <w:b/>
          <w:color w:val="000000"/>
          <w:sz w:val="20"/>
        </w:rPr>
        <w:t>[A 9]</w:t>
      </w:r>
      <w:r>
        <w:rPr>
          <w:rFonts w:ascii="Arial" w:eastAsia="Arial" w:hAnsi="Arial" w:cs="Arial"/>
          <w:color w:val="000000"/>
          <w:sz w:val="20"/>
        </w:rPr>
        <w:t xml:space="preserve"> Later, on August 4, Taylor filed a verified complaint against the HPHA with the Department of Housing and Urban Development ("HUD") and the New  [**5] York State Division of Human Rights ("DHR"), alleging discriminatory housing practices on the basis of her disability in violation of the FHA and Article 15 of New York Human Rights Law. </w:t>
      </w:r>
      <w:r>
        <w:rPr>
          <w:rFonts w:ascii="Arial" w:eastAsia="Arial" w:hAnsi="Arial" w:cs="Arial"/>
          <w:b/>
          <w:color w:val="000000"/>
          <w:sz w:val="20"/>
        </w:rPr>
        <w:t>[A 315]</w:t>
      </w:r>
      <w:r>
        <w:rPr>
          <w:rFonts w:ascii="Arial" w:eastAsia="Arial" w:hAnsi="Arial" w:cs="Arial"/>
          <w:color w:val="000000"/>
          <w:sz w:val="20"/>
        </w:rPr>
        <w:t xml:space="preserve"> In October 2008, the DHR issued a Determination and Order After Investigation concluding that there was "no evidence of [Taylor]'s disability or that the accumulation of and/or clearing away of clutter is related to a disability." </w:t>
      </w:r>
      <w:r>
        <w:rPr>
          <w:rFonts w:ascii="Arial" w:eastAsia="Arial" w:hAnsi="Arial" w:cs="Arial"/>
          <w:b/>
          <w:color w:val="000000"/>
          <w:sz w:val="20"/>
        </w:rPr>
        <w:t>[A 19.]</w:t>
      </w:r>
      <w:r>
        <w:rPr>
          <w:rFonts w:ascii="Arial" w:eastAsia="Arial" w:hAnsi="Arial" w:cs="Arial"/>
          <w:color w:val="000000"/>
          <w:sz w:val="20"/>
        </w:rPr>
        <w:t xml:space="preserve"> The next month, HUD affirmed the DHR's decision.</w:t>
      </w:r>
    </w:p>
    <w:p w14:paraId="35DF7BB2" w14:textId="77777777" w:rsidR="00D041A2" w:rsidRDefault="00000000">
      <w:pPr>
        <w:pStyle w:val="Normal16"/>
        <w:widowControl w:val="0"/>
        <w:spacing w:before="200" w:line="260" w:lineRule="atLeast"/>
        <w:jc w:val="both"/>
      </w:pPr>
      <w:bookmarkStart w:id="1846" w:name="Bookmark_para_8_14"/>
      <w:bookmarkEnd w:id="1846"/>
      <w:r>
        <w:rPr>
          <w:rFonts w:ascii="Arial" w:eastAsia="Arial" w:hAnsi="Arial" w:cs="Arial"/>
          <w:color w:val="000000"/>
          <w:sz w:val="20"/>
        </w:rPr>
        <w:t xml:space="preserve">On March 19, 2009, Taylor filed suit against the HPHA and Graser in the district court. </w:t>
      </w:r>
      <w:r>
        <w:rPr>
          <w:rFonts w:ascii="Arial" w:eastAsia="Arial" w:hAnsi="Arial" w:cs="Arial"/>
          <w:b/>
          <w:color w:val="000000"/>
          <w:sz w:val="20"/>
        </w:rPr>
        <w:t>[A 6]</w:t>
      </w:r>
      <w:r>
        <w:rPr>
          <w:rFonts w:ascii="Arial" w:eastAsia="Arial" w:hAnsi="Arial" w:cs="Arial"/>
          <w:color w:val="000000"/>
          <w:sz w:val="20"/>
        </w:rPr>
        <w:t xml:space="preserve"> She raised a failure to accommodate claim under the FHA as well as state law claims of trespass to real property, trespass to chattels, and conversion. </w:t>
      </w:r>
      <w:bookmarkStart w:id="1847" w:name="Bookmark_I56F469G28T3W50020000400"/>
      <w:bookmarkEnd w:id="1847"/>
      <w:r>
        <w:rPr>
          <w:rFonts w:ascii="Arial" w:eastAsia="Arial" w:hAnsi="Arial" w:cs="Arial"/>
          <w:i/>
          <w:color w:val="000000"/>
          <w:sz w:val="20"/>
        </w:rPr>
        <w:t>See</w:t>
      </w:r>
      <w:r>
        <w:rPr>
          <w:rFonts w:ascii="Arial" w:eastAsia="Arial" w:hAnsi="Arial" w:cs="Arial"/>
          <w:color w:val="000000"/>
          <w:sz w:val="20"/>
        </w:rPr>
        <w:t xml:space="preserve"> 42 U.S.C. §§ 3601 </w:t>
      </w:r>
      <w:r>
        <w:rPr>
          <w:rFonts w:ascii="Arial" w:eastAsia="Arial" w:hAnsi="Arial" w:cs="Arial"/>
          <w:i/>
          <w:color w:val="000000"/>
          <w:sz w:val="20"/>
        </w:rPr>
        <w:t>et seq</w:t>
      </w:r>
      <w:r>
        <w:rPr>
          <w:rFonts w:ascii="Arial" w:eastAsia="Arial" w:hAnsi="Arial" w:cs="Arial"/>
          <w:color w:val="000000"/>
          <w:sz w:val="20"/>
        </w:rPr>
        <w:t xml:space="preserve">. At the close of discovery, the HPHA and Graser moved for summary judgment. </w:t>
      </w:r>
      <w:r>
        <w:rPr>
          <w:rFonts w:ascii="Arial" w:eastAsia="Arial" w:hAnsi="Arial" w:cs="Arial"/>
          <w:b/>
          <w:color w:val="000000"/>
          <w:sz w:val="20"/>
        </w:rPr>
        <w:t>[A 22]</w:t>
      </w:r>
      <w:r>
        <w:rPr>
          <w:rFonts w:ascii="Arial" w:eastAsia="Arial" w:hAnsi="Arial" w:cs="Arial"/>
          <w:color w:val="000000"/>
          <w:sz w:val="20"/>
        </w:rPr>
        <w:t xml:space="preserve"> The district court granted that motion after concluding that Taylor had never requested reasonable accommodation, as was required for her to establish a prima facie claim of failure to accommodate, and declined to exercise supplemental jurisdiction over Taylor's state law claims. </w:t>
      </w:r>
      <w:r>
        <w:rPr>
          <w:rFonts w:ascii="Arial" w:eastAsia="Arial" w:hAnsi="Arial" w:cs="Arial"/>
          <w:b/>
          <w:color w:val="000000"/>
          <w:sz w:val="20"/>
        </w:rPr>
        <w:t>[SPA 1-13]</w:t>
      </w:r>
      <w:r>
        <w:rPr>
          <w:rFonts w:ascii="Arial" w:eastAsia="Arial" w:hAnsi="Arial" w:cs="Arial"/>
          <w:color w:val="000000"/>
          <w:sz w:val="20"/>
        </w:rPr>
        <w:t xml:space="preserve"> </w:t>
      </w:r>
      <w:bookmarkStart w:id="1848" w:name="Bookmark_I56F469G28T3W50010000400"/>
      <w:bookmarkEnd w:id="1848"/>
      <w:r>
        <w:rPr>
          <w:rFonts w:ascii="Arial" w:eastAsia="Arial" w:hAnsi="Arial" w:cs="Arial"/>
          <w:i/>
          <w:color w:val="000000"/>
          <w:sz w:val="20"/>
        </w:rPr>
        <w:t>Taylor v. Harbour Pointe Homeowners Ass'n</w:t>
      </w:r>
      <w:r>
        <w:rPr>
          <w:rFonts w:ascii="Arial" w:eastAsia="Arial" w:hAnsi="Arial" w:cs="Arial"/>
          <w:color w:val="000000"/>
          <w:sz w:val="20"/>
        </w:rPr>
        <w:t>, No. 09-cv-257, 2011 U.S. Dist. LEXIS 16148, at *12, 2011 WL 673903, at *7 (W.D.N.Y. Feb. 17, 2011).</w:t>
      </w:r>
    </w:p>
    <w:p w14:paraId="599928EA" w14:textId="77777777" w:rsidR="00D041A2" w:rsidRDefault="00000000">
      <w:pPr>
        <w:pStyle w:val="Normal16"/>
        <w:widowControl w:val="0"/>
        <w:spacing w:before="200" w:line="260" w:lineRule="atLeast"/>
        <w:jc w:val="both"/>
      </w:pPr>
      <w:bookmarkStart w:id="1849" w:name="Bookmark_para_9_13"/>
      <w:bookmarkStart w:id="1850" w:name="Bookmark_I56F469G28T3W50040000400"/>
      <w:bookmarkEnd w:id="1849"/>
      <w:bookmarkEnd w:id="1850"/>
      <w:r>
        <w:rPr>
          <w:rFonts w:ascii="Arial" w:eastAsia="Arial" w:hAnsi="Arial" w:cs="Arial"/>
          <w:color w:val="000000"/>
          <w:sz w:val="20"/>
        </w:rPr>
        <w:t xml:space="preserve">After  [**6] judgment was entered against Taylor, the HPHA and Graser moved under </w:t>
      </w:r>
      <w:bookmarkStart w:id="1851" w:name="Bookmark_LNHNREFclscc2_10"/>
      <w:bookmarkEnd w:id="1851"/>
      <w:r>
        <w:rPr>
          <w:rFonts w:ascii="Arial" w:eastAsia="Arial" w:hAnsi="Arial" w:cs="Arial"/>
          <w:color w:val="000000"/>
          <w:sz w:val="20"/>
        </w:rPr>
        <w:t xml:space="preserve">42 U.S.C. § 3613(c)(2), which allows district courts in their discretion to award reasonable attorneys' fees and costs to the prevailing party in an action brought under the FHA. </w:t>
      </w:r>
      <w:r>
        <w:rPr>
          <w:rFonts w:ascii="Arial" w:eastAsia="Arial" w:hAnsi="Arial" w:cs="Arial"/>
          <w:b/>
          <w:color w:val="000000"/>
          <w:sz w:val="20"/>
        </w:rPr>
        <w:t>[A 494]</w:t>
      </w:r>
      <w:r>
        <w:rPr>
          <w:rFonts w:ascii="Arial" w:eastAsia="Arial" w:hAnsi="Arial" w:cs="Arial"/>
          <w:color w:val="000000"/>
          <w:sz w:val="20"/>
        </w:rPr>
        <w:t xml:space="preserve"> Although Taylor had failed to make out a </w:t>
      </w:r>
      <w:r>
        <w:rPr>
          <w:rFonts w:ascii="Arial" w:eastAsia="Arial" w:hAnsi="Arial" w:cs="Arial"/>
          <w:i/>
          <w:color w:val="000000"/>
          <w:sz w:val="20"/>
        </w:rPr>
        <w:t>prima facie</w:t>
      </w:r>
      <w:r>
        <w:rPr>
          <w:rFonts w:ascii="Arial" w:eastAsia="Arial" w:hAnsi="Arial" w:cs="Arial"/>
          <w:color w:val="000000"/>
          <w:sz w:val="20"/>
        </w:rPr>
        <w:t xml:space="preserve"> case for disability discrimination under the FHA, the district court was "reluctant to . . . convert [that] finding into a showing . . . that [Taylor] lacked any reasonable grounds for bringing suit," and determined that Taylor's discrimination claim was not "entirely 'unreasonable or without foundation.'" </w:t>
      </w:r>
      <w:bookmarkStart w:id="1852" w:name="Bookmark_I56F469G28T3W50030000400"/>
      <w:bookmarkEnd w:id="1852"/>
      <w:r>
        <w:rPr>
          <w:rFonts w:ascii="Arial" w:eastAsia="Arial" w:hAnsi="Arial" w:cs="Arial"/>
          <w:i/>
          <w:color w:val="000000"/>
          <w:sz w:val="20"/>
        </w:rPr>
        <w:t>Taylor v. Harbour Pointe Homeowners Ass'n</w:t>
      </w:r>
      <w:r>
        <w:rPr>
          <w:rFonts w:ascii="Arial" w:eastAsia="Arial" w:hAnsi="Arial" w:cs="Arial"/>
          <w:color w:val="000000"/>
          <w:sz w:val="20"/>
        </w:rPr>
        <w:t xml:space="preserve">, No. 09-cv-257, 2011 U.S. Dist. LEXIS 48739, at *7-8, 2011 WL 1792766, at *3 (W.D.N.Y. May 6, 2011) (quoting </w:t>
      </w:r>
      <w:bookmarkStart w:id="1853" w:name="Bookmark_I56F469G28T3W50050000400"/>
      <w:bookmarkEnd w:id="1853"/>
      <w:r>
        <w:rPr>
          <w:rFonts w:ascii="Arial" w:eastAsia="Arial" w:hAnsi="Arial" w:cs="Arial"/>
          <w:i/>
          <w:color w:val="000000"/>
          <w:sz w:val="20"/>
        </w:rPr>
        <w:t>Christiansburg Garment Co. v. EEOC</w:t>
      </w:r>
      <w:r>
        <w:rPr>
          <w:rFonts w:ascii="Arial" w:eastAsia="Arial" w:hAnsi="Arial" w:cs="Arial"/>
          <w:color w:val="000000"/>
          <w:sz w:val="20"/>
        </w:rPr>
        <w:t xml:space="preserve">, 434 U.S. 412, 422, 98 S. Ct. 694, 54 L. Ed. 2d 648 (1978)). </w:t>
      </w:r>
      <w:r>
        <w:rPr>
          <w:rFonts w:ascii="Arial" w:eastAsia="Arial" w:hAnsi="Arial" w:cs="Arial"/>
          <w:b/>
          <w:color w:val="000000"/>
          <w:sz w:val="20"/>
        </w:rPr>
        <w:t>[SPA 19.]</w:t>
      </w:r>
      <w:r>
        <w:rPr>
          <w:rFonts w:ascii="Arial" w:eastAsia="Arial" w:hAnsi="Arial" w:cs="Arial"/>
          <w:color w:val="000000"/>
          <w:sz w:val="20"/>
        </w:rPr>
        <w:t xml:space="preserve"> The parties filed cross-appeals, with Taylor challenging the district court's determination on the merits and the HPHA and Graser challenging the district court's denial of their application for attorneys' fees.</w:t>
      </w:r>
    </w:p>
    <w:p w14:paraId="63C37D43" w14:textId="77777777" w:rsidR="00D041A2" w:rsidRDefault="00000000">
      <w:pPr>
        <w:pStyle w:val="Normal16"/>
        <w:widowControl w:val="0"/>
        <w:spacing w:before="240" w:line="260" w:lineRule="atLeast"/>
      </w:pPr>
      <w:r>
        <w:br/>
      </w:r>
      <w:r>
        <w:rPr>
          <w:rFonts w:ascii="Arial" w:eastAsia="Arial" w:hAnsi="Arial" w:cs="Arial"/>
          <w:b/>
          <w:color w:val="000000"/>
          <w:sz w:val="20"/>
        </w:rPr>
        <w:t>DISCUSSION</w:t>
      </w:r>
    </w:p>
    <w:p w14:paraId="5DA94E87" w14:textId="77777777" w:rsidR="00D041A2" w:rsidRDefault="00000000">
      <w:pPr>
        <w:pStyle w:val="Normal16"/>
        <w:widowControl w:val="0"/>
        <w:spacing w:before="200" w:line="260" w:lineRule="atLeast"/>
        <w:jc w:val="both"/>
      </w:pPr>
      <w:bookmarkStart w:id="1854" w:name="Bookmark_para_10_13"/>
      <w:bookmarkEnd w:id="1854"/>
      <w:r>
        <w:rPr>
          <w:rFonts w:ascii="Arial" w:eastAsia="Arial" w:hAnsi="Arial" w:cs="Arial"/>
          <w:color w:val="000000"/>
          <w:sz w:val="20"/>
        </w:rPr>
        <w:t>As a threshold matter, we turn to the HPHA and Graser's argument that we should strike Taylor's brief and dismiss her appeal for failure to comply with Rule 28 of the Federal Rules of Appellate Procedure  [**7] as well as Local Rule 28.1.</w:t>
      </w:r>
    </w:p>
    <w:p w14:paraId="43366D0E" w14:textId="77777777" w:rsidR="00D041A2" w:rsidRDefault="00000000">
      <w:pPr>
        <w:pStyle w:val="Normal16"/>
        <w:widowControl w:val="0"/>
        <w:spacing w:before="200" w:line="260" w:lineRule="atLeast"/>
        <w:jc w:val="both"/>
      </w:pPr>
      <w:bookmarkStart w:id="1855" w:name="Bookmark_para_11_12"/>
      <w:bookmarkStart w:id="1856" w:name="Bookmark_LNHNREFclscc3_10"/>
      <w:bookmarkEnd w:id="1855"/>
      <w:bookmarkEnd w:id="1856"/>
      <w:r>
        <w:rPr>
          <w:rFonts w:ascii="Arial" w:eastAsia="Arial" w:hAnsi="Arial" w:cs="Arial"/>
          <w:color w:val="000000"/>
          <w:sz w:val="20"/>
        </w:rPr>
        <w:t>Rule 28(a) requires an appellant's brief to contain, "under appropriate headings and in the order indicated," among other things,</w:t>
      </w:r>
    </w:p>
    <w:p w14:paraId="1A028E07" w14:textId="77777777" w:rsidR="00D041A2" w:rsidRDefault="00000000">
      <w:pPr>
        <w:pStyle w:val="Normal16"/>
        <w:widowControl w:val="0"/>
        <w:spacing w:before="200" w:line="260" w:lineRule="atLeast"/>
        <w:ind w:left="400"/>
        <w:jc w:val="both"/>
      </w:pPr>
      <w:bookmarkStart w:id="1857" w:name="Bookmark_para_12_11"/>
      <w:bookmarkEnd w:id="1857"/>
      <w:r>
        <w:rPr>
          <w:rFonts w:ascii="Arial" w:eastAsia="Arial" w:hAnsi="Arial" w:cs="Arial"/>
          <w:color w:val="000000"/>
          <w:sz w:val="20"/>
        </w:rPr>
        <w:t>(4) a jurisdictional statement . . . ; (5) a statement of the issues presented for review; (6) a statement of the case briefly indicating the nature of the case, the course of proceedings, and the disposition below; (7) a statement of facts relevant to the issues submitted for review with appropriate references to the record . . . ; (8) a summary of the argument, which must contain a succinct, clear, and accurate statement of the arguments made in the body of the brief . . . ;  [*48]  [and] (9) the argument, which must contain . . . (B) for each issue, a concise statement of the applicable standard of review.</w:t>
      </w:r>
    </w:p>
    <w:p w14:paraId="6F0F5125" w14:textId="77777777" w:rsidR="00D041A2" w:rsidRDefault="00000000">
      <w:pPr>
        <w:pStyle w:val="Normal16"/>
        <w:widowControl w:val="0"/>
        <w:spacing w:line="260" w:lineRule="atLeast"/>
        <w:jc w:val="both"/>
      </w:pPr>
      <w:r>
        <w:rPr>
          <w:rFonts w:ascii="Arial" w:eastAsia="Arial" w:hAnsi="Arial" w:cs="Arial"/>
          <w:color w:val="000000"/>
          <w:sz w:val="20"/>
        </w:rPr>
        <w:t>Fed. R. App. P. 28(a). In addition, Local Rule 28.1(a) states the following: "A brief must be concise, logically arranged with proper headings, and free of irrelevant matter. The court may disregard a brief that does not comply with this rule."</w:t>
      </w:r>
    </w:p>
    <w:p w14:paraId="39A8F7E5" w14:textId="77777777" w:rsidR="00D041A2" w:rsidRDefault="00000000">
      <w:pPr>
        <w:pStyle w:val="Normal16"/>
        <w:widowControl w:val="0"/>
        <w:spacing w:before="200" w:line="260" w:lineRule="atLeast"/>
        <w:jc w:val="both"/>
      </w:pPr>
      <w:bookmarkStart w:id="1858" w:name="Bookmark_para_13_10"/>
      <w:bookmarkStart w:id="1859" w:name="Bookmark_I56F469G2N1PXR0030000400"/>
      <w:bookmarkStart w:id="1860" w:name="Bookmark_I56F469G2N1PXR0050000400"/>
      <w:bookmarkStart w:id="1861" w:name="Bookmark_LNHNREFclscc4_10"/>
      <w:bookmarkEnd w:id="1858"/>
      <w:bookmarkEnd w:id="1859"/>
      <w:bookmarkEnd w:id="1860"/>
      <w:bookmarkEnd w:id="1861"/>
      <w:r>
        <w:rPr>
          <w:rFonts w:ascii="Arial" w:eastAsia="Arial" w:hAnsi="Arial" w:cs="Arial"/>
          <w:color w:val="000000"/>
          <w:sz w:val="20"/>
        </w:rPr>
        <w:t xml:space="preserve">An appellant's failure to comply with Rule 28 invites dismissal of the appeal. </w:t>
      </w:r>
      <w:bookmarkStart w:id="1862" w:name="Bookmark_I56F469G2D6NBM0010000400"/>
      <w:bookmarkEnd w:id="1862"/>
      <w:r>
        <w:rPr>
          <w:rFonts w:ascii="Arial" w:eastAsia="Arial" w:hAnsi="Arial" w:cs="Arial"/>
          <w:color w:val="000000"/>
          <w:sz w:val="20"/>
        </w:rPr>
        <w:t xml:space="preserve">For instance, in </w:t>
      </w:r>
      <w:r>
        <w:rPr>
          <w:rFonts w:ascii="Arial" w:eastAsia="Arial" w:hAnsi="Arial" w:cs="Arial"/>
          <w:i/>
          <w:color w:val="000000"/>
          <w:sz w:val="20"/>
        </w:rPr>
        <w:t>Ernst Haas Studio v. Palm Press, Inc</w:t>
      </w:r>
      <w:r>
        <w:rPr>
          <w:rFonts w:ascii="Arial" w:eastAsia="Arial" w:hAnsi="Arial" w:cs="Arial"/>
          <w:color w:val="000000"/>
          <w:sz w:val="20"/>
        </w:rPr>
        <w:t xml:space="preserve">., we dismissed the appeal where the appellant's brief failed  [**8] to cite a single statute or court decision on point or present "a coherent legal theory . . . that would sustain the complaint." </w:t>
      </w:r>
      <w:bookmarkStart w:id="1863" w:name="Bookmark_I56F469G2N1PXR0020000400"/>
      <w:bookmarkEnd w:id="1863"/>
      <w:r>
        <w:rPr>
          <w:rFonts w:ascii="Arial" w:eastAsia="Arial" w:hAnsi="Arial" w:cs="Arial"/>
          <w:color w:val="000000"/>
          <w:sz w:val="20"/>
        </w:rPr>
        <w:t xml:space="preserve">164 F.3d 110, 111-12 (2d Cir. 1999) (per curiam). The appellant's brief was so deficient as to amount to "an invitation to the court to scour the record, research any legal theory that comes to mind, and serve generally as an advocate for appellant." </w:t>
      </w:r>
      <w:bookmarkStart w:id="1864" w:name="Bookmark_I56F469G2N1PXR0040000400"/>
      <w:bookmarkEnd w:id="1864"/>
      <w:r>
        <w:rPr>
          <w:rFonts w:ascii="Arial" w:eastAsia="Arial" w:hAnsi="Arial" w:cs="Arial"/>
          <w:i/>
          <w:color w:val="000000"/>
          <w:sz w:val="20"/>
        </w:rPr>
        <w:t>Id</w:t>
      </w:r>
      <w:r>
        <w:rPr>
          <w:rFonts w:ascii="Arial" w:eastAsia="Arial" w:hAnsi="Arial" w:cs="Arial"/>
          <w:color w:val="000000"/>
          <w:sz w:val="20"/>
        </w:rPr>
        <w:t xml:space="preserve">. at 112; </w:t>
      </w:r>
      <w:r>
        <w:rPr>
          <w:rFonts w:ascii="Arial" w:eastAsia="Arial" w:hAnsi="Arial" w:cs="Arial"/>
          <w:i/>
          <w:color w:val="000000"/>
          <w:sz w:val="20"/>
        </w:rPr>
        <w:t xml:space="preserve">see also </w:t>
      </w:r>
      <w:bookmarkStart w:id="1865" w:name="Bookmark_I56F469G2D6NBK0010000400"/>
      <w:bookmarkEnd w:id="1865"/>
      <w:r>
        <w:rPr>
          <w:rFonts w:ascii="Arial" w:eastAsia="Arial" w:hAnsi="Arial" w:cs="Arial"/>
          <w:i/>
          <w:color w:val="000000"/>
          <w:sz w:val="20"/>
        </w:rPr>
        <w:t>Murray v. Mitsubishi Motors of N. Am</w:t>
      </w:r>
      <w:r>
        <w:rPr>
          <w:rFonts w:ascii="Arial" w:eastAsia="Arial" w:hAnsi="Arial" w:cs="Arial"/>
          <w:color w:val="000000"/>
          <w:sz w:val="20"/>
        </w:rPr>
        <w:t xml:space="preserve">., 462 F. App'x 88, 91(2d Cir. 2012) (summary order) (noting that "noncompliance warrants dismissal of the appeal" and dismissing case where "brief borders on the incomprehensible"); </w:t>
      </w:r>
      <w:bookmarkStart w:id="1866" w:name="Bookmark_I56F469G2D6NBK0030000400"/>
      <w:bookmarkEnd w:id="1866"/>
      <w:r>
        <w:rPr>
          <w:rFonts w:ascii="Arial" w:eastAsia="Arial" w:hAnsi="Arial" w:cs="Arial"/>
          <w:i/>
          <w:color w:val="000000"/>
          <w:sz w:val="20"/>
        </w:rPr>
        <w:t>Sioson v. Knights of Columbus</w:t>
      </w:r>
      <w:r>
        <w:rPr>
          <w:rFonts w:ascii="Arial" w:eastAsia="Arial" w:hAnsi="Arial" w:cs="Arial"/>
          <w:color w:val="000000"/>
          <w:sz w:val="20"/>
        </w:rPr>
        <w:t xml:space="preserve">, 303 F.3d 458, 459-60 (2d Cir. 2002) (per curiam) (dismissing appeal where brief lacked statement of facts, summary of argument, and legal argument sections). </w:t>
      </w:r>
      <w:bookmarkStart w:id="1867" w:name="Bookmark_I56F469G2D6NBM0010000400_2"/>
      <w:bookmarkEnd w:id="1867"/>
      <w:r>
        <w:rPr>
          <w:rFonts w:ascii="Arial" w:eastAsia="Arial" w:hAnsi="Arial" w:cs="Arial"/>
          <w:color w:val="000000"/>
          <w:sz w:val="20"/>
        </w:rPr>
        <w:t xml:space="preserve">At other times, where the failure to comply with Rule 28 was not so stark, we have reached the merits because "declining to consider th[e] appeal would unfairly penalize plaintiffs for [their attorney's] failings as an advocate." </w:t>
      </w:r>
      <w:bookmarkStart w:id="1868" w:name="Bookmark_I56F469G2D6NBK0050000400"/>
      <w:bookmarkEnd w:id="1868"/>
      <w:r>
        <w:rPr>
          <w:rFonts w:ascii="Arial" w:eastAsia="Arial" w:hAnsi="Arial" w:cs="Arial"/>
          <w:i/>
          <w:color w:val="000000"/>
          <w:sz w:val="20"/>
        </w:rPr>
        <w:t>Amnesty Am. v. Town of W. Hartford</w:t>
      </w:r>
      <w:r>
        <w:rPr>
          <w:rFonts w:ascii="Arial" w:eastAsia="Arial" w:hAnsi="Arial" w:cs="Arial"/>
          <w:color w:val="000000"/>
          <w:sz w:val="20"/>
        </w:rPr>
        <w:t>, 361 F.3d 113, 133 (2d Cir. 2004).</w:t>
      </w:r>
    </w:p>
    <w:p w14:paraId="223AE4FC" w14:textId="77777777" w:rsidR="00D041A2" w:rsidRDefault="00000000">
      <w:pPr>
        <w:pStyle w:val="Normal16"/>
        <w:widowControl w:val="0"/>
        <w:spacing w:before="200" w:line="260" w:lineRule="atLeast"/>
        <w:jc w:val="both"/>
      </w:pPr>
      <w:bookmarkStart w:id="1869" w:name="Bookmark_para_14_9"/>
      <w:bookmarkEnd w:id="1869"/>
      <w:r>
        <w:rPr>
          <w:rFonts w:ascii="Arial" w:eastAsia="Arial" w:hAnsi="Arial" w:cs="Arial"/>
          <w:color w:val="000000"/>
          <w:sz w:val="20"/>
        </w:rPr>
        <w:t>Taylor's brief utterly fails to comply with Rule 28 and Local Rule 28.1. The brief contains  [**9] no jurisdictional statement and nowhere indicates the applicable standards of review. Instead of a statement of the issues, statement of the case, statement of facts, and summary of argument, Taylor's brief has a short "Preliminary Statement." That statement does not identify specific, discrete issues, and instead offers a scattered summary of Taylor's legal argument and facts, without citations to the record. Lastly, in lieu of the sort of narrative factual summary that generally constitutes a statement of facts, Taylor's brief has a bulleted "Summary of Facts Relating to the Request for Accommodation" that contains various factual assertions and legal arguments. Some of those bulleted points cite to the record and some do not. In her reply brief, rather than acknowledging or correcting her brief's deficiencies, Taylor "contends that the preliminary statement succinctly encompasses th[e] very points" that Rule 28 requires. We disagree. Taylor's brief falls woefully short of complying with either Rule 28 or Local Rule 28.1. Considering those failures and, as discussed below, the utter lack of merit of Taylor's claims, dismissal would not "unfairly penalize" Taylor — an attorney — for  [**10] her attorney's shortcomings. Accordingly her appeal is dismissed.</w:t>
      </w:r>
    </w:p>
    <w:p w14:paraId="486F5463" w14:textId="77777777" w:rsidR="00D041A2" w:rsidRDefault="00000000">
      <w:pPr>
        <w:pStyle w:val="Normal16"/>
        <w:widowControl w:val="0"/>
        <w:spacing w:before="200" w:line="260" w:lineRule="atLeast"/>
        <w:jc w:val="both"/>
      </w:pPr>
      <w:bookmarkStart w:id="1870" w:name="Bookmark_para_15_9"/>
      <w:bookmarkEnd w:id="1870"/>
      <w:r>
        <w:rPr>
          <w:rFonts w:ascii="Arial" w:eastAsia="Arial" w:hAnsi="Arial" w:cs="Arial"/>
          <w:color w:val="000000"/>
          <w:sz w:val="20"/>
        </w:rPr>
        <w:t xml:space="preserve">Turning to the question whether the HPHA and Graser are entitled to an award of attorneys' fees, our analysis of the cross-appeal begins with an inspection of Taylor's now-dismissed appeal. Taylor claims that the defendants violated her rights under the FHA, and specifically that they "denied Ms. Taylor facilities and services that she was due as a member of the [HPHA] by . . . failing to accommodate Plaintiff Suzanne Taylor for her disability." </w:t>
      </w:r>
      <w:r>
        <w:rPr>
          <w:rFonts w:ascii="Arial" w:eastAsia="Arial" w:hAnsi="Arial" w:cs="Arial"/>
          <w:b/>
          <w:color w:val="000000"/>
          <w:sz w:val="20"/>
        </w:rPr>
        <w:t>[A 12.]</w:t>
      </w:r>
      <w:r>
        <w:rPr>
          <w:rFonts w:ascii="Arial" w:eastAsia="Arial" w:hAnsi="Arial" w:cs="Arial"/>
          <w:color w:val="000000"/>
          <w:sz w:val="20"/>
        </w:rPr>
        <w:t xml:space="preserve"> She argues that the HPHA and Graser could and should have left her free to manage her cluttered patio on her own and that, when Graser, Cramp, and Woepperer cleaned up the patio, they discriminated  [*49]  against her by refusing to accommodate her depression by letting her manage her messy patio in her own manner.</w:t>
      </w:r>
    </w:p>
    <w:p w14:paraId="720546AF" w14:textId="77777777" w:rsidR="00D041A2" w:rsidRDefault="00000000">
      <w:pPr>
        <w:pStyle w:val="Normal16"/>
        <w:widowControl w:val="0"/>
        <w:spacing w:before="200" w:line="260" w:lineRule="atLeast"/>
        <w:jc w:val="both"/>
      </w:pPr>
      <w:bookmarkStart w:id="1871" w:name="Bookmark_para_16_9"/>
      <w:bookmarkStart w:id="1872" w:name="Bookmark_I56F469G2D6NBM0030000400"/>
      <w:bookmarkStart w:id="1873" w:name="Bookmark_LNHNREFclscc5_10"/>
      <w:bookmarkEnd w:id="1871"/>
      <w:bookmarkEnd w:id="1872"/>
      <w:bookmarkEnd w:id="1873"/>
      <w:r>
        <w:rPr>
          <w:rFonts w:ascii="Arial" w:eastAsia="Arial" w:hAnsi="Arial" w:cs="Arial"/>
          <w:color w:val="000000"/>
          <w:sz w:val="20"/>
        </w:rPr>
        <w:t xml:space="preserve">The FHA makes it unlawful "[t]o discriminate in the sale or rental, or to otherwise make unavailable or deny, a dwelling to any buyer or renter because of a handicap." 42 U.S.C. § 3604(f)(1). </w:t>
      </w:r>
      <w:bookmarkStart w:id="1874" w:name="Bookmark_I56F469G2D6NBM0050000400"/>
      <w:bookmarkEnd w:id="1874"/>
      <w:r>
        <w:rPr>
          <w:rFonts w:ascii="Arial" w:eastAsia="Arial" w:hAnsi="Arial" w:cs="Arial"/>
          <w:color w:val="000000"/>
          <w:sz w:val="20"/>
        </w:rPr>
        <w:t xml:space="preserve">The statute requires "that covered entities make reasonable accommodations in order to provide qualified individuals with an equal opportunity to receive benefits from or to participate  [**11] in programs run by such entities." </w:t>
      </w:r>
      <w:bookmarkStart w:id="1875" w:name="Bookmark_I56F469G2D6NBM0020000400"/>
      <w:bookmarkEnd w:id="1875"/>
      <w:r>
        <w:rPr>
          <w:rFonts w:ascii="Arial" w:eastAsia="Arial" w:hAnsi="Arial" w:cs="Arial"/>
          <w:i/>
          <w:color w:val="000000"/>
          <w:sz w:val="20"/>
        </w:rPr>
        <w:t>Reg'l Econ. Cmty. Action Program, Inc. v. City of Middletown</w:t>
      </w:r>
      <w:r>
        <w:rPr>
          <w:rFonts w:ascii="Arial" w:eastAsia="Arial" w:hAnsi="Arial" w:cs="Arial"/>
          <w:color w:val="000000"/>
          <w:sz w:val="20"/>
        </w:rPr>
        <w:t xml:space="preserve">, 294 F.3d 35, 45 (2d Cir. 2002). </w:t>
      </w:r>
      <w:bookmarkStart w:id="1876" w:name="Bookmark_I56F469G2D6NBN0020000400"/>
      <w:bookmarkEnd w:id="1876"/>
      <w:r>
        <w:rPr>
          <w:rFonts w:ascii="Arial" w:eastAsia="Arial" w:hAnsi="Arial" w:cs="Arial"/>
          <w:color w:val="000000"/>
          <w:sz w:val="20"/>
        </w:rPr>
        <w:t xml:space="preserve">Under the FHA, an entity engages in discrimination if it refuses to make "reasonable accommodations in rules, policies, practices or services, when such accommodations may be necessary to afford [a handicapped person] equal opportunity to use and enjoy a dwelling." 42 U.S.C. § 3604(f)(3)(B). </w:t>
      </w:r>
      <w:bookmarkStart w:id="1877" w:name="Bookmark_I56F469G2D6NBN0020000400_2"/>
      <w:bookmarkStart w:id="1878" w:name="Bookmark_I56F469G2D6NBM0050000400_2"/>
      <w:bookmarkEnd w:id="1877"/>
      <w:bookmarkEnd w:id="1878"/>
      <w:r>
        <w:rPr>
          <w:rFonts w:ascii="Arial" w:eastAsia="Arial" w:hAnsi="Arial" w:cs="Arial"/>
          <w:color w:val="000000"/>
          <w:sz w:val="20"/>
        </w:rPr>
        <w:t xml:space="preserve">The statute requires "that changes be made to such traditional rules or practices if necessary to permit a person with handicaps an equal opportunity to use and enjoy a dwelling." </w:t>
      </w:r>
      <w:bookmarkStart w:id="1879" w:name="Bookmark_I56F469G2D6NBM0040000400"/>
      <w:bookmarkEnd w:id="1879"/>
      <w:r>
        <w:rPr>
          <w:rFonts w:ascii="Arial" w:eastAsia="Arial" w:hAnsi="Arial" w:cs="Arial"/>
          <w:i/>
          <w:color w:val="000000"/>
          <w:sz w:val="20"/>
        </w:rPr>
        <w:t>Shapiro v. Cadman Towers, Inc</w:t>
      </w:r>
      <w:r>
        <w:rPr>
          <w:rFonts w:ascii="Arial" w:eastAsia="Arial" w:hAnsi="Arial" w:cs="Arial"/>
          <w:color w:val="000000"/>
          <w:sz w:val="20"/>
        </w:rPr>
        <w:t xml:space="preserve">., 51 F.3d 328, 333 (2d Cir. 1995) (quoting H.R. Rep. No. 100-711, at 25 (1988), </w:t>
      </w:r>
      <w:r>
        <w:rPr>
          <w:rFonts w:ascii="Arial" w:eastAsia="Arial" w:hAnsi="Arial" w:cs="Arial"/>
          <w:i/>
          <w:color w:val="000000"/>
          <w:sz w:val="20"/>
        </w:rPr>
        <w:t>reprinted in</w:t>
      </w:r>
      <w:r>
        <w:rPr>
          <w:rFonts w:ascii="Arial" w:eastAsia="Arial" w:hAnsi="Arial" w:cs="Arial"/>
          <w:color w:val="000000"/>
          <w:sz w:val="20"/>
        </w:rPr>
        <w:t xml:space="preserve"> 1988 U.S.C.C.A.N. 2173, 2186). A defendant must incur reasonable costs and take modest, affirmative steps to accommodate the handicapped as long as the accommodations sought "do not pose an undue hardship or a substantial burden." </w:t>
      </w:r>
      <w:bookmarkStart w:id="1880" w:name="Bookmark_I56F469G2D6NBN0010000400"/>
      <w:bookmarkEnd w:id="1880"/>
      <w:r>
        <w:rPr>
          <w:rFonts w:ascii="Arial" w:eastAsia="Arial" w:hAnsi="Arial" w:cs="Arial"/>
          <w:i/>
          <w:color w:val="000000"/>
          <w:sz w:val="20"/>
        </w:rPr>
        <w:t>Id</w:t>
      </w:r>
      <w:r>
        <w:rPr>
          <w:rFonts w:ascii="Arial" w:eastAsia="Arial" w:hAnsi="Arial" w:cs="Arial"/>
          <w:color w:val="000000"/>
          <w:sz w:val="20"/>
        </w:rPr>
        <w:t>. at 335.</w:t>
      </w:r>
    </w:p>
    <w:p w14:paraId="4F7596EB" w14:textId="77777777" w:rsidR="00D041A2" w:rsidRDefault="00000000">
      <w:pPr>
        <w:pStyle w:val="Normal16"/>
        <w:widowControl w:val="0"/>
        <w:spacing w:before="200" w:line="260" w:lineRule="atLeast"/>
        <w:jc w:val="both"/>
      </w:pPr>
      <w:bookmarkStart w:id="1881" w:name="Bookmark_para_17_9"/>
      <w:bookmarkStart w:id="1882" w:name="Bookmark_I56F469G2D6NBN0040000400"/>
      <w:bookmarkStart w:id="1883" w:name="Bookmark_I56F469G2SF8FM0010000400"/>
      <w:bookmarkStart w:id="1884" w:name="Bookmark_LNHNREFclscc6_10"/>
      <w:bookmarkEnd w:id="1881"/>
      <w:bookmarkEnd w:id="1882"/>
      <w:bookmarkEnd w:id="1883"/>
      <w:bookmarkEnd w:id="1884"/>
      <w:r>
        <w:rPr>
          <w:rFonts w:ascii="Arial" w:eastAsia="Arial" w:hAnsi="Arial" w:cs="Arial"/>
          <w:color w:val="000000"/>
          <w:sz w:val="20"/>
        </w:rPr>
        <w:t xml:space="preserve">To make a prima facie showing in support of her failure to accommodate claim, Taylor was required to give the HPHA and Graser an opportunity to accommodate her. </w:t>
      </w:r>
      <w:r>
        <w:rPr>
          <w:rFonts w:ascii="Arial" w:eastAsia="Arial" w:hAnsi="Arial" w:cs="Arial"/>
          <w:i/>
          <w:color w:val="000000"/>
          <w:sz w:val="20"/>
        </w:rPr>
        <w:t xml:space="preserve">See </w:t>
      </w:r>
      <w:bookmarkStart w:id="1885" w:name="Bookmark_I56F469G2D6NBN0030000400"/>
      <w:bookmarkEnd w:id="1885"/>
      <w:r>
        <w:rPr>
          <w:rFonts w:ascii="Arial" w:eastAsia="Arial" w:hAnsi="Arial" w:cs="Arial"/>
          <w:i/>
          <w:color w:val="000000"/>
          <w:sz w:val="20"/>
        </w:rPr>
        <w:t>Tsombanidis v. W. Haven Fire Dep't</w:t>
      </w:r>
      <w:r>
        <w:rPr>
          <w:rFonts w:ascii="Arial" w:eastAsia="Arial" w:hAnsi="Arial" w:cs="Arial"/>
          <w:color w:val="000000"/>
          <w:sz w:val="20"/>
        </w:rPr>
        <w:t xml:space="preserve">, 352 F.3d 565, 578 (2d Cir. 2003).  [**12] The defendants must have had an idea of what accommodation Taylor sought prior to their incurring liability for failing affirmatively to grant a reasonable accommodation. </w:t>
      </w:r>
      <w:bookmarkStart w:id="1886" w:name="Bookmark_I56F469G2D6NBN0050000400"/>
      <w:bookmarkEnd w:id="1886"/>
      <w:r>
        <w:rPr>
          <w:rFonts w:ascii="Arial" w:eastAsia="Arial" w:hAnsi="Arial" w:cs="Arial"/>
          <w:i/>
          <w:color w:val="000000"/>
          <w:sz w:val="20"/>
        </w:rPr>
        <w:t>Id</w:t>
      </w:r>
      <w:r>
        <w:rPr>
          <w:rFonts w:ascii="Arial" w:eastAsia="Arial" w:hAnsi="Arial" w:cs="Arial"/>
          <w:color w:val="000000"/>
          <w:sz w:val="20"/>
        </w:rPr>
        <w:t xml:space="preserve">. at 579. Here, it is undisputed that Taylor never requested any accommodation. Instead, Taylor conceded at her deposition that she "didn't ask for any special accommodations with regard to the patio because they had no authority to tell me." </w:t>
      </w:r>
      <w:r>
        <w:rPr>
          <w:rFonts w:ascii="Arial" w:eastAsia="Arial" w:hAnsi="Arial" w:cs="Arial"/>
          <w:b/>
          <w:color w:val="000000"/>
          <w:sz w:val="20"/>
        </w:rPr>
        <w:t>[A 104.]</w:t>
      </w:r>
      <w:r>
        <w:rPr>
          <w:rFonts w:ascii="Arial" w:eastAsia="Arial" w:hAnsi="Arial" w:cs="Arial"/>
          <w:color w:val="000000"/>
          <w:sz w:val="20"/>
        </w:rPr>
        <w:t xml:space="preserve"> Taylor also wrote to DHR, in support of her administrative claim, that she "never advised the [HPHA] that [she] required special accommodation, because [she] did not </w:t>
      </w:r>
      <w:r>
        <w:rPr>
          <w:rFonts w:ascii="Arial" w:eastAsia="Arial" w:hAnsi="Arial" w:cs="Arial"/>
          <w:i/>
          <w:color w:val="000000"/>
          <w:sz w:val="20"/>
        </w:rPr>
        <w:t>need</w:t>
      </w:r>
      <w:r>
        <w:rPr>
          <w:rFonts w:ascii="Arial" w:eastAsia="Arial" w:hAnsi="Arial" w:cs="Arial"/>
          <w:color w:val="000000"/>
          <w:sz w:val="20"/>
        </w:rPr>
        <w:t xml:space="preserve"> special accommodation." </w:t>
      </w:r>
      <w:r>
        <w:rPr>
          <w:rFonts w:ascii="Arial" w:eastAsia="Arial" w:hAnsi="Arial" w:cs="Arial"/>
          <w:b/>
          <w:color w:val="000000"/>
          <w:sz w:val="20"/>
        </w:rPr>
        <w:t>[A 181.]</w:t>
      </w:r>
    </w:p>
    <w:p w14:paraId="6D2B8C36" w14:textId="77777777" w:rsidR="00D041A2" w:rsidRDefault="00000000">
      <w:pPr>
        <w:pStyle w:val="Normal16"/>
        <w:widowControl w:val="0"/>
        <w:spacing w:before="200" w:line="260" w:lineRule="atLeast"/>
        <w:jc w:val="both"/>
      </w:pPr>
      <w:bookmarkStart w:id="1887" w:name="Bookmark_para_18_8"/>
      <w:bookmarkEnd w:id="1887"/>
      <w:r>
        <w:rPr>
          <w:rFonts w:ascii="Arial" w:eastAsia="Arial" w:hAnsi="Arial" w:cs="Arial"/>
          <w:color w:val="000000"/>
          <w:sz w:val="20"/>
        </w:rPr>
        <w:t>Taylor's claim fails even in light of her alleged statement to Graser that her "recovery has to be at [her] own pace and [her] own doing because . . . somebody coming and cleaning out my patio, sets me back in my recovery." [A 235] That statement, even if true, was not a request for relief from any HPHA rules or practices, and therefore was not a request that the defendants could have granted or denied.</w:t>
      </w:r>
    </w:p>
    <w:p w14:paraId="3AAEE176" w14:textId="77777777" w:rsidR="00D041A2" w:rsidRDefault="00000000">
      <w:pPr>
        <w:pStyle w:val="Normal16"/>
        <w:widowControl w:val="0"/>
        <w:spacing w:before="200" w:line="260" w:lineRule="atLeast"/>
        <w:jc w:val="both"/>
      </w:pPr>
      <w:bookmarkStart w:id="1888" w:name="Bookmark_para_19_8"/>
      <w:bookmarkEnd w:id="1888"/>
      <w:r>
        <w:rPr>
          <w:rFonts w:ascii="Arial" w:eastAsia="Arial" w:hAnsi="Arial" w:cs="Arial"/>
          <w:color w:val="000000"/>
          <w:sz w:val="20"/>
        </w:rPr>
        <w:t xml:space="preserve">Also, as she herself testified, Taylor had repeatedly given Graser and the HPHA permission to clean up her patio. In 2005, Taylor told Graser that Graser could move items,  [**13] including a barbecue grill, from Taylor's patio into storage. </w:t>
      </w:r>
      <w:r>
        <w:rPr>
          <w:rFonts w:ascii="Arial" w:eastAsia="Arial" w:hAnsi="Arial" w:cs="Arial"/>
          <w:b/>
          <w:color w:val="000000"/>
          <w:sz w:val="20"/>
        </w:rPr>
        <w:t>[A 97, 127.]</w:t>
      </w:r>
      <w:r>
        <w:rPr>
          <w:rFonts w:ascii="Arial" w:eastAsia="Arial" w:hAnsi="Arial" w:cs="Arial"/>
          <w:color w:val="000000"/>
          <w:sz w:val="20"/>
        </w:rPr>
        <w:t xml:space="preserve"> And in 2008, in the days and weeks leading up to the patio cleaning that precipitated this lawsuit, Taylor told Graser that Graser could put up trellises and curtains to block the view of Taylor's patio from the community's main thoroughfare. </w:t>
      </w:r>
      <w:r>
        <w:rPr>
          <w:rFonts w:ascii="Arial" w:eastAsia="Arial" w:hAnsi="Arial" w:cs="Arial"/>
          <w:b/>
          <w:color w:val="000000"/>
          <w:sz w:val="20"/>
        </w:rPr>
        <w:t>[A 134.]</w:t>
      </w:r>
    </w:p>
    <w:p w14:paraId="620C50CB" w14:textId="77777777" w:rsidR="00D041A2" w:rsidRDefault="00000000">
      <w:pPr>
        <w:pStyle w:val="Normal16"/>
        <w:widowControl w:val="0"/>
        <w:spacing w:before="200" w:line="260" w:lineRule="atLeast"/>
        <w:jc w:val="both"/>
      </w:pPr>
      <w:bookmarkStart w:id="1889" w:name="Bookmark_para_20_8"/>
      <w:bookmarkEnd w:id="1889"/>
      <w:r>
        <w:rPr>
          <w:rFonts w:ascii="Arial" w:eastAsia="Arial" w:hAnsi="Arial" w:cs="Arial"/>
          <w:color w:val="000000"/>
          <w:sz w:val="20"/>
        </w:rPr>
        <w:t>In addition, it is not clear what rules or practices Taylor could have sought accommodation from. There is no dispute that, at all relevant times, the HPHA had no policy requiring community residents to maintain their patios in an orderly fashion. Taylor suggests that Graser had a policy of "wheedling and cajoling" Taylor to clean her patio. Far from the nefarious conduct that Taylor suggests, however, the record indicates that Taylor's neighbors acted in  [*50]  what is best described as a neighborly manner. Out of concern for their community's appearance, they directly and honestly communicated their concerns and frustrations about Taylor's patio. When the patio remained messy, they lent their time and effort to clean it. Without Taylor's requesting any accommodation, there was no reason for the defendants or anyone else to believe that such apparently neighborly conduct  [**14] might constitute some sort of discriminatory act, or a harm of any conceivable kind.</w:t>
      </w:r>
      <w:r>
        <w:rPr>
          <w:rFonts w:ascii="Arial" w:eastAsia="Arial" w:hAnsi="Arial" w:cs="Arial"/>
          <w:vertAlign w:val="superscript"/>
        </w:rPr>
        <w:footnoteReference w:customMarkFollows="1" w:id="90"/>
        <w:t>2</w:t>
      </w:r>
    </w:p>
    <w:p w14:paraId="0D846F4A" w14:textId="77777777" w:rsidR="00D041A2" w:rsidRDefault="00000000">
      <w:pPr>
        <w:pStyle w:val="Normal16"/>
        <w:widowControl w:val="0"/>
        <w:spacing w:before="200" w:line="260" w:lineRule="atLeast"/>
        <w:jc w:val="both"/>
      </w:pPr>
      <w:bookmarkStart w:id="1891" w:name="Bookmark_para_21_8"/>
      <w:bookmarkEnd w:id="1891"/>
      <w:r>
        <w:rPr>
          <w:rFonts w:ascii="Arial" w:eastAsia="Arial" w:hAnsi="Arial" w:cs="Arial"/>
          <w:color w:val="000000"/>
          <w:sz w:val="20"/>
        </w:rPr>
        <w:t>In their cross-appeal, the HPHA and Graser contend that the district court abused its discretion when it declined to grant their motion for attorneys' fees and costs. We agree. They further contend that they have spent significant time and money defending against Taylor's FHA claim, which is groundless and frivolous. We again agree.</w:t>
      </w:r>
    </w:p>
    <w:p w14:paraId="2CAE20CF" w14:textId="77777777" w:rsidR="00D041A2" w:rsidRDefault="00000000">
      <w:pPr>
        <w:pStyle w:val="Normal16"/>
        <w:widowControl w:val="0"/>
        <w:spacing w:before="200" w:line="260" w:lineRule="atLeast"/>
        <w:jc w:val="both"/>
      </w:pPr>
      <w:bookmarkStart w:id="1892" w:name="Bookmark_para_22_8"/>
      <w:bookmarkStart w:id="1893" w:name="Bookmark_I56F469G2SF8FM0030000400"/>
      <w:bookmarkStart w:id="1894" w:name="Bookmark_I56F469G2SF8FT0020000400"/>
      <w:bookmarkStart w:id="1895" w:name="Bookmark_LNHNREFclscc7_10"/>
      <w:bookmarkEnd w:id="1892"/>
      <w:bookmarkEnd w:id="1893"/>
      <w:bookmarkEnd w:id="1894"/>
      <w:bookmarkEnd w:id="1895"/>
      <w:r>
        <w:rPr>
          <w:rFonts w:ascii="Arial" w:eastAsia="Arial" w:hAnsi="Arial" w:cs="Arial"/>
          <w:color w:val="000000"/>
          <w:sz w:val="20"/>
        </w:rPr>
        <w:t xml:space="preserve">The FHA provides that a district court may, in its discretion, grant attorneys' fees and costs to the prevailing party in an FHA discrimination case. 42 U.S.C. § 3613(c)(2). </w:t>
      </w:r>
      <w:bookmarkStart w:id="1896" w:name="Bookmark_I56F469G28T3WB0010000400"/>
      <w:bookmarkEnd w:id="1896"/>
      <w:r>
        <w:rPr>
          <w:rFonts w:ascii="Arial" w:eastAsia="Arial" w:hAnsi="Arial" w:cs="Arial"/>
          <w:color w:val="000000"/>
          <w:sz w:val="20"/>
        </w:rPr>
        <w:t xml:space="preserve">Although fees are regularly awarded to prevailing plaintiffs who obtain some significant measure of relief, they are not routinely awarded to prevailing defendants "unless a court finds that his claim was frivolous, unreasonable, or groundless, or that the plaintiff continued to litigate after it clearly became so." </w:t>
      </w:r>
      <w:bookmarkStart w:id="1897" w:name="Bookmark_I56F469G2SF8FM0020000400"/>
      <w:bookmarkEnd w:id="1897"/>
      <w:r>
        <w:rPr>
          <w:rFonts w:ascii="Arial" w:eastAsia="Arial" w:hAnsi="Arial" w:cs="Arial"/>
          <w:i/>
          <w:color w:val="000000"/>
          <w:sz w:val="20"/>
        </w:rPr>
        <w:t>Christiansburg Garment Co</w:t>
      </w:r>
      <w:r>
        <w:rPr>
          <w:rFonts w:ascii="Arial" w:eastAsia="Arial" w:hAnsi="Arial" w:cs="Arial"/>
          <w:color w:val="000000"/>
          <w:sz w:val="20"/>
        </w:rPr>
        <w:t xml:space="preserve">., 434 U.S. at 422; </w:t>
      </w:r>
      <w:r>
        <w:rPr>
          <w:rFonts w:ascii="Arial" w:eastAsia="Arial" w:hAnsi="Arial" w:cs="Arial"/>
          <w:i/>
          <w:color w:val="000000"/>
          <w:sz w:val="20"/>
        </w:rPr>
        <w:t xml:space="preserve">see also </w:t>
      </w:r>
      <w:bookmarkStart w:id="1898" w:name="Bookmark_I56F469G2SF8FM0040000400"/>
      <w:bookmarkEnd w:id="1898"/>
      <w:r>
        <w:rPr>
          <w:rFonts w:ascii="Arial" w:eastAsia="Arial" w:hAnsi="Arial" w:cs="Arial"/>
          <w:i/>
          <w:color w:val="000000"/>
          <w:sz w:val="20"/>
        </w:rPr>
        <w:t>Panetta v. Crowley</w:t>
      </w:r>
      <w:r>
        <w:rPr>
          <w:rFonts w:ascii="Arial" w:eastAsia="Arial" w:hAnsi="Arial" w:cs="Arial"/>
          <w:color w:val="000000"/>
          <w:sz w:val="20"/>
        </w:rPr>
        <w:t xml:space="preserve">, 460 F.3d 388, 399 (2d Cir. 2006). A fee award to a prevailing defendant is appropriate only  [**15] when an action is "'unreasonable, frivolous, meritless or vexatious.'" </w:t>
      </w:r>
      <w:bookmarkStart w:id="1899" w:name="Bookmark_I56F469G2SF8FT0010000400"/>
      <w:bookmarkEnd w:id="1899"/>
      <w:r>
        <w:rPr>
          <w:rFonts w:ascii="Arial" w:eastAsia="Arial" w:hAnsi="Arial" w:cs="Arial"/>
          <w:i/>
          <w:color w:val="000000"/>
          <w:sz w:val="20"/>
        </w:rPr>
        <w:t>Christiansburg Garment Co</w:t>
      </w:r>
      <w:r>
        <w:rPr>
          <w:rFonts w:ascii="Arial" w:eastAsia="Arial" w:hAnsi="Arial" w:cs="Arial"/>
          <w:color w:val="000000"/>
          <w:sz w:val="20"/>
        </w:rPr>
        <w:t xml:space="preserve">., 434 U.S. at 421 (quoting </w:t>
      </w:r>
      <w:bookmarkStart w:id="1900" w:name="Bookmark_I56F469G2SF8FT0030000400"/>
      <w:bookmarkEnd w:id="1900"/>
      <w:r>
        <w:rPr>
          <w:rFonts w:ascii="Arial" w:eastAsia="Arial" w:hAnsi="Arial" w:cs="Arial"/>
          <w:i/>
          <w:color w:val="000000"/>
          <w:sz w:val="20"/>
        </w:rPr>
        <w:t>Carrion v. Yeshiva Univ</w:t>
      </w:r>
      <w:r>
        <w:rPr>
          <w:rFonts w:ascii="Arial" w:eastAsia="Arial" w:hAnsi="Arial" w:cs="Arial"/>
          <w:color w:val="000000"/>
          <w:sz w:val="20"/>
        </w:rPr>
        <w:t xml:space="preserve">., 535 F.2d 722, 727 (2d Cir. 1976)). </w:t>
      </w:r>
      <w:bookmarkStart w:id="1901" w:name="Bookmark_I56F469G28T3WB0010000400_2"/>
      <w:bookmarkEnd w:id="1901"/>
      <w:r>
        <w:rPr>
          <w:rFonts w:ascii="Arial" w:eastAsia="Arial" w:hAnsi="Arial" w:cs="Arial"/>
          <w:color w:val="000000"/>
          <w:sz w:val="20"/>
        </w:rPr>
        <w:t xml:space="preserve">Awarding fees to prevailing defendants under such circumstances "protect[s] defendants from burdensome litigation having no legal or factual basis." </w:t>
      </w:r>
      <w:bookmarkStart w:id="1902" w:name="Bookmark_I56F469G2SF8FT0050000400"/>
      <w:bookmarkEnd w:id="1902"/>
      <w:r>
        <w:rPr>
          <w:rFonts w:ascii="Arial" w:eastAsia="Arial" w:hAnsi="Arial" w:cs="Arial"/>
          <w:i/>
          <w:color w:val="000000"/>
          <w:sz w:val="20"/>
        </w:rPr>
        <w:t>Id</w:t>
      </w:r>
      <w:r>
        <w:rPr>
          <w:rFonts w:ascii="Arial" w:eastAsia="Arial" w:hAnsi="Arial" w:cs="Arial"/>
          <w:color w:val="000000"/>
          <w:sz w:val="20"/>
        </w:rPr>
        <w:t>. at 420.</w:t>
      </w:r>
    </w:p>
    <w:p w14:paraId="2F2D5E25" w14:textId="77777777" w:rsidR="00D041A2" w:rsidRDefault="00000000">
      <w:pPr>
        <w:pStyle w:val="Normal16"/>
        <w:widowControl w:val="0"/>
        <w:spacing w:before="200" w:line="260" w:lineRule="atLeast"/>
        <w:jc w:val="both"/>
      </w:pPr>
      <w:bookmarkStart w:id="1903" w:name="Bookmark_para_23_8"/>
      <w:bookmarkStart w:id="1904" w:name="Bookmark_I56F469G28T3WB0030000400"/>
      <w:bookmarkEnd w:id="1903"/>
      <w:bookmarkEnd w:id="1904"/>
      <w:r>
        <w:rPr>
          <w:rFonts w:ascii="Arial" w:eastAsia="Arial" w:hAnsi="Arial" w:cs="Arial"/>
          <w:color w:val="000000"/>
          <w:sz w:val="20"/>
        </w:rPr>
        <w:t xml:space="preserve">The district court determined that Taylor's claim was not entirely unreasonable or without foundation and, accordingly, the defendants were not entitled to a fee award. Specifically, the court wrote that Taylor "articulated a reasonable basis for her belief that Ms. Graser knew or should have known about [Taylor's] disability, and should have accommodated her disability by honoring her request to be allowed to recover at her own pace without outside interference." </w:t>
      </w:r>
      <w:bookmarkStart w:id="1905" w:name="Bookmark_I56F469G28T3WB0020000400"/>
      <w:bookmarkEnd w:id="1905"/>
      <w:r>
        <w:rPr>
          <w:rFonts w:ascii="Arial" w:eastAsia="Arial" w:hAnsi="Arial" w:cs="Arial"/>
          <w:i/>
          <w:color w:val="000000"/>
          <w:sz w:val="20"/>
        </w:rPr>
        <w:t>Taylor</w:t>
      </w:r>
      <w:r>
        <w:rPr>
          <w:rFonts w:ascii="Arial" w:eastAsia="Arial" w:hAnsi="Arial" w:cs="Arial"/>
          <w:color w:val="000000"/>
          <w:sz w:val="20"/>
        </w:rPr>
        <w:t xml:space="preserve">, 2011 U.S. Dist. LEXIS 48739, at *7, 2011 WL 1792766, at *3. </w:t>
      </w:r>
      <w:r>
        <w:rPr>
          <w:rFonts w:ascii="Arial" w:eastAsia="Arial" w:hAnsi="Arial" w:cs="Arial"/>
          <w:b/>
          <w:color w:val="000000"/>
          <w:sz w:val="20"/>
        </w:rPr>
        <w:t>[SPA 19.]</w:t>
      </w:r>
      <w:r>
        <w:rPr>
          <w:rFonts w:ascii="Arial" w:eastAsia="Arial" w:hAnsi="Arial" w:cs="Arial"/>
          <w:color w:val="000000"/>
          <w:sz w:val="20"/>
        </w:rPr>
        <w:t xml:space="preserve"> </w:t>
      </w:r>
      <w:bookmarkStart w:id="1906" w:name="Bookmark_I56F469G28T3WB0050000400"/>
      <w:bookmarkEnd w:id="1906"/>
      <w:r>
        <w:rPr>
          <w:rFonts w:ascii="Arial" w:eastAsia="Arial" w:hAnsi="Arial" w:cs="Arial"/>
          <w:color w:val="000000"/>
          <w:sz w:val="20"/>
        </w:rPr>
        <w:t xml:space="preserve">As discussed above, however, the record is pellucid that Taylor never requested an accommodation, and therefore the district court was incorrect to criticize the defendants for failing to make one. Even if Graser knew of Taylor's disability, there simply was no way to provide relief from, or an exception to, an HPHA policy that did not exist.  [**16] For that reason, Taylor's claim is meritless. </w:t>
      </w:r>
      <w:bookmarkStart w:id="1907" w:name="Bookmark_LNHNREFclscc8_10"/>
      <w:bookmarkEnd w:id="1907"/>
      <w:r>
        <w:rPr>
          <w:rFonts w:ascii="Arial" w:eastAsia="Arial" w:hAnsi="Arial" w:cs="Arial"/>
          <w:color w:val="000000"/>
          <w:sz w:val="20"/>
        </w:rPr>
        <w:t xml:space="preserve">To be clear, by "meritless" we mean "groundless or without foundation," and not merely that Taylor ultimately lost her case. </w:t>
      </w:r>
      <w:bookmarkStart w:id="1908" w:name="Bookmark_I56F469G28T3WB0040000400"/>
      <w:bookmarkEnd w:id="1908"/>
      <w:r>
        <w:rPr>
          <w:rFonts w:ascii="Arial" w:eastAsia="Arial" w:hAnsi="Arial" w:cs="Arial"/>
          <w:i/>
          <w:color w:val="000000"/>
          <w:sz w:val="20"/>
        </w:rPr>
        <w:t>Christiansburg Garment Co</w:t>
      </w:r>
      <w:r>
        <w:rPr>
          <w:rFonts w:ascii="Arial" w:eastAsia="Arial" w:hAnsi="Arial" w:cs="Arial"/>
          <w:color w:val="000000"/>
          <w:sz w:val="20"/>
        </w:rPr>
        <w:t>., 434 U.S. at 421.</w:t>
      </w:r>
    </w:p>
    <w:p w14:paraId="7A818D13" w14:textId="77777777" w:rsidR="00D041A2" w:rsidRDefault="00000000">
      <w:pPr>
        <w:pStyle w:val="Normal16"/>
        <w:widowControl w:val="0"/>
        <w:spacing w:before="200" w:line="260" w:lineRule="atLeast"/>
        <w:jc w:val="both"/>
      </w:pPr>
      <w:bookmarkStart w:id="1909" w:name="Bookmark_para_24_7"/>
      <w:bookmarkStart w:id="1910" w:name="Bookmark_I56F469G2N1PXX0020000400"/>
      <w:bookmarkEnd w:id="1909"/>
      <w:bookmarkEnd w:id="1910"/>
      <w:r>
        <w:rPr>
          <w:rFonts w:ascii="Arial" w:eastAsia="Arial" w:hAnsi="Arial" w:cs="Arial"/>
          <w:color w:val="000000"/>
          <w:sz w:val="20"/>
        </w:rPr>
        <w:t xml:space="preserve">In addition, our Court has recognized that, </w:t>
      </w:r>
      <w:bookmarkStart w:id="1911" w:name="Bookmark_LNHNREFclscc9_10"/>
      <w:bookmarkEnd w:id="1911"/>
      <w:r>
        <w:rPr>
          <w:rFonts w:ascii="Arial" w:eastAsia="Arial" w:hAnsi="Arial" w:cs="Arial"/>
          <w:color w:val="000000"/>
          <w:sz w:val="20"/>
        </w:rPr>
        <w:t xml:space="preserve">even if a prior proceeding has no preclusive effect, the slate still may not be clean. "[I]n view of the failure of . . . previous litigation," a plaintiff raising "substantially the same charges" is aware of the possibility that her claim lacks merit and that an award of counsel fees to her adversary may be warranted. </w:t>
      </w:r>
      <w:bookmarkStart w:id="1912" w:name="Bookmark_I56F469G2N1PXX0010000400"/>
      <w:bookmarkEnd w:id="1912"/>
      <w:r>
        <w:rPr>
          <w:rFonts w:ascii="Arial" w:eastAsia="Arial" w:hAnsi="Arial" w:cs="Arial"/>
          <w:i/>
          <w:color w:val="000000"/>
          <w:sz w:val="20"/>
        </w:rPr>
        <w:t>Carrion</w:t>
      </w:r>
      <w:r>
        <w:rPr>
          <w:rFonts w:ascii="Arial" w:eastAsia="Arial" w:hAnsi="Arial" w:cs="Arial"/>
          <w:color w:val="000000"/>
          <w:sz w:val="20"/>
        </w:rPr>
        <w:t xml:space="preserve">, 535 F.2d at 728. Here, the baseless nature  [*51]  of Taylor's claim is reinforced by the DHR decision dismissing her administrative complaint. As previously noted, DHR determined that there was no probable cause to support Taylor's housing discrimination claim and that there was no evidence to support a finding that Taylor is disabled, that her messy porch was related to any disability, or that she requested any accommodation. </w:t>
      </w:r>
      <w:r>
        <w:rPr>
          <w:rFonts w:ascii="Arial" w:eastAsia="Arial" w:hAnsi="Arial" w:cs="Arial"/>
          <w:b/>
          <w:color w:val="000000"/>
          <w:sz w:val="20"/>
        </w:rPr>
        <w:t>[A 19-20.]</w:t>
      </w:r>
      <w:r>
        <w:rPr>
          <w:rFonts w:ascii="Arial" w:eastAsia="Arial" w:hAnsi="Arial" w:cs="Arial"/>
          <w:color w:val="000000"/>
          <w:sz w:val="20"/>
        </w:rPr>
        <w:t xml:space="preserve"> While these conclusions did not preclude further litigation, the full extent of legal and factual shortcomings laid bare in the administrative proceedings should have been a powerful  [**17] clue to Taylor, a licensed attorney, that her case had no merit. Furthermore, the fact that Taylor told DHR in writing that she never requested and did not need any special accommodation from the HPHA </w:t>
      </w:r>
      <w:r>
        <w:rPr>
          <w:rFonts w:ascii="Arial" w:eastAsia="Arial" w:hAnsi="Arial" w:cs="Arial"/>
          <w:b/>
          <w:color w:val="000000"/>
          <w:sz w:val="20"/>
        </w:rPr>
        <w:t>[A 181]</w:t>
      </w:r>
      <w:r>
        <w:rPr>
          <w:rFonts w:ascii="Arial" w:eastAsia="Arial" w:hAnsi="Arial" w:cs="Arial"/>
          <w:color w:val="000000"/>
          <w:sz w:val="20"/>
        </w:rPr>
        <w:t xml:space="preserve"> should have been an even more potent signal to her that proceeding with a federal failure to accommodate claim was improper. Nevertheless, Taylor continued to pursue the claim.</w:t>
      </w:r>
    </w:p>
    <w:p w14:paraId="570E17B9" w14:textId="77777777" w:rsidR="00D041A2" w:rsidRDefault="00000000">
      <w:pPr>
        <w:pStyle w:val="Normal16"/>
        <w:widowControl w:val="0"/>
        <w:spacing w:before="200" w:line="260" w:lineRule="atLeast"/>
        <w:jc w:val="both"/>
      </w:pPr>
      <w:bookmarkStart w:id="1913" w:name="Bookmark_para_25_7"/>
      <w:bookmarkEnd w:id="1913"/>
      <w:r>
        <w:rPr>
          <w:rFonts w:ascii="Arial" w:eastAsia="Arial" w:hAnsi="Arial" w:cs="Arial"/>
          <w:color w:val="000000"/>
          <w:sz w:val="20"/>
        </w:rPr>
        <w:t>* * *</w:t>
      </w:r>
    </w:p>
    <w:p w14:paraId="52B0FDEE" w14:textId="77777777" w:rsidR="00D041A2" w:rsidRDefault="00000000">
      <w:pPr>
        <w:pStyle w:val="Normal16"/>
        <w:widowControl w:val="0"/>
        <w:spacing w:before="200" w:line="260" w:lineRule="atLeast"/>
        <w:jc w:val="both"/>
      </w:pPr>
      <w:bookmarkStart w:id="1914" w:name="Bookmark_para_26_7"/>
      <w:bookmarkEnd w:id="1914"/>
      <w:r>
        <w:rPr>
          <w:rFonts w:ascii="Arial" w:eastAsia="Arial" w:hAnsi="Arial" w:cs="Arial"/>
          <w:color w:val="000000"/>
          <w:sz w:val="20"/>
        </w:rPr>
        <w:t>For these reasons, and those articulated above, we conclude that the claim was manifestly without merit and that an award of counsel fees to the defendants is appropriate. We remand to the district court to determine the proper amount of that award.</w:t>
      </w:r>
    </w:p>
    <w:p w14:paraId="6B0A789D" w14:textId="77777777" w:rsidR="00D041A2" w:rsidRDefault="00000000">
      <w:pPr>
        <w:pStyle w:val="Normal16"/>
        <w:widowControl w:val="0"/>
        <w:spacing w:before="240" w:line="260" w:lineRule="atLeast"/>
      </w:pPr>
      <w:r>
        <w:br/>
      </w:r>
      <w:r>
        <w:rPr>
          <w:rFonts w:ascii="Arial" w:eastAsia="Arial" w:hAnsi="Arial" w:cs="Arial"/>
          <w:b/>
          <w:color w:val="000000"/>
          <w:sz w:val="20"/>
        </w:rPr>
        <w:t>CONCLUSION</w:t>
      </w:r>
    </w:p>
    <w:p w14:paraId="0BC2011F" w14:textId="77777777" w:rsidR="00D041A2" w:rsidRDefault="00000000">
      <w:pPr>
        <w:pStyle w:val="Normal16"/>
        <w:widowControl w:val="0"/>
        <w:spacing w:before="200" w:line="260" w:lineRule="atLeast"/>
        <w:jc w:val="both"/>
      </w:pPr>
      <w:bookmarkStart w:id="1915" w:name="Bookmark_para_27_7"/>
      <w:bookmarkEnd w:id="1915"/>
      <w:r>
        <w:rPr>
          <w:rFonts w:ascii="Arial" w:eastAsia="Arial" w:hAnsi="Arial" w:cs="Arial"/>
          <w:color w:val="000000"/>
          <w:sz w:val="20"/>
        </w:rPr>
        <w:t xml:space="preserve">Taylor's appeal is </w:t>
      </w:r>
      <w:r>
        <w:rPr>
          <w:rFonts w:ascii="Arial" w:eastAsia="Arial" w:hAnsi="Arial" w:cs="Arial"/>
          <w:b/>
          <w:color w:val="000000"/>
          <w:sz w:val="20"/>
        </w:rPr>
        <w:t>DISMISSED</w:t>
      </w:r>
      <w:r>
        <w:rPr>
          <w:rFonts w:ascii="Arial" w:eastAsia="Arial" w:hAnsi="Arial" w:cs="Arial"/>
          <w:color w:val="000000"/>
          <w:sz w:val="20"/>
        </w:rPr>
        <w:t xml:space="preserve">. On the cross-appeal, the order of the district court denying attorneys' fees is </w:t>
      </w:r>
      <w:r>
        <w:rPr>
          <w:rFonts w:ascii="Arial" w:eastAsia="Arial" w:hAnsi="Arial" w:cs="Arial"/>
          <w:b/>
          <w:color w:val="000000"/>
          <w:sz w:val="20"/>
        </w:rPr>
        <w:t>REVERSED</w:t>
      </w:r>
      <w:r>
        <w:rPr>
          <w:rFonts w:ascii="Arial" w:eastAsia="Arial" w:hAnsi="Arial" w:cs="Arial"/>
          <w:color w:val="000000"/>
          <w:sz w:val="20"/>
        </w:rPr>
        <w:t xml:space="preserve"> and the case is </w:t>
      </w:r>
      <w:r>
        <w:rPr>
          <w:rFonts w:ascii="Arial" w:eastAsia="Arial" w:hAnsi="Arial" w:cs="Arial"/>
          <w:b/>
          <w:color w:val="000000"/>
          <w:sz w:val="20"/>
        </w:rPr>
        <w:t>REMANDED</w:t>
      </w:r>
      <w:r>
        <w:rPr>
          <w:rFonts w:ascii="Arial" w:eastAsia="Arial" w:hAnsi="Arial" w:cs="Arial"/>
          <w:color w:val="000000"/>
          <w:sz w:val="20"/>
        </w:rPr>
        <w:t xml:space="preserve"> for further proceedings consistent with this opinion.</w:t>
      </w:r>
    </w:p>
    <w:p w14:paraId="2CB1ACE6" w14:textId="77777777" w:rsidR="00D041A2" w:rsidRDefault="00D041A2">
      <w:pPr>
        <w:pStyle w:val="Normal16"/>
      </w:pPr>
    </w:p>
    <w:p w14:paraId="3742B498" w14:textId="3560AC4E" w:rsidR="00D041A2" w:rsidRDefault="00000000">
      <w:pPr>
        <w:pStyle w:val="Normal16"/>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94080" behindDoc="0" locked="0" layoutInCell="1" allowOverlap="1" wp14:anchorId="31300A34" wp14:editId="78A036BB">
                <wp:simplePos x="0" y="0"/>
                <wp:positionH relativeFrom="column">
                  <wp:posOffset>0</wp:posOffset>
                </wp:positionH>
                <wp:positionV relativeFrom="paragraph">
                  <wp:posOffset>127000</wp:posOffset>
                </wp:positionV>
                <wp:extent cx="6502400" cy="0"/>
                <wp:effectExtent l="9525" t="12700" r="12700" b="6350"/>
                <wp:wrapNone/>
                <wp:docPr id="105194485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E2A52"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516F82C" w14:textId="77777777" w:rsidR="00D041A2" w:rsidRDefault="00D041A2">
      <w:pPr>
        <w:pStyle w:val="Normal17"/>
        <w:sectPr w:rsidR="00D041A2">
          <w:headerReference w:type="even" r:id="rId108"/>
          <w:headerReference w:type="default" r:id="rId109"/>
          <w:footerReference w:type="even" r:id="rId110"/>
          <w:footerReference w:type="default" r:id="rId111"/>
          <w:headerReference w:type="first" r:id="rId112"/>
          <w:footerReference w:type="first" r:id="rId113"/>
          <w:pgSz w:w="12240" w:h="15840"/>
          <w:pgMar w:top="840" w:right="1000" w:bottom="840" w:left="1000" w:header="400" w:footer="400" w:gutter="0"/>
          <w:cols w:space="720"/>
          <w:titlePg/>
        </w:sectPr>
      </w:pPr>
    </w:p>
    <w:p w14:paraId="2D3B785E" w14:textId="77777777" w:rsidR="00D041A2" w:rsidRDefault="00D041A2">
      <w:pPr>
        <w:pStyle w:val="Normal17"/>
      </w:pPr>
    </w:p>
    <w:p w14:paraId="5D857375" w14:textId="77777777" w:rsidR="00D041A2" w:rsidRDefault="00000000">
      <w:pPr>
        <w:pStyle w:val="Heading116"/>
        <w:keepNext w:val="0"/>
        <w:widowControl w:val="0"/>
        <w:spacing w:after="200" w:line="340" w:lineRule="atLeast"/>
        <w:jc w:val="center"/>
      </w:pPr>
      <w:r>
        <w:rPr>
          <w:rFonts w:eastAsia="Arial"/>
          <w:color w:val="000000"/>
          <w:sz w:val="28"/>
        </w:rPr>
        <w:t>EEOC v. Picture People, Inc.</w:t>
      </w:r>
    </w:p>
    <w:p w14:paraId="63AB2A04" w14:textId="77777777" w:rsidR="00D041A2" w:rsidRDefault="00000000">
      <w:pPr>
        <w:pStyle w:val="Normal17"/>
        <w:widowControl w:val="0"/>
        <w:spacing w:before="120" w:line="260" w:lineRule="atLeast"/>
        <w:jc w:val="center"/>
      </w:pPr>
      <w:r>
        <w:rPr>
          <w:rFonts w:ascii="Arial" w:eastAsia="Arial" w:hAnsi="Arial" w:cs="Arial"/>
          <w:color w:val="000000"/>
          <w:sz w:val="20"/>
        </w:rPr>
        <w:t>United States Court of Appeals for the Tenth Circuit</w:t>
      </w:r>
    </w:p>
    <w:p w14:paraId="3877C57A" w14:textId="77777777" w:rsidR="00D041A2" w:rsidRDefault="00000000">
      <w:pPr>
        <w:pStyle w:val="Normal17"/>
        <w:widowControl w:val="0"/>
        <w:spacing w:before="120" w:line="260" w:lineRule="atLeast"/>
        <w:jc w:val="center"/>
      </w:pPr>
      <w:r>
        <w:rPr>
          <w:rFonts w:ascii="Arial" w:eastAsia="Arial" w:hAnsi="Arial" w:cs="Arial"/>
          <w:color w:val="000000"/>
          <w:sz w:val="20"/>
        </w:rPr>
        <w:t>July 10, 2012, Filed</w:t>
      </w:r>
    </w:p>
    <w:p w14:paraId="65DFB3FB" w14:textId="77777777" w:rsidR="00D041A2" w:rsidRDefault="00000000">
      <w:pPr>
        <w:pStyle w:val="Normal17"/>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11-1306</w:t>
      </w:r>
    </w:p>
    <w:p w14:paraId="52089C25" w14:textId="77777777" w:rsidR="00D041A2" w:rsidRDefault="00D041A2">
      <w:pPr>
        <w:pStyle w:val="Normal17"/>
        <w:widowControl w:val="0"/>
        <w:spacing w:line="240" w:lineRule="atLeast"/>
        <w:jc w:val="both"/>
      </w:pPr>
      <w:bookmarkStart w:id="1916" w:name="Bookmark_18"/>
      <w:bookmarkEnd w:id="1916"/>
    </w:p>
    <w:p w14:paraId="2F5B09DD" w14:textId="77777777" w:rsidR="00D041A2" w:rsidRDefault="00000000">
      <w:pPr>
        <w:pStyle w:val="Normal17"/>
        <w:widowControl w:val="0"/>
        <w:spacing w:before="200" w:line="240" w:lineRule="atLeast"/>
      </w:pPr>
      <w:bookmarkStart w:id="1917" w:name="Reporter_16"/>
      <w:bookmarkEnd w:id="1917"/>
      <w:r>
        <w:rPr>
          <w:rFonts w:ascii="Arial" w:eastAsia="Arial" w:hAnsi="Arial" w:cs="Arial"/>
          <w:b/>
          <w:color w:val="000000"/>
          <w:sz w:val="18"/>
        </w:rPr>
        <w:t>Reporter</w:t>
      </w:r>
    </w:p>
    <w:p w14:paraId="529635A1" w14:textId="77777777" w:rsidR="00D041A2" w:rsidRDefault="00000000">
      <w:pPr>
        <w:pStyle w:val="Normal17"/>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684 F.3d 981 *; 2012 U.S. App. LEXIS 14092 **; 26 Am. Disabilities Cas. (BNA) 776; 15 Accom. Disabilities Dec. (CCH) P15-074; 2012 WL 2755916</w:t>
      </w:r>
    </w:p>
    <w:p w14:paraId="6794533A" w14:textId="77777777" w:rsidR="00D041A2" w:rsidRDefault="00000000">
      <w:pPr>
        <w:pStyle w:val="Normal17"/>
        <w:widowControl w:val="0"/>
        <w:spacing w:before="120" w:line="260" w:lineRule="atLeast"/>
      </w:pPr>
      <w:r>
        <w:rPr>
          <w:rFonts w:ascii="Arial" w:eastAsia="Arial" w:hAnsi="Arial" w:cs="Arial"/>
          <w:color w:val="000000"/>
          <w:sz w:val="20"/>
        </w:rPr>
        <w:t>EQUAL EMPLOYMENT OPPORTUNITY COMMISSION, Plaintiff - Appellant, v. THE PICTURE PEOPLE, INC., Defendant - Appellee. UNIVERSITY OF MARYLAND FRANCIS KING CAREY SCHOOL OF LAW CIVIL RIGHTS OF PERSONS WITH DISABILITIES CLINIC; NATIONAL ASSOCIATION OF THE DEAF, Amici Curiae.</w:t>
      </w:r>
    </w:p>
    <w:p w14:paraId="4049CDEF" w14:textId="77777777" w:rsidR="00D041A2" w:rsidRDefault="00000000">
      <w:pPr>
        <w:pStyle w:val="Normal17"/>
        <w:widowControl w:val="0"/>
        <w:spacing w:before="240" w:line="260" w:lineRule="atLeast"/>
        <w:jc w:val="both"/>
      </w:pPr>
      <w:bookmarkStart w:id="1918" w:name="Prior_History_16"/>
      <w:bookmarkEnd w:id="1918"/>
      <w:r>
        <w:rPr>
          <w:rFonts w:ascii="Arial" w:eastAsia="Arial" w:hAnsi="Arial" w:cs="Arial"/>
          <w:b/>
          <w:color w:val="000000"/>
          <w:sz w:val="20"/>
        </w:rPr>
        <w:t>Prior History:</w:t>
      </w:r>
      <w:r>
        <w:rPr>
          <w:rFonts w:ascii="Arial" w:eastAsia="Arial" w:hAnsi="Arial" w:cs="Arial"/>
          <w:color w:val="000000"/>
          <w:sz w:val="20"/>
        </w:rPr>
        <w:t>  [**1] </w:t>
      </w:r>
      <w:bookmarkStart w:id="1919" w:name="Bookmark_para_1_16"/>
      <w:bookmarkEnd w:id="1919"/>
      <w:r>
        <w:rPr>
          <w:rFonts w:ascii="Arial" w:eastAsia="Arial" w:hAnsi="Arial" w:cs="Arial"/>
          <w:color w:val="000000"/>
          <w:sz w:val="20"/>
        </w:rPr>
        <w:t>APPEAL FROM THE UNITED STATES DISTRICT COURT FOR THE DISTRICT OF COLORADO. (D.C. No. 1:09-CV-02315-PAB-CBS).</w:t>
      </w:r>
    </w:p>
    <w:p w14:paraId="6A6E18F2" w14:textId="77777777" w:rsidR="00D041A2" w:rsidRDefault="00000000">
      <w:pPr>
        <w:pStyle w:val="Normal17"/>
        <w:widowControl w:val="0"/>
        <w:spacing w:before="120" w:line="260" w:lineRule="atLeast"/>
      </w:pPr>
      <w:r>
        <w:rPr>
          <w:rFonts w:ascii="Arial" w:eastAsia="Arial" w:hAnsi="Arial" w:cs="Arial"/>
          <w:color w:val="000000"/>
          <w:sz w:val="20"/>
        </w:rPr>
        <w:t>EEOC v. Picture People, Inc., 2011 U.S. Dist. LEXIS 49432 (D. Colo., May 9, 2011)</w:t>
      </w:r>
    </w:p>
    <w:p w14:paraId="1CBFF4ED" w14:textId="77777777" w:rsidR="00D041A2" w:rsidRDefault="00000000">
      <w:pPr>
        <w:pStyle w:val="Normal17"/>
        <w:widowControl w:val="0"/>
        <w:spacing w:before="240" w:line="260" w:lineRule="atLeast"/>
        <w:jc w:val="both"/>
      </w:pPr>
      <w:bookmarkStart w:id="1920" w:name="Disposition_6"/>
      <w:bookmarkEnd w:id="1920"/>
      <w:r>
        <w:rPr>
          <w:rFonts w:ascii="Arial" w:eastAsia="Arial" w:hAnsi="Arial" w:cs="Arial"/>
          <w:b/>
          <w:color w:val="000000"/>
          <w:sz w:val="20"/>
        </w:rPr>
        <w:t>Disposition:</w:t>
      </w:r>
      <w:r>
        <w:rPr>
          <w:rFonts w:ascii="Arial" w:eastAsia="Arial" w:hAnsi="Arial" w:cs="Arial"/>
          <w:color w:val="000000"/>
          <w:sz w:val="20"/>
        </w:rPr>
        <w:t> </w:t>
      </w:r>
      <w:bookmarkStart w:id="1921" w:name="Bookmark_clspara_5_2"/>
      <w:bookmarkEnd w:id="1921"/>
      <w:r>
        <w:rPr>
          <w:rFonts w:ascii="Arial" w:eastAsia="Arial" w:hAnsi="Arial" w:cs="Arial"/>
          <w:color w:val="000000"/>
          <w:sz w:val="20"/>
        </w:rPr>
        <w:t>AFFIRMED.</w:t>
      </w:r>
    </w:p>
    <w:p w14:paraId="0B23E8FD" w14:textId="77777777" w:rsidR="00D041A2" w:rsidRDefault="00000000">
      <w:pPr>
        <w:pStyle w:val="Normal17"/>
        <w:widowControl w:val="0"/>
        <w:spacing w:before="240" w:line="260" w:lineRule="atLeast"/>
      </w:pPr>
      <w:bookmarkStart w:id="1922" w:name="Counsel_16"/>
      <w:bookmarkEnd w:id="1922"/>
      <w:r>
        <w:rPr>
          <w:rFonts w:ascii="Arial" w:eastAsia="Arial" w:hAnsi="Arial" w:cs="Arial"/>
          <w:b/>
          <w:color w:val="000000"/>
          <w:sz w:val="20"/>
        </w:rPr>
        <w:t>Counsel:</w:t>
      </w:r>
      <w:r>
        <w:rPr>
          <w:rFonts w:ascii="Arial" w:eastAsia="Arial" w:hAnsi="Arial" w:cs="Arial"/>
          <w:color w:val="000000"/>
          <w:sz w:val="20"/>
        </w:rPr>
        <w:t> Susan Oxford, (P. David Lopez, General Counsel, Carolyn L. Wheeler, Acting Associate General Counsel and Lorraine C. Davis, Assistant General Counsel of the Equal Employment Opportunity Commission, on the briefs), Washington, D.C., for Plaintiff - Appellant.</w:t>
      </w:r>
    </w:p>
    <w:p w14:paraId="7BADF0EC" w14:textId="77777777" w:rsidR="00D041A2" w:rsidRDefault="00000000">
      <w:pPr>
        <w:pStyle w:val="Normal17"/>
        <w:widowControl w:val="0"/>
        <w:spacing w:before="120" w:line="260" w:lineRule="atLeast"/>
      </w:pPr>
      <w:r>
        <w:rPr>
          <w:rFonts w:ascii="Arial" w:eastAsia="Arial" w:hAnsi="Arial" w:cs="Arial"/>
          <w:color w:val="000000"/>
          <w:sz w:val="20"/>
        </w:rPr>
        <w:t>Merrily Archer of Hall &amp; Evans, L.L.C., Denver, Colorado, for Defendant - Appellee.</w:t>
      </w:r>
    </w:p>
    <w:p w14:paraId="5B0084B8" w14:textId="77777777" w:rsidR="00D041A2" w:rsidRDefault="00000000">
      <w:pPr>
        <w:pStyle w:val="Normal17"/>
        <w:widowControl w:val="0"/>
        <w:spacing w:before="120" w:line="260" w:lineRule="atLeast"/>
      </w:pPr>
      <w:r>
        <w:rPr>
          <w:rFonts w:ascii="Arial" w:eastAsia="Arial" w:hAnsi="Arial" w:cs="Arial"/>
          <w:color w:val="000000"/>
          <w:sz w:val="20"/>
        </w:rPr>
        <w:t>Marc Charmatz, Adjunct Professor of Civil Rights of Persons with Disabilities Clinic, University of Maryland Francis King Carey School of Law, Baltimore, Maryland; Marc Charmatz and Debra Patkin of National Association of the Deaf, Silver Spring, Maryland, on the brief, for Amici Curiae.</w:t>
      </w:r>
    </w:p>
    <w:p w14:paraId="3DF071C4" w14:textId="77777777" w:rsidR="00D041A2" w:rsidRDefault="00000000">
      <w:pPr>
        <w:pStyle w:val="Normal17"/>
        <w:widowControl w:val="0"/>
        <w:spacing w:before="240" w:line="260" w:lineRule="atLeast"/>
      </w:pPr>
      <w:bookmarkStart w:id="1923" w:name="Judges_16"/>
      <w:bookmarkEnd w:id="1923"/>
      <w:r>
        <w:rPr>
          <w:rFonts w:ascii="Arial" w:eastAsia="Arial" w:hAnsi="Arial" w:cs="Arial"/>
          <w:b/>
          <w:color w:val="000000"/>
          <w:sz w:val="20"/>
        </w:rPr>
        <w:t>Judges:</w:t>
      </w:r>
      <w:r>
        <w:rPr>
          <w:rFonts w:ascii="Arial" w:eastAsia="Arial" w:hAnsi="Arial" w:cs="Arial"/>
          <w:color w:val="000000"/>
          <w:sz w:val="20"/>
        </w:rPr>
        <w:t> Before BRISCOE, Chief Judge, HOLLOWAY, and KELLY, Circuit Judges. HOLLOWAY, Circuit Judge, dissenting.</w:t>
      </w:r>
    </w:p>
    <w:p w14:paraId="4C494DC2" w14:textId="77777777" w:rsidR="00D041A2" w:rsidRDefault="00000000">
      <w:pPr>
        <w:pStyle w:val="Normal17"/>
        <w:widowControl w:val="0"/>
        <w:spacing w:before="240" w:line="260" w:lineRule="atLeast"/>
      </w:pPr>
      <w:bookmarkStart w:id="1924" w:name="Opinion_by_11"/>
      <w:bookmarkEnd w:id="1924"/>
      <w:r>
        <w:rPr>
          <w:rFonts w:ascii="Arial" w:eastAsia="Arial" w:hAnsi="Arial" w:cs="Arial"/>
          <w:b/>
          <w:color w:val="000000"/>
          <w:sz w:val="20"/>
        </w:rPr>
        <w:t>Opinion by:</w:t>
      </w:r>
      <w:r>
        <w:rPr>
          <w:rFonts w:ascii="Arial" w:eastAsia="Arial" w:hAnsi="Arial" w:cs="Arial"/>
          <w:color w:val="000000"/>
          <w:sz w:val="20"/>
        </w:rPr>
        <w:t> KELLY</w:t>
      </w:r>
    </w:p>
    <w:p w14:paraId="3338F859" w14:textId="77777777" w:rsidR="00D041A2" w:rsidRDefault="00000000">
      <w:pPr>
        <w:pStyle w:val="Normal17"/>
        <w:keepNext/>
        <w:widowControl w:val="0"/>
        <w:spacing w:before="240" w:line="340" w:lineRule="atLeast"/>
      </w:pPr>
      <w:bookmarkStart w:id="1925" w:name="Opinion_16"/>
      <w:bookmarkEnd w:id="1925"/>
      <w:r>
        <w:rPr>
          <w:rFonts w:ascii="Arial" w:eastAsia="Arial" w:hAnsi="Arial" w:cs="Arial"/>
          <w:b/>
          <w:color w:val="000000"/>
          <w:sz w:val="28"/>
        </w:rPr>
        <w:t>Opinion</w:t>
      </w:r>
    </w:p>
    <w:p w14:paraId="2B9C4540" w14:textId="47A22A58" w:rsidR="00D041A2" w:rsidRDefault="004D4403">
      <w:pPr>
        <w:pStyle w:val="Normal17"/>
        <w:spacing w:line="60" w:lineRule="exact"/>
      </w:pPr>
      <w:r>
        <w:rPr>
          <w:noProof/>
        </w:rPr>
        <mc:AlternateContent>
          <mc:Choice Requires="wps">
            <w:drawing>
              <wp:anchor distT="0" distB="0" distL="114300" distR="114300" simplePos="0" relativeHeight="251695104" behindDoc="0" locked="0" layoutInCell="1" allowOverlap="1" wp14:anchorId="1B04350D" wp14:editId="433E49CE">
                <wp:simplePos x="0" y="0"/>
                <wp:positionH relativeFrom="column">
                  <wp:posOffset>0</wp:posOffset>
                </wp:positionH>
                <wp:positionV relativeFrom="paragraph">
                  <wp:posOffset>25400</wp:posOffset>
                </wp:positionV>
                <wp:extent cx="3187700" cy="0"/>
                <wp:effectExtent l="19050" t="15875" r="12700" b="12700"/>
                <wp:wrapTopAndBottom/>
                <wp:docPr id="1736480119"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0D73C" id="Line 3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51976B4" w14:textId="77777777" w:rsidR="00D041A2" w:rsidRDefault="00D041A2">
      <w:pPr>
        <w:pStyle w:val="Normal17"/>
      </w:pPr>
    </w:p>
    <w:p w14:paraId="5CEB91AF" w14:textId="77777777" w:rsidR="00D041A2" w:rsidRDefault="00000000">
      <w:pPr>
        <w:pStyle w:val="Normal17"/>
        <w:widowControl w:val="0"/>
        <w:spacing w:before="200" w:line="260" w:lineRule="atLeast"/>
        <w:jc w:val="both"/>
      </w:pPr>
      <w:bookmarkStart w:id="1926" w:name="Bookmark_para_2_16"/>
      <w:bookmarkEnd w:id="1926"/>
      <w:r>
        <w:rPr>
          <w:rFonts w:ascii="Arial" w:eastAsia="Arial" w:hAnsi="Arial" w:cs="Arial"/>
          <w:color w:val="000000"/>
          <w:sz w:val="20"/>
        </w:rPr>
        <w:t xml:space="preserve"> [*983]  </w:t>
      </w:r>
      <w:r>
        <w:rPr>
          <w:rFonts w:ascii="Arial" w:eastAsia="Arial" w:hAnsi="Arial" w:cs="Arial"/>
          <w:b/>
          <w:color w:val="000000"/>
          <w:sz w:val="20"/>
        </w:rPr>
        <w:t>KELLY</w:t>
      </w:r>
      <w:r>
        <w:rPr>
          <w:rFonts w:ascii="Arial" w:eastAsia="Arial" w:hAnsi="Arial" w:cs="Arial"/>
          <w:color w:val="000000"/>
          <w:sz w:val="20"/>
        </w:rPr>
        <w:t>, Circuit Judge.</w:t>
      </w:r>
    </w:p>
    <w:p w14:paraId="5440CC8D" w14:textId="77777777" w:rsidR="00D041A2" w:rsidRDefault="00000000">
      <w:pPr>
        <w:pStyle w:val="Normal17"/>
        <w:widowControl w:val="0"/>
        <w:spacing w:before="200" w:line="260" w:lineRule="atLeast"/>
        <w:jc w:val="both"/>
      </w:pPr>
      <w:bookmarkStart w:id="1927" w:name="Bookmark_para_3_16"/>
      <w:bookmarkStart w:id="1928" w:name="Bookmark_I567C99T28T52K0020000400"/>
      <w:bookmarkStart w:id="1929" w:name="Bookmark_I567C99T28T52K0040000400"/>
      <w:bookmarkEnd w:id="1927"/>
      <w:bookmarkEnd w:id="1928"/>
      <w:bookmarkEnd w:id="1929"/>
      <w:r>
        <w:rPr>
          <w:rFonts w:ascii="Arial" w:eastAsia="Arial" w:hAnsi="Arial" w:cs="Arial"/>
          <w:color w:val="000000"/>
          <w:sz w:val="20"/>
        </w:rPr>
        <w:t xml:space="preserve">Plaintiff-Appellant, Equal Employment Opportunity Commission ("EEOC"), on behalf of Jessica Chrysler ("Employee"), appeals from the district court's grant of summary judgment in favor of Defendant-Appellee, The Picture People ("Employer"). </w:t>
      </w:r>
      <w:bookmarkStart w:id="1930" w:name="Bookmark_I567C99T2D6N4M0010000400"/>
      <w:bookmarkEnd w:id="1930"/>
      <w:r>
        <w:rPr>
          <w:rFonts w:ascii="Arial" w:eastAsia="Arial" w:hAnsi="Arial" w:cs="Arial"/>
          <w:color w:val="000000"/>
          <w:sz w:val="20"/>
          <w:u w:val="single"/>
        </w:rPr>
        <w:t>See</w:t>
      </w:r>
      <w:r>
        <w:rPr>
          <w:rFonts w:ascii="Arial" w:eastAsia="Arial" w:hAnsi="Arial" w:cs="Arial"/>
          <w:color w:val="000000"/>
          <w:sz w:val="20"/>
        </w:rPr>
        <w:t xml:space="preserve"> Order Granting Summary Judgment, </w:t>
      </w:r>
      <w:bookmarkStart w:id="1931" w:name="Bookmark_I567C99T28T52K0010000400"/>
      <w:bookmarkEnd w:id="1931"/>
      <w:r>
        <w:rPr>
          <w:rFonts w:ascii="Arial" w:eastAsia="Arial" w:hAnsi="Arial" w:cs="Arial"/>
          <w:color w:val="000000"/>
          <w:sz w:val="20"/>
          <w:u w:val="single"/>
        </w:rPr>
        <w:t>EEOC v. Picture People, Inc</w:t>
      </w:r>
      <w:r>
        <w:rPr>
          <w:rFonts w:ascii="Arial" w:eastAsia="Arial" w:hAnsi="Arial" w:cs="Arial"/>
          <w:color w:val="000000"/>
          <w:sz w:val="20"/>
        </w:rPr>
        <w:t xml:space="preserve">., No. 09-cv-02315-PAB-CBS, 2011 U.S. Dist. LEXIS 49432, 2011 WL 1754522 (D. Colo. May 9, 2011)  [**2] (hereinafter "Order"). The district court granted summary judgment on the basis that Employee could not establish an essential element of her case, that she was qualified—with or without accommodation—to perform an essential function of her job as a "performer" in Employer's store. </w:t>
      </w:r>
      <w:bookmarkStart w:id="1932" w:name="Bookmark_I567C99T28T52K0030000400"/>
      <w:bookmarkEnd w:id="1932"/>
      <w:r>
        <w:rPr>
          <w:rFonts w:ascii="Arial" w:eastAsia="Arial" w:hAnsi="Arial" w:cs="Arial"/>
          <w:color w:val="000000"/>
          <w:sz w:val="20"/>
        </w:rPr>
        <w:t xml:space="preserve">2011 U.S. Dist. LEXIS 49432, [WL] at *3-*5. </w:t>
      </w:r>
      <w:bookmarkStart w:id="1933" w:name="Bookmark_I567C99T2D6N4M0010000400_2"/>
      <w:bookmarkEnd w:id="1933"/>
      <w:r>
        <w:rPr>
          <w:rFonts w:ascii="Arial" w:eastAsia="Arial" w:hAnsi="Arial" w:cs="Arial"/>
          <w:color w:val="000000"/>
          <w:sz w:val="20"/>
        </w:rPr>
        <w:t xml:space="preserve">It also concluded that Employee's retaliation claim failed because she could not perform an essential function of the job, and that she offered no evidence that Employer's legitimate, non-discriminatory reasons were pretextual. </w:t>
      </w:r>
      <w:bookmarkStart w:id="1934" w:name="Bookmark_I567C99T28T52K0050000400"/>
      <w:bookmarkEnd w:id="1934"/>
      <w:r>
        <w:rPr>
          <w:rFonts w:ascii="Arial" w:eastAsia="Arial" w:hAnsi="Arial" w:cs="Arial"/>
          <w:color w:val="000000"/>
          <w:sz w:val="20"/>
        </w:rPr>
        <w:t>2011 U.S. Dist. LEXIS 49432, [WL] at *7-*8. We have jurisdiction pursuant to 28 U.S.C. § 1291, and affirm.</w:t>
      </w:r>
    </w:p>
    <w:p w14:paraId="54F41F3A" w14:textId="77777777" w:rsidR="00D041A2" w:rsidRDefault="00000000">
      <w:pPr>
        <w:pStyle w:val="Normal17"/>
        <w:widowControl w:val="0"/>
        <w:spacing w:before="240" w:line="260" w:lineRule="atLeast"/>
      </w:pPr>
      <w:r>
        <w:br/>
      </w:r>
      <w:r>
        <w:rPr>
          <w:rFonts w:ascii="Arial" w:eastAsia="Arial" w:hAnsi="Arial" w:cs="Arial"/>
          <w:color w:val="000000"/>
          <w:sz w:val="20"/>
          <w:u w:val="single"/>
        </w:rPr>
        <w:t>Background</w:t>
      </w:r>
    </w:p>
    <w:p w14:paraId="345EE464" w14:textId="77777777" w:rsidR="00D041A2" w:rsidRDefault="00000000">
      <w:pPr>
        <w:pStyle w:val="Normal17"/>
        <w:widowControl w:val="0"/>
        <w:spacing w:before="200" w:line="260" w:lineRule="atLeast"/>
        <w:jc w:val="both"/>
      </w:pPr>
      <w:bookmarkStart w:id="1935" w:name="Bookmark_para_4_16"/>
      <w:bookmarkEnd w:id="1935"/>
      <w:r>
        <w:rPr>
          <w:rFonts w:ascii="Arial" w:eastAsia="Arial" w:hAnsi="Arial" w:cs="Arial"/>
          <w:color w:val="000000"/>
          <w:sz w:val="20"/>
        </w:rPr>
        <w:t xml:space="preserve">Employee is a congenitally and profoundly deaf individual who communicates with hearing individuals by writing notes, gesturing, pointing, and miming. She can also type, text message, and use body language. According to the EEOC, "[s]he [*984]  also uses basic American Sign Language ("ASL") signs that most people can understand and speaks some words." Aplt. Br. 4. Employer maintains that Employee "cannot read lips effectively, nor can she speak except for a few words." Aplee. Br. 8. It also claims that Employee's written communication skills are poor and that she scored below average on vocational  [**3] tests administered by EEOC's expert—Michael Newman. Aplt. App. 310a. On October 23, 2007, Employer hired Employee to work in its Littleton, Colorado store as a "performer." </w:t>
      </w:r>
      <w:r>
        <w:rPr>
          <w:rFonts w:ascii="Arial" w:eastAsia="Arial" w:hAnsi="Arial" w:cs="Arial"/>
          <w:color w:val="000000"/>
          <w:sz w:val="20"/>
          <w:u w:val="single"/>
        </w:rPr>
        <w:t>Id</w:t>
      </w:r>
      <w:r>
        <w:rPr>
          <w:rFonts w:ascii="Arial" w:eastAsia="Arial" w:hAnsi="Arial" w:cs="Arial"/>
          <w:color w:val="000000"/>
          <w:sz w:val="20"/>
        </w:rPr>
        <w:t xml:space="preserve">. at 388a. Employee's interview occurred in writing because she was not able to meaningfully participate in a group interview with four other prospective employees. </w:t>
      </w:r>
      <w:r>
        <w:rPr>
          <w:rFonts w:ascii="Arial" w:eastAsia="Arial" w:hAnsi="Arial" w:cs="Arial"/>
          <w:color w:val="000000"/>
          <w:sz w:val="20"/>
          <w:u w:val="single"/>
        </w:rPr>
        <w:t>Id</w:t>
      </w:r>
      <w:r>
        <w:rPr>
          <w:rFonts w:ascii="Arial" w:eastAsia="Arial" w:hAnsi="Arial" w:cs="Arial"/>
          <w:color w:val="000000"/>
          <w:sz w:val="20"/>
        </w:rPr>
        <w:t xml:space="preserve">. at 311a-14a, 458a. Performers have four areas of responsibility: customer intake, sales, portrait photography, and laboratory duties. </w:t>
      </w:r>
      <w:r>
        <w:rPr>
          <w:rFonts w:ascii="Arial" w:eastAsia="Arial" w:hAnsi="Arial" w:cs="Arial"/>
          <w:color w:val="000000"/>
          <w:sz w:val="20"/>
          <w:u w:val="single"/>
        </w:rPr>
        <w:t>Id</w:t>
      </w:r>
      <w:r>
        <w:rPr>
          <w:rFonts w:ascii="Arial" w:eastAsia="Arial" w:hAnsi="Arial" w:cs="Arial"/>
          <w:color w:val="000000"/>
          <w:sz w:val="20"/>
        </w:rPr>
        <w:t xml:space="preserve">. at 100a-01a. During peak (holiday) periods, the employer hires "seasonal" performers who are scheduled to work in one of the four "zones" of responsibility listed above. Aplee. Br. 7-8; Aplt. App. 98a, 207a. Arnold Aguilar, Employer's studio manager, hired Employee to work primarily in the camera room doing photography. Aplee Br. 7-8. During non-peak periods, Employer schedules only one manager and one performer to work at a time, termed "2-2 staff coverage." </w:t>
      </w:r>
      <w:r>
        <w:rPr>
          <w:rFonts w:ascii="Arial" w:eastAsia="Arial" w:hAnsi="Arial" w:cs="Arial"/>
          <w:color w:val="000000"/>
          <w:sz w:val="20"/>
          <w:u w:val="single"/>
        </w:rPr>
        <w:t>Id</w:t>
      </w:r>
      <w:r>
        <w:rPr>
          <w:rFonts w:ascii="Arial" w:eastAsia="Arial" w:hAnsi="Arial" w:cs="Arial"/>
          <w:color w:val="000000"/>
          <w:sz w:val="20"/>
        </w:rPr>
        <w:t>. at 8; Aplt. App. 337a. When 2-2 staff coverage is used, "each Performer must be able to perform all four essential functions of the Performer job . . . ." Aplee Br. at 8; Aplt. App. 337a; Order at *1.</w:t>
      </w:r>
    </w:p>
    <w:p w14:paraId="376C8E85" w14:textId="77777777" w:rsidR="00D041A2" w:rsidRDefault="00000000">
      <w:pPr>
        <w:pStyle w:val="Normal17"/>
        <w:widowControl w:val="0"/>
        <w:spacing w:before="200" w:line="260" w:lineRule="atLeast"/>
        <w:jc w:val="both"/>
      </w:pPr>
      <w:bookmarkStart w:id="1936" w:name="Bookmark_para_5_16"/>
      <w:bookmarkEnd w:id="1936"/>
      <w:r>
        <w:rPr>
          <w:rFonts w:ascii="Arial" w:eastAsia="Arial" w:hAnsi="Arial" w:cs="Arial"/>
          <w:color w:val="000000"/>
          <w:sz w:val="20"/>
        </w:rPr>
        <w:t xml:space="preserve">Employee requested an ASL interpreter for her three  [**4] days of orientation training. Order at *1. Employer was unable to supply an interpreter, and Employee's start date was delayed by three weeks. </w:t>
      </w:r>
      <w:r>
        <w:rPr>
          <w:rFonts w:ascii="Arial" w:eastAsia="Arial" w:hAnsi="Arial" w:cs="Arial"/>
          <w:color w:val="000000"/>
          <w:sz w:val="20"/>
          <w:u w:val="single"/>
        </w:rPr>
        <w:t>Id</w:t>
      </w:r>
      <w:r>
        <w:rPr>
          <w:rFonts w:ascii="Arial" w:eastAsia="Arial" w:hAnsi="Arial" w:cs="Arial"/>
          <w:color w:val="000000"/>
          <w:sz w:val="20"/>
        </w:rPr>
        <w:t>.; Aplt. Br. 5. Eventually, Employee secured an interpreter through the Colorado Division of Vocational Rehabilitation ("DVR"), which had been assisting with her job search. Order at *1.</w:t>
      </w:r>
    </w:p>
    <w:p w14:paraId="5AA45503" w14:textId="77777777" w:rsidR="00D041A2" w:rsidRDefault="00000000">
      <w:pPr>
        <w:pStyle w:val="Normal17"/>
        <w:widowControl w:val="0"/>
        <w:spacing w:before="200" w:line="260" w:lineRule="atLeast"/>
        <w:jc w:val="both"/>
      </w:pPr>
      <w:bookmarkStart w:id="1937" w:name="Bookmark_para_6_16"/>
      <w:bookmarkEnd w:id="1937"/>
      <w:r>
        <w:rPr>
          <w:rFonts w:ascii="Arial" w:eastAsia="Arial" w:hAnsi="Arial" w:cs="Arial"/>
          <w:color w:val="000000"/>
          <w:sz w:val="20"/>
        </w:rPr>
        <w:t xml:space="preserve">Employee had the opportunity to shoot photographs on 15-20 occasions with a hearing performer; she attempted to conduct a shoot by herself on a couple of occasions. Aplt. App. 247a. Employee communicated with subjects by writing notes, gesturing, and miming. </w:t>
      </w:r>
      <w:r>
        <w:rPr>
          <w:rFonts w:ascii="Arial" w:eastAsia="Arial" w:hAnsi="Arial" w:cs="Arial"/>
          <w:color w:val="000000"/>
          <w:sz w:val="20"/>
          <w:u w:val="single"/>
        </w:rPr>
        <w:t>Id</w:t>
      </w:r>
      <w:r>
        <w:rPr>
          <w:rFonts w:ascii="Arial" w:eastAsia="Arial" w:hAnsi="Arial" w:cs="Arial"/>
          <w:color w:val="000000"/>
          <w:sz w:val="20"/>
        </w:rPr>
        <w:t xml:space="preserve">. at 240a-47a. This was often difficult as photo subjects are usually young children. In order to sell photo packages, Employee had to write notes, gesture, or "get somebody else that could do it more efficiently . . . ." </w:t>
      </w:r>
      <w:r>
        <w:rPr>
          <w:rFonts w:ascii="Arial" w:eastAsia="Arial" w:hAnsi="Arial" w:cs="Arial"/>
          <w:color w:val="000000"/>
          <w:sz w:val="20"/>
          <w:u w:val="single"/>
        </w:rPr>
        <w:t>Id</w:t>
      </w:r>
      <w:r>
        <w:rPr>
          <w:rFonts w:ascii="Arial" w:eastAsia="Arial" w:hAnsi="Arial" w:cs="Arial"/>
          <w:color w:val="000000"/>
          <w:sz w:val="20"/>
        </w:rPr>
        <w:t>. at 236a.</w:t>
      </w:r>
    </w:p>
    <w:p w14:paraId="6D5E45FA" w14:textId="77777777" w:rsidR="00D041A2" w:rsidRDefault="00000000">
      <w:pPr>
        <w:pStyle w:val="Normal17"/>
        <w:widowControl w:val="0"/>
        <w:spacing w:before="200" w:line="260" w:lineRule="atLeast"/>
        <w:jc w:val="both"/>
      </w:pPr>
      <w:bookmarkStart w:id="1938" w:name="Bookmark_para_7_16"/>
      <w:bookmarkEnd w:id="1938"/>
      <w:r>
        <w:rPr>
          <w:rFonts w:ascii="Arial" w:eastAsia="Arial" w:hAnsi="Arial" w:cs="Arial"/>
          <w:color w:val="000000"/>
          <w:sz w:val="20"/>
        </w:rPr>
        <w:t xml:space="preserve">In November 2007, Employer dispatched Master Photographer Libby Johnston to the Littleton store to improve photography quality and sales in anticipation of the holidays. Order at *2. Ms. Johnston provided a training session. The EEOC maintains that Employee requested an ASL interpreter, but none was provided. Aplt. Br. 7. At any rate, Ms. Johnston "found [Employee's] written  [**5] communications awkward, cumbersome, and </w:t>
      </w:r>
      <w:r>
        <w:rPr>
          <w:rFonts w:ascii="Arial" w:eastAsia="Arial" w:hAnsi="Arial" w:cs="Arial"/>
          <w:i/>
          <w:color w:val="000000"/>
          <w:sz w:val="20"/>
        </w:rPr>
        <w:t>impractical</w:t>
      </w:r>
      <w:r>
        <w:rPr>
          <w:rFonts w:ascii="Arial" w:eastAsia="Arial" w:hAnsi="Arial" w:cs="Arial"/>
          <w:color w:val="000000"/>
          <w:sz w:val="20"/>
        </w:rPr>
        <w:t xml:space="preserve"> . . . ." Aplee. Br. 17; Aplt. App. 164a. She telephoned the District Manager, Candi Bryan; they conferred and recommended that Employee be reassigned exclusively to the photo lab. Order at *2. Thereafter, Employee was assigned almost exclusively to the lab. </w:t>
      </w:r>
      <w:r>
        <w:rPr>
          <w:rFonts w:ascii="Arial" w:eastAsia="Arial" w:hAnsi="Arial" w:cs="Arial"/>
          <w:color w:val="000000"/>
          <w:sz w:val="20"/>
          <w:u w:val="single"/>
        </w:rPr>
        <w:t>Id</w:t>
      </w:r>
      <w:r>
        <w:rPr>
          <w:rFonts w:ascii="Arial" w:eastAsia="Arial" w:hAnsi="Arial" w:cs="Arial"/>
          <w:color w:val="000000"/>
          <w:sz w:val="20"/>
        </w:rPr>
        <w:t>.</w:t>
      </w:r>
    </w:p>
    <w:p w14:paraId="54AF8B9E" w14:textId="77777777" w:rsidR="00D041A2" w:rsidRDefault="00000000">
      <w:pPr>
        <w:pStyle w:val="Normal17"/>
        <w:widowControl w:val="0"/>
        <w:spacing w:before="200" w:line="260" w:lineRule="atLeast"/>
        <w:jc w:val="both"/>
      </w:pPr>
      <w:bookmarkStart w:id="1939" w:name="Bookmark_para_8_15"/>
      <w:bookmarkEnd w:id="1939"/>
      <w:r>
        <w:rPr>
          <w:rFonts w:ascii="Arial" w:eastAsia="Arial" w:hAnsi="Arial" w:cs="Arial"/>
          <w:color w:val="000000"/>
          <w:sz w:val="20"/>
        </w:rPr>
        <w:t xml:space="preserve">After the 2007 holiday season, Employer instructed the local acting studio manager to cut the hours of or terminate seasonal performers. </w:t>
      </w:r>
      <w:r>
        <w:rPr>
          <w:rFonts w:ascii="Arial" w:eastAsia="Arial" w:hAnsi="Arial" w:cs="Arial"/>
          <w:color w:val="000000"/>
          <w:sz w:val="20"/>
          <w:u w:val="single"/>
        </w:rPr>
        <w:t>Id</w:t>
      </w:r>
      <w:r>
        <w:rPr>
          <w:rFonts w:ascii="Arial" w:eastAsia="Arial" w:hAnsi="Arial" w:cs="Arial"/>
          <w:color w:val="000000"/>
          <w:sz w:val="20"/>
        </w:rPr>
        <w:t xml:space="preserve">. Employee complained about her hours, and management explained in writing that all performers' hours had been cut. Aplt. App. 336a-39a. On December 29, 2007, management notified Ms. Bryan that Employee's performance in the lab was deteriorating—Employee was coloring with pencils instead of working, refusing to take legally required rest breaks, and demanding hours with [*985]  threats, when all Performers' hours were cut. </w:t>
      </w:r>
      <w:r>
        <w:rPr>
          <w:rFonts w:ascii="Arial" w:eastAsia="Arial" w:hAnsi="Arial" w:cs="Arial"/>
          <w:color w:val="000000"/>
          <w:sz w:val="20"/>
          <w:u w:val="single"/>
        </w:rPr>
        <w:t>Id</w:t>
      </w:r>
      <w:r>
        <w:rPr>
          <w:rFonts w:ascii="Arial" w:eastAsia="Arial" w:hAnsi="Arial" w:cs="Arial"/>
          <w:color w:val="000000"/>
          <w:sz w:val="20"/>
        </w:rPr>
        <w:t xml:space="preserve">. at 340a. With the assistance of the human resources department, Ms. Bryan prepared a Performance Track Counseling statement to put Employee on notice of performance problems. </w:t>
      </w:r>
      <w:r>
        <w:rPr>
          <w:rFonts w:ascii="Arial" w:eastAsia="Arial" w:hAnsi="Arial" w:cs="Arial"/>
          <w:color w:val="000000"/>
          <w:sz w:val="20"/>
          <w:u w:val="single"/>
        </w:rPr>
        <w:t>Id</w:t>
      </w:r>
      <w:r>
        <w:rPr>
          <w:rFonts w:ascii="Arial" w:eastAsia="Arial" w:hAnsi="Arial" w:cs="Arial"/>
          <w:color w:val="000000"/>
          <w:sz w:val="20"/>
        </w:rPr>
        <w:t>. at 341a-42a. Ms. Bryan also requested a meeting with Employee on January 9, 2008, to administer a counseling statement. The EEOC characterizes the  [**6] notice as reprimanding Employee for the performance deficiencies, and for becoming "angry" and "threaten[ing] to bring a grievance . . . when [she] did not get her hours increased." Aplt. Br. 10-11; Aplt. App. 341a-42a.</w:t>
      </w:r>
    </w:p>
    <w:p w14:paraId="6D8C19B7" w14:textId="77777777" w:rsidR="00D041A2" w:rsidRDefault="00000000">
      <w:pPr>
        <w:pStyle w:val="Normal17"/>
        <w:widowControl w:val="0"/>
        <w:spacing w:before="200" w:line="260" w:lineRule="atLeast"/>
        <w:jc w:val="both"/>
      </w:pPr>
      <w:bookmarkStart w:id="1940" w:name="Bookmark_para_9_14"/>
      <w:bookmarkEnd w:id="1940"/>
      <w:r>
        <w:rPr>
          <w:rFonts w:ascii="Arial" w:eastAsia="Arial" w:hAnsi="Arial" w:cs="Arial"/>
          <w:color w:val="000000"/>
          <w:sz w:val="20"/>
        </w:rPr>
        <w:t>After the 2007 holiday season, Employee remained on the schedule as an employee, but was not scheduled to work. Order at *2. Employer officially terminated Employee in October 2008. Aplt. Br. 15.</w:t>
      </w:r>
    </w:p>
    <w:p w14:paraId="32C38235" w14:textId="77777777" w:rsidR="00D041A2" w:rsidRDefault="00000000">
      <w:pPr>
        <w:pStyle w:val="Normal17"/>
        <w:widowControl w:val="0"/>
        <w:spacing w:before="200" w:line="260" w:lineRule="atLeast"/>
        <w:jc w:val="both"/>
      </w:pPr>
      <w:bookmarkStart w:id="1941" w:name="Bookmark_para_10_14"/>
      <w:bookmarkEnd w:id="1941"/>
      <w:r>
        <w:rPr>
          <w:rFonts w:ascii="Arial" w:eastAsia="Arial" w:hAnsi="Arial" w:cs="Arial"/>
          <w:color w:val="000000"/>
          <w:sz w:val="20"/>
        </w:rPr>
        <w:t xml:space="preserve">In September 2009, the EEOC filed this action alleging that Employer violated the Americans With Disabilities Act ("ADA"), 42 U.S.C. § 12101. Aplt. App. 7a-18a. After discovery, Employer moved for summary judgment on all claims, and the EEOC moved for partial summary judgment on four of Employer's affirmative defenses. On May 9, 2011, the district court granted Employer's motion to withdraw its affirmative defenses, ruled the EEOC's motion moot, and granted Employer's motion for summary judgment. </w:t>
      </w:r>
      <w:r>
        <w:rPr>
          <w:rFonts w:ascii="Arial" w:eastAsia="Arial" w:hAnsi="Arial" w:cs="Arial"/>
          <w:color w:val="000000"/>
          <w:sz w:val="20"/>
          <w:u w:val="single"/>
        </w:rPr>
        <w:t>See</w:t>
      </w:r>
      <w:r>
        <w:rPr>
          <w:rFonts w:ascii="Arial" w:eastAsia="Arial" w:hAnsi="Arial" w:cs="Arial"/>
          <w:color w:val="000000"/>
          <w:sz w:val="20"/>
        </w:rPr>
        <w:t xml:space="preserve"> Order. This appeal followed.</w:t>
      </w:r>
    </w:p>
    <w:p w14:paraId="1167077E" w14:textId="77777777" w:rsidR="00D041A2" w:rsidRDefault="00000000">
      <w:pPr>
        <w:pStyle w:val="Normal17"/>
        <w:widowControl w:val="0"/>
        <w:spacing w:before="240" w:line="260" w:lineRule="atLeast"/>
      </w:pPr>
      <w:r>
        <w:br/>
      </w:r>
      <w:r>
        <w:rPr>
          <w:rFonts w:ascii="Arial" w:eastAsia="Arial" w:hAnsi="Arial" w:cs="Arial"/>
          <w:color w:val="000000"/>
          <w:sz w:val="20"/>
          <w:u w:val="single"/>
        </w:rPr>
        <w:t>Discussion</w:t>
      </w:r>
    </w:p>
    <w:p w14:paraId="38973741" w14:textId="77777777" w:rsidR="00D041A2" w:rsidRDefault="00000000">
      <w:pPr>
        <w:pStyle w:val="Normal17"/>
        <w:widowControl w:val="0"/>
        <w:spacing w:before="200" w:line="260" w:lineRule="atLeast"/>
        <w:jc w:val="both"/>
      </w:pPr>
      <w:bookmarkStart w:id="1942" w:name="Bookmark_para_11_13"/>
      <w:bookmarkStart w:id="1943" w:name="Bookmark_I567C99T2D6N4M0030000400"/>
      <w:bookmarkStart w:id="1944" w:name="Bookmark_I3WXY3RRC5C00079WNY00229"/>
      <w:bookmarkStart w:id="1945" w:name="Bookmark_I567C99T2D6N4M0050000400"/>
      <w:bookmarkStart w:id="1946" w:name="Bookmark_LNHNREFclscc1_11"/>
      <w:bookmarkEnd w:id="1942"/>
      <w:bookmarkEnd w:id="1943"/>
      <w:bookmarkEnd w:id="1944"/>
      <w:bookmarkEnd w:id="1945"/>
      <w:bookmarkEnd w:id="1946"/>
      <w:r>
        <w:rPr>
          <w:rFonts w:ascii="Arial" w:eastAsia="Arial" w:hAnsi="Arial" w:cs="Arial"/>
          <w:color w:val="000000"/>
          <w:sz w:val="20"/>
        </w:rPr>
        <w:t xml:space="preserve">We review the district court's grant of summary judgment de novo. </w:t>
      </w:r>
      <w:bookmarkStart w:id="1947" w:name="Bookmark_I567C99T2D6N4M0020000400"/>
      <w:bookmarkEnd w:id="1947"/>
      <w:r>
        <w:rPr>
          <w:rFonts w:ascii="Arial" w:eastAsia="Arial" w:hAnsi="Arial" w:cs="Arial"/>
          <w:color w:val="000000"/>
          <w:sz w:val="20"/>
          <w:u w:val="single"/>
        </w:rPr>
        <w:t>Fowler v. United States</w:t>
      </w:r>
      <w:r>
        <w:rPr>
          <w:rFonts w:ascii="Arial" w:eastAsia="Arial" w:hAnsi="Arial" w:cs="Arial"/>
          <w:color w:val="000000"/>
          <w:sz w:val="20"/>
        </w:rPr>
        <w:t xml:space="preserve">, 647 F.3d 1232, 1237 (10th Cir. 2011). </w:t>
      </w:r>
      <w:bookmarkStart w:id="1948" w:name="Bookmark_LNHNREFclscc2_11"/>
      <w:bookmarkEnd w:id="1948"/>
      <w:r>
        <w:rPr>
          <w:rFonts w:ascii="Arial" w:eastAsia="Arial" w:hAnsi="Arial" w:cs="Arial"/>
          <w:color w:val="000000"/>
          <w:sz w:val="20"/>
        </w:rPr>
        <w:t xml:space="preserve">A prima facie case of disability discrimination under the ADA requires that the Employee (1) be a disabled person  [**7] as defined by the ADA; (2) is qualified, with or without reasonable accommodation, to perform the essential functions of the job held or desired; and (3) suffered discrimination by an employer or prospective employer because of that disability. </w:t>
      </w:r>
      <w:r>
        <w:rPr>
          <w:rFonts w:ascii="Arial" w:eastAsia="Arial" w:hAnsi="Arial" w:cs="Arial"/>
          <w:color w:val="000000"/>
          <w:sz w:val="20"/>
          <w:u w:val="single"/>
        </w:rPr>
        <w:t xml:space="preserve">See </w:t>
      </w:r>
      <w:bookmarkStart w:id="1949" w:name="Bookmark_I567C99T2D6N4M0040000400"/>
      <w:bookmarkEnd w:id="1949"/>
      <w:r>
        <w:rPr>
          <w:rFonts w:ascii="Arial" w:eastAsia="Arial" w:hAnsi="Arial" w:cs="Arial"/>
          <w:color w:val="000000"/>
          <w:sz w:val="20"/>
          <w:u w:val="single"/>
        </w:rPr>
        <w:t>EEOC v. C.R. England, Inc</w:t>
      </w:r>
      <w:r>
        <w:rPr>
          <w:rFonts w:ascii="Arial" w:eastAsia="Arial" w:hAnsi="Arial" w:cs="Arial"/>
          <w:color w:val="000000"/>
          <w:sz w:val="20"/>
        </w:rPr>
        <w:t>., 644 F.3d 1028, 1037-38 (10th Cir. 2011).</w:t>
      </w:r>
    </w:p>
    <w:p w14:paraId="1C2F8139" w14:textId="77777777" w:rsidR="00D041A2" w:rsidRDefault="00000000">
      <w:pPr>
        <w:pStyle w:val="Normal17"/>
        <w:widowControl w:val="0"/>
        <w:spacing w:before="200" w:line="260" w:lineRule="atLeast"/>
        <w:jc w:val="both"/>
      </w:pPr>
      <w:bookmarkStart w:id="1950" w:name="Bookmark_para_12_12"/>
      <w:bookmarkEnd w:id="1950"/>
      <w:r>
        <w:rPr>
          <w:rFonts w:ascii="Arial" w:eastAsia="Arial" w:hAnsi="Arial" w:cs="Arial"/>
          <w:color w:val="000000"/>
          <w:sz w:val="20"/>
        </w:rPr>
        <w:t xml:space="preserve">The parties agree that Employee was disabled within the meaning of the ADA. </w:t>
      </w:r>
      <w:r>
        <w:rPr>
          <w:rFonts w:ascii="Arial" w:eastAsia="Arial" w:hAnsi="Arial" w:cs="Arial"/>
          <w:color w:val="000000"/>
          <w:sz w:val="20"/>
          <w:u w:val="single"/>
        </w:rPr>
        <w:t>See</w:t>
      </w:r>
      <w:r>
        <w:rPr>
          <w:rFonts w:ascii="Arial" w:eastAsia="Arial" w:hAnsi="Arial" w:cs="Arial"/>
          <w:color w:val="000000"/>
          <w:sz w:val="20"/>
        </w:rPr>
        <w:t xml:space="preserve"> Order at *1. Therefore, we start with the second part of the test.</w:t>
      </w:r>
    </w:p>
    <w:p w14:paraId="657D1B8E" w14:textId="77777777" w:rsidR="00D041A2" w:rsidRDefault="00000000">
      <w:pPr>
        <w:pStyle w:val="Normal17"/>
        <w:widowControl w:val="0"/>
        <w:spacing w:before="120" w:line="260" w:lineRule="atLeast"/>
      </w:pPr>
      <w:r>
        <w:rPr>
          <w:rFonts w:ascii="Arial" w:eastAsia="Arial" w:hAnsi="Arial" w:cs="Arial"/>
          <w:color w:val="000000"/>
          <w:sz w:val="20"/>
        </w:rPr>
        <w:t xml:space="preserve">I. </w:t>
      </w:r>
      <w:r>
        <w:rPr>
          <w:rFonts w:ascii="Arial" w:eastAsia="Arial" w:hAnsi="Arial" w:cs="Arial"/>
          <w:color w:val="000000"/>
          <w:sz w:val="20"/>
          <w:u w:val="single"/>
        </w:rPr>
        <w:t>Was Employee Qualified for the Performer Position?</w:t>
      </w:r>
    </w:p>
    <w:p w14:paraId="0B970B1A" w14:textId="77777777" w:rsidR="00D041A2" w:rsidRDefault="00000000">
      <w:pPr>
        <w:pStyle w:val="Normal17"/>
        <w:widowControl w:val="0"/>
        <w:spacing w:before="200" w:line="260" w:lineRule="atLeast"/>
        <w:jc w:val="both"/>
      </w:pPr>
      <w:bookmarkStart w:id="1951" w:name="Bookmark_para_13_11"/>
      <w:bookmarkStart w:id="1952" w:name="Bookmark_LNHNREFclscc3_11"/>
      <w:bookmarkEnd w:id="1951"/>
      <w:bookmarkEnd w:id="1952"/>
      <w:r>
        <w:rPr>
          <w:rFonts w:ascii="Arial" w:eastAsia="Arial" w:hAnsi="Arial" w:cs="Arial"/>
          <w:color w:val="000000"/>
          <w:sz w:val="20"/>
        </w:rPr>
        <w:t xml:space="preserve">Under the ADA, it is unlawful for an employer to use qualification standards, employment tests, or other selection criteria that "screen out or tend to screen out an individual with a disability or a class of individuals with disabilities unless the standard, test or other selection criteria, as used by the covered entity, is shown to be job-related for the position in question and is consistent with business necessity . . . ." 42 U.S.C. § 12112(b)(6); 29 C.F.R. § 1630.15(b)(1). </w:t>
      </w:r>
      <w:bookmarkStart w:id="1953" w:name="Bookmark_LNHNREFclscc4_11"/>
      <w:bookmarkEnd w:id="1953"/>
      <w:r>
        <w:rPr>
          <w:rFonts w:ascii="Arial" w:eastAsia="Arial" w:hAnsi="Arial" w:cs="Arial"/>
          <w:color w:val="000000"/>
          <w:sz w:val="20"/>
        </w:rPr>
        <w:t>An employer must make "reasonable accommodations" for an otherwise qualified individual unless the employer "can demonstrate that the accommodation would impose an undue hardship on the operation of the  [**8] business . . . ." 42 U.S.C. § 12112(b)(5)(A); 29 C.F.R. § 1630.15(d).</w:t>
      </w:r>
    </w:p>
    <w:p w14:paraId="3C91A93B" w14:textId="77777777" w:rsidR="00D041A2" w:rsidRDefault="00000000">
      <w:pPr>
        <w:pStyle w:val="Normal17"/>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Are Verbal Communication Skills an Essential Function of the Performer Position?</w:t>
      </w:r>
    </w:p>
    <w:p w14:paraId="3B160C88" w14:textId="77777777" w:rsidR="00D041A2" w:rsidRDefault="00000000">
      <w:pPr>
        <w:pStyle w:val="Normal17"/>
        <w:widowControl w:val="0"/>
        <w:spacing w:before="200" w:line="260" w:lineRule="atLeast"/>
        <w:jc w:val="both"/>
      </w:pPr>
      <w:bookmarkStart w:id="1954" w:name="Bookmark_para_14_10"/>
      <w:bookmarkStart w:id="1955" w:name="Bookmark_I567C99T2N1PYR0020000400"/>
      <w:bookmarkEnd w:id="1954"/>
      <w:bookmarkEnd w:id="1955"/>
      <w:r>
        <w:rPr>
          <w:rFonts w:ascii="Arial" w:eastAsia="Arial" w:hAnsi="Arial" w:cs="Arial"/>
          <w:color w:val="000000"/>
          <w:sz w:val="20"/>
        </w:rPr>
        <w:t xml:space="preserve">Employer maintains that strong verbal communication skills are an essential function of the performer position. </w:t>
      </w:r>
      <w:bookmarkStart w:id="1956" w:name="Bookmark_LNHNREFclscc5_11"/>
      <w:bookmarkEnd w:id="1956"/>
      <w:r>
        <w:rPr>
          <w:rFonts w:ascii="Arial" w:eastAsia="Arial" w:hAnsi="Arial" w:cs="Arial"/>
          <w:color w:val="000000"/>
          <w:sz w:val="20"/>
        </w:rPr>
        <w:t xml:space="preserve">Whether such skills are an essential function depends in part upon whether Employer "actually requires all employees in the particular position to satisfy the alleged job-related requirement." </w:t>
      </w:r>
      <w:bookmarkStart w:id="1957" w:name="Bookmark_I567C99T2N1PYR0010000400"/>
      <w:bookmarkEnd w:id="1957"/>
      <w:r>
        <w:rPr>
          <w:rFonts w:ascii="Arial" w:eastAsia="Arial" w:hAnsi="Arial" w:cs="Arial"/>
          <w:color w:val="000000"/>
          <w:sz w:val="20"/>
          <w:u w:val="single"/>
        </w:rPr>
        <w:t>Hennagir v. Utah Dep't of Corr</w:t>
      </w:r>
      <w:r>
        <w:rPr>
          <w:rFonts w:ascii="Arial" w:eastAsia="Arial" w:hAnsi="Arial" w:cs="Arial"/>
          <w:color w:val="000000"/>
          <w:sz w:val="20"/>
        </w:rPr>
        <w:t>., 587 F.3d 1255, 1262 (10th Cir. 2009). If so, the next inquiry is whether verbal communication skills are [*986]  fundamental to the performer position. Factors to consider are:</w:t>
      </w:r>
    </w:p>
    <w:p w14:paraId="57EB9DEA" w14:textId="77777777" w:rsidR="00D041A2" w:rsidRDefault="00000000">
      <w:pPr>
        <w:pStyle w:val="Normal17"/>
        <w:widowControl w:val="0"/>
        <w:spacing w:line="260" w:lineRule="atLeast"/>
        <w:ind w:left="400"/>
        <w:jc w:val="both"/>
      </w:pPr>
      <w:bookmarkStart w:id="1958" w:name="Bookmark_para_15_10"/>
      <w:bookmarkEnd w:id="1958"/>
      <w:r>
        <w:rPr>
          <w:rFonts w:ascii="Arial" w:eastAsia="Arial" w:hAnsi="Arial" w:cs="Arial"/>
          <w:color w:val="000000"/>
          <w:sz w:val="20"/>
        </w:rPr>
        <w:t>(I) The employer's judgment as to which functions are essential;</w:t>
      </w:r>
    </w:p>
    <w:p w14:paraId="0515F20D" w14:textId="77777777" w:rsidR="00D041A2" w:rsidRDefault="00000000">
      <w:pPr>
        <w:pStyle w:val="Normal17"/>
        <w:widowControl w:val="0"/>
        <w:spacing w:line="260" w:lineRule="atLeast"/>
        <w:ind w:left="400"/>
        <w:jc w:val="both"/>
      </w:pPr>
      <w:bookmarkStart w:id="1959" w:name="Bookmark_para_16_10"/>
      <w:bookmarkEnd w:id="1959"/>
      <w:r>
        <w:rPr>
          <w:rFonts w:ascii="Arial" w:eastAsia="Arial" w:hAnsi="Arial" w:cs="Arial"/>
          <w:color w:val="000000"/>
          <w:sz w:val="20"/>
        </w:rPr>
        <w:t>(ii) Written job descriptions prepared before advertising or interviewing applicants for the job;</w:t>
      </w:r>
    </w:p>
    <w:p w14:paraId="35F3A09C" w14:textId="77777777" w:rsidR="00D041A2" w:rsidRDefault="00000000">
      <w:pPr>
        <w:pStyle w:val="Normal17"/>
        <w:widowControl w:val="0"/>
        <w:spacing w:line="260" w:lineRule="atLeast"/>
        <w:ind w:left="400"/>
        <w:jc w:val="both"/>
      </w:pPr>
      <w:bookmarkStart w:id="1960" w:name="Bookmark_para_17_10"/>
      <w:bookmarkEnd w:id="1960"/>
      <w:r>
        <w:rPr>
          <w:rFonts w:ascii="Arial" w:eastAsia="Arial" w:hAnsi="Arial" w:cs="Arial"/>
          <w:color w:val="000000"/>
          <w:sz w:val="20"/>
        </w:rPr>
        <w:t>(iii) The amount of time spent on the job performing the function;</w:t>
      </w:r>
    </w:p>
    <w:p w14:paraId="5E6549E0" w14:textId="77777777" w:rsidR="00D041A2" w:rsidRDefault="00000000">
      <w:pPr>
        <w:pStyle w:val="Normal17"/>
        <w:widowControl w:val="0"/>
        <w:spacing w:line="260" w:lineRule="atLeast"/>
        <w:ind w:left="400"/>
        <w:jc w:val="both"/>
      </w:pPr>
      <w:bookmarkStart w:id="1961" w:name="Bookmark_para_18_9"/>
      <w:bookmarkEnd w:id="1961"/>
      <w:r>
        <w:rPr>
          <w:rFonts w:ascii="Arial" w:eastAsia="Arial" w:hAnsi="Arial" w:cs="Arial"/>
          <w:color w:val="000000"/>
          <w:sz w:val="20"/>
        </w:rPr>
        <w:t>(iv) The consequences of not requiring the incumbent to perform the function;</w:t>
      </w:r>
    </w:p>
    <w:p w14:paraId="6ED001F8" w14:textId="77777777" w:rsidR="00D041A2" w:rsidRDefault="00000000">
      <w:pPr>
        <w:pStyle w:val="Normal17"/>
        <w:widowControl w:val="0"/>
        <w:spacing w:line="260" w:lineRule="atLeast"/>
        <w:ind w:left="400"/>
        <w:jc w:val="both"/>
      </w:pPr>
      <w:bookmarkStart w:id="1962" w:name="Bookmark_para_19_9"/>
      <w:bookmarkEnd w:id="1962"/>
      <w:r>
        <w:rPr>
          <w:rFonts w:ascii="Arial" w:eastAsia="Arial" w:hAnsi="Arial" w:cs="Arial"/>
          <w:color w:val="000000"/>
          <w:sz w:val="20"/>
        </w:rPr>
        <w:t>(v) The terms of a collective bargaining agreement;</w:t>
      </w:r>
    </w:p>
    <w:p w14:paraId="3CE88101" w14:textId="77777777" w:rsidR="00D041A2" w:rsidRDefault="00000000">
      <w:pPr>
        <w:pStyle w:val="Normal17"/>
        <w:widowControl w:val="0"/>
        <w:spacing w:before="200" w:line="260" w:lineRule="atLeast"/>
        <w:ind w:left="400"/>
        <w:jc w:val="both"/>
      </w:pPr>
      <w:bookmarkStart w:id="1963" w:name="Bookmark_para_20_9"/>
      <w:bookmarkStart w:id="1964" w:name="Bookmark_I3WXY3S0N7N00079WNY00565"/>
      <w:bookmarkStart w:id="1965" w:name="Bookmark_I567C99T2N1PYR0040000400"/>
      <w:bookmarkEnd w:id="1963"/>
      <w:bookmarkEnd w:id="1964"/>
      <w:bookmarkEnd w:id="1965"/>
      <w:r>
        <w:rPr>
          <w:rFonts w:ascii="Arial" w:eastAsia="Arial" w:hAnsi="Arial" w:cs="Arial"/>
          <w:color w:val="000000"/>
          <w:sz w:val="20"/>
        </w:rPr>
        <w:t>(vi) The work experience of past incumbents in the job; and/or</w:t>
      </w:r>
    </w:p>
    <w:p w14:paraId="3EA9CB38" w14:textId="77777777" w:rsidR="00D041A2" w:rsidRDefault="00000000">
      <w:pPr>
        <w:pStyle w:val="Normal17"/>
        <w:widowControl w:val="0"/>
        <w:spacing w:before="200" w:line="260" w:lineRule="atLeast"/>
        <w:ind w:left="400"/>
        <w:jc w:val="both"/>
      </w:pPr>
      <w:bookmarkStart w:id="1966" w:name="Bookmark_para_21_9"/>
      <w:bookmarkStart w:id="1967" w:name="Bookmark_I567C99T2N1PYR0040000400_2"/>
      <w:bookmarkEnd w:id="1966"/>
      <w:bookmarkEnd w:id="1967"/>
      <w:r>
        <w:rPr>
          <w:rFonts w:ascii="Arial" w:eastAsia="Arial" w:hAnsi="Arial" w:cs="Arial"/>
          <w:color w:val="000000"/>
          <w:sz w:val="20"/>
        </w:rPr>
        <w:t>(vii) The current work experience of incumbents in similar jobs.</w:t>
      </w:r>
    </w:p>
    <w:p w14:paraId="12E6049B" w14:textId="77777777" w:rsidR="00D041A2" w:rsidRDefault="00000000">
      <w:pPr>
        <w:pStyle w:val="Normal17"/>
        <w:widowControl w:val="0"/>
        <w:spacing w:before="200" w:line="260" w:lineRule="atLeast"/>
        <w:jc w:val="both"/>
      </w:pPr>
      <w:bookmarkStart w:id="1968" w:name="Bookmark_I567C99T2N1PYR0040000400_3"/>
      <w:bookmarkStart w:id="1969" w:name="Bookmark_I567C99T2HM6D80010000400"/>
      <w:bookmarkStart w:id="1970" w:name="Bookmark_I567C99T2N1PYR0030000400"/>
      <w:bookmarkEnd w:id="1968"/>
      <w:bookmarkEnd w:id="1969"/>
      <w:bookmarkEnd w:id="1970"/>
      <w:r>
        <w:rPr>
          <w:rFonts w:ascii="Arial" w:eastAsia="Arial" w:hAnsi="Arial" w:cs="Arial"/>
          <w:color w:val="000000"/>
          <w:sz w:val="20"/>
          <w:u w:val="single"/>
        </w:rPr>
        <w:t>Id</w:t>
      </w:r>
      <w:r>
        <w:rPr>
          <w:rFonts w:ascii="Arial" w:eastAsia="Arial" w:hAnsi="Arial" w:cs="Arial"/>
          <w:color w:val="000000"/>
          <w:sz w:val="20"/>
        </w:rPr>
        <w:t xml:space="preserve">.; 29 C.F.R. § 1630.2(n)(3). </w:t>
      </w:r>
      <w:bookmarkStart w:id="1971" w:name="Bookmark_I567C99T2HM6D80010000400_2"/>
      <w:bookmarkStart w:id="1972" w:name="Bookmark_LNHNREFclscc6_11"/>
      <w:bookmarkEnd w:id="1971"/>
      <w:bookmarkEnd w:id="1972"/>
      <w:r>
        <w:rPr>
          <w:rFonts w:ascii="Arial" w:eastAsia="Arial" w:hAnsi="Arial" w:cs="Arial"/>
          <w:color w:val="000000"/>
          <w:sz w:val="20"/>
        </w:rPr>
        <w:t xml:space="preserve">The essential function analysis  [**9] "is not intended to second guess the employer or to require [it] to lower company standards . . . . Provided that any necessary job specification is job-related, uniformly enforced, and consistent with business necessity, the employer has a right to establish what a job is and what is required to perform it." </w:t>
      </w:r>
      <w:bookmarkStart w:id="1973" w:name="Bookmark_I567C99T2N1PYR0050000400"/>
      <w:bookmarkEnd w:id="1973"/>
      <w:r>
        <w:rPr>
          <w:rFonts w:ascii="Arial" w:eastAsia="Arial" w:hAnsi="Arial" w:cs="Arial"/>
          <w:color w:val="000000"/>
          <w:sz w:val="20"/>
          <w:u w:val="single"/>
        </w:rPr>
        <w:t>Hennagir</w:t>
      </w:r>
      <w:r>
        <w:rPr>
          <w:rFonts w:ascii="Arial" w:eastAsia="Arial" w:hAnsi="Arial" w:cs="Arial"/>
          <w:color w:val="000000"/>
          <w:sz w:val="20"/>
        </w:rPr>
        <w:t xml:space="preserve">, 587 F.3d at 1262 (internal quotations omitted); </w:t>
      </w:r>
      <w:r>
        <w:rPr>
          <w:rFonts w:ascii="Arial" w:eastAsia="Arial" w:hAnsi="Arial" w:cs="Arial"/>
          <w:color w:val="000000"/>
          <w:sz w:val="20"/>
          <w:u w:val="single"/>
        </w:rPr>
        <w:t xml:space="preserve">cf. </w:t>
      </w:r>
      <w:bookmarkStart w:id="1974" w:name="Bookmark_I567C99T2HM6D80020000400"/>
      <w:bookmarkEnd w:id="1974"/>
      <w:r>
        <w:rPr>
          <w:rFonts w:ascii="Arial" w:eastAsia="Arial" w:hAnsi="Arial" w:cs="Arial"/>
          <w:color w:val="000000"/>
          <w:sz w:val="20"/>
          <w:u w:val="single"/>
        </w:rPr>
        <w:t>Davidson v. Am. Online, Inc</w:t>
      </w:r>
      <w:r>
        <w:rPr>
          <w:rFonts w:ascii="Arial" w:eastAsia="Arial" w:hAnsi="Arial" w:cs="Arial"/>
          <w:color w:val="000000"/>
          <w:sz w:val="20"/>
        </w:rPr>
        <w:t>., 337 F.3d 1179, 1191 (10th Cir. 2003) (stating that evidence of what an employer thinks is an essential job function is important, but not conclusive).</w:t>
      </w:r>
    </w:p>
    <w:p w14:paraId="1D4B58F2" w14:textId="77777777" w:rsidR="00D041A2" w:rsidRDefault="00000000">
      <w:pPr>
        <w:pStyle w:val="Normal17"/>
        <w:widowControl w:val="0"/>
        <w:spacing w:before="200" w:line="260" w:lineRule="atLeast"/>
        <w:jc w:val="both"/>
      </w:pPr>
      <w:bookmarkStart w:id="1975" w:name="Bookmark_para_22_9"/>
      <w:bookmarkEnd w:id="1975"/>
      <w:r>
        <w:rPr>
          <w:rFonts w:ascii="Arial" w:eastAsia="Arial" w:hAnsi="Arial" w:cs="Arial"/>
          <w:color w:val="000000"/>
          <w:sz w:val="20"/>
        </w:rPr>
        <w:t>Using the criteria listed above, verbal communication skills are an essential function of the performer position. Employer explains that a performer must be able to verbally communicate with customers (many of whom are children), Aplt. App. 53a, and it lists "[s]trong verbal communication skills" and "[s]trong customer service skills" as job qualifications for the performer position. Aplt. App. 98a-99a, 155a-56a. According to Employer, "substituting written notes, gestures, and pointing for fast, efficient verbal cuing in the Camera Room is simply impractical in light of (a) the short attention span of most Picture People subjects . . . ;  [**10] (b) the interruption to the flow of the photo shoot; (c) the inability to establish rapport with the parent and child and finally, (d) the quick 20-minute duration of each Camera Room sitting[.]" Aplee. Br. 16.</w:t>
      </w:r>
    </w:p>
    <w:p w14:paraId="6E9FFCF3" w14:textId="77777777" w:rsidR="00D041A2" w:rsidRDefault="00000000">
      <w:pPr>
        <w:pStyle w:val="Normal17"/>
        <w:widowControl w:val="0"/>
        <w:spacing w:before="200" w:line="260" w:lineRule="atLeast"/>
        <w:jc w:val="both"/>
      </w:pPr>
      <w:bookmarkStart w:id="1976" w:name="Bookmark_para_23_9"/>
      <w:bookmarkEnd w:id="1976"/>
      <w:r>
        <w:rPr>
          <w:rFonts w:ascii="Arial" w:eastAsia="Arial" w:hAnsi="Arial" w:cs="Arial"/>
          <w:color w:val="000000"/>
          <w:sz w:val="20"/>
        </w:rPr>
        <w:t>Employee is unable to fully perform three of the four duties of a performer. Although she can fully perform the lab function, her ability to (a) efficiently register and recruit customers, (b) instruct young children while taking their photos, and (c) sell photo packages by addressing customer critiques and concerns, is problematic, particularly given Employer's business model. Employer allows only 20 minutes for each Camera Room sitting—a relatively short period of time, especially when photographing young children. Aplt. App. 53a, 172a.</w:t>
      </w:r>
    </w:p>
    <w:p w14:paraId="0AB7E998" w14:textId="77777777" w:rsidR="00D041A2" w:rsidRDefault="00000000">
      <w:pPr>
        <w:pStyle w:val="Normal17"/>
        <w:widowControl w:val="0"/>
        <w:spacing w:before="200" w:line="260" w:lineRule="atLeast"/>
        <w:jc w:val="both"/>
      </w:pPr>
      <w:bookmarkStart w:id="1977" w:name="Bookmark_para_24_8"/>
      <w:bookmarkEnd w:id="1977"/>
      <w:r>
        <w:rPr>
          <w:rFonts w:ascii="Arial" w:eastAsia="Arial" w:hAnsi="Arial" w:cs="Arial"/>
          <w:color w:val="000000"/>
          <w:sz w:val="20"/>
        </w:rPr>
        <w:t xml:space="preserve">The only evidence of a verbally impaired employee in the performer position is not really comparable. Ms. Wendy Duke—a former employee— is also hearing impaired, but Ms. Duke is able to speak and can effectively read lips. </w:t>
      </w:r>
      <w:r>
        <w:rPr>
          <w:rFonts w:ascii="Arial" w:eastAsia="Arial" w:hAnsi="Arial" w:cs="Arial"/>
          <w:color w:val="000000"/>
          <w:sz w:val="20"/>
          <w:u w:val="single"/>
        </w:rPr>
        <w:t>Id</w:t>
      </w:r>
      <w:r>
        <w:rPr>
          <w:rFonts w:ascii="Arial" w:eastAsia="Arial" w:hAnsi="Arial" w:cs="Arial"/>
          <w:color w:val="000000"/>
          <w:sz w:val="20"/>
        </w:rPr>
        <w:t xml:space="preserve">. at 169a. Though the EEOC claims that a jury could find that the differences between Ms. Duke and Employee were not as significant as urged, the EEOC does not dispute that Ms. Duke could read lips and speak and that Employee  [**11] does very little of either. Order at *5. Furthermore, when 2-2 staffing is employed during most of the year, Employee is unable to fully perform three of the four main duties of a performer, while Ms. Duke was able to converse with customers while selling photos, </w:t>
      </w:r>
      <w:r>
        <w:rPr>
          <w:rFonts w:ascii="Arial" w:eastAsia="Arial" w:hAnsi="Arial" w:cs="Arial"/>
          <w:color w:val="000000"/>
          <w:sz w:val="20"/>
          <w:u w:val="single"/>
        </w:rPr>
        <w:t>id</w:t>
      </w:r>
      <w:r>
        <w:rPr>
          <w:rFonts w:ascii="Arial" w:eastAsia="Arial" w:hAnsi="Arial" w:cs="Arial"/>
          <w:color w:val="000000"/>
          <w:sz w:val="20"/>
        </w:rPr>
        <w:t xml:space="preserve">. at 172a, and while taking pictures, </w:t>
      </w:r>
      <w:r>
        <w:rPr>
          <w:rFonts w:ascii="Arial" w:eastAsia="Arial" w:hAnsi="Arial" w:cs="Arial"/>
          <w:color w:val="000000"/>
          <w:sz w:val="20"/>
          <w:u w:val="single"/>
        </w:rPr>
        <w:t>id</w:t>
      </w:r>
      <w:r>
        <w:rPr>
          <w:rFonts w:ascii="Arial" w:eastAsia="Arial" w:hAnsi="Arial" w:cs="Arial"/>
          <w:color w:val="000000"/>
          <w:sz w:val="20"/>
        </w:rPr>
        <w:t>. at 173a ("Every time I go into the camera shoot I use my voice."). Though the EEOC maintains that Employee could communicate non-verbally, nothing suggests that gestures, [*987]  pantomime, and written communication are similarly effective and efficient for these tasks. When only one other staff member is present, it simply is not feasible to delegate all of these duties. Therefore, based on the factors outlined in 29 C.F.R. § 1630.2(n)(3), we must conclude that verbal communication is an essential function of the performer position.</w:t>
      </w:r>
    </w:p>
    <w:p w14:paraId="4C8934AD" w14:textId="77777777" w:rsidR="00D041A2" w:rsidRDefault="00000000">
      <w:pPr>
        <w:pStyle w:val="Normal17"/>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Were Reasonable Accommodations Available?</w:t>
      </w:r>
    </w:p>
    <w:p w14:paraId="46B69D20" w14:textId="77777777" w:rsidR="00D041A2" w:rsidRDefault="00000000">
      <w:pPr>
        <w:pStyle w:val="Normal17"/>
        <w:widowControl w:val="0"/>
        <w:spacing w:before="200" w:line="260" w:lineRule="atLeast"/>
        <w:jc w:val="both"/>
      </w:pPr>
      <w:bookmarkStart w:id="1978" w:name="Bookmark_para_25_8"/>
      <w:bookmarkStart w:id="1979" w:name="Bookmark_I567C99T2HM6D80050000400"/>
      <w:bookmarkStart w:id="1980" w:name="Bookmark_LNHNREFclscc7_11"/>
      <w:bookmarkEnd w:id="1978"/>
      <w:bookmarkEnd w:id="1979"/>
      <w:bookmarkEnd w:id="1980"/>
      <w:r>
        <w:rPr>
          <w:rFonts w:ascii="Arial" w:eastAsia="Arial" w:hAnsi="Arial" w:cs="Arial"/>
          <w:color w:val="000000"/>
          <w:sz w:val="20"/>
        </w:rPr>
        <w:t xml:space="preserve">If an employee is unable to perform an essential function, the next inquiry is whether the employee could perform this job with reasonable accommodations. </w:t>
      </w:r>
      <w:r>
        <w:rPr>
          <w:rFonts w:ascii="Arial" w:eastAsia="Arial" w:hAnsi="Arial" w:cs="Arial"/>
          <w:color w:val="000000"/>
          <w:sz w:val="20"/>
          <w:u w:val="single"/>
        </w:rPr>
        <w:t xml:space="preserve">See </w:t>
      </w:r>
      <w:bookmarkStart w:id="1981" w:name="Bookmark_I567C99T2HM6D80040000400"/>
      <w:bookmarkEnd w:id="1981"/>
      <w:r>
        <w:rPr>
          <w:rFonts w:ascii="Arial" w:eastAsia="Arial" w:hAnsi="Arial" w:cs="Arial"/>
          <w:color w:val="000000"/>
          <w:sz w:val="20"/>
          <w:u w:val="single"/>
        </w:rPr>
        <w:t>Davidson</w:t>
      </w:r>
      <w:r>
        <w:rPr>
          <w:rFonts w:ascii="Arial" w:eastAsia="Arial" w:hAnsi="Arial" w:cs="Arial"/>
          <w:color w:val="000000"/>
          <w:sz w:val="20"/>
        </w:rPr>
        <w:t>, 337 F.3d at 1192. Reasonable accommodations are defined as "[m]odifications or adjustments to the work environment, or to the manner or circumstances  [**12] under which the position held or desired is customarily performed, that enable an individual with a disability who is qualified to perform the essential functions of that position" or "[m]odifications or adjustments that enable a covered entity's employee with a disability to enjoy equal benefits and privileges of employment as are enjoyed by its other similarly situated employees without disabilities." 29 C.F.R. § 1630.2(o)(1)(ii)-(iii).</w:t>
      </w:r>
    </w:p>
    <w:p w14:paraId="66B6AB04" w14:textId="77777777" w:rsidR="00D041A2" w:rsidRDefault="00000000">
      <w:pPr>
        <w:pStyle w:val="Normal17"/>
        <w:widowControl w:val="0"/>
        <w:spacing w:before="200" w:line="260" w:lineRule="atLeast"/>
        <w:jc w:val="both"/>
      </w:pPr>
      <w:bookmarkStart w:id="1982" w:name="Bookmark_para_26_8"/>
      <w:bookmarkStart w:id="1983" w:name="Bookmark_I567C99T2D6N4N0020000400"/>
      <w:bookmarkEnd w:id="1982"/>
      <w:bookmarkEnd w:id="1983"/>
      <w:r>
        <w:rPr>
          <w:rFonts w:ascii="Arial" w:eastAsia="Arial" w:hAnsi="Arial" w:cs="Arial"/>
          <w:color w:val="000000"/>
          <w:sz w:val="20"/>
        </w:rPr>
        <w:t xml:space="preserve">The EEOC first argues that Employer was required to modify how Employee worked as a performer "to allow her to communicate with customers using non-verbal means of communication." Aplt. Br. 32-33. It is axiomatic, however, that </w:t>
      </w:r>
      <w:bookmarkStart w:id="1984" w:name="Bookmark_LNHNREFclscc8_11"/>
      <w:bookmarkEnd w:id="1984"/>
      <w:r>
        <w:rPr>
          <w:rFonts w:ascii="Arial" w:eastAsia="Arial" w:hAnsi="Arial" w:cs="Arial"/>
          <w:color w:val="000000"/>
          <w:sz w:val="20"/>
        </w:rPr>
        <w:t xml:space="preserve">an employer is not required to relieve an employee of an essential job function. </w:t>
      </w:r>
      <w:r>
        <w:rPr>
          <w:rFonts w:ascii="Arial" w:eastAsia="Arial" w:hAnsi="Arial" w:cs="Arial"/>
          <w:color w:val="000000"/>
          <w:sz w:val="20"/>
          <w:u w:val="single"/>
        </w:rPr>
        <w:t xml:space="preserve">See </w:t>
      </w:r>
      <w:bookmarkStart w:id="1985" w:name="Bookmark_I567C99T2D6N4N0010000400"/>
      <w:bookmarkEnd w:id="1985"/>
      <w:r>
        <w:rPr>
          <w:rFonts w:ascii="Arial" w:eastAsia="Arial" w:hAnsi="Arial" w:cs="Arial"/>
          <w:color w:val="000000"/>
          <w:sz w:val="20"/>
          <w:u w:val="single"/>
        </w:rPr>
        <w:t>Mason v. Avaya Commc'ns, Inc</w:t>
      </w:r>
      <w:r>
        <w:rPr>
          <w:rFonts w:ascii="Arial" w:eastAsia="Arial" w:hAnsi="Arial" w:cs="Arial"/>
          <w:color w:val="000000"/>
          <w:sz w:val="20"/>
        </w:rPr>
        <w:t xml:space="preserve">., 357 F.3d 1114, 1122 (10th Cir. 2004) ("[A]n employee's request to be relieved from an essential function of her position is not, as a matter of law, a reasonable or even plausible accommodation."); </w:t>
      </w:r>
      <w:bookmarkStart w:id="1986" w:name="Bookmark_I567C99T2D6N4N0030000400"/>
      <w:bookmarkEnd w:id="1986"/>
      <w:r>
        <w:rPr>
          <w:rFonts w:ascii="Arial" w:eastAsia="Arial" w:hAnsi="Arial" w:cs="Arial"/>
          <w:color w:val="000000"/>
          <w:sz w:val="20"/>
          <w:u w:val="single"/>
        </w:rPr>
        <w:t>Hennagir</w:t>
      </w:r>
      <w:r>
        <w:rPr>
          <w:rFonts w:ascii="Arial" w:eastAsia="Arial" w:hAnsi="Arial" w:cs="Arial"/>
          <w:color w:val="000000"/>
          <w:sz w:val="20"/>
        </w:rPr>
        <w:t xml:space="preserve">, 587 F.3d at 1264-65. Given that verbal communication is an essential job function, requiring Employer to eliminate this function cannot be a "reasonable accommodation" required under the ADA. Next, the EEOC  [**13] argues that Employer was required to provide ASL interpreters at staff meetings and training sessions. Aplt. Br. 34-35; Aplt. Rep. Br. 21-27; 42 U.S.C. § 12111(9)(B). </w:t>
      </w:r>
      <w:bookmarkStart w:id="1987" w:name="Bookmark_I3WXY3RRJ8700079WNY0022B"/>
      <w:bookmarkStart w:id="1988" w:name="Bookmark_I567C99T2D6N4P0010000400"/>
      <w:bookmarkEnd w:id="1987"/>
      <w:bookmarkEnd w:id="1988"/>
      <w:r>
        <w:rPr>
          <w:rFonts w:ascii="Arial" w:eastAsia="Arial" w:hAnsi="Arial" w:cs="Arial"/>
          <w:color w:val="000000"/>
          <w:sz w:val="20"/>
        </w:rPr>
        <w:t xml:space="preserve">The EEOC relies upon cases in which a court held that an employer was required to provide an ASL interpreter for staff meetings. </w:t>
      </w:r>
      <w:bookmarkStart w:id="1989" w:name="Bookmark_I567C99T2D6N4P0030000400"/>
      <w:bookmarkEnd w:id="1989"/>
      <w:r>
        <w:rPr>
          <w:rFonts w:ascii="Arial" w:eastAsia="Arial" w:hAnsi="Arial" w:cs="Arial"/>
          <w:color w:val="000000"/>
          <w:sz w:val="20"/>
        </w:rPr>
        <w:t xml:space="preserve">Those cases are readily distinguishable. </w:t>
      </w:r>
      <w:bookmarkStart w:id="1990" w:name="Bookmark_I3WXY3RRP3C00079WNY0022C"/>
      <w:bookmarkStart w:id="1991" w:name="Bookmark_I567C99T2D6N4P0050000400"/>
      <w:bookmarkEnd w:id="1990"/>
      <w:bookmarkEnd w:id="1991"/>
      <w:r>
        <w:rPr>
          <w:rFonts w:ascii="Arial" w:eastAsia="Arial" w:hAnsi="Arial" w:cs="Arial"/>
          <w:color w:val="000000"/>
          <w:sz w:val="20"/>
        </w:rPr>
        <w:t xml:space="preserve">In </w:t>
      </w:r>
      <w:r>
        <w:rPr>
          <w:rFonts w:ascii="Arial" w:eastAsia="Arial" w:hAnsi="Arial" w:cs="Arial"/>
          <w:color w:val="000000"/>
          <w:sz w:val="20"/>
          <w:u w:val="single"/>
        </w:rPr>
        <w:t>EEOC v. UPS Supply Chain Solutions</w:t>
      </w:r>
      <w:r>
        <w:rPr>
          <w:rFonts w:ascii="Arial" w:eastAsia="Arial" w:hAnsi="Arial" w:cs="Arial"/>
          <w:color w:val="000000"/>
          <w:sz w:val="20"/>
        </w:rPr>
        <w:t xml:space="preserve">, the Ninth Circuit reversed summary judgment, finding a genuine issue of fact as to whether written agendas and outlines were a sufficient accommodation at staff meetings and training sessions, or whether an ASL interpreter was required. </w:t>
      </w:r>
      <w:bookmarkStart w:id="1992" w:name="Bookmark_I567C99T2D6N4N0050000400"/>
      <w:bookmarkEnd w:id="1992"/>
      <w:r>
        <w:rPr>
          <w:rFonts w:ascii="Arial" w:eastAsia="Arial" w:hAnsi="Arial" w:cs="Arial"/>
          <w:color w:val="000000"/>
          <w:sz w:val="20"/>
        </w:rPr>
        <w:t xml:space="preserve">620 F.3d 1103, 1111-13 (9th Cir. 2010). </w:t>
      </w:r>
      <w:bookmarkStart w:id="1993" w:name="Bookmark_I567C99T2D6N4P0050000400_2"/>
      <w:bookmarkStart w:id="1994" w:name="Bookmark_I567C99T2D6N4P0030000400_2"/>
      <w:bookmarkStart w:id="1995" w:name="Bookmark_I567C99T2SF7VK0020000400"/>
      <w:bookmarkEnd w:id="1993"/>
      <w:bookmarkEnd w:id="1994"/>
      <w:bookmarkEnd w:id="1995"/>
      <w:r>
        <w:rPr>
          <w:rFonts w:ascii="Arial" w:eastAsia="Arial" w:hAnsi="Arial" w:cs="Arial"/>
          <w:color w:val="000000"/>
          <w:sz w:val="20"/>
        </w:rPr>
        <w:t xml:space="preserve">In that case, however, it was undisputed that the employee was able to "complete his job duties [in the accounts payable division] without the assistance of an ASL interpreter." </w:t>
      </w:r>
      <w:bookmarkStart w:id="1996" w:name="Bookmark_I567C99T2D6N4P0020000400"/>
      <w:bookmarkEnd w:id="1996"/>
      <w:r>
        <w:rPr>
          <w:rFonts w:ascii="Arial" w:eastAsia="Arial" w:hAnsi="Arial" w:cs="Arial"/>
          <w:color w:val="000000"/>
          <w:sz w:val="20"/>
          <w:u w:val="single"/>
        </w:rPr>
        <w:t>Id</w:t>
      </w:r>
      <w:r>
        <w:rPr>
          <w:rFonts w:ascii="Arial" w:eastAsia="Arial" w:hAnsi="Arial" w:cs="Arial"/>
          <w:color w:val="000000"/>
          <w:sz w:val="20"/>
        </w:rPr>
        <w:t xml:space="preserve">. at 1105-06. </w:t>
      </w:r>
      <w:bookmarkStart w:id="1997" w:name="Bookmark_I567C99T2SF7VK0020000400_2"/>
      <w:bookmarkEnd w:id="1997"/>
      <w:r>
        <w:rPr>
          <w:rFonts w:ascii="Arial" w:eastAsia="Arial" w:hAnsi="Arial" w:cs="Arial"/>
          <w:color w:val="000000"/>
          <w:sz w:val="20"/>
        </w:rPr>
        <w:t xml:space="preserve">Similarly, in </w:t>
      </w:r>
      <w:r>
        <w:rPr>
          <w:rFonts w:ascii="Arial" w:eastAsia="Arial" w:hAnsi="Arial" w:cs="Arial"/>
          <w:color w:val="000000"/>
          <w:sz w:val="20"/>
          <w:u w:val="single"/>
        </w:rPr>
        <w:t>EEOC v. Federal Express Corp</w:t>
      </w:r>
      <w:r>
        <w:rPr>
          <w:rFonts w:ascii="Arial" w:eastAsia="Arial" w:hAnsi="Arial" w:cs="Arial"/>
          <w:color w:val="000000"/>
          <w:sz w:val="20"/>
        </w:rPr>
        <w:t xml:space="preserve">., the Fourth Circuit upheld a jury's award for punitive damages when FedEx failed to provide ASL interpreters at mandatory meetings and training sessions. </w:t>
      </w:r>
      <w:bookmarkStart w:id="1998" w:name="Bookmark_I567C99T2D6N4P0040000400"/>
      <w:bookmarkEnd w:id="1998"/>
      <w:r>
        <w:rPr>
          <w:rFonts w:ascii="Arial" w:eastAsia="Arial" w:hAnsi="Arial" w:cs="Arial"/>
          <w:color w:val="000000"/>
          <w:sz w:val="20"/>
        </w:rPr>
        <w:t xml:space="preserve">513 F.3d 360, 365, 373-74 (4th Cir. 2008). </w:t>
      </w:r>
      <w:bookmarkStart w:id="1999" w:name="Bookmark_I567C99T2SF7VK0020000400_3"/>
      <w:bookmarkStart w:id="2000" w:name="Bookmark_I567C99T2SF7VK0040000400"/>
      <w:bookmarkEnd w:id="1999"/>
      <w:bookmarkEnd w:id="2000"/>
      <w:r>
        <w:rPr>
          <w:rFonts w:ascii="Arial" w:eastAsia="Arial" w:hAnsi="Arial" w:cs="Arial"/>
          <w:color w:val="000000"/>
          <w:sz w:val="20"/>
        </w:rPr>
        <w:t xml:space="preserve">The employee involved in the case was a package handler whose duties included "sorting, scanning, and stacking packages  [**14] and letters . . . ." </w:t>
      </w:r>
      <w:bookmarkStart w:id="2001" w:name="Bookmark_I567C99T2SF7VK0010000400"/>
      <w:bookmarkEnd w:id="2001"/>
      <w:r>
        <w:rPr>
          <w:rFonts w:ascii="Arial" w:eastAsia="Arial" w:hAnsi="Arial" w:cs="Arial"/>
          <w:color w:val="000000"/>
          <w:sz w:val="20"/>
          <w:u w:val="single"/>
        </w:rPr>
        <w:t>Id</w:t>
      </w:r>
      <w:r>
        <w:rPr>
          <w:rFonts w:ascii="Arial" w:eastAsia="Arial" w:hAnsi="Arial" w:cs="Arial"/>
          <w:color w:val="000000"/>
          <w:sz w:val="20"/>
        </w:rPr>
        <w:t xml:space="preserve">. at 365. </w:t>
      </w:r>
      <w:bookmarkStart w:id="2002" w:name="Bookmark_I567C99T2SF7VK0040000400_2"/>
      <w:bookmarkEnd w:id="2002"/>
      <w:r>
        <w:rPr>
          <w:rFonts w:ascii="Arial" w:eastAsia="Arial" w:hAnsi="Arial" w:cs="Arial"/>
          <w:color w:val="000000"/>
          <w:sz w:val="20"/>
        </w:rPr>
        <w:t xml:space="preserve">Again, the employee "did not need or request any accommodations with respect to the routine handling of packages . . . ." </w:t>
      </w:r>
      <w:r>
        <w:rPr>
          <w:rFonts w:ascii="Arial" w:eastAsia="Arial" w:hAnsi="Arial" w:cs="Arial"/>
          <w:color w:val="000000"/>
          <w:sz w:val="20"/>
          <w:u w:val="single"/>
        </w:rPr>
        <w:t>Id</w:t>
      </w:r>
      <w:r>
        <w:rPr>
          <w:rFonts w:ascii="Arial" w:eastAsia="Arial" w:hAnsi="Arial" w:cs="Arial"/>
          <w:color w:val="000000"/>
          <w:sz w:val="20"/>
        </w:rPr>
        <w:t xml:space="preserve">. Finally, in </w:t>
      </w:r>
      <w:r>
        <w:rPr>
          <w:rFonts w:ascii="Arial" w:eastAsia="Arial" w:hAnsi="Arial" w:cs="Arial"/>
          <w:color w:val="000000"/>
          <w:sz w:val="20"/>
          <w:u w:val="single"/>
        </w:rPr>
        <w:t>EEOC v. Wal-Mart Stores, Inc</w:t>
      </w:r>
      <w:r>
        <w:rPr>
          <w:rFonts w:ascii="Arial" w:eastAsia="Arial" w:hAnsi="Arial" w:cs="Arial"/>
          <w:color w:val="000000"/>
          <w:sz w:val="20"/>
        </w:rPr>
        <w:t xml:space="preserve">., this court upheld an award of punitive damages when the employee was refused access to ASL interpreters for meetings and training sessions and then fired when he failed to attend without an interpreter. 187 F.3d 1241, 1243-44 (10th Cir. 1999). In that case, the employee worked in the receiving department where his responsibilities [*988]  included "scanning and marking labels." </w:t>
      </w:r>
      <w:bookmarkStart w:id="2003" w:name="Bookmark_I567C99T2SF7VK0030000400"/>
      <w:bookmarkEnd w:id="2003"/>
      <w:r>
        <w:rPr>
          <w:rFonts w:ascii="Arial" w:eastAsia="Arial" w:hAnsi="Arial" w:cs="Arial"/>
          <w:color w:val="000000"/>
          <w:sz w:val="20"/>
          <w:u w:val="single"/>
        </w:rPr>
        <w:t>Id</w:t>
      </w:r>
      <w:r>
        <w:rPr>
          <w:rFonts w:ascii="Arial" w:eastAsia="Arial" w:hAnsi="Arial" w:cs="Arial"/>
          <w:color w:val="000000"/>
          <w:sz w:val="20"/>
        </w:rPr>
        <w:t>. at 1243. Again, there is nothing to indicate that the employee needed accommodation to perform the essential functions of his job. This case is different. Employee's position as a performer required her to communicate extensively with customers and to conduct photo sessions with dispatch. Providing Employee with an ASL interpreter at staff meetings would not ameliorate her inability to interact verbally with customers—an essential function of the performer job. This difficulty would preclude Employer from scheduling her during non-peak periods with 2-2 staffing. No reasonable accommodation has been suggested that  [**15] would allow Employee to perform her job given these constraints.</w:t>
      </w:r>
    </w:p>
    <w:p w14:paraId="08CBA2DB" w14:textId="77777777" w:rsidR="00D041A2" w:rsidRDefault="00000000">
      <w:pPr>
        <w:pStyle w:val="Normal17"/>
        <w:widowControl w:val="0"/>
        <w:spacing w:before="120" w:line="260" w:lineRule="atLeast"/>
      </w:pPr>
      <w:r>
        <w:rPr>
          <w:rFonts w:ascii="Arial" w:eastAsia="Arial" w:hAnsi="Arial" w:cs="Arial"/>
          <w:color w:val="000000"/>
          <w:sz w:val="20"/>
        </w:rPr>
        <w:t xml:space="preserve">II. </w:t>
      </w:r>
      <w:r>
        <w:rPr>
          <w:rFonts w:ascii="Arial" w:eastAsia="Arial" w:hAnsi="Arial" w:cs="Arial"/>
          <w:color w:val="000000"/>
          <w:sz w:val="20"/>
          <w:u w:val="single"/>
        </w:rPr>
        <w:t>Whether Picture People Discriminated Against Chrysler and Terminated Her in Violation of the ADA</w:t>
      </w:r>
    </w:p>
    <w:p w14:paraId="07335C57" w14:textId="77777777" w:rsidR="00D041A2" w:rsidRDefault="00000000">
      <w:pPr>
        <w:pStyle w:val="Normal17"/>
        <w:widowControl w:val="0"/>
        <w:spacing w:before="200" w:line="260" w:lineRule="atLeast"/>
        <w:jc w:val="both"/>
      </w:pPr>
      <w:bookmarkStart w:id="2004" w:name="Bookmark_para_27_8"/>
      <w:bookmarkStart w:id="2005" w:name="Bookmark_I567C99T2HM6D90010000400"/>
      <w:bookmarkEnd w:id="2004"/>
      <w:bookmarkEnd w:id="2005"/>
      <w:r>
        <w:rPr>
          <w:rFonts w:ascii="Arial" w:eastAsia="Arial" w:hAnsi="Arial" w:cs="Arial"/>
          <w:color w:val="000000"/>
          <w:sz w:val="20"/>
        </w:rPr>
        <w:t xml:space="preserve">The district court correctly granted summary judgment on the unlawful termination claim because Employee failed to present facts showing that she was qualified for the performer job. In order to establish a prima facie case of discrimination under the ADA, a showing that the employee was qualified is necessary before proceeding to the third inquiry. </w:t>
      </w:r>
      <w:r>
        <w:rPr>
          <w:rFonts w:ascii="Arial" w:eastAsia="Arial" w:hAnsi="Arial" w:cs="Arial"/>
          <w:color w:val="000000"/>
          <w:sz w:val="20"/>
          <w:u w:val="single"/>
        </w:rPr>
        <w:t xml:space="preserve">See </w:t>
      </w:r>
      <w:bookmarkStart w:id="2006" w:name="Bookmark_I567C99T2SF7VK0050000400"/>
      <w:bookmarkEnd w:id="2006"/>
      <w:r>
        <w:rPr>
          <w:rFonts w:ascii="Arial" w:eastAsia="Arial" w:hAnsi="Arial" w:cs="Arial"/>
          <w:color w:val="000000"/>
          <w:sz w:val="20"/>
          <w:u w:val="single"/>
        </w:rPr>
        <w:t>Mauerhan v. Wagner Corp</w:t>
      </w:r>
      <w:r>
        <w:rPr>
          <w:rFonts w:ascii="Arial" w:eastAsia="Arial" w:hAnsi="Arial" w:cs="Arial"/>
          <w:color w:val="000000"/>
          <w:sz w:val="20"/>
        </w:rPr>
        <w:t>., 649 F.3d 1180, 1184-85 (10th Cir. 2011); Order at *7.</w:t>
      </w:r>
    </w:p>
    <w:p w14:paraId="586A3299" w14:textId="77777777" w:rsidR="00D041A2" w:rsidRDefault="00000000">
      <w:pPr>
        <w:pStyle w:val="Normal17"/>
        <w:widowControl w:val="0"/>
        <w:spacing w:before="120" w:line="260" w:lineRule="atLeast"/>
      </w:pPr>
      <w:r>
        <w:rPr>
          <w:rFonts w:ascii="Arial" w:eastAsia="Arial" w:hAnsi="Arial" w:cs="Arial"/>
          <w:color w:val="000000"/>
          <w:sz w:val="20"/>
        </w:rPr>
        <w:t xml:space="preserve">III. </w:t>
      </w:r>
      <w:r>
        <w:rPr>
          <w:rFonts w:ascii="Arial" w:eastAsia="Arial" w:hAnsi="Arial" w:cs="Arial"/>
          <w:color w:val="000000"/>
          <w:sz w:val="20"/>
          <w:u w:val="single"/>
        </w:rPr>
        <w:t>Whether Picture People Retaliated Against Chrysler in Violation of the ADA</w:t>
      </w:r>
    </w:p>
    <w:p w14:paraId="7D23EBDF" w14:textId="77777777" w:rsidR="00D041A2" w:rsidRDefault="00000000">
      <w:pPr>
        <w:pStyle w:val="Normal17"/>
        <w:widowControl w:val="0"/>
        <w:spacing w:before="200" w:line="260" w:lineRule="atLeast"/>
        <w:jc w:val="both"/>
      </w:pPr>
      <w:bookmarkStart w:id="2007" w:name="Bookmark_para_28_7"/>
      <w:bookmarkStart w:id="2008" w:name="Bookmark_I3WXY3RS11C00079WNY0022F"/>
      <w:bookmarkStart w:id="2009" w:name="Bookmark_I567C99T2HM6D90030000400"/>
      <w:bookmarkStart w:id="2010" w:name="Bookmark_I567C99T2HM6D90050000400"/>
      <w:bookmarkStart w:id="2011" w:name="Bookmark_LNHNREFclscc9_11"/>
      <w:bookmarkEnd w:id="2007"/>
      <w:bookmarkEnd w:id="2008"/>
      <w:bookmarkEnd w:id="2009"/>
      <w:bookmarkEnd w:id="2010"/>
      <w:bookmarkEnd w:id="2011"/>
      <w:r>
        <w:rPr>
          <w:rFonts w:ascii="Arial" w:eastAsia="Arial" w:hAnsi="Arial" w:cs="Arial"/>
          <w:color w:val="000000"/>
          <w:sz w:val="20"/>
        </w:rPr>
        <w:t xml:space="preserve">A prima facie case of retaliation under the ADA requires: "(1) that [an employee] engaged in protected opposition to discrimination, (2) that a reasonable employee would have found the challenged action materially adverse, and (3) that a causal connection existed between the protected activity and the materially adverse action." </w:t>
      </w:r>
      <w:bookmarkStart w:id="2012" w:name="Bookmark_I567C99T2HM6D90020000400"/>
      <w:bookmarkEnd w:id="2012"/>
      <w:r>
        <w:rPr>
          <w:rFonts w:ascii="Arial" w:eastAsia="Arial" w:hAnsi="Arial" w:cs="Arial"/>
          <w:color w:val="000000"/>
          <w:sz w:val="20"/>
          <w:u w:val="single"/>
        </w:rPr>
        <w:t>Hennagir</w:t>
      </w:r>
      <w:r>
        <w:rPr>
          <w:rFonts w:ascii="Arial" w:eastAsia="Arial" w:hAnsi="Arial" w:cs="Arial"/>
          <w:color w:val="000000"/>
          <w:sz w:val="20"/>
        </w:rPr>
        <w:t xml:space="preserve">, 587 F.3d at 1265; 42 U.S.C. § 12203. </w:t>
      </w:r>
      <w:bookmarkStart w:id="2013" w:name="Bookmark_I567C99T2HM6DB0020000400"/>
      <w:bookmarkEnd w:id="2013"/>
      <w:r>
        <w:rPr>
          <w:rFonts w:ascii="Arial" w:eastAsia="Arial" w:hAnsi="Arial" w:cs="Arial"/>
          <w:color w:val="000000"/>
          <w:sz w:val="20"/>
        </w:rPr>
        <w:t>If a plaintiff establishes these factors, the employer has the burden of showing it had a legitimate, nondiscriminatory reason for the adverse action.  [**16] </w:t>
      </w:r>
      <w:bookmarkStart w:id="2014" w:name="Bookmark_I567C99T2HM6D90040000400"/>
      <w:bookmarkEnd w:id="2014"/>
      <w:r>
        <w:rPr>
          <w:rFonts w:ascii="Arial" w:eastAsia="Arial" w:hAnsi="Arial" w:cs="Arial"/>
          <w:color w:val="000000"/>
          <w:sz w:val="20"/>
          <w:u w:val="single"/>
        </w:rPr>
        <w:t>Hennagir</w:t>
      </w:r>
      <w:r>
        <w:rPr>
          <w:rFonts w:ascii="Arial" w:eastAsia="Arial" w:hAnsi="Arial" w:cs="Arial"/>
          <w:color w:val="000000"/>
          <w:sz w:val="20"/>
        </w:rPr>
        <w:t xml:space="preserve">, 587 F.3d at 1265. </w:t>
      </w:r>
      <w:bookmarkStart w:id="2015" w:name="Bookmark_I567C99T2HM6DB0020000400_2"/>
      <w:bookmarkEnd w:id="2015"/>
      <w:r>
        <w:rPr>
          <w:rFonts w:ascii="Arial" w:eastAsia="Arial" w:hAnsi="Arial" w:cs="Arial"/>
          <w:color w:val="000000"/>
          <w:sz w:val="20"/>
        </w:rPr>
        <w:t xml:space="preserve">If the employer can do so, the burden shifts back to the plaintiff to prove pretext, </w:t>
      </w:r>
      <w:r>
        <w:rPr>
          <w:rFonts w:ascii="Arial" w:eastAsia="Arial" w:hAnsi="Arial" w:cs="Arial"/>
          <w:color w:val="000000"/>
          <w:sz w:val="20"/>
          <w:u w:val="single"/>
        </w:rPr>
        <w:t>id</w:t>
      </w:r>
      <w:r>
        <w:rPr>
          <w:rFonts w:ascii="Arial" w:eastAsia="Arial" w:hAnsi="Arial" w:cs="Arial"/>
          <w:color w:val="000000"/>
          <w:sz w:val="20"/>
        </w:rPr>
        <w:t xml:space="preserve">., which requires a showing that the proffered non-discriminatory reason is "unworthy of belief," </w:t>
      </w:r>
      <w:bookmarkStart w:id="2016" w:name="Bookmark_I567C99T2HM6DB0010000400"/>
      <w:bookmarkEnd w:id="2016"/>
      <w:r>
        <w:rPr>
          <w:rFonts w:ascii="Arial" w:eastAsia="Arial" w:hAnsi="Arial" w:cs="Arial"/>
          <w:color w:val="000000"/>
          <w:sz w:val="20"/>
          <w:u w:val="single"/>
        </w:rPr>
        <w:t>Johnson v. Weld Cnty., Colo</w:t>
      </w:r>
      <w:r>
        <w:rPr>
          <w:rFonts w:ascii="Arial" w:eastAsia="Arial" w:hAnsi="Arial" w:cs="Arial"/>
          <w:color w:val="000000"/>
          <w:sz w:val="20"/>
        </w:rPr>
        <w:t>., 594 F.3d 1202, 1211 (10th Cir. 2010).</w:t>
      </w:r>
    </w:p>
    <w:p w14:paraId="661CD779" w14:textId="77777777" w:rsidR="00D041A2" w:rsidRDefault="00000000">
      <w:pPr>
        <w:pStyle w:val="Normal17"/>
        <w:widowControl w:val="0"/>
        <w:spacing w:before="200" w:line="260" w:lineRule="atLeast"/>
        <w:jc w:val="both"/>
      </w:pPr>
      <w:bookmarkStart w:id="2017" w:name="Bookmark_para_29_6"/>
      <w:bookmarkEnd w:id="2017"/>
      <w:r>
        <w:rPr>
          <w:rFonts w:ascii="Arial" w:eastAsia="Arial" w:hAnsi="Arial" w:cs="Arial"/>
          <w:color w:val="000000"/>
          <w:sz w:val="20"/>
        </w:rPr>
        <w:t xml:space="preserve">We assume, as did the district court, that disciplining Employee and eliminating her from the work schedule were materially adverse actions. Order at *7. We further assume that the adverse actions were related to the protected activity; the January 2008 Performance Track Counseling statement indicated that Employee announced her intention to bring a grievance against Employer if her hours were not increased. Aplt. App. 341a-42a. Still, Employer presented evidence supporting nondiscriminatory reasons for the adverse actions. Order at *7. Employer states that "the reduction of work hours following the holiday [p]eak occurs as a normal byproduct of [its] normal retail business cycle, and affected all Performers." Aplee. Br. 39. It further claims that Employee's inability to perform all four essential job functions precluded her from being scheduled after the holidays due to 2-2 staffing, </w:t>
      </w:r>
      <w:r>
        <w:rPr>
          <w:rFonts w:ascii="Arial" w:eastAsia="Arial" w:hAnsi="Arial" w:cs="Arial"/>
          <w:color w:val="000000"/>
          <w:sz w:val="20"/>
          <w:u w:val="single"/>
        </w:rPr>
        <w:t>id</w:t>
      </w:r>
      <w:r>
        <w:rPr>
          <w:rFonts w:ascii="Arial" w:eastAsia="Arial" w:hAnsi="Arial" w:cs="Arial"/>
          <w:color w:val="000000"/>
          <w:sz w:val="20"/>
        </w:rPr>
        <w:t xml:space="preserve">., and this is documented  [**17] in handwritten notes between Employee and Ms. Doyle, the acting studio manager. Aplt App. 337a-38a. Employer also presented evidence that Employee was counseled because she was coloring with crayons in the lab, letting other Performers handle their own lab work, and refusing to take breaks according to company policy. </w:t>
      </w:r>
      <w:r>
        <w:rPr>
          <w:rFonts w:ascii="Arial" w:eastAsia="Arial" w:hAnsi="Arial" w:cs="Arial"/>
          <w:color w:val="000000"/>
          <w:sz w:val="20"/>
          <w:u w:val="single"/>
        </w:rPr>
        <w:t>See</w:t>
      </w:r>
      <w:r>
        <w:rPr>
          <w:rFonts w:ascii="Arial" w:eastAsia="Arial" w:hAnsi="Arial" w:cs="Arial"/>
          <w:color w:val="000000"/>
          <w:sz w:val="20"/>
        </w:rPr>
        <w:t xml:space="preserve"> Aplt. App. 341a-42a. Employee conceded the alleged infractions. </w:t>
      </w:r>
      <w:r>
        <w:rPr>
          <w:rFonts w:ascii="Arial" w:eastAsia="Arial" w:hAnsi="Arial" w:cs="Arial"/>
          <w:color w:val="000000"/>
          <w:sz w:val="20"/>
          <w:u w:val="single"/>
        </w:rPr>
        <w:t>Id</w:t>
      </w:r>
      <w:r>
        <w:rPr>
          <w:rFonts w:ascii="Arial" w:eastAsia="Arial" w:hAnsi="Arial" w:cs="Arial"/>
          <w:color w:val="000000"/>
          <w:sz w:val="20"/>
        </w:rPr>
        <w:t>. at 343a ("I do the drawings when I'm  [*989]  waiting for upload [sic] to finish . . . ."), 350a ("I did not color when there was something for me to do . . . . I am not the only one who does this.").</w:t>
      </w:r>
    </w:p>
    <w:p w14:paraId="7B833AC2" w14:textId="77777777" w:rsidR="00D041A2" w:rsidRDefault="00000000">
      <w:pPr>
        <w:pStyle w:val="Normal17"/>
        <w:widowControl w:val="0"/>
        <w:spacing w:before="200" w:line="260" w:lineRule="atLeast"/>
        <w:jc w:val="both"/>
      </w:pPr>
      <w:bookmarkStart w:id="2018" w:name="Bookmark_para_30_6"/>
      <w:bookmarkStart w:id="2019" w:name="Bookmark_I567C99T2HM6DB0040000400"/>
      <w:bookmarkEnd w:id="2018"/>
      <w:bookmarkEnd w:id="2019"/>
      <w:r>
        <w:rPr>
          <w:rFonts w:ascii="Arial" w:eastAsia="Arial" w:hAnsi="Arial" w:cs="Arial"/>
          <w:color w:val="000000"/>
          <w:sz w:val="20"/>
        </w:rPr>
        <w:t xml:space="preserve">Given evidence of legitimate, nondiscriminatory reasons for the adverse actions, the burden shifts to the EEOC to establish pretext. </w:t>
      </w:r>
      <w:bookmarkStart w:id="2020" w:name="Bookmark_LNHNREFclscc10_10"/>
      <w:bookmarkEnd w:id="2020"/>
      <w:r>
        <w:rPr>
          <w:rFonts w:ascii="Arial" w:eastAsia="Arial" w:hAnsi="Arial" w:cs="Arial"/>
          <w:color w:val="000000"/>
          <w:sz w:val="20"/>
        </w:rPr>
        <w:t xml:space="preserve">To raise a fact issue of pretext, a plaintiff must present evidence of temporal proximity plus circumstantial evidence of retaliatory motive. This court has stated, "a plaintiff can demonstrate pretext by showing weaknesses, implausibilities, inconsistencies, incoherencies, or contradictions in the employer's reasons for its action, which a reasonable fact finder could rationally find unworthy of credence." </w:t>
      </w:r>
      <w:bookmarkStart w:id="2021" w:name="Bookmark_I567C99T2HM6DB0030000400"/>
      <w:bookmarkEnd w:id="2021"/>
      <w:r>
        <w:rPr>
          <w:rFonts w:ascii="Arial" w:eastAsia="Arial" w:hAnsi="Arial" w:cs="Arial"/>
          <w:color w:val="000000"/>
          <w:sz w:val="20"/>
          <w:u w:val="single"/>
        </w:rPr>
        <w:t>Chavez v. Thomas &amp; Betts Corp</w:t>
      </w:r>
      <w:r>
        <w:rPr>
          <w:rFonts w:ascii="Arial" w:eastAsia="Arial" w:hAnsi="Arial" w:cs="Arial"/>
          <w:color w:val="000000"/>
          <w:sz w:val="20"/>
        </w:rPr>
        <w:t xml:space="preserve">., 396 F.3d 1088, 1104 (10th Cir. 2005), </w:t>
      </w:r>
      <w:r>
        <w:rPr>
          <w:rFonts w:ascii="Arial" w:eastAsia="Arial" w:hAnsi="Arial" w:cs="Arial"/>
          <w:i/>
          <w:color w:val="000000"/>
          <w:sz w:val="20"/>
        </w:rPr>
        <w:t>overruled  [**18] on other grounds as recognized in</w:t>
      </w:r>
      <w:r>
        <w:rPr>
          <w:rFonts w:ascii="Arial" w:eastAsia="Arial" w:hAnsi="Arial" w:cs="Arial"/>
          <w:color w:val="000000"/>
          <w:sz w:val="20"/>
        </w:rPr>
        <w:t xml:space="preserve"> </w:t>
      </w:r>
      <w:bookmarkStart w:id="2022" w:name="Bookmark_I567C99T2HM6DB0050000400"/>
      <w:bookmarkEnd w:id="2022"/>
      <w:r>
        <w:rPr>
          <w:rFonts w:ascii="Arial" w:eastAsia="Arial" w:hAnsi="Arial" w:cs="Arial"/>
          <w:color w:val="000000"/>
          <w:sz w:val="20"/>
          <w:u w:val="single"/>
        </w:rPr>
        <w:t>Law Co., Inc. v. Mohawk Const. and Supply Co</w:t>
      </w:r>
      <w:r>
        <w:rPr>
          <w:rFonts w:ascii="Arial" w:eastAsia="Arial" w:hAnsi="Arial" w:cs="Arial"/>
          <w:color w:val="000000"/>
          <w:sz w:val="20"/>
        </w:rPr>
        <w:t xml:space="preserve">., 577 F.3d 1164, 1170 (10th Cir. 2009). The EEOC argues that other similarly situated employees engaged in the same behavior for which Employee was reprimanded, but they were never counseled. Aplt. Br. 55-56. As the district court noted, however, evidence of the infractions of other employees was never disclosed by the EEOC. </w:t>
      </w:r>
      <w:r>
        <w:rPr>
          <w:rFonts w:ascii="Arial" w:eastAsia="Arial" w:hAnsi="Arial" w:cs="Arial"/>
          <w:color w:val="000000"/>
          <w:sz w:val="20"/>
          <w:u w:val="single"/>
        </w:rPr>
        <w:t>See</w:t>
      </w:r>
      <w:r>
        <w:rPr>
          <w:rFonts w:ascii="Arial" w:eastAsia="Arial" w:hAnsi="Arial" w:cs="Arial"/>
          <w:color w:val="000000"/>
          <w:sz w:val="20"/>
        </w:rPr>
        <w:t xml:space="preserve"> Order at *8. Furthermore, ample evidence in the record suggests that every employee's hours were affected after the peak holiday period, Aplt. App. 83a, 337a, 338a, 340a, 342a, and that scheduling is different during peak and non-peak periods, the latter requiring employees to perform work in all four listed zones, </w:t>
      </w:r>
      <w:r>
        <w:rPr>
          <w:rFonts w:ascii="Arial" w:eastAsia="Arial" w:hAnsi="Arial" w:cs="Arial"/>
          <w:color w:val="000000"/>
          <w:sz w:val="20"/>
          <w:u w:val="single"/>
        </w:rPr>
        <w:t>id</w:t>
      </w:r>
      <w:r>
        <w:rPr>
          <w:rFonts w:ascii="Arial" w:eastAsia="Arial" w:hAnsi="Arial" w:cs="Arial"/>
          <w:color w:val="000000"/>
          <w:sz w:val="20"/>
        </w:rPr>
        <w:t xml:space="preserve">. at 206a-09a. </w:t>
      </w:r>
      <w:bookmarkStart w:id="2023" w:name="Bookmark_I567C99T2N1PYT0030000400"/>
      <w:bookmarkEnd w:id="2023"/>
      <w:r>
        <w:rPr>
          <w:rFonts w:ascii="Arial" w:eastAsia="Arial" w:hAnsi="Arial" w:cs="Arial"/>
          <w:color w:val="000000"/>
          <w:sz w:val="20"/>
        </w:rPr>
        <w:t xml:space="preserve">As noted, Ms. Chrysler was not qualified to perform work in all four zones with or without reasonable accommodation. Therefore, the evidence in the record comports with Employer's reasons for not scheduling, and ultimately terminating, Employee. </w:t>
      </w:r>
      <w:r>
        <w:rPr>
          <w:rFonts w:ascii="Arial" w:eastAsia="Arial" w:hAnsi="Arial" w:cs="Arial"/>
          <w:color w:val="000000"/>
          <w:sz w:val="20"/>
          <w:u w:val="single"/>
        </w:rPr>
        <w:t xml:space="preserve">See </w:t>
      </w:r>
      <w:bookmarkStart w:id="2024" w:name="Bookmark_I567C99T2N1PYT0020000400"/>
      <w:bookmarkEnd w:id="2024"/>
      <w:r>
        <w:rPr>
          <w:rFonts w:ascii="Arial" w:eastAsia="Arial" w:hAnsi="Arial" w:cs="Arial"/>
          <w:color w:val="000000"/>
          <w:sz w:val="20"/>
          <w:u w:val="single"/>
        </w:rPr>
        <w:t>Pinkerton v. Colo. Dep. of Transp</w:t>
      </w:r>
      <w:r>
        <w:rPr>
          <w:rFonts w:ascii="Arial" w:eastAsia="Arial" w:hAnsi="Arial" w:cs="Arial"/>
          <w:color w:val="000000"/>
          <w:sz w:val="20"/>
        </w:rPr>
        <w:t xml:space="preserve">., 563 F.3d 1052, 1065-66 (10th Cir. 2009) (stating that, </w:t>
      </w:r>
      <w:bookmarkStart w:id="2025" w:name="Bookmark_LNHNREFclscc11_9"/>
      <w:bookmarkEnd w:id="2025"/>
      <w:r>
        <w:rPr>
          <w:rFonts w:ascii="Arial" w:eastAsia="Arial" w:hAnsi="Arial" w:cs="Arial"/>
          <w:color w:val="000000"/>
          <w:sz w:val="20"/>
        </w:rPr>
        <w:t xml:space="preserve">when supervisor's comments about problems with employee are consistent with the listed reasons for termination, the  [**19] court is "in no position to state that the numerous documented failures by the [employee] were not serious enough to justify termination"); </w:t>
      </w:r>
      <w:r>
        <w:rPr>
          <w:rFonts w:ascii="Arial" w:eastAsia="Arial" w:hAnsi="Arial" w:cs="Arial"/>
          <w:color w:val="000000"/>
          <w:sz w:val="20"/>
          <w:u w:val="single"/>
        </w:rPr>
        <w:t xml:space="preserve">see also </w:t>
      </w:r>
      <w:bookmarkStart w:id="2026" w:name="Bookmark_I567C99T2N1PYT0040000400"/>
      <w:bookmarkEnd w:id="2026"/>
      <w:r>
        <w:rPr>
          <w:rFonts w:ascii="Arial" w:eastAsia="Arial" w:hAnsi="Arial" w:cs="Arial"/>
          <w:color w:val="000000"/>
          <w:sz w:val="20"/>
          <w:u w:val="single"/>
        </w:rPr>
        <w:t>Jones v. Barnhart</w:t>
      </w:r>
      <w:r>
        <w:rPr>
          <w:rFonts w:ascii="Arial" w:eastAsia="Arial" w:hAnsi="Arial" w:cs="Arial"/>
          <w:color w:val="000000"/>
          <w:sz w:val="20"/>
        </w:rPr>
        <w:t>, 349 F.3d 1260, 1267 (10th Cir. 2003) (a court should not "act as a super personnel department that second guesses employers' business judgments" (internal quotations omitted)).</w:t>
      </w:r>
    </w:p>
    <w:p w14:paraId="747223B4" w14:textId="77777777" w:rsidR="00D041A2" w:rsidRDefault="00000000">
      <w:pPr>
        <w:pStyle w:val="Normal17"/>
        <w:widowControl w:val="0"/>
        <w:spacing w:before="120" w:line="260" w:lineRule="atLeast"/>
      </w:pPr>
      <w:r>
        <w:rPr>
          <w:rFonts w:ascii="Arial" w:eastAsia="Arial" w:hAnsi="Arial" w:cs="Arial"/>
          <w:color w:val="000000"/>
          <w:sz w:val="20"/>
        </w:rPr>
        <w:t xml:space="preserve">IV. </w:t>
      </w:r>
      <w:r>
        <w:rPr>
          <w:rFonts w:ascii="Arial" w:eastAsia="Arial" w:hAnsi="Arial" w:cs="Arial"/>
          <w:color w:val="000000"/>
          <w:sz w:val="20"/>
          <w:u w:val="single"/>
        </w:rPr>
        <w:t>The Dissent</w:t>
      </w:r>
    </w:p>
    <w:p w14:paraId="59D09AB6" w14:textId="77777777" w:rsidR="00D041A2" w:rsidRDefault="00000000">
      <w:pPr>
        <w:pStyle w:val="Normal17"/>
        <w:widowControl w:val="0"/>
        <w:spacing w:before="200" w:line="260" w:lineRule="atLeast"/>
        <w:jc w:val="both"/>
      </w:pPr>
      <w:bookmarkStart w:id="2027" w:name="Bookmark_para_31_6"/>
      <w:bookmarkEnd w:id="2027"/>
      <w:r>
        <w:rPr>
          <w:rFonts w:ascii="Arial" w:eastAsia="Arial" w:hAnsi="Arial" w:cs="Arial"/>
          <w:color w:val="000000"/>
          <w:sz w:val="20"/>
        </w:rPr>
        <w:t>The dissent contends that both this court and the district court misapply the summary judgment standard by failing to view the evidence in the light most favorable to the non-movant, and by ignoring direct evidence of retaliatory motive. These contentions are without merit.</w:t>
      </w:r>
    </w:p>
    <w:p w14:paraId="32CC2EBB" w14:textId="77777777" w:rsidR="00D041A2" w:rsidRDefault="00000000">
      <w:pPr>
        <w:pStyle w:val="Normal17"/>
        <w:widowControl w:val="0"/>
        <w:spacing w:before="200" w:line="260" w:lineRule="atLeast"/>
        <w:jc w:val="both"/>
      </w:pPr>
      <w:bookmarkStart w:id="2028" w:name="Bookmark_para_32_6"/>
      <w:bookmarkStart w:id="2029" w:name="Bookmark_I567C99T2SF7VM0020000400"/>
      <w:bookmarkStart w:id="2030" w:name="Bookmark_I567C99T2SF7VM0040000400"/>
      <w:bookmarkEnd w:id="2028"/>
      <w:bookmarkEnd w:id="2029"/>
      <w:bookmarkEnd w:id="2030"/>
      <w:r>
        <w:rPr>
          <w:rFonts w:ascii="Arial" w:eastAsia="Arial" w:hAnsi="Arial" w:cs="Arial"/>
          <w:color w:val="000000"/>
          <w:sz w:val="20"/>
        </w:rPr>
        <w:t xml:space="preserve">The dissent argues that much of the evidence favoring Employer as the moving party must be disregarded because the jury is not required to believe it. In </w:t>
      </w:r>
      <w:bookmarkStart w:id="2031" w:name="Bookmark_I567C99T2SF7VM0010000400"/>
      <w:bookmarkEnd w:id="2031"/>
      <w:r>
        <w:rPr>
          <w:rFonts w:ascii="Arial" w:eastAsia="Arial" w:hAnsi="Arial" w:cs="Arial"/>
          <w:color w:val="000000"/>
          <w:sz w:val="20"/>
          <w:u w:val="single"/>
        </w:rPr>
        <w:t>Reeves v. Sanderson Plumbing Prods., Inc.</w:t>
      </w:r>
      <w:r>
        <w:rPr>
          <w:rFonts w:ascii="Arial" w:eastAsia="Arial" w:hAnsi="Arial" w:cs="Arial"/>
          <w:color w:val="000000"/>
          <w:sz w:val="20"/>
        </w:rPr>
        <w:t xml:space="preserve">., 530 U.S. 133, 120 S. Ct. 2097, 147 L. Ed. 2d 105 (2000), the Court explained that </w:t>
      </w:r>
      <w:bookmarkStart w:id="2032" w:name="Bookmark_LNHNREFclscc12_8"/>
      <w:bookmarkEnd w:id="2032"/>
      <w:r>
        <w:rPr>
          <w:rFonts w:ascii="Arial" w:eastAsia="Arial" w:hAnsi="Arial" w:cs="Arial"/>
          <w:color w:val="000000"/>
          <w:sz w:val="20"/>
        </w:rPr>
        <w:t xml:space="preserve">in deciding a Fed. R. Civ. P. 50 motion for judgment as a matter of law, a court must consider all of the evidence, just as it must consider the record as a whole when deciding a Fed. R. Civ. P. 56 motion for summary judgment. </w:t>
      </w:r>
      <w:bookmarkStart w:id="2033" w:name="Bookmark_I567C99T2SF7VM0030000400"/>
      <w:bookmarkEnd w:id="2033"/>
      <w:r>
        <w:rPr>
          <w:rFonts w:ascii="Arial" w:eastAsia="Arial" w:hAnsi="Arial" w:cs="Arial"/>
          <w:color w:val="000000"/>
          <w:sz w:val="20"/>
          <w:u w:val="single"/>
        </w:rPr>
        <w:t>Id</w:t>
      </w:r>
      <w:r>
        <w:rPr>
          <w:rFonts w:ascii="Arial" w:eastAsia="Arial" w:hAnsi="Arial" w:cs="Arial"/>
          <w:color w:val="000000"/>
          <w:sz w:val="20"/>
        </w:rPr>
        <w:t xml:space="preserve">. at 151. The Court then explained that a court must review the evidence in the light most favorable  [**20] to the non-movant, not decide credibility issues or weigh the evidence, because the latter two are jury functions. </w:t>
      </w:r>
      <w:r>
        <w:rPr>
          <w:rFonts w:ascii="Arial" w:eastAsia="Arial" w:hAnsi="Arial" w:cs="Arial"/>
          <w:color w:val="000000"/>
          <w:sz w:val="20"/>
          <w:u w:val="single"/>
        </w:rPr>
        <w:t>Id</w:t>
      </w:r>
      <w:r>
        <w:rPr>
          <w:rFonts w:ascii="Arial" w:eastAsia="Arial" w:hAnsi="Arial" w:cs="Arial"/>
          <w:color w:val="000000"/>
          <w:sz w:val="20"/>
        </w:rPr>
        <w:t>. The Court then stated:</w:t>
      </w:r>
    </w:p>
    <w:p w14:paraId="5E298403" w14:textId="77777777" w:rsidR="00D041A2" w:rsidRDefault="00000000">
      <w:pPr>
        <w:pStyle w:val="Normal17"/>
        <w:widowControl w:val="0"/>
        <w:spacing w:before="200" w:line="260" w:lineRule="atLeast"/>
        <w:ind w:left="400"/>
        <w:jc w:val="both"/>
      </w:pPr>
      <w:bookmarkStart w:id="2034" w:name="Bookmark_para_33_6"/>
      <w:bookmarkEnd w:id="2034"/>
      <w:r>
        <w:rPr>
          <w:rFonts w:ascii="Arial" w:eastAsia="Arial" w:hAnsi="Arial" w:cs="Arial"/>
          <w:color w:val="000000"/>
          <w:sz w:val="20"/>
        </w:rPr>
        <w:t xml:space="preserve">Thus, although the court should review the record as a whole, it must disregard all evidence favorable to the moving party that the jury is not required to believe. </w:t>
      </w:r>
      <w:bookmarkStart w:id="2035" w:name="Bookmark_I567C99T2SF7VN0010000400"/>
      <w:bookmarkEnd w:id="2035"/>
      <w:r>
        <w:rPr>
          <w:rFonts w:ascii="Arial" w:eastAsia="Arial" w:hAnsi="Arial" w:cs="Arial"/>
          <w:color w:val="000000"/>
          <w:sz w:val="20"/>
        </w:rPr>
        <w:t xml:space="preserve">See Wright &amp; Miller 299. </w:t>
      </w:r>
      <w:bookmarkStart w:id="2036" w:name="Bookmark_I567C99T2SF7VN0030000400"/>
      <w:bookmarkEnd w:id="2036"/>
      <w:r>
        <w:rPr>
          <w:rFonts w:ascii="Arial" w:eastAsia="Arial" w:hAnsi="Arial" w:cs="Arial"/>
          <w:color w:val="000000"/>
          <w:sz w:val="20"/>
        </w:rPr>
        <w:t>That is, the court should give credence to the  [*990]  evidence favoring the nonmovant as well as that evidence supporting the moving party that is uncontradicted and unimpeached, at least to the extent that that evidence comes from disinterested witnesses.</w:t>
      </w:r>
    </w:p>
    <w:p w14:paraId="79BA5D40" w14:textId="77777777" w:rsidR="00D041A2" w:rsidRDefault="00000000">
      <w:pPr>
        <w:pStyle w:val="Normal17"/>
        <w:widowControl w:val="0"/>
        <w:spacing w:before="200" w:line="260" w:lineRule="atLeast"/>
        <w:jc w:val="both"/>
      </w:pPr>
      <w:bookmarkStart w:id="2037" w:name="Bookmark_I567C99T2SF7VN0030000400_2"/>
      <w:bookmarkStart w:id="2038" w:name="Bookmark_I567C99T2SF7VN0010000400_2"/>
      <w:bookmarkStart w:id="2039" w:name="Bookmark_I567C99T2SF7VM0050000400"/>
      <w:bookmarkEnd w:id="2037"/>
      <w:bookmarkEnd w:id="2038"/>
      <w:bookmarkEnd w:id="2039"/>
      <w:r>
        <w:rPr>
          <w:rFonts w:ascii="Arial" w:eastAsia="Arial" w:hAnsi="Arial" w:cs="Arial"/>
          <w:color w:val="000000"/>
          <w:sz w:val="20"/>
          <w:u w:val="single"/>
        </w:rPr>
        <w:t>Reeves</w:t>
      </w:r>
      <w:r>
        <w:rPr>
          <w:rFonts w:ascii="Arial" w:eastAsia="Arial" w:hAnsi="Arial" w:cs="Arial"/>
          <w:color w:val="000000"/>
          <w:sz w:val="20"/>
        </w:rPr>
        <w:t xml:space="preserve">, 530 U.S. at 151 (internal quotations omitted). </w:t>
      </w:r>
      <w:bookmarkStart w:id="2040" w:name="Bookmark_I3WXY3RS4VH00079WNY0022G"/>
      <w:bookmarkStart w:id="2041" w:name="Bookmark_I567C99T2SF7VN0050000400"/>
      <w:bookmarkEnd w:id="2040"/>
      <w:bookmarkEnd w:id="2041"/>
      <w:r>
        <w:rPr>
          <w:rFonts w:ascii="Arial" w:eastAsia="Arial" w:hAnsi="Arial" w:cs="Arial"/>
          <w:color w:val="000000"/>
          <w:sz w:val="20"/>
        </w:rPr>
        <w:t xml:space="preserve">The dissent contends that this passage supports disregarding much of the evidence based upon its unsupported perception that Employer's witnesses were biased—they had pre-determined ideas about the limits of the deaf. In employment discrimination cases, the employer's agents frequently will supply the testimony, yet they cannot be deemed interested parties any more than the dissent can impute bias to them. </w:t>
      </w:r>
      <w:r>
        <w:rPr>
          <w:rFonts w:ascii="Arial" w:eastAsia="Arial" w:hAnsi="Arial" w:cs="Arial"/>
          <w:color w:val="000000"/>
          <w:sz w:val="20"/>
          <w:u w:val="single"/>
        </w:rPr>
        <w:t xml:space="preserve">See </w:t>
      </w:r>
      <w:bookmarkStart w:id="2042" w:name="Bookmark_I567C99T2SF7VN0020000400"/>
      <w:bookmarkEnd w:id="2042"/>
      <w:r>
        <w:rPr>
          <w:rFonts w:ascii="Arial" w:eastAsia="Arial" w:hAnsi="Arial" w:cs="Arial"/>
          <w:color w:val="000000"/>
          <w:sz w:val="20"/>
          <w:u w:val="single"/>
        </w:rPr>
        <w:t>Traylor v. Brown</w:t>
      </w:r>
      <w:r>
        <w:rPr>
          <w:rFonts w:ascii="Arial" w:eastAsia="Arial" w:hAnsi="Arial" w:cs="Arial"/>
          <w:color w:val="000000"/>
          <w:sz w:val="20"/>
        </w:rPr>
        <w:t xml:space="preserve">, 295 F.3d 783, 790-91 (7th Cir. 2002). </w:t>
      </w:r>
      <w:bookmarkStart w:id="2043" w:name="Bookmark_I567C99T2SF7VN0050000400_2"/>
      <w:bookmarkEnd w:id="2043"/>
      <w:r>
        <w:rPr>
          <w:rFonts w:ascii="Arial" w:eastAsia="Arial" w:hAnsi="Arial" w:cs="Arial"/>
          <w:color w:val="000000"/>
          <w:sz w:val="20"/>
        </w:rPr>
        <w:t xml:space="preserve">Moreover, the principle that we disregard controverted evidence does not displace the responsibility  [**21] of a court to review the record as a whole, and to consider uncontroverted evidence in favor of Employer. </w:t>
      </w:r>
      <w:r>
        <w:rPr>
          <w:rFonts w:ascii="Arial" w:eastAsia="Arial" w:hAnsi="Arial" w:cs="Arial"/>
          <w:color w:val="000000"/>
          <w:sz w:val="20"/>
          <w:u w:val="single"/>
        </w:rPr>
        <w:t>Id</w:t>
      </w:r>
      <w:r>
        <w:rPr>
          <w:rFonts w:ascii="Arial" w:eastAsia="Arial" w:hAnsi="Arial" w:cs="Arial"/>
          <w:color w:val="000000"/>
          <w:sz w:val="20"/>
        </w:rPr>
        <w:t xml:space="preserve">. This is the teaching of </w:t>
      </w:r>
      <w:r>
        <w:rPr>
          <w:rFonts w:ascii="Arial" w:eastAsia="Arial" w:hAnsi="Arial" w:cs="Arial"/>
          <w:color w:val="000000"/>
          <w:sz w:val="20"/>
          <w:u w:val="single"/>
        </w:rPr>
        <w:t>Reeves</w:t>
      </w:r>
      <w:r>
        <w:rPr>
          <w:rFonts w:ascii="Arial" w:eastAsia="Arial" w:hAnsi="Arial" w:cs="Arial"/>
          <w:color w:val="000000"/>
          <w:sz w:val="20"/>
        </w:rPr>
        <w:t xml:space="preserve">, which recognized that </w:t>
      </w:r>
      <w:bookmarkStart w:id="2044" w:name="Bookmark_LNHNREFclscc13_7"/>
      <w:bookmarkEnd w:id="2044"/>
      <w:r>
        <w:rPr>
          <w:rFonts w:ascii="Arial" w:eastAsia="Arial" w:hAnsi="Arial" w:cs="Arial"/>
          <w:color w:val="000000"/>
          <w:sz w:val="20"/>
        </w:rPr>
        <w:t xml:space="preserve">"an employer would be entitled to judgment as a matter of law if the record conclusively revealed some other, nondiscriminatory reason for the employer's decision, or if the plaintiff created only a weak issue of fact as to whether the employer's reason was untrue and there was abundant and uncontroverted independent evidence that no discrimination had occurred." </w:t>
      </w:r>
      <w:bookmarkStart w:id="2045" w:name="Bookmark_I567C99T2SF7VN0040000400"/>
      <w:bookmarkEnd w:id="2045"/>
      <w:r>
        <w:rPr>
          <w:rFonts w:ascii="Arial" w:eastAsia="Arial" w:hAnsi="Arial" w:cs="Arial"/>
          <w:color w:val="000000"/>
          <w:sz w:val="20"/>
        </w:rPr>
        <w:t>530 U.S. at 148. This is the case here.</w:t>
      </w:r>
    </w:p>
    <w:p w14:paraId="7D984B3F" w14:textId="77777777" w:rsidR="00D041A2" w:rsidRDefault="00000000">
      <w:pPr>
        <w:pStyle w:val="Normal17"/>
        <w:widowControl w:val="0"/>
        <w:spacing w:before="200" w:line="260" w:lineRule="atLeast"/>
        <w:jc w:val="both"/>
      </w:pPr>
      <w:bookmarkStart w:id="2046" w:name="Bookmark_para_34_6"/>
      <w:bookmarkStart w:id="2047" w:name="Bookmark_I567C99T2D6N4R0020000400"/>
      <w:bookmarkEnd w:id="2046"/>
      <w:bookmarkEnd w:id="2047"/>
      <w:r>
        <w:rPr>
          <w:rFonts w:ascii="Arial" w:eastAsia="Arial" w:hAnsi="Arial" w:cs="Arial"/>
          <w:color w:val="000000"/>
          <w:sz w:val="20"/>
        </w:rPr>
        <w:t>There are other important summary judgment principles over which the dissent rides roughshod:</w:t>
      </w:r>
      <w:bookmarkStart w:id="2048" w:name="Bookmark_LNHNREFclscc14_6"/>
      <w:bookmarkEnd w:id="2048"/>
      <w:r>
        <w:rPr>
          <w:rFonts w:ascii="Arial" w:eastAsia="Arial" w:hAnsi="Arial" w:cs="Arial"/>
          <w:color w:val="000000"/>
          <w:sz w:val="20"/>
        </w:rPr>
        <w:t xml:space="preserve"> the movant is not required to disprove the non-movant's case, </w:t>
      </w:r>
      <w:bookmarkStart w:id="2049" w:name="Bookmark_I567C99T2D6N4R0010000400"/>
      <w:bookmarkEnd w:id="2049"/>
      <w:r>
        <w:rPr>
          <w:rFonts w:ascii="Arial" w:eastAsia="Arial" w:hAnsi="Arial" w:cs="Arial"/>
          <w:color w:val="000000"/>
          <w:sz w:val="20"/>
          <w:u w:val="single"/>
        </w:rPr>
        <w:t>Celotex Corp. v. Catrett</w:t>
      </w:r>
      <w:r>
        <w:rPr>
          <w:rFonts w:ascii="Arial" w:eastAsia="Arial" w:hAnsi="Arial" w:cs="Arial"/>
          <w:color w:val="000000"/>
          <w:sz w:val="20"/>
        </w:rPr>
        <w:t xml:space="preserve">, 477 U.S. 317, 323, 106 S. Ct. 2548, 91 L. Ed. 2d 265 (1986), and the non-movant must come forward with significantly probative evidence that would support a verdict in its favor, </w:t>
      </w:r>
      <w:bookmarkStart w:id="2050" w:name="Bookmark_I567C99T2D6N4R0030000400"/>
      <w:bookmarkEnd w:id="2050"/>
      <w:r>
        <w:rPr>
          <w:rFonts w:ascii="Arial" w:eastAsia="Arial" w:hAnsi="Arial" w:cs="Arial"/>
          <w:color w:val="000000"/>
          <w:sz w:val="20"/>
          <w:u w:val="single"/>
        </w:rPr>
        <w:t>Anderson v. Liberty Lobby, Inc</w:t>
      </w:r>
      <w:r>
        <w:rPr>
          <w:rFonts w:ascii="Arial" w:eastAsia="Arial" w:hAnsi="Arial" w:cs="Arial"/>
          <w:color w:val="000000"/>
          <w:sz w:val="20"/>
        </w:rPr>
        <w:t>., 477 U.S. 242, 249-50, 106 S. Ct. 2505, 91 L. Ed. 2d 202 (1986).</w:t>
      </w:r>
    </w:p>
    <w:p w14:paraId="568B9869" w14:textId="77777777" w:rsidR="00D041A2" w:rsidRDefault="00000000">
      <w:pPr>
        <w:pStyle w:val="Normal17"/>
        <w:widowControl w:val="0"/>
        <w:spacing w:before="200" w:line="260" w:lineRule="atLeast"/>
        <w:jc w:val="both"/>
      </w:pPr>
      <w:bookmarkStart w:id="2051" w:name="Bookmark_para_35_6"/>
      <w:bookmarkEnd w:id="2051"/>
      <w:r>
        <w:rPr>
          <w:rFonts w:ascii="Arial" w:eastAsia="Arial" w:hAnsi="Arial" w:cs="Arial"/>
          <w:color w:val="000000"/>
          <w:sz w:val="20"/>
        </w:rPr>
        <w:t xml:space="preserve">First, the dissent argues that Employer's judgment about what is an essential job function is controverted because none of the job descriptions include oral communication as a job </w:t>
      </w:r>
      <w:r>
        <w:rPr>
          <w:rFonts w:ascii="Arial" w:eastAsia="Arial" w:hAnsi="Arial" w:cs="Arial"/>
          <w:i/>
          <w:color w:val="000000"/>
          <w:sz w:val="20"/>
        </w:rPr>
        <w:t>duty</w:t>
      </w:r>
      <w:r>
        <w:rPr>
          <w:rFonts w:ascii="Arial" w:eastAsia="Arial" w:hAnsi="Arial" w:cs="Arial"/>
          <w:color w:val="000000"/>
          <w:sz w:val="20"/>
        </w:rPr>
        <w:t xml:space="preserve">, but rather use the term "verbal communication skills" as a  [**22] job </w:t>
      </w:r>
      <w:r>
        <w:rPr>
          <w:rFonts w:ascii="Arial" w:eastAsia="Arial" w:hAnsi="Arial" w:cs="Arial"/>
          <w:i/>
          <w:color w:val="000000"/>
          <w:sz w:val="20"/>
        </w:rPr>
        <w:t>qualification</w:t>
      </w:r>
      <w:r>
        <w:rPr>
          <w:rFonts w:ascii="Arial" w:eastAsia="Arial" w:hAnsi="Arial" w:cs="Arial"/>
          <w:color w:val="000000"/>
          <w:sz w:val="20"/>
        </w:rPr>
        <w:t xml:space="preserve">. This is a very thin reed, understandably not grasped by the parties. Strong verbal communication skills are listed as "Job Qualifications" on descriptions for both the Seasonal Associate and Performer positions. 1 Aplt. App. 99a, 101a. Listing strong verbal communication as a requirement for a customer-service oriented job was certainly </w:t>
      </w:r>
      <w:r>
        <w:rPr>
          <w:rFonts w:ascii="Arial" w:eastAsia="Arial" w:hAnsi="Arial" w:cs="Arial"/>
          <w:i/>
          <w:color w:val="000000"/>
          <w:sz w:val="20"/>
        </w:rPr>
        <w:t>reasonable</w:t>
      </w:r>
      <w:r>
        <w:rPr>
          <w:rFonts w:ascii="Arial" w:eastAsia="Arial" w:hAnsi="Arial" w:cs="Arial"/>
          <w:color w:val="000000"/>
          <w:sz w:val="20"/>
        </w:rPr>
        <w:t xml:space="preserve"> on the part of Employer. In determining whether a function is essential we simply have no license, absent evidence, to disregard a natural reading of a written job description.</w:t>
      </w:r>
    </w:p>
    <w:p w14:paraId="4462DCF8" w14:textId="77777777" w:rsidR="00D041A2" w:rsidRDefault="00000000">
      <w:pPr>
        <w:pStyle w:val="Normal17"/>
        <w:widowControl w:val="0"/>
        <w:spacing w:before="200" w:line="260" w:lineRule="atLeast"/>
        <w:jc w:val="both"/>
      </w:pPr>
      <w:bookmarkStart w:id="2052" w:name="Bookmark_para_36_6"/>
      <w:bookmarkEnd w:id="2052"/>
      <w:r>
        <w:rPr>
          <w:rFonts w:ascii="Arial" w:eastAsia="Arial" w:hAnsi="Arial" w:cs="Arial"/>
          <w:color w:val="000000"/>
          <w:sz w:val="20"/>
        </w:rPr>
        <w:t xml:space="preserve">The dissent's major point is that Employee could communicate effectively. The dissent relies on the photo shoot with the Krols, and "several other shoots" that Employee allegedly participated in. But any review of the evidence in the light most favorable to Employee does not reveal a genuine issue of material fact that would require submission to a jury. When Employee was asked how many times she took photographs in the camera room, she said "15, 20, maybe less. I don't know." </w:t>
      </w:r>
      <w:r>
        <w:rPr>
          <w:rFonts w:ascii="Arial" w:eastAsia="Arial" w:hAnsi="Arial" w:cs="Arial"/>
          <w:color w:val="000000"/>
          <w:sz w:val="20"/>
          <w:u w:val="single"/>
        </w:rPr>
        <w:t>Id</w:t>
      </w:r>
      <w:r>
        <w:rPr>
          <w:rFonts w:ascii="Arial" w:eastAsia="Arial" w:hAnsi="Arial" w:cs="Arial"/>
          <w:color w:val="000000"/>
          <w:sz w:val="20"/>
        </w:rPr>
        <w:t xml:space="preserve">. at 246a-47a. When asked how many of those times she was by herself, she answered, "[a] couple." </w:t>
      </w:r>
      <w:r>
        <w:rPr>
          <w:rFonts w:ascii="Arial" w:eastAsia="Arial" w:hAnsi="Arial" w:cs="Arial"/>
          <w:color w:val="000000"/>
          <w:sz w:val="20"/>
          <w:u w:val="single"/>
        </w:rPr>
        <w:t>Id</w:t>
      </w:r>
      <w:r>
        <w:rPr>
          <w:rFonts w:ascii="Arial" w:eastAsia="Arial" w:hAnsi="Arial" w:cs="Arial"/>
          <w:color w:val="000000"/>
          <w:sz w:val="20"/>
        </w:rPr>
        <w:t>. at 247a. On most of these occasions, therefore, Employee was accompanied  [**23] in the camera room by a performer who could hear and communicate orally with customers. At best, except for on very limited occasions, Employer did not find Employee qualified to work in the camera room on her own.</w:t>
      </w:r>
    </w:p>
    <w:p w14:paraId="1FC3F45B" w14:textId="77777777" w:rsidR="00D041A2" w:rsidRDefault="00000000">
      <w:pPr>
        <w:pStyle w:val="Normal17"/>
        <w:widowControl w:val="0"/>
        <w:spacing w:before="200" w:line="260" w:lineRule="atLeast"/>
        <w:jc w:val="both"/>
      </w:pPr>
      <w:bookmarkStart w:id="2053" w:name="Bookmark_para_37_6"/>
      <w:bookmarkStart w:id="2054" w:name="Bookmark_I567C99T28T52M0010000400"/>
      <w:bookmarkEnd w:id="2053"/>
      <w:bookmarkEnd w:id="2054"/>
      <w:r>
        <w:rPr>
          <w:rFonts w:ascii="Arial" w:eastAsia="Arial" w:hAnsi="Arial" w:cs="Arial"/>
          <w:color w:val="000000"/>
          <w:sz w:val="20"/>
        </w:rPr>
        <w:t xml:space="preserve">While the dissent points to a blanket statement given by Employee's vocational [*991]  rehabilitation counselor that "deaf persons can perform a job calling for strong customer service skills and oral communication skills by using gestures, notes, and so forth," this simply does not address Employee's abilities any more than the fact that Employer hired Employee in the first place. In fact, it is uncontroverted that Employee had minimal lip-reading capability, and scored below average on tests administered by the EEOC's expert. 2 Aplt. App. 310a. And while it is possible that Employee could, to some extent, "communicate with customers in the Employer's setting and ensure that they had a pleasant experience," it is unreasonable to expect Employer to reallocate specific job duties—requiring more than one person in the camera room at a time, or not requiring her to perform sales duties—in order to accommodate. </w:t>
      </w:r>
      <w:bookmarkStart w:id="2055" w:name="Bookmark_I3WXY3RSFSH00079WNY0022J"/>
      <w:bookmarkStart w:id="2056" w:name="Bookmark_I567C99T28T52M0030000400"/>
      <w:bookmarkEnd w:id="2055"/>
      <w:bookmarkEnd w:id="2056"/>
      <w:r>
        <w:rPr>
          <w:rFonts w:ascii="Arial" w:eastAsia="Arial" w:hAnsi="Arial" w:cs="Arial"/>
          <w:color w:val="000000"/>
          <w:sz w:val="20"/>
          <w:u w:val="single"/>
        </w:rPr>
        <w:t xml:space="preserve">See </w:t>
      </w:r>
      <w:bookmarkStart w:id="2057" w:name="Bookmark_I567C99T2D6N4R0050000400"/>
      <w:bookmarkEnd w:id="2057"/>
      <w:r>
        <w:rPr>
          <w:rFonts w:ascii="Arial" w:eastAsia="Arial" w:hAnsi="Arial" w:cs="Arial"/>
          <w:color w:val="000000"/>
          <w:sz w:val="20"/>
          <w:u w:val="single"/>
        </w:rPr>
        <w:t>Milton v. Scrivner, Inc</w:t>
      </w:r>
      <w:r>
        <w:rPr>
          <w:rFonts w:ascii="Arial" w:eastAsia="Arial" w:hAnsi="Arial" w:cs="Arial"/>
          <w:color w:val="000000"/>
          <w:sz w:val="20"/>
        </w:rPr>
        <w:t xml:space="preserve">., 53 F.3d 1118, 1124 (10th Cir. 1995). </w:t>
      </w:r>
      <w:bookmarkStart w:id="2058" w:name="Bookmark_I567C99T28T52M0030000400_2"/>
      <w:bookmarkEnd w:id="2058"/>
      <w:r>
        <w:rPr>
          <w:rFonts w:ascii="Arial" w:eastAsia="Arial" w:hAnsi="Arial" w:cs="Arial"/>
          <w:color w:val="000000"/>
          <w:sz w:val="20"/>
        </w:rPr>
        <w:t xml:space="preserve">Employee's  [**24] job required her to take photos of very young children—who are easily distracted and in need of constant direction—in an expeditious manner. Similarly, interaction with parents, both in the photo room, and while selling the photographs, was part of her job. Therefore, effective communication was key. As we have stated, </w:t>
      </w:r>
      <w:bookmarkStart w:id="2059" w:name="Bookmark_LNHNREFclscc15_5"/>
      <w:bookmarkEnd w:id="2059"/>
      <w:r>
        <w:rPr>
          <w:rFonts w:ascii="Arial" w:eastAsia="Arial" w:hAnsi="Arial" w:cs="Arial"/>
          <w:color w:val="000000"/>
          <w:sz w:val="20"/>
        </w:rPr>
        <w:t xml:space="preserve">"the essential function inquiry is not intended to second guess the employer or to require the employer to lower company standards." </w:t>
      </w:r>
      <w:r>
        <w:rPr>
          <w:rFonts w:ascii="Arial" w:eastAsia="Arial" w:hAnsi="Arial" w:cs="Arial"/>
          <w:color w:val="000000"/>
          <w:sz w:val="20"/>
          <w:u w:val="single"/>
        </w:rPr>
        <w:t xml:space="preserve">See </w:t>
      </w:r>
      <w:bookmarkStart w:id="2060" w:name="Bookmark_I567C99T28T52M0020000400"/>
      <w:bookmarkEnd w:id="2060"/>
      <w:r>
        <w:rPr>
          <w:rFonts w:ascii="Arial" w:eastAsia="Arial" w:hAnsi="Arial" w:cs="Arial"/>
          <w:color w:val="000000"/>
          <w:sz w:val="20"/>
          <w:u w:val="single"/>
        </w:rPr>
        <w:t>Mason v. Avaya Commc'ns, Inc</w:t>
      </w:r>
      <w:r>
        <w:rPr>
          <w:rFonts w:ascii="Arial" w:eastAsia="Arial" w:hAnsi="Arial" w:cs="Arial"/>
          <w:color w:val="000000"/>
          <w:sz w:val="20"/>
        </w:rPr>
        <w:t>., 357 F.3d 1114, 1119 (10th Cir. 2004) (internal quotation marks omitted). A court should be hesitant in displacing the business judgment of an employer on how to run its business.</w:t>
      </w:r>
    </w:p>
    <w:p w14:paraId="3B820DDE" w14:textId="77777777" w:rsidR="00D041A2" w:rsidRDefault="00000000">
      <w:pPr>
        <w:pStyle w:val="Normal17"/>
        <w:widowControl w:val="0"/>
        <w:spacing w:before="200" w:line="260" w:lineRule="atLeast"/>
        <w:jc w:val="both"/>
      </w:pPr>
      <w:bookmarkStart w:id="2061" w:name="Bookmark_para_38_6"/>
      <w:bookmarkStart w:id="2062" w:name="Bookmark_I3WXY3RSSPH00079WNY0054W"/>
      <w:bookmarkStart w:id="2063" w:name="Bookmark_I567C99T28T52M0050000400"/>
      <w:bookmarkEnd w:id="2061"/>
      <w:bookmarkEnd w:id="2062"/>
      <w:bookmarkEnd w:id="2063"/>
      <w:r>
        <w:rPr>
          <w:rFonts w:ascii="Arial" w:eastAsia="Arial" w:hAnsi="Arial" w:cs="Arial"/>
          <w:color w:val="000000"/>
          <w:sz w:val="20"/>
        </w:rPr>
        <w:t xml:space="preserve">The dissent also contends that this case is controlled by </w:t>
      </w:r>
      <w:bookmarkStart w:id="2064" w:name="Bookmark_I567C99T28T52M0040000400"/>
      <w:bookmarkEnd w:id="2064"/>
      <w:r>
        <w:rPr>
          <w:rFonts w:ascii="Arial" w:eastAsia="Arial" w:hAnsi="Arial" w:cs="Arial"/>
          <w:color w:val="000000"/>
          <w:sz w:val="20"/>
          <w:u w:val="single"/>
        </w:rPr>
        <w:t>Davidson v. America Online, Inc</w:t>
      </w:r>
      <w:r>
        <w:rPr>
          <w:rFonts w:ascii="Arial" w:eastAsia="Arial" w:hAnsi="Arial" w:cs="Arial"/>
          <w:color w:val="000000"/>
          <w:sz w:val="20"/>
        </w:rPr>
        <w:t xml:space="preserve">., 337 F.3d 1179, 1191 (10th Cir. 2003). </w:t>
      </w:r>
      <w:bookmarkStart w:id="2065" w:name="Bookmark_I567C99T28T52N0020000400"/>
      <w:bookmarkEnd w:id="2065"/>
      <w:r>
        <w:rPr>
          <w:rFonts w:ascii="Arial" w:eastAsia="Arial" w:hAnsi="Arial" w:cs="Arial"/>
          <w:color w:val="000000"/>
          <w:sz w:val="20"/>
          <w:u w:val="single"/>
        </w:rPr>
        <w:t>Davidson</w:t>
      </w:r>
      <w:r>
        <w:rPr>
          <w:rFonts w:ascii="Arial" w:eastAsia="Arial" w:hAnsi="Arial" w:cs="Arial"/>
          <w:color w:val="000000"/>
          <w:sz w:val="20"/>
        </w:rPr>
        <w:t xml:space="preserve"> is patently distinguishable. The case involved a change in company policy which effectively prevented America Online from hiring new deaf employees—even for jobs that did not require oral communication skills. </w:t>
      </w:r>
      <w:bookmarkStart w:id="2066" w:name="Bookmark_I567C99T28T52N0020000400_2"/>
      <w:bookmarkStart w:id="2067" w:name="Bookmark_I567C99T28T52N0040000400"/>
      <w:bookmarkStart w:id="2068" w:name="Bookmark_I567C99T28T52N0010000400"/>
      <w:bookmarkEnd w:id="2066"/>
      <w:bookmarkEnd w:id="2067"/>
      <w:bookmarkEnd w:id="2068"/>
      <w:r>
        <w:rPr>
          <w:rFonts w:ascii="Arial" w:eastAsia="Arial" w:hAnsi="Arial" w:cs="Arial"/>
          <w:color w:val="000000"/>
          <w:sz w:val="20"/>
          <w:u w:val="single"/>
        </w:rPr>
        <w:t>Id</w:t>
      </w:r>
      <w:r>
        <w:rPr>
          <w:rFonts w:ascii="Arial" w:eastAsia="Arial" w:hAnsi="Arial" w:cs="Arial"/>
          <w:color w:val="000000"/>
          <w:sz w:val="20"/>
        </w:rPr>
        <w:t xml:space="preserve">. at 1191-92. </w:t>
      </w:r>
      <w:bookmarkStart w:id="2069" w:name="Bookmark_I567C99T28T52N0040000400_2"/>
      <w:bookmarkEnd w:id="2069"/>
      <w:r>
        <w:rPr>
          <w:rFonts w:ascii="Arial" w:eastAsia="Arial" w:hAnsi="Arial" w:cs="Arial"/>
          <w:color w:val="000000"/>
          <w:sz w:val="20"/>
        </w:rPr>
        <w:t xml:space="preserve">An obvious and critical difference between </w:t>
      </w:r>
      <w:r>
        <w:rPr>
          <w:rFonts w:ascii="Arial" w:eastAsia="Arial" w:hAnsi="Arial" w:cs="Arial"/>
          <w:color w:val="000000"/>
          <w:sz w:val="20"/>
          <w:u w:val="single"/>
        </w:rPr>
        <w:t>Davidson</w:t>
      </w:r>
      <w:r>
        <w:rPr>
          <w:rFonts w:ascii="Arial" w:eastAsia="Arial" w:hAnsi="Arial" w:cs="Arial"/>
          <w:color w:val="000000"/>
          <w:sz w:val="20"/>
        </w:rPr>
        <w:t xml:space="preserve"> and this case is that neither the district court nor the court of appeals in </w:t>
      </w:r>
      <w:r>
        <w:rPr>
          <w:rFonts w:ascii="Arial" w:eastAsia="Arial" w:hAnsi="Arial" w:cs="Arial"/>
          <w:color w:val="000000"/>
          <w:sz w:val="20"/>
          <w:u w:val="single"/>
        </w:rPr>
        <w:t>Davidson</w:t>
      </w:r>
      <w:r>
        <w:rPr>
          <w:rFonts w:ascii="Arial" w:eastAsia="Arial" w:hAnsi="Arial" w:cs="Arial"/>
          <w:color w:val="000000"/>
          <w:sz w:val="20"/>
        </w:rPr>
        <w:t xml:space="preserve"> considered an individual's performance  [**25] on the job, as we have done here. Instead, those courts found that a jury should decide whether a blanket policy preventing deaf individuals from being hired for jobs that only required them to answer emails and handle mail could be justified as a business necessity. </w:t>
      </w:r>
      <w:bookmarkStart w:id="2070" w:name="Bookmark_I567C99T28T52P0010000400"/>
      <w:bookmarkStart w:id="2071" w:name="Bookmark_I567C99T28T52N0030000400"/>
      <w:bookmarkEnd w:id="2070"/>
      <w:bookmarkEnd w:id="2071"/>
      <w:r>
        <w:rPr>
          <w:rFonts w:ascii="Arial" w:eastAsia="Arial" w:hAnsi="Arial" w:cs="Arial"/>
          <w:color w:val="000000"/>
          <w:sz w:val="20"/>
          <w:u w:val="single"/>
        </w:rPr>
        <w:t>Id</w:t>
      </w:r>
      <w:r>
        <w:rPr>
          <w:rFonts w:ascii="Arial" w:eastAsia="Arial" w:hAnsi="Arial" w:cs="Arial"/>
          <w:color w:val="000000"/>
          <w:sz w:val="20"/>
        </w:rPr>
        <w:t xml:space="preserve">. at 1182-83, 1191-92. </w:t>
      </w:r>
      <w:bookmarkStart w:id="2072" w:name="Bookmark_I567C99T28T52P0010000400_2"/>
      <w:bookmarkEnd w:id="2072"/>
      <w:r>
        <w:rPr>
          <w:rFonts w:ascii="Arial" w:eastAsia="Arial" w:hAnsi="Arial" w:cs="Arial"/>
          <w:color w:val="000000"/>
          <w:sz w:val="20"/>
        </w:rPr>
        <w:t xml:space="preserve">Therefore, summary judgment in favor of America Online was improper. </w:t>
      </w:r>
      <w:bookmarkStart w:id="2073" w:name="Bookmark_I567C99T28T52N0050000400"/>
      <w:bookmarkEnd w:id="2073"/>
      <w:r>
        <w:rPr>
          <w:rFonts w:ascii="Arial" w:eastAsia="Arial" w:hAnsi="Arial" w:cs="Arial"/>
          <w:color w:val="000000"/>
          <w:sz w:val="20"/>
          <w:u w:val="single"/>
        </w:rPr>
        <w:t>Id</w:t>
      </w:r>
      <w:r>
        <w:rPr>
          <w:rFonts w:ascii="Arial" w:eastAsia="Arial" w:hAnsi="Arial" w:cs="Arial"/>
          <w:color w:val="000000"/>
          <w:sz w:val="20"/>
        </w:rPr>
        <w:t>. at 1192. Since we have abundant evidence in the record about Employee's particular job performance here, the cases are easily distinguishable.</w:t>
      </w:r>
    </w:p>
    <w:p w14:paraId="075ACA14" w14:textId="77777777" w:rsidR="00D041A2" w:rsidRDefault="00000000">
      <w:pPr>
        <w:pStyle w:val="Normal17"/>
        <w:widowControl w:val="0"/>
        <w:spacing w:before="200" w:line="260" w:lineRule="atLeast"/>
        <w:jc w:val="both"/>
      </w:pPr>
      <w:bookmarkStart w:id="2074" w:name="Bookmark_para_39_6"/>
      <w:bookmarkStart w:id="2075" w:name="Bookmark_I567C99T28T52P0030000400"/>
      <w:bookmarkEnd w:id="2074"/>
      <w:bookmarkEnd w:id="2075"/>
      <w:r>
        <w:rPr>
          <w:rFonts w:ascii="Arial" w:eastAsia="Arial" w:hAnsi="Arial" w:cs="Arial"/>
          <w:color w:val="000000"/>
          <w:sz w:val="20"/>
        </w:rPr>
        <w:t xml:space="preserve">The dissent also claims that the court overlooks direct evidence of retaliation and that any time there is direct evidence it is sufficient evidence of pretext requiring submission of a retaliation claim to the jury. We disagree. To be sure, </w:t>
      </w:r>
      <w:bookmarkStart w:id="2076" w:name="Bookmark_LNHNREFclscc16_4"/>
      <w:bookmarkEnd w:id="2076"/>
      <w:r>
        <w:rPr>
          <w:rFonts w:ascii="Arial" w:eastAsia="Arial" w:hAnsi="Arial" w:cs="Arial"/>
          <w:color w:val="000000"/>
          <w:sz w:val="20"/>
        </w:rPr>
        <w:t xml:space="preserve">in an indirect case, a plaintiff may survive summary judgment with a prima facie case and a showing of pretext or direct evidence of discrimination in response to an employer's legitimate reasons for its actions. </w:t>
      </w:r>
      <w:r>
        <w:rPr>
          <w:rFonts w:ascii="Arial" w:eastAsia="Arial" w:hAnsi="Arial" w:cs="Arial"/>
          <w:color w:val="000000"/>
          <w:sz w:val="20"/>
          <w:u w:val="single"/>
        </w:rPr>
        <w:t xml:space="preserve">See </w:t>
      </w:r>
      <w:bookmarkStart w:id="2077" w:name="Bookmark_I567C99T28T52P0020000400"/>
      <w:bookmarkEnd w:id="2077"/>
      <w:r>
        <w:rPr>
          <w:rFonts w:ascii="Arial" w:eastAsia="Arial" w:hAnsi="Arial" w:cs="Arial"/>
          <w:color w:val="000000"/>
          <w:sz w:val="20"/>
          <w:u w:val="single"/>
        </w:rPr>
        <w:t>Conner v. Schnuck Markets, Inc</w:t>
      </w:r>
      <w:r>
        <w:rPr>
          <w:rFonts w:ascii="Arial" w:eastAsia="Arial" w:hAnsi="Arial" w:cs="Arial"/>
          <w:color w:val="000000"/>
          <w:sz w:val="20"/>
        </w:rPr>
        <w:t>., 121 F.3d 1390, 1397 (10th Cir. 1997). But we doubt this means that summary judgment can never be granted when there is direct evidence of retaliation, no matter how weak in the context of the entire record:  [**26] such a rule would insulate one class of cases from summary judgment principles.</w:t>
      </w:r>
    </w:p>
    <w:p w14:paraId="41071F3B" w14:textId="77777777" w:rsidR="00D041A2" w:rsidRDefault="00000000">
      <w:pPr>
        <w:pStyle w:val="Normal17"/>
        <w:widowControl w:val="0"/>
        <w:spacing w:before="200" w:line="260" w:lineRule="atLeast"/>
        <w:jc w:val="both"/>
      </w:pPr>
      <w:bookmarkStart w:id="2078" w:name="Bookmark_para_40_6"/>
      <w:bookmarkStart w:id="2079" w:name="Bookmark_I567C99T28T52P0050000400"/>
      <w:bookmarkEnd w:id="2078"/>
      <w:bookmarkEnd w:id="2079"/>
      <w:r>
        <w:rPr>
          <w:rFonts w:ascii="Arial" w:eastAsia="Arial" w:hAnsi="Arial" w:cs="Arial"/>
          <w:color w:val="000000"/>
          <w:sz w:val="20"/>
        </w:rPr>
        <w:t xml:space="preserve">We need not decide that issue. </w:t>
      </w:r>
      <w:bookmarkStart w:id="2080" w:name="Bookmark_LNHNREFclscc17_4"/>
      <w:bookmarkEnd w:id="2080"/>
      <w:r>
        <w:rPr>
          <w:rFonts w:ascii="Arial" w:eastAsia="Arial" w:hAnsi="Arial" w:cs="Arial"/>
          <w:color w:val="000000"/>
          <w:sz w:val="20"/>
        </w:rPr>
        <w:t xml:space="preserve">This circuit has a very high bar for what constitutes direct evidence of retaliation: it does not require any inference or presumption. </w:t>
      </w:r>
      <w:bookmarkStart w:id="2081" w:name="Bookmark_I567C99T28T52P0040000400"/>
      <w:bookmarkEnd w:id="2081"/>
      <w:r>
        <w:rPr>
          <w:rFonts w:ascii="Arial" w:eastAsia="Arial" w:hAnsi="Arial" w:cs="Arial"/>
          <w:color w:val="000000"/>
          <w:sz w:val="20"/>
          <w:u w:val="single"/>
        </w:rPr>
        <w:t>Twigg v. Hawker Beechcraft Corp</w:t>
      </w:r>
      <w:r>
        <w:rPr>
          <w:rFonts w:ascii="Arial" w:eastAsia="Arial" w:hAnsi="Arial" w:cs="Arial"/>
          <w:color w:val="000000"/>
          <w:sz w:val="20"/>
        </w:rPr>
        <w:t>., 659 F.3d 987, 1000 n.8 (10th Cir. 2011). The statement the dissent relies upon, coming [*992]  in the context of a two-page performance evaluation, is not direct evidence:</w:t>
      </w:r>
    </w:p>
    <w:p w14:paraId="4945FC97" w14:textId="77777777" w:rsidR="00D041A2" w:rsidRDefault="00000000">
      <w:pPr>
        <w:pStyle w:val="Normal17"/>
        <w:widowControl w:val="0"/>
        <w:spacing w:before="200" w:line="260" w:lineRule="atLeast"/>
        <w:ind w:left="400"/>
        <w:jc w:val="both"/>
      </w:pPr>
      <w:bookmarkStart w:id="2082" w:name="Bookmark_para_41_5"/>
      <w:bookmarkEnd w:id="2082"/>
      <w:r>
        <w:rPr>
          <w:rFonts w:ascii="Arial" w:eastAsia="Arial" w:hAnsi="Arial" w:cs="Arial"/>
          <w:color w:val="000000"/>
          <w:sz w:val="20"/>
        </w:rPr>
        <w:t xml:space="preserve">• Insubordination: You don't seem to realize that people revolve around the business; the business doesn't revolve around the people. </w:t>
      </w:r>
      <w:bookmarkStart w:id="2083" w:name="Bookmark_I3WXY3RSXHN00079WNY0022N"/>
      <w:bookmarkStart w:id="2084" w:name="Bookmark_I567C99T2HM6DC0020000400"/>
      <w:bookmarkEnd w:id="2083"/>
      <w:bookmarkEnd w:id="2084"/>
      <w:r>
        <w:rPr>
          <w:rFonts w:ascii="Arial" w:eastAsia="Arial" w:hAnsi="Arial" w:cs="Arial"/>
          <w:color w:val="000000"/>
          <w:sz w:val="20"/>
        </w:rPr>
        <w:t>You became angry and threatened to bring a grievance against the Picture People when you didn't get your hours increased.</w:t>
      </w:r>
    </w:p>
    <w:p w14:paraId="1CF804C0" w14:textId="77777777" w:rsidR="00D041A2" w:rsidRDefault="00000000">
      <w:pPr>
        <w:pStyle w:val="Normal17"/>
        <w:widowControl w:val="0"/>
        <w:spacing w:before="200" w:line="260" w:lineRule="atLeast"/>
        <w:jc w:val="both"/>
      </w:pPr>
      <w:bookmarkStart w:id="2085" w:name="Bookmark_I567C99T2HM6DC0020000400_2"/>
      <w:bookmarkStart w:id="2086" w:name="Bookmark_I567C99T2HM6DC0040000400"/>
      <w:bookmarkEnd w:id="2085"/>
      <w:bookmarkEnd w:id="2086"/>
      <w:r>
        <w:rPr>
          <w:rFonts w:ascii="Arial" w:eastAsia="Arial" w:hAnsi="Arial" w:cs="Arial"/>
          <w:color w:val="000000"/>
          <w:sz w:val="20"/>
        </w:rPr>
        <w:t xml:space="preserve">2 Aplt. App. 341a. The letter requires us to infer retaliatory motive from a chain of events—that the disciplinary notice was given to Employee because she asserted her ADA rights, and not because of the several other problems noted on the performance evaluation. This differs from the termination letter in the case referenced by the dissent, </w:t>
      </w:r>
      <w:bookmarkStart w:id="2087" w:name="Bookmark_I567C99T2HM6DC0010000400"/>
      <w:bookmarkEnd w:id="2087"/>
      <w:r>
        <w:rPr>
          <w:rFonts w:ascii="Arial" w:eastAsia="Arial" w:hAnsi="Arial" w:cs="Arial"/>
          <w:color w:val="000000"/>
          <w:sz w:val="20"/>
          <w:u w:val="single"/>
        </w:rPr>
        <w:t>Medlock v. Ortho Biotech, Inc</w:t>
      </w:r>
      <w:r>
        <w:rPr>
          <w:rFonts w:ascii="Arial" w:eastAsia="Arial" w:hAnsi="Arial" w:cs="Arial"/>
          <w:color w:val="000000"/>
          <w:sz w:val="20"/>
        </w:rPr>
        <w:t xml:space="preserve">., 164 F.3d 545 (10th Cir. 1999). </w:t>
      </w:r>
      <w:bookmarkStart w:id="2088" w:name="Bookmark_I567C99T2HM6DC0040000400_2"/>
      <w:bookmarkEnd w:id="2088"/>
      <w:r>
        <w:rPr>
          <w:rFonts w:ascii="Arial" w:eastAsia="Arial" w:hAnsi="Arial" w:cs="Arial"/>
          <w:color w:val="000000"/>
          <w:sz w:val="20"/>
        </w:rPr>
        <w:t xml:space="preserve">In that case, the letter stated that "[a]s a result of issues raised in your deposition [including  [**27] Title VII race discrimination claims], effective immediately, you are suspended from all duties on behalf of the Company." </w:t>
      </w:r>
      <w:bookmarkStart w:id="2089" w:name="Bookmark_I567C99T2HM6DC0030000400"/>
      <w:bookmarkEnd w:id="2089"/>
      <w:r>
        <w:rPr>
          <w:rFonts w:ascii="Arial" w:eastAsia="Arial" w:hAnsi="Arial" w:cs="Arial"/>
          <w:color w:val="000000"/>
          <w:sz w:val="20"/>
          <w:u w:val="single"/>
        </w:rPr>
        <w:t>Id</w:t>
      </w:r>
      <w:r>
        <w:rPr>
          <w:rFonts w:ascii="Arial" w:eastAsia="Arial" w:hAnsi="Arial" w:cs="Arial"/>
          <w:color w:val="000000"/>
          <w:sz w:val="20"/>
        </w:rPr>
        <w:t>. at 550. That letter did not require an inference; it directly stated that the Title VII claims were the reason for the termination. That is not the case here.</w:t>
      </w:r>
    </w:p>
    <w:p w14:paraId="71DAEFB2" w14:textId="77777777" w:rsidR="00D041A2" w:rsidRDefault="00000000">
      <w:pPr>
        <w:pStyle w:val="Normal17"/>
        <w:widowControl w:val="0"/>
        <w:spacing w:before="200" w:line="260" w:lineRule="atLeast"/>
        <w:jc w:val="both"/>
      </w:pPr>
      <w:bookmarkStart w:id="2090" w:name="Bookmark_para_42_4"/>
      <w:bookmarkStart w:id="2091" w:name="Bookmark_I567C99T2N1PYV0010000400"/>
      <w:bookmarkEnd w:id="2090"/>
      <w:bookmarkEnd w:id="2091"/>
      <w:r>
        <w:rPr>
          <w:rFonts w:ascii="Arial" w:eastAsia="Arial" w:hAnsi="Arial" w:cs="Arial"/>
          <w:color w:val="000000"/>
          <w:sz w:val="20"/>
        </w:rPr>
        <w:t xml:space="preserve">Summary judgment on the retaliation claim is proper. Employee claims that she was treated differently from other employees who engaged in the same behavior, but does not allege any specific facts or incidents to back it up. Though the dissent views that as sufficient, on summary judgment more is required. </w:t>
      </w:r>
      <w:r>
        <w:rPr>
          <w:rFonts w:ascii="Arial" w:eastAsia="Arial" w:hAnsi="Arial" w:cs="Arial"/>
          <w:color w:val="000000"/>
          <w:sz w:val="20"/>
          <w:u w:val="single"/>
        </w:rPr>
        <w:t xml:space="preserve">See </w:t>
      </w:r>
      <w:bookmarkStart w:id="2092" w:name="Bookmark_I567C99T2HM6DC0050000400"/>
      <w:bookmarkEnd w:id="2092"/>
      <w:r>
        <w:rPr>
          <w:rFonts w:ascii="Arial" w:eastAsia="Arial" w:hAnsi="Arial" w:cs="Arial"/>
          <w:color w:val="000000"/>
          <w:sz w:val="20"/>
          <w:u w:val="single"/>
        </w:rPr>
        <w:t>Jones v. Denver Post Corp</w:t>
      </w:r>
      <w:r>
        <w:rPr>
          <w:rFonts w:ascii="Arial" w:eastAsia="Arial" w:hAnsi="Arial" w:cs="Arial"/>
          <w:color w:val="000000"/>
          <w:sz w:val="20"/>
        </w:rPr>
        <w:t>., 203 F.3d 748, 756 (10th Cir. 2000). Summary judgment based upon disparate discipline moves from generalities to specifics: who, why, when, and where. Further, while Employee claims that the fact that she was not scheduled after Christmas shows pretext, Employer has come forward with a non-discriminatory reason for its failure to staff her: she could not perform all functions of the job and, therefore, could not be staffed during 2-2 staffing.</w:t>
      </w:r>
    </w:p>
    <w:p w14:paraId="772A7779" w14:textId="77777777" w:rsidR="00D041A2" w:rsidRDefault="00000000">
      <w:pPr>
        <w:pStyle w:val="Normal17"/>
        <w:widowControl w:val="0"/>
        <w:spacing w:before="200" w:line="260" w:lineRule="atLeast"/>
        <w:jc w:val="both"/>
      </w:pPr>
      <w:bookmarkStart w:id="2093" w:name="Bookmark_para_43_4"/>
      <w:bookmarkEnd w:id="2093"/>
      <w:r>
        <w:rPr>
          <w:rFonts w:ascii="Arial" w:eastAsia="Arial" w:hAnsi="Arial" w:cs="Arial"/>
          <w:color w:val="000000"/>
          <w:sz w:val="20"/>
        </w:rPr>
        <w:t xml:space="preserve">The performance evaluation does contain numerous non-retaliatory reasons. These include: refusing to take a break, spending time on  [**28] the clock to color, and demanding hours after initially refusing to shoot photo sessions in December. 2 Aplt. App. 341a. It mentions that Employer was only able to schedule Employee during busy times because of her inability to perform all required tasks. </w:t>
      </w:r>
      <w:r>
        <w:rPr>
          <w:rFonts w:ascii="Arial" w:eastAsia="Arial" w:hAnsi="Arial" w:cs="Arial"/>
          <w:color w:val="000000"/>
          <w:sz w:val="20"/>
          <w:u w:val="single"/>
        </w:rPr>
        <w:t>Id</w:t>
      </w:r>
      <w:r>
        <w:rPr>
          <w:rFonts w:ascii="Arial" w:eastAsia="Arial" w:hAnsi="Arial" w:cs="Arial"/>
          <w:color w:val="000000"/>
          <w:sz w:val="20"/>
        </w:rPr>
        <w:t>. Employee has failed to identify sufficient evidence to create an issue of fact as to pretext.</w:t>
      </w:r>
    </w:p>
    <w:p w14:paraId="333647E1" w14:textId="77777777" w:rsidR="00D041A2" w:rsidRDefault="00000000">
      <w:pPr>
        <w:pStyle w:val="Normal17"/>
        <w:widowControl w:val="0"/>
        <w:spacing w:before="200" w:line="260" w:lineRule="atLeast"/>
        <w:jc w:val="both"/>
      </w:pPr>
      <w:bookmarkStart w:id="2094" w:name="Bookmark_para_44_4"/>
      <w:bookmarkEnd w:id="2094"/>
      <w:r>
        <w:rPr>
          <w:rFonts w:ascii="Arial" w:eastAsia="Arial" w:hAnsi="Arial" w:cs="Arial"/>
          <w:color w:val="000000"/>
          <w:sz w:val="20"/>
        </w:rPr>
        <w:t>AFFIRMED.</w:t>
      </w:r>
    </w:p>
    <w:p w14:paraId="4470645F" w14:textId="77777777" w:rsidR="00D041A2" w:rsidRDefault="00000000">
      <w:pPr>
        <w:pStyle w:val="Normal17"/>
        <w:widowControl w:val="0"/>
        <w:spacing w:before="240" w:line="260" w:lineRule="atLeast"/>
      </w:pPr>
      <w:bookmarkStart w:id="2095" w:name="Dissent_by"/>
      <w:bookmarkEnd w:id="2095"/>
      <w:r>
        <w:rPr>
          <w:rFonts w:ascii="Arial" w:eastAsia="Arial" w:hAnsi="Arial" w:cs="Arial"/>
          <w:b/>
          <w:color w:val="000000"/>
          <w:sz w:val="20"/>
        </w:rPr>
        <w:t>Dissent by:</w:t>
      </w:r>
      <w:r>
        <w:rPr>
          <w:rFonts w:ascii="Arial" w:eastAsia="Arial" w:hAnsi="Arial" w:cs="Arial"/>
          <w:color w:val="000000"/>
          <w:sz w:val="20"/>
        </w:rPr>
        <w:t> HOLLOWAY</w:t>
      </w:r>
    </w:p>
    <w:p w14:paraId="26C75DFD" w14:textId="77777777" w:rsidR="00D041A2" w:rsidRDefault="00000000">
      <w:pPr>
        <w:pStyle w:val="Normal17"/>
        <w:keepNext/>
        <w:widowControl w:val="0"/>
        <w:spacing w:before="240" w:line="340" w:lineRule="atLeast"/>
      </w:pPr>
      <w:bookmarkStart w:id="2096" w:name="Dissent"/>
      <w:bookmarkEnd w:id="2096"/>
      <w:r>
        <w:rPr>
          <w:rFonts w:ascii="Arial" w:eastAsia="Arial" w:hAnsi="Arial" w:cs="Arial"/>
          <w:b/>
          <w:color w:val="000000"/>
          <w:sz w:val="28"/>
        </w:rPr>
        <w:t>Dissent</w:t>
      </w:r>
    </w:p>
    <w:p w14:paraId="496D85B5" w14:textId="2221872B" w:rsidR="00D041A2" w:rsidRDefault="004D4403">
      <w:pPr>
        <w:pStyle w:val="Normal17"/>
        <w:spacing w:line="60" w:lineRule="exact"/>
      </w:pPr>
      <w:r>
        <w:rPr>
          <w:noProof/>
        </w:rPr>
        <mc:AlternateContent>
          <mc:Choice Requires="wps">
            <w:drawing>
              <wp:anchor distT="0" distB="0" distL="114300" distR="114300" simplePos="0" relativeHeight="251696128" behindDoc="0" locked="0" layoutInCell="1" allowOverlap="1" wp14:anchorId="0B73E421" wp14:editId="7286380F">
                <wp:simplePos x="0" y="0"/>
                <wp:positionH relativeFrom="column">
                  <wp:posOffset>0</wp:posOffset>
                </wp:positionH>
                <wp:positionV relativeFrom="paragraph">
                  <wp:posOffset>25400</wp:posOffset>
                </wp:positionV>
                <wp:extent cx="3187700" cy="0"/>
                <wp:effectExtent l="19050" t="15875" r="12700" b="12700"/>
                <wp:wrapTopAndBottom/>
                <wp:docPr id="55545810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043BF"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9AF3F95" w14:textId="77777777" w:rsidR="00D041A2" w:rsidRDefault="00D041A2">
      <w:pPr>
        <w:pStyle w:val="Normal17"/>
      </w:pPr>
    </w:p>
    <w:p w14:paraId="2326EDE7" w14:textId="77777777" w:rsidR="00D041A2" w:rsidRDefault="00000000">
      <w:pPr>
        <w:pStyle w:val="Normal17"/>
        <w:widowControl w:val="0"/>
        <w:spacing w:before="200" w:line="260" w:lineRule="atLeast"/>
        <w:jc w:val="both"/>
      </w:pPr>
      <w:bookmarkStart w:id="2097" w:name="Bookmark_para_45_4"/>
      <w:bookmarkEnd w:id="2097"/>
      <w:r>
        <w:rPr>
          <w:rFonts w:ascii="Arial" w:eastAsia="Arial" w:hAnsi="Arial" w:cs="Arial"/>
          <w:b/>
          <w:color w:val="000000"/>
          <w:sz w:val="20"/>
        </w:rPr>
        <w:t>HOLLOWAY</w:t>
      </w:r>
      <w:r>
        <w:rPr>
          <w:rFonts w:ascii="Arial" w:eastAsia="Arial" w:hAnsi="Arial" w:cs="Arial"/>
          <w:color w:val="000000"/>
          <w:sz w:val="20"/>
        </w:rPr>
        <w:t>, Circuit Judge, dissenting:</w:t>
      </w:r>
    </w:p>
    <w:p w14:paraId="2781884B" w14:textId="77777777" w:rsidR="00D041A2" w:rsidRDefault="00000000">
      <w:pPr>
        <w:pStyle w:val="Normal17"/>
        <w:widowControl w:val="0"/>
        <w:spacing w:before="240" w:line="260" w:lineRule="atLeast"/>
      </w:pPr>
      <w:r>
        <w:br/>
      </w:r>
      <w:r>
        <w:rPr>
          <w:rFonts w:ascii="Arial" w:eastAsia="Arial" w:hAnsi="Arial" w:cs="Arial"/>
          <w:b/>
          <w:color w:val="000000"/>
          <w:sz w:val="20"/>
        </w:rPr>
        <w:t>I</w:t>
      </w:r>
    </w:p>
    <w:p w14:paraId="2F5662C3" w14:textId="77777777" w:rsidR="00D041A2" w:rsidRDefault="00000000">
      <w:pPr>
        <w:pStyle w:val="Normal17"/>
        <w:widowControl w:val="0"/>
        <w:spacing w:before="200" w:line="260" w:lineRule="atLeast"/>
        <w:jc w:val="both"/>
      </w:pPr>
      <w:bookmarkStart w:id="2098" w:name="Bookmark_para_46_4"/>
      <w:bookmarkEnd w:id="2098"/>
      <w:r>
        <w:rPr>
          <w:rFonts w:ascii="Arial" w:eastAsia="Arial" w:hAnsi="Arial" w:cs="Arial"/>
          <w:color w:val="000000"/>
          <w:sz w:val="20"/>
        </w:rPr>
        <w:t>Ms. Jessica Chrysler was hired as a photographer or "performer" at the Littleton, Colorado studio of Defendant-Appellee The Picture People, Inc. (the Employer). The manager who hired her had full knowledge of her deafness and the means by which she can communicate, and he also had the experience to fully understand the requirements of the job.</w:t>
      </w:r>
    </w:p>
    <w:p w14:paraId="2017B18D" w14:textId="77777777" w:rsidR="00D041A2" w:rsidRDefault="00000000">
      <w:pPr>
        <w:pStyle w:val="Normal17"/>
        <w:widowControl w:val="0"/>
        <w:spacing w:before="200" w:line="260" w:lineRule="atLeast"/>
        <w:jc w:val="both"/>
      </w:pPr>
      <w:bookmarkStart w:id="2099" w:name="Bookmark_para_47_3"/>
      <w:bookmarkEnd w:id="2099"/>
      <w:r>
        <w:rPr>
          <w:rFonts w:ascii="Arial" w:eastAsia="Arial" w:hAnsi="Arial" w:cs="Arial"/>
          <w:color w:val="000000"/>
          <w:sz w:val="20"/>
        </w:rPr>
        <w:t>When Ms. Chrysler was given an opportunity to conduct a photo session, her performance was given high praise by the customers. She conducted a number of other sessions as well, and there is no evidence that these sessions were less than successful in any way. Nevertheless, acting on what a jury could well determine was nothing more than a stereotyped view of the limitations of the deaf, the Employer first relegated Ms. Chrysler to work only in  [**29] the lab, then eliminated all of her hours, and finally, after months of hollow promises that she would be given some opportunities, it fired her. Not only that, but the Employer explicitly chastised Ms.  [*993]  Chrysler for having the temerity to complain about her treatment.</w:t>
      </w:r>
    </w:p>
    <w:p w14:paraId="4803387A" w14:textId="77777777" w:rsidR="00D041A2" w:rsidRDefault="00000000">
      <w:pPr>
        <w:pStyle w:val="Normal17"/>
        <w:widowControl w:val="0"/>
        <w:spacing w:before="200" w:line="260" w:lineRule="atLeast"/>
        <w:jc w:val="both"/>
      </w:pPr>
      <w:bookmarkStart w:id="2100" w:name="Bookmark_para_48_3"/>
      <w:bookmarkEnd w:id="2100"/>
      <w:r>
        <w:rPr>
          <w:rFonts w:ascii="Arial" w:eastAsia="Arial" w:hAnsi="Arial" w:cs="Arial"/>
          <w:color w:val="000000"/>
          <w:sz w:val="20"/>
        </w:rPr>
        <w:t>The EEOC brought this case against the Employer alleging (1) that the Employer had discriminated against Ms. Chrysler because of her deafness</w:t>
      </w:r>
      <w:r>
        <w:rPr>
          <w:rFonts w:ascii="Arial" w:eastAsia="Arial" w:hAnsi="Arial" w:cs="Arial"/>
          <w:vertAlign w:val="superscript"/>
        </w:rPr>
        <w:footnoteReference w:customMarkFollows="1" w:id="91"/>
        <w:t>1</w:t>
      </w:r>
      <w:r>
        <w:rPr>
          <w:rFonts w:ascii="Arial" w:eastAsia="Arial" w:hAnsi="Arial" w:cs="Arial"/>
          <w:color w:val="000000"/>
          <w:sz w:val="20"/>
        </w:rPr>
        <w:t xml:space="preserve"> in violation of the Americans With Disabilities Act, 42 U.S.C. §§ 12101-12213 (2006) (ADA)</w:t>
      </w:r>
      <w:r>
        <w:rPr>
          <w:rFonts w:ascii="Arial" w:eastAsia="Arial" w:hAnsi="Arial" w:cs="Arial"/>
          <w:vertAlign w:val="superscript"/>
        </w:rPr>
        <w:footnoteReference w:customMarkFollows="1" w:id="92"/>
        <w:t>2</w:t>
      </w:r>
      <w:r>
        <w:rPr>
          <w:rFonts w:ascii="Arial" w:eastAsia="Arial" w:hAnsi="Arial" w:cs="Arial"/>
          <w:color w:val="000000"/>
          <w:sz w:val="20"/>
        </w:rPr>
        <w:t xml:space="preserve"> and (2) that the Employer had retaliated against Ms. Chrysler "for her requests for accommodation and complaints of discrimination." Despite substantial evidence that Ms. Chrysler had performed well, the district court granted summary judgment for the Employer, holding that Ms. Chrysler was unable to perform the "essential functions" of the job and thus was not a "qualified individual" entitled to the protection of the ADA. Thus, the judge concluded that she could not do that which she had in fact done. Moreover, although faced with the fact that Ms. Chrysler had been disciplined explicitly for invoking her rights, the district court nevertheless concluded that the EEOC had not produced enough  [**30] evidence to defeat summary judgment on the retaliation claim.</w:t>
      </w:r>
    </w:p>
    <w:p w14:paraId="3E9A7A62" w14:textId="77777777" w:rsidR="00D041A2" w:rsidRDefault="00000000">
      <w:pPr>
        <w:pStyle w:val="Normal17"/>
        <w:widowControl w:val="0"/>
        <w:spacing w:before="200" w:line="260" w:lineRule="atLeast"/>
        <w:jc w:val="both"/>
      </w:pPr>
      <w:bookmarkStart w:id="2103" w:name="Bookmark_para_49_3"/>
      <w:bookmarkEnd w:id="2103"/>
      <w:r>
        <w:rPr>
          <w:rFonts w:ascii="Arial" w:eastAsia="Arial" w:hAnsi="Arial" w:cs="Arial"/>
          <w:color w:val="000000"/>
          <w:sz w:val="20"/>
        </w:rPr>
        <w:t>The opinion affirms these illogical holdings. Like the district court, the opinion fails to apply the proper standard in evaluating the evidence. When the evidence is taken in the proper light, I am convinced that the judgment must be reversed. I therefore respectfully dissent.</w:t>
      </w:r>
    </w:p>
    <w:p w14:paraId="4755E82E" w14:textId="77777777" w:rsidR="00D041A2" w:rsidRDefault="00000000">
      <w:pPr>
        <w:pStyle w:val="Normal17"/>
        <w:widowControl w:val="0"/>
        <w:spacing w:before="240" w:line="260" w:lineRule="atLeast"/>
      </w:pPr>
      <w:r>
        <w:br/>
      </w:r>
      <w:r>
        <w:rPr>
          <w:rFonts w:ascii="Arial" w:eastAsia="Arial" w:hAnsi="Arial" w:cs="Arial"/>
          <w:b/>
          <w:color w:val="000000"/>
          <w:sz w:val="20"/>
        </w:rPr>
        <w:t>II</w:t>
      </w:r>
    </w:p>
    <w:p w14:paraId="45B8F9BD" w14:textId="77777777" w:rsidR="00D041A2" w:rsidRDefault="00000000">
      <w:pPr>
        <w:pStyle w:val="Normal17"/>
        <w:widowControl w:val="0"/>
        <w:spacing w:before="120" w:line="260" w:lineRule="atLeast"/>
      </w:pPr>
      <w:r>
        <w:rPr>
          <w:rFonts w:ascii="Arial" w:eastAsia="Arial" w:hAnsi="Arial" w:cs="Arial"/>
          <w:color w:val="000000"/>
          <w:sz w:val="20"/>
        </w:rPr>
        <w:t>A.</w:t>
      </w:r>
    </w:p>
    <w:p w14:paraId="64519702" w14:textId="77777777" w:rsidR="00D041A2" w:rsidRDefault="00000000">
      <w:pPr>
        <w:pStyle w:val="Normal17"/>
        <w:widowControl w:val="0"/>
        <w:spacing w:before="200" w:line="260" w:lineRule="atLeast"/>
        <w:jc w:val="both"/>
      </w:pPr>
      <w:bookmarkStart w:id="2104" w:name="Bookmark_para_50_3"/>
      <w:bookmarkStart w:id="2105" w:name="Bookmark_I3WXY3RT7FN00079WNY0022R"/>
      <w:bookmarkStart w:id="2106" w:name="Bookmark_I567C99T2N1PYV0030000400"/>
      <w:bookmarkEnd w:id="2104"/>
      <w:bookmarkEnd w:id="2105"/>
      <w:bookmarkEnd w:id="2106"/>
      <w:r>
        <w:rPr>
          <w:rFonts w:ascii="Arial" w:eastAsia="Arial" w:hAnsi="Arial" w:cs="Arial"/>
          <w:color w:val="000000"/>
          <w:sz w:val="20"/>
        </w:rPr>
        <w:t xml:space="preserve">"We review a grant of summary judgment </w:t>
      </w:r>
      <w:r>
        <w:rPr>
          <w:rFonts w:ascii="Arial" w:eastAsia="Arial" w:hAnsi="Arial" w:cs="Arial"/>
          <w:i/>
          <w:color w:val="000000"/>
          <w:sz w:val="20"/>
        </w:rPr>
        <w:t>de novo</w:t>
      </w:r>
      <w:r>
        <w:rPr>
          <w:rFonts w:ascii="Arial" w:eastAsia="Arial" w:hAnsi="Arial" w:cs="Arial"/>
          <w:color w:val="000000"/>
          <w:sz w:val="20"/>
        </w:rPr>
        <w:t xml:space="preserve">, applying the same standard as the district court." </w:t>
      </w:r>
      <w:bookmarkStart w:id="2107" w:name="Bookmark_I567C99T2N1PYV0020000400"/>
      <w:bookmarkEnd w:id="2107"/>
      <w:r>
        <w:rPr>
          <w:rFonts w:ascii="Arial" w:eastAsia="Arial" w:hAnsi="Arial" w:cs="Arial"/>
          <w:i/>
          <w:color w:val="000000"/>
          <w:sz w:val="20"/>
        </w:rPr>
        <w:t>McKnight v. Kimberly Clark Corp</w:t>
      </w:r>
      <w:r>
        <w:rPr>
          <w:rFonts w:ascii="Arial" w:eastAsia="Arial" w:hAnsi="Arial" w:cs="Arial"/>
          <w:color w:val="000000"/>
          <w:sz w:val="20"/>
        </w:rPr>
        <w:t xml:space="preserve">., 149 F.3d 1125, 1128 (10th Cir. 1998). </w:t>
      </w:r>
      <w:bookmarkStart w:id="2108" w:name="Bookmark_I3WXY3RTJCN00079WNY00552"/>
      <w:bookmarkStart w:id="2109" w:name="Bookmark_I567C99T2N1PYV0050000400"/>
      <w:bookmarkEnd w:id="2108"/>
      <w:bookmarkEnd w:id="2109"/>
      <w:r>
        <w:rPr>
          <w:rFonts w:ascii="Arial" w:eastAsia="Arial" w:hAnsi="Arial" w:cs="Arial"/>
          <w:color w:val="000000"/>
          <w:sz w:val="20"/>
        </w:rPr>
        <w:t>Under Fed. R. Civ. P. 56, summary judgment should be entered by the district court "if the movant shows that there is no genuine issue as to any material fact and that the movant is entitled to a judgment as a matter of law." On appeal,</w:t>
      </w:r>
    </w:p>
    <w:p w14:paraId="291B0F47" w14:textId="77777777" w:rsidR="00D041A2" w:rsidRDefault="00000000">
      <w:pPr>
        <w:pStyle w:val="Normal17"/>
        <w:widowControl w:val="0"/>
        <w:spacing w:before="200" w:line="260" w:lineRule="atLeast"/>
        <w:ind w:left="400"/>
        <w:jc w:val="both"/>
      </w:pPr>
      <w:bookmarkStart w:id="2110" w:name="Bookmark_para_51_3"/>
      <w:bookmarkStart w:id="2111" w:name="Bookmark_I567C99T2N1PYV0050000400_2"/>
      <w:bookmarkStart w:id="2112" w:name="Bookmark_I567C99T2N1PYV0030000400_2"/>
      <w:bookmarkStart w:id="2113" w:name="Bookmark_I3WXY3RV14T00079WNY00555"/>
      <w:bookmarkStart w:id="2114" w:name="Bookmark_I567C99V2N1PYW0020000400"/>
      <w:bookmarkEnd w:id="2110"/>
      <w:bookmarkEnd w:id="2111"/>
      <w:bookmarkEnd w:id="2112"/>
      <w:bookmarkEnd w:id="2113"/>
      <w:bookmarkEnd w:id="2114"/>
      <w:r>
        <w:rPr>
          <w:rFonts w:ascii="Arial" w:eastAsia="Arial" w:hAnsi="Arial" w:cs="Arial"/>
          <w:color w:val="000000"/>
          <w:sz w:val="20"/>
        </w:rPr>
        <w:t>[w]e examine the record to determine whether any genuine issue of material fact was in dispute; if not, we  [**31] determine whether the substantive law was applied correctly, and in so doing we examine the factual record and reasonable inferences therefrom in the light most favorable to the party opposing the motion.</w:t>
      </w:r>
    </w:p>
    <w:p w14:paraId="0E25F1AF" w14:textId="77777777" w:rsidR="00D041A2" w:rsidRDefault="00000000">
      <w:pPr>
        <w:pStyle w:val="Normal17"/>
        <w:widowControl w:val="0"/>
        <w:spacing w:before="200" w:line="260" w:lineRule="atLeast"/>
        <w:jc w:val="both"/>
      </w:pPr>
      <w:bookmarkStart w:id="2115" w:name="Bookmark_I567C99V2N1PYW0020000400_2"/>
      <w:bookmarkStart w:id="2116" w:name="Bookmark_I567C99T2N1PYV0050000400_3"/>
      <w:bookmarkStart w:id="2117" w:name="Bookmark_I567C99T2N1PYV0040000400"/>
      <w:bookmarkEnd w:id="2115"/>
      <w:bookmarkEnd w:id="2116"/>
      <w:bookmarkEnd w:id="2117"/>
      <w:r>
        <w:rPr>
          <w:rFonts w:ascii="Arial" w:eastAsia="Arial" w:hAnsi="Arial" w:cs="Arial"/>
          <w:i/>
          <w:color w:val="000000"/>
          <w:sz w:val="20"/>
        </w:rPr>
        <w:t>McKnight</w:t>
      </w:r>
      <w:r>
        <w:rPr>
          <w:rFonts w:ascii="Arial" w:eastAsia="Arial" w:hAnsi="Arial" w:cs="Arial"/>
          <w:color w:val="000000"/>
          <w:sz w:val="20"/>
        </w:rPr>
        <w:t xml:space="preserve">, 149 F.3d at 1128 (brackets and quotations omitted). Furthermore, in our review of the record we "must disregard all evidence favorable to the moving party that the jury is not required to believe." </w:t>
      </w:r>
      <w:bookmarkStart w:id="2118" w:name="Bookmark_I567C99V2N1PYW0010000400"/>
      <w:bookmarkEnd w:id="2118"/>
      <w:r>
        <w:rPr>
          <w:rFonts w:ascii="Arial" w:eastAsia="Arial" w:hAnsi="Arial" w:cs="Arial"/>
          <w:i/>
          <w:color w:val="000000"/>
          <w:sz w:val="20"/>
        </w:rPr>
        <w:t>Reeves v. Sanderson Plumbing Products, Inc</w:t>
      </w:r>
      <w:r>
        <w:rPr>
          <w:rFonts w:ascii="Arial" w:eastAsia="Arial" w:hAnsi="Arial" w:cs="Arial"/>
          <w:color w:val="000000"/>
          <w:sz w:val="20"/>
        </w:rPr>
        <w:t>., 530 U.S. 133, 151, 120 S. Ct. 2097, 147 L. Ed. 2d 105 (2000).</w:t>
      </w:r>
    </w:p>
    <w:p w14:paraId="60B586B6" w14:textId="77777777" w:rsidR="00D041A2" w:rsidRDefault="00000000">
      <w:pPr>
        <w:pStyle w:val="Normal17"/>
        <w:widowControl w:val="0"/>
        <w:spacing w:before="200" w:line="260" w:lineRule="atLeast"/>
        <w:jc w:val="both"/>
      </w:pPr>
      <w:bookmarkStart w:id="2119" w:name="Bookmark_para_52_3"/>
      <w:bookmarkEnd w:id="2119"/>
      <w:r>
        <w:rPr>
          <w:rFonts w:ascii="Arial" w:eastAsia="Arial" w:hAnsi="Arial" w:cs="Arial"/>
          <w:color w:val="000000"/>
          <w:sz w:val="20"/>
        </w:rPr>
        <w:t xml:space="preserve">Because the majority opinion fails even to acknowledge — much less to view in the favorable light as it should — much of the evidence that the EEOC submitted to the district court, it is necessary to survey that evidence in some detail. In keeping with our standard of review, the following recitation of the evidence will be focused on the EEOC's evidence and should be understood as representing what a properly instructed, rational jury </w:t>
      </w:r>
      <w:r>
        <w:rPr>
          <w:rFonts w:ascii="Arial" w:eastAsia="Arial" w:hAnsi="Arial" w:cs="Arial"/>
          <w:i/>
          <w:color w:val="000000"/>
          <w:sz w:val="20"/>
        </w:rPr>
        <w:t>could</w:t>
      </w:r>
      <w:r>
        <w:rPr>
          <w:rFonts w:ascii="Arial" w:eastAsia="Arial" w:hAnsi="Arial" w:cs="Arial"/>
          <w:color w:val="000000"/>
          <w:sz w:val="20"/>
        </w:rPr>
        <w:t xml:space="preserve"> find, based on that evidence. Testimony favorable to the Employer in this case comes mostly from its own employees, and the jury of course would not be required to accept their testimony. Therefore, that evidence should not be considered at this stage. </w:t>
      </w:r>
      <w:r>
        <w:rPr>
          <w:rFonts w:ascii="Arial" w:eastAsia="Arial" w:hAnsi="Arial" w:cs="Arial"/>
          <w:i/>
          <w:color w:val="000000"/>
          <w:sz w:val="20"/>
        </w:rPr>
        <w:t>Id</w:t>
      </w:r>
      <w:r>
        <w:rPr>
          <w:rFonts w:ascii="Arial" w:eastAsia="Arial" w:hAnsi="Arial" w:cs="Arial"/>
          <w:color w:val="000000"/>
          <w:sz w:val="20"/>
        </w:rPr>
        <w:t>. (noting [*994]  that the  [**32] courts should give credence to the evidence favorable to the moving party on summary judgment only if that evidence is "uncontradicted and unimpeached, at least to the extent that evidence comes from disinterested witnesses").</w:t>
      </w:r>
    </w:p>
    <w:p w14:paraId="2EFDE08A" w14:textId="77777777" w:rsidR="00D041A2" w:rsidRDefault="00000000">
      <w:pPr>
        <w:pStyle w:val="Normal17"/>
        <w:widowControl w:val="0"/>
        <w:spacing w:before="120" w:line="260" w:lineRule="atLeast"/>
      </w:pPr>
      <w:r>
        <w:rPr>
          <w:rFonts w:ascii="Arial" w:eastAsia="Arial" w:hAnsi="Arial" w:cs="Arial"/>
          <w:color w:val="000000"/>
          <w:sz w:val="20"/>
        </w:rPr>
        <w:t>B.</w:t>
      </w:r>
    </w:p>
    <w:p w14:paraId="5C9BE19A" w14:textId="77777777" w:rsidR="00D041A2" w:rsidRDefault="00000000">
      <w:pPr>
        <w:pStyle w:val="Normal17"/>
        <w:widowControl w:val="0"/>
        <w:spacing w:before="200" w:line="260" w:lineRule="atLeast"/>
        <w:jc w:val="both"/>
      </w:pPr>
      <w:bookmarkStart w:id="2120" w:name="Bookmark_para_53_2"/>
      <w:bookmarkEnd w:id="2120"/>
      <w:r>
        <w:rPr>
          <w:rFonts w:ascii="Arial" w:eastAsia="Arial" w:hAnsi="Arial" w:cs="Arial"/>
          <w:color w:val="000000"/>
          <w:sz w:val="20"/>
        </w:rPr>
        <w:t>Ms. Chrysler is congenitally deaf. She communicates in American Sign Language (ASL), and with written notes, gestures, and facial expressions. She also can use a computer. III Aplt. App. 593a. These methods work when she communicates with one person or a small group, but she needs a sign language interpreter for group settings such as the staff meetings held by the Employer during her brief tenure.</w:t>
      </w:r>
    </w:p>
    <w:p w14:paraId="632AB81F" w14:textId="77777777" w:rsidR="00D041A2" w:rsidRDefault="00000000">
      <w:pPr>
        <w:pStyle w:val="Normal17"/>
        <w:widowControl w:val="0"/>
        <w:spacing w:before="200" w:line="260" w:lineRule="atLeast"/>
        <w:jc w:val="both"/>
      </w:pPr>
      <w:bookmarkStart w:id="2121" w:name="Bookmark_para_54_2"/>
      <w:bookmarkEnd w:id="2121"/>
      <w:r>
        <w:rPr>
          <w:rFonts w:ascii="Arial" w:eastAsia="Arial" w:hAnsi="Arial" w:cs="Arial"/>
          <w:color w:val="000000"/>
          <w:sz w:val="20"/>
        </w:rPr>
        <w:t>The Employer's business is photography, and it specializes in portraits of children of age five and younger. Ms. Chrysler was hired on October 23, 2007, to work at the portrait studio in Littleton, Colorado, one of a number of the Employer's branches. Ms. Chrysler was hired by Mr. Aguilar, who was then the manager of that studio. She was hired as a photographer, a position that the Employer calls "associate" or "performer."</w:t>
      </w:r>
    </w:p>
    <w:p w14:paraId="78E65BAB" w14:textId="77777777" w:rsidR="00D041A2" w:rsidRDefault="00000000">
      <w:pPr>
        <w:pStyle w:val="Normal17"/>
        <w:widowControl w:val="0"/>
        <w:spacing w:before="200" w:line="260" w:lineRule="atLeast"/>
        <w:jc w:val="both"/>
      </w:pPr>
      <w:bookmarkStart w:id="2122" w:name="Bookmark_para_55_2"/>
      <w:bookmarkEnd w:id="2122"/>
      <w:r>
        <w:rPr>
          <w:rFonts w:ascii="Arial" w:eastAsia="Arial" w:hAnsi="Arial" w:cs="Arial"/>
          <w:color w:val="000000"/>
          <w:sz w:val="20"/>
        </w:rPr>
        <w:t>Performers had four general areas of responsibility: customer intake, sales, portrait photography, and laboratory duties. Mr. Aguilar intended to  [**33] use Ms. Chrysler primarily in the "camera room" taking pictures. Mr. Aguilar had previously worked for the Employer in another location where he had worked with a deaf woman photographer, Ms. Duke, and Mr. Aguilar thought that Ms. Duke was very capable.</w:t>
      </w:r>
    </w:p>
    <w:p w14:paraId="3857AA3B" w14:textId="77777777" w:rsidR="00D041A2" w:rsidRDefault="00000000">
      <w:pPr>
        <w:pStyle w:val="Normal17"/>
        <w:widowControl w:val="0"/>
        <w:spacing w:before="200" w:line="260" w:lineRule="atLeast"/>
        <w:jc w:val="both"/>
      </w:pPr>
      <w:bookmarkStart w:id="2123" w:name="Bookmark_para_56_2"/>
      <w:bookmarkEnd w:id="2123"/>
      <w:r>
        <w:rPr>
          <w:rFonts w:ascii="Arial" w:eastAsia="Arial" w:hAnsi="Arial" w:cs="Arial"/>
          <w:color w:val="000000"/>
          <w:sz w:val="20"/>
        </w:rPr>
        <w:t>Ms. Chrysler was scheduled for an initial orientation and training program that the Employer requires for all new hires. One of the goals of the training is to transmit the Employer's philosophy, which emphasizes not just the quality of the portraits it produces but also the quality of the customer's experience. On being hired, Ms. Chrysler requested that an ASL interpreter be provided for the training session. Mr. Aguilar agreed that one was needed but had no idea how to arrange it. He contacted his district manager, Candi Bryan, about it. Ms. Bryan told Mr. Aguilar that the Employer did not provide such services. Aguilar and Chrysler each contacted Employer's human resources department. A human resources official suggested that Mr. Aguilar check local churches for volunteer interpreters. A "Sr. Human Resources Mgr." sent an e-mail to the studio manager saying that hiring an interpreter "to be around the studio while this employee is  [**34] working . . . seems like an expense we would like to do without." II Aplt. App. 395a. Employer provided no other assistance to Aguilar as he attempted to make arrangements for an interpreter.</w:t>
      </w:r>
      <w:r>
        <w:rPr>
          <w:rFonts w:ascii="Arial" w:eastAsia="Arial" w:hAnsi="Arial" w:cs="Arial"/>
          <w:vertAlign w:val="superscript"/>
        </w:rPr>
        <w:footnoteReference w:customMarkFollows="1" w:id="93"/>
        <w:t>3</w:t>
      </w:r>
    </w:p>
    <w:p w14:paraId="162A5DB2" w14:textId="77777777" w:rsidR="00D041A2" w:rsidRDefault="00000000">
      <w:pPr>
        <w:pStyle w:val="Normal17"/>
        <w:widowControl w:val="0"/>
        <w:spacing w:before="200" w:line="260" w:lineRule="atLeast"/>
        <w:jc w:val="both"/>
      </w:pPr>
      <w:bookmarkStart w:id="2125" w:name="Bookmark_para_57_2"/>
      <w:bookmarkEnd w:id="2125"/>
      <w:r>
        <w:rPr>
          <w:rFonts w:ascii="Arial" w:eastAsia="Arial" w:hAnsi="Arial" w:cs="Arial"/>
          <w:color w:val="000000"/>
          <w:sz w:val="20"/>
        </w:rPr>
        <w:t>The Employer's failure to provide an interpreter (as noted, the Employer did not attempt to provide an interpreter) caused Ms. Chrysler's start date to be delayed by three weeks. Eventually, Ms. Chrysler learned that the Colorado Division of Vocational Rehabilitation, which had been helping her in her job search, could provide interpreters for their clients' initial training, and at Ms. Chrysler's request this was done for her three days of initial training in mid-November 2007. Ms. Chrysler completed the training and was assigned to begin working in the camera room.</w:t>
      </w:r>
    </w:p>
    <w:p w14:paraId="72593B58" w14:textId="77777777" w:rsidR="00D041A2" w:rsidRDefault="00000000">
      <w:pPr>
        <w:pStyle w:val="Normal17"/>
        <w:widowControl w:val="0"/>
        <w:spacing w:before="200" w:line="260" w:lineRule="atLeast"/>
        <w:jc w:val="both"/>
      </w:pPr>
      <w:bookmarkStart w:id="2126" w:name="Bookmark_para_58_2"/>
      <w:bookmarkEnd w:id="2126"/>
      <w:r>
        <w:rPr>
          <w:rFonts w:ascii="Arial" w:eastAsia="Arial" w:hAnsi="Arial" w:cs="Arial"/>
          <w:color w:val="000000"/>
          <w:sz w:val="20"/>
        </w:rPr>
        <w:t>The day after completing the training, Ms. Chrysler had a photo session with the [*995]  Krol family and their infant. This went very well and the Krols were very pleased, so much so that they bought more pictures than they had planned to buy, III Aplt. App. 740a-741a, and returned  [**35] the next month for another session.</w:t>
      </w:r>
      <w:r>
        <w:rPr>
          <w:rFonts w:ascii="Arial" w:eastAsia="Arial" w:hAnsi="Arial" w:cs="Arial"/>
          <w:vertAlign w:val="superscript"/>
        </w:rPr>
        <w:footnoteReference w:customMarkFollows="1" w:id="94"/>
        <w:t>4</w:t>
      </w:r>
      <w:r>
        <w:rPr>
          <w:rFonts w:ascii="Arial" w:eastAsia="Arial" w:hAnsi="Arial" w:cs="Arial"/>
          <w:color w:val="000000"/>
          <w:sz w:val="20"/>
        </w:rPr>
        <w:t xml:space="preserve"> At that time, they requested to work with Ms. Chrysler again but were told that she was not available. In fact, she was available but the Employer had relegated her to lab work only at that time.</w:t>
      </w:r>
    </w:p>
    <w:p w14:paraId="64469C52" w14:textId="77777777" w:rsidR="00D041A2" w:rsidRDefault="00000000">
      <w:pPr>
        <w:pStyle w:val="Normal17"/>
        <w:widowControl w:val="0"/>
        <w:spacing w:before="200" w:line="260" w:lineRule="atLeast"/>
        <w:jc w:val="both"/>
      </w:pPr>
      <w:bookmarkStart w:id="2128" w:name="Bookmark_para_59_2"/>
      <w:bookmarkEnd w:id="2128"/>
      <w:r>
        <w:rPr>
          <w:rFonts w:ascii="Arial" w:eastAsia="Arial" w:hAnsi="Arial" w:cs="Arial"/>
          <w:color w:val="000000"/>
          <w:sz w:val="20"/>
        </w:rPr>
        <w:t>Just three days after the Krols' session with Chrysler, two managers visited the Littleton studio to conduct advanced training for the staff. Ms. Chrysler attended. She requested an interpreter, but none was provided. Consequently, she could not benefit from the training session. One of the managers providing the training contacted district manager Bryan to express concern about Chrysler. (Apparently  [**36] the concern was not that Ms. Chrysler had not been provided an interpreter, but concern that she had been hired as a photographer.) The next day Ms. Bryan directed Mr. Aguilar to assign Ms. Chrysler to the lab. Mr. Aguilar demoted himself from studio manager to performer that same day (a decision which, Aguilar later testified, was not related to the direction regarding Ms. Chrysler). Management of the Littleton studio was assigned, temporarily, to assistant manager Kim Doyle, with Deidre Sandoval to be her assistant. The Employer directed them to assign Ms. Chrysler only to the lab.</w:t>
      </w:r>
    </w:p>
    <w:p w14:paraId="03E7F1A6" w14:textId="77777777" w:rsidR="00D041A2" w:rsidRDefault="00000000">
      <w:pPr>
        <w:pStyle w:val="Normal17"/>
        <w:widowControl w:val="0"/>
        <w:spacing w:before="200" w:line="260" w:lineRule="atLeast"/>
        <w:jc w:val="both"/>
      </w:pPr>
      <w:bookmarkStart w:id="2129" w:name="Bookmark_para_60_1"/>
      <w:bookmarkEnd w:id="2129"/>
      <w:r>
        <w:rPr>
          <w:rFonts w:ascii="Arial" w:eastAsia="Arial" w:hAnsi="Arial" w:cs="Arial"/>
          <w:color w:val="000000"/>
          <w:sz w:val="20"/>
        </w:rPr>
        <w:t>Ms. Chrysler testified in her deposition that she had conducted as many as 15 to 20 photo shoots for the Employer, most with other employees present and "a couple" by herself. She said that district manager Bryan was with her during one session. Most significantly, she testified that no one ever expressed concern to her about how those sessions had been conducted. On appeal, the Employer has not identified any evidence that there was any deficiency in Ms. Chrysler's performance during the times that she conducted photo sessions, and my search of the record has produced no such evidence.</w:t>
      </w:r>
      <w:r>
        <w:rPr>
          <w:rFonts w:ascii="Arial" w:eastAsia="Arial" w:hAnsi="Arial" w:cs="Arial"/>
          <w:vertAlign w:val="superscript"/>
        </w:rPr>
        <w:footnoteReference w:customMarkFollows="1" w:id="95"/>
        <w:t>5</w:t>
      </w:r>
      <w:r>
        <w:rPr>
          <w:rFonts w:ascii="Arial" w:eastAsia="Arial" w:hAnsi="Arial" w:cs="Arial"/>
          <w:color w:val="000000"/>
          <w:sz w:val="20"/>
        </w:rPr>
        <w:t xml:space="preserve"> Accordingly, a  [**37] jury could conclude that the decision to assign Ms. Chrysler to work only in the [*996]  lab, where she would have no contact with customers, was based on nothing but stereotyped assumptions against the abilities of the deaf. This is what the ADA was intended to counter.</w:t>
      </w:r>
    </w:p>
    <w:p w14:paraId="742E2A71" w14:textId="77777777" w:rsidR="00D041A2" w:rsidRDefault="00000000">
      <w:pPr>
        <w:pStyle w:val="Normal17"/>
        <w:widowControl w:val="0"/>
        <w:spacing w:before="200" w:line="260" w:lineRule="atLeast"/>
        <w:jc w:val="both"/>
      </w:pPr>
      <w:bookmarkStart w:id="2136" w:name="Bookmark_para_61_1"/>
      <w:bookmarkEnd w:id="2136"/>
      <w:r>
        <w:rPr>
          <w:rFonts w:ascii="Arial" w:eastAsia="Arial" w:hAnsi="Arial" w:cs="Arial"/>
          <w:color w:val="000000"/>
          <w:sz w:val="20"/>
        </w:rPr>
        <w:t>The studio occasionally held mandatory staff meetings. During the six weeks that Ms. Chrysler worked there, she requested an interpreter for the meetings, but none was ever provided. Instead, the Employer merely gave her a written outline or agenda. As a result, she was not able to benefit as intended from the discussions in the meetings.</w:t>
      </w:r>
    </w:p>
    <w:p w14:paraId="2A1F39A6" w14:textId="77777777" w:rsidR="00D041A2" w:rsidRDefault="00000000">
      <w:pPr>
        <w:pStyle w:val="Normal17"/>
        <w:widowControl w:val="0"/>
        <w:spacing w:before="200" w:line="260" w:lineRule="atLeast"/>
        <w:jc w:val="both"/>
      </w:pPr>
      <w:bookmarkStart w:id="2137" w:name="Bookmark_para_62_1"/>
      <w:bookmarkEnd w:id="2137"/>
      <w:r>
        <w:rPr>
          <w:rFonts w:ascii="Arial" w:eastAsia="Arial" w:hAnsi="Arial" w:cs="Arial"/>
          <w:color w:val="000000"/>
          <w:sz w:val="20"/>
        </w:rPr>
        <w:t>The Employer's business is seasonal. Ms. Chrysler had been hired as part of a pre-holiday expansion of the work force because Christmas is one of the busiest seasons. Immediately after Christmas, business slowed down dramatically at least until Valentine's Day, with the result that most employees got substantially reduced hours. But Ms. Chrysler was never given another shift after Christmas Eve.</w:t>
      </w:r>
    </w:p>
    <w:p w14:paraId="0AF34DE1" w14:textId="77777777" w:rsidR="00D041A2" w:rsidRDefault="00000000">
      <w:pPr>
        <w:pStyle w:val="Normal17"/>
        <w:widowControl w:val="0"/>
        <w:spacing w:before="200" w:line="260" w:lineRule="atLeast"/>
        <w:jc w:val="both"/>
      </w:pPr>
      <w:bookmarkStart w:id="2138" w:name="Bookmark_para_63_1"/>
      <w:bookmarkEnd w:id="2138"/>
      <w:r>
        <w:rPr>
          <w:rFonts w:ascii="Arial" w:eastAsia="Arial" w:hAnsi="Arial" w:cs="Arial"/>
          <w:color w:val="000000"/>
          <w:sz w:val="20"/>
        </w:rPr>
        <w:t>When Ms. Chrysler noticed that she was not listed on the first schedule to come out after Christmas,  [**39] she complained to acting manager Doyle. Ms. Doyle told Ms. Chrysler she would love to have her on full-time but there simply was not enough work for anyone to get full-time assignments in January. In an exchange of written notes, Ms. Doyle told Ms. Chrysler she would try to find some shifts for her. Ms. Doyle then sent a message to district manager Bryan saying that Ms. Chrysler was "demanding hours" and "threatening discrimination."</w:t>
      </w:r>
      <w:r>
        <w:rPr>
          <w:rFonts w:ascii="Arial" w:eastAsia="Arial" w:hAnsi="Arial" w:cs="Arial"/>
          <w:vertAlign w:val="superscript"/>
        </w:rPr>
        <w:footnoteReference w:customMarkFollows="1" w:id="96"/>
        <w:t>6</w:t>
      </w:r>
      <w:r>
        <w:rPr>
          <w:rFonts w:ascii="Arial" w:eastAsia="Arial" w:hAnsi="Arial" w:cs="Arial"/>
          <w:color w:val="000000"/>
          <w:sz w:val="20"/>
        </w:rPr>
        <w:t xml:space="preserve"> Ms. Doyle prefaced this message with three other complaints about Ms. Chrysler: she was "causing trouble arguing with the managers and trying to refuse to take a break"; she was coloring with colored pencils in the lab during work hours; and she had declined "a few opportunities to shoot" when the studio was really busy.</w:t>
      </w:r>
      <w:r>
        <w:rPr>
          <w:rFonts w:ascii="Arial" w:eastAsia="Arial" w:hAnsi="Arial" w:cs="Arial"/>
          <w:vertAlign w:val="superscript"/>
        </w:rPr>
        <w:footnoteReference w:customMarkFollows="1" w:id="97"/>
        <w:t>7</w:t>
      </w:r>
    </w:p>
    <w:p w14:paraId="32FF6989" w14:textId="77777777" w:rsidR="00D041A2" w:rsidRDefault="00000000">
      <w:pPr>
        <w:pStyle w:val="Normal17"/>
        <w:widowControl w:val="0"/>
        <w:spacing w:before="200" w:line="260" w:lineRule="atLeast"/>
        <w:jc w:val="both"/>
      </w:pPr>
      <w:bookmarkStart w:id="2141" w:name="Bookmark_para_64_1"/>
      <w:bookmarkEnd w:id="2141"/>
      <w:r>
        <w:rPr>
          <w:rFonts w:ascii="Arial" w:eastAsia="Arial" w:hAnsi="Arial" w:cs="Arial"/>
          <w:color w:val="000000"/>
          <w:sz w:val="20"/>
        </w:rPr>
        <w:t xml:space="preserve">District manager Bryan forwarded Ms. Doyle's  [**40] message to a representative of human resources. That person later testified that she thought the matter had been referred to her for discipline because she understood (or assumed), incorrectly, that management at the Littleton studio had communicated with Ms. Chrysler and that Chrysler had refused to change her behavior. That same day, district manager Bryan drafted a disciplinary notice for Ms. Chrysler. Although this was the first notice to Ms. Chrysler of any problem, the document was labeled a "final warning." </w:t>
      </w:r>
      <w:r>
        <w:rPr>
          <w:rFonts w:ascii="Arial" w:eastAsia="Arial" w:hAnsi="Arial" w:cs="Arial"/>
          <w:i/>
          <w:color w:val="000000"/>
          <w:sz w:val="20"/>
        </w:rPr>
        <w:t>It reprimanded Ms. Chrysler</w:t>
      </w:r>
      <w:r>
        <w:rPr>
          <w:rFonts w:ascii="Arial" w:eastAsia="Arial" w:hAnsi="Arial" w:cs="Arial"/>
          <w:color w:val="000000"/>
          <w:sz w:val="20"/>
        </w:rPr>
        <w:t xml:space="preserve"> first for refusing to take breaks and second </w:t>
      </w:r>
      <w:r>
        <w:rPr>
          <w:rFonts w:ascii="Arial" w:eastAsia="Arial" w:hAnsi="Arial" w:cs="Arial"/>
          <w:i/>
          <w:color w:val="000000"/>
          <w:sz w:val="20"/>
        </w:rPr>
        <w:t>for becoming angry and threatening to "bring a grievance" against the employer</w:t>
      </w:r>
      <w:r>
        <w:rPr>
          <w:rFonts w:ascii="Arial" w:eastAsia="Arial" w:hAnsi="Arial" w:cs="Arial"/>
          <w:color w:val="000000"/>
          <w:sz w:val="20"/>
        </w:rPr>
        <w:t>. II Aplt. App. 341a. Ms. Chrysler was also reprimanded for coloring in the lab.</w:t>
      </w:r>
    </w:p>
    <w:p w14:paraId="0B807A79" w14:textId="77777777" w:rsidR="00D041A2" w:rsidRDefault="00000000">
      <w:pPr>
        <w:pStyle w:val="Normal17"/>
        <w:widowControl w:val="0"/>
        <w:spacing w:before="200" w:line="260" w:lineRule="atLeast"/>
        <w:jc w:val="both"/>
      </w:pPr>
      <w:bookmarkStart w:id="2142" w:name="Bookmark_para_65_1"/>
      <w:bookmarkEnd w:id="2142"/>
      <w:r>
        <w:rPr>
          <w:rFonts w:ascii="Arial" w:eastAsia="Arial" w:hAnsi="Arial" w:cs="Arial"/>
          <w:color w:val="000000"/>
          <w:sz w:val="20"/>
        </w:rPr>
        <w:t>In the disciplinary notice as later delivered to Ms. Chrysler was a message to Ms. Chrysler about her hours: "Due to the limited tasks that you are qualified to perform, we can only schedule you on very busy times with other groups of employees. There are not very many busy times in January . . . . If you want more hours, wait 'till the next peak period, perhaps Valentine's Day." After that, Ms. Chrysler called the studio weekly to see if she had  [**41] been scheduled for any shifts. Despite the suggestion in the notice that Ms. Chrysler might get more hours in the period before  [*997]  Valentine's Day, she never was given any work time after Christmas Eve in 2007.</w:t>
      </w:r>
    </w:p>
    <w:p w14:paraId="5AE7354B" w14:textId="77777777" w:rsidR="00D041A2" w:rsidRDefault="00000000">
      <w:pPr>
        <w:pStyle w:val="Normal17"/>
        <w:widowControl w:val="0"/>
        <w:spacing w:before="200" w:line="260" w:lineRule="atLeast"/>
        <w:jc w:val="both"/>
      </w:pPr>
      <w:bookmarkStart w:id="2143" w:name="Bookmark_para_66_1"/>
      <w:bookmarkEnd w:id="2143"/>
      <w:r>
        <w:rPr>
          <w:rFonts w:ascii="Arial" w:eastAsia="Arial" w:hAnsi="Arial" w:cs="Arial"/>
          <w:color w:val="000000"/>
          <w:sz w:val="20"/>
        </w:rPr>
        <w:t>On March 6, 2008, Ms. Chrysler filed a discrimination charge against the Employer with the EEOC. In its response to the charge, the Employer said that Ms. Chrysler had not been terminated and told the EEOC that it would contact Chrysler when business increased "so that she may be able to continue her employment," and said that this might occur in the weeks before Father's Day (which had previously proved to be a busy time for the studio). In May 2008, Ms. Chrysler visited the new manager of the Littleton studio about getting some shifts.</w:t>
      </w:r>
    </w:p>
    <w:p w14:paraId="72F46711" w14:textId="77777777" w:rsidR="00D041A2" w:rsidRDefault="00000000">
      <w:pPr>
        <w:pStyle w:val="Normal17"/>
        <w:widowControl w:val="0"/>
        <w:spacing w:before="200" w:line="260" w:lineRule="atLeast"/>
        <w:jc w:val="both"/>
      </w:pPr>
      <w:bookmarkStart w:id="2144" w:name="Bookmark_para_67_0"/>
      <w:bookmarkEnd w:id="2144"/>
      <w:r>
        <w:rPr>
          <w:rFonts w:ascii="Arial" w:eastAsia="Arial" w:hAnsi="Arial" w:cs="Arial"/>
          <w:color w:val="000000"/>
          <w:sz w:val="20"/>
        </w:rPr>
        <w:t>The Employer never contacted Ms. Chrysler, never gave her any more work, and formally terminated her in October 2008. These are the basic facts on the discrimination charge and the retaliation charge on which the district court ruled.</w:t>
      </w:r>
    </w:p>
    <w:p w14:paraId="2522FBCD" w14:textId="77777777" w:rsidR="00D041A2" w:rsidRDefault="00000000">
      <w:pPr>
        <w:pStyle w:val="Normal17"/>
        <w:widowControl w:val="0"/>
        <w:spacing w:before="240" w:line="260" w:lineRule="atLeast"/>
      </w:pPr>
      <w:r>
        <w:br/>
      </w:r>
      <w:r>
        <w:rPr>
          <w:rFonts w:ascii="Arial" w:eastAsia="Arial" w:hAnsi="Arial" w:cs="Arial"/>
          <w:b/>
          <w:color w:val="000000"/>
          <w:sz w:val="20"/>
        </w:rPr>
        <w:t>III</w:t>
      </w:r>
    </w:p>
    <w:p w14:paraId="4A22AE6E" w14:textId="77777777" w:rsidR="00D041A2" w:rsidRDefault="00000000">
      <w:pPr>
        <w:pStyle w:val="Normal17"/>
        <w:widowControl w:val="0"/>
        <w:spacing w:before="120" w:line="260" w:lineRule="atLeast"/>
      </w:pPr>
      <w:r>
        <w:rPr>
          <w:rFonts w:ascii="Arial" w:eastAsia="Arial" w:hAnsi="Arial" w:cs="Arial"/>
          <w:color w:val="000000"/>
          <w:sz w:val="20"/>
        </w:rPr>
        <w:t>A.</w:t>
      </w:r>
    </w:p>
    <w:p w14:paraId="2F8A8C53" w14:textId="77777777" w:rsidR="00D041A2" w:rsidRDefault="00000000">
      <w:pPr>
        <w:pStyle w:val="Normal17"/>
        <w:widowControl w:val="0"/>
        <w:spacing w:before="240" w:line="260" w:lineRule="atLeast"/>
      </w:pPr>
      <w:r>
        <w:br/>
      </w:r>
      <w:r>
        <w:rPr>
          <w:rFonts w:ascii="Arial" w:eastAsia="Arial" w:hAnsi="Arial" w:cs="Arial"/>
          <w:i/>
          <w:color w:val="000000"/>
          <w:sz w:val="20"/>
        </w:rPr>
        <w:t>The ADA coverage</w:t>
      </w:r>
    </w:p>
    <w:p w14:paraId="7136283D" w14:textId="77777777" w:rsidR="00D041A2" w:rsidRDefault="00000000">
      <w:pPr>
        <w:pStyle w:val="Normal17"/>
        <w:widowControl w:val="0"/>
        <w:spacing w:before="200" w:line="260" w:lineRule="atLeast"/>
        <w:jc w:val="both"/>
      </w:pPr>
      <w:bookmarkStart w:id="2145" w:name="Bookmark_para_68_0"/>
      <w:bookmarkEnd w:id="2145"/>
      <w:r>
        <w:rPr>
          <w:rFonts w:ascii="Arial" w:eastAsia="Arial" w:hAnsi="Arial" w:cs="Arial"/>
          <w:color w:val="000000"/>
          <w:sz w:val="20"/>
        </w:rPr>
        <w:t xml:space="preserve">In enacting the ADA, Congress stated, </w:t>
      </w:r>
      <w:r>
        <w:rPr>
          <w:rFonts w:ascii="Arial" w:eastAsia="Arial" w:hAnsi="Arial" w:cs="Arial"/>
          <w:i/>
          <w:color w:val="000000"/>
          <w:sz w:val="20"/>
        </w:rPr>
        <w:t>inter alia</w:t>
      </w:r>
      <w:r>
        <w:rPr>
          <w:rFonts w:ascii="Arial" w:eastAsia="Arial" w:hAnsi="Arial" w:cs="Arial"/>
          <w:color w:val="000000"/>
          <w:sz w:val="20"/>
        </w:rPr>
        <w:t>, that its purpose was "to provide a clear and comprehensive national mandate for the elimination of discrimination against individuals with disabilities  [**42] . . . ." 42 U.S.C. § 12101(b)(1). Congress found that individuals with disabilities experienced "restrictions and limitations . . . resulting from stereotypic assumptions not truly indicative of the individual ability of such individuals to participate in, and contribute to, society . . . ." 42 U.S.C. § 12101(a)(7).</w:t>
      </w:r>
    </w:p>
    <w:p w14:paraId="45B28F11" w14:textId="77777777" w:rsidR="00D041A2" w:rsidRDefault="00000000">
      <w:pPr>
        <w:pStyle w:val="Normal17"/>
        <w:widowControl w:val="0"/>
        <w:spacing w:before="200" w:line="260" w:lineRule="atLeast"/>
        <w:jc w:val="both"/>
      </w:pPr>
      <w:bookmarkStart w:id="2146" w:name="Bookmark_para_69_0"/>
      <w:bookmarkStart w:id="2147" w:name="Bookmark_I3WXY3RX2HY00079WNY0055K"/>
      <w:bookmarkStart w:id="2148" w:name="Bookmark_I567C99V2SF7VP0010000400"/>
      <w:bookmarkEnd w:id="2146"/>
      <w:bookmarkEnd w:id="2147"/>
      <w:bookmarkEnd w:id="2148"/>
      <w:r>
        <w:rPr>
          <w:rFonts w:ascii="Arial" w:eastAsia="Arial" w:hAnsi="Arial" w:cs="Arial"/>
          <w:color w:val="000000"/>
          <w:sz w:val="20"/>
        </w:rPr>
        <w:t xml:space="preserve">Coverage under the ADA extends to one who is a "qualified person with a disability" and that in turn is defined as one who "with or without reasonable accommodation, can perform the essential functions" of the position in question. </w:t>
      </w:r>
      <w:bookmarkStart w:id="2149" w:name="Bookmark_I3WXY3RX6C300079WNY00233"/>
      <w:bookmarkStart w:id="2150" w:name="Bookmark_I567C99V2SF7VP0030000400"/>
      <w:bookmarkEnd w:id="2149"/>
      <w:bookmarkEnd w:id="2150"/>
      <w:r>
        <w:rPr>
          <w:rFonts w:ascii="Arial" w:eastAsia="Arial" w:hAnsi="Arial" w:cs="Arial"/>
          <w:color w:val="000000"/>
          <w:sz w:val="20"/>
        </w:rPr>
        <w:t xml:space="preserve">Therefore, a necessary first step is to identify the "essential functions" of the position. "Essential functions" are the fundamental duties, not the "marginal functions of the position." </w:t>
      </w:r>
      <w:bookmarkStart w:id="2151" w:name="Bookmark_I567C99V2N1PYW0050000400"/>
      <w:bookmarkEnd w:id="2151"/>
      <w:r>
        <w:rPr>
          <w:rFonts w:ascii="Arial" w:eastAsia="Arial" w:hAnsi="Arial" w:cs="Arial"/>
          <w:i/>
          <w:color w:val="000000"/>
          <w:sz w:val="20"/>
        </w:rPr>
        <w:t>Davidson v. America Online, Inc</w:t>
      </w:r>
      <w:r>
        <w:rPr>
          <w:rFonts w:ascii="Arial" w:eastAsia="Arial" w:hAnsi="Arial" w:cs="Arial"/>
          <w:color w:val="000000"/>
          <w:sz w:val="20"/>
        </w:rPr>
        <w:t xml:space="preserve">., 337 F.3d 1179, 1191 (10th Cir. 2003). </w:t>
      </w:r>
      <w:bookmarkStart w:id="2152" w:name="Bookmark_I567C99V2SF7VP0030000400_2"/>
      <w:bookmarkEnd w:id="2152"/>
      <w:r>
        <w:rPr>
          <w:rFonts w:ascii="Arial" w:eastAsia="Arial" w:hAnsi="Arial" w:cs="Arial"/>
          <w:color w:val="000000"/>
          <w:sz w:val="20"/>
        </w:rPr>
        <w:t xml:space="preserve">Determining whether a particular duty is "essential" is a </w:t>
      </w:r>
      <w:r>
        <w:rPr>
          <w:rFonts w:ascii="Arial" w:eastAsia="Arial" w:hAnsi="Arial" w:cs="Arial"/>
          <w:i/>
          <w:color w:val="000000"/>
          <w:sz w:val="20"/>
        </w:rPr>
        <w:t>factual</w:t>
      </w:r>
      <w:r>
        <w:rPr>
          <w:rFonts w:ascii="Arial" w:eastAsia="Arial" w:hAnsi="Arial" w:cs="Arial"/>
          <w:color w:val="000000"/>
          <w:sz w:val="20"/>
        </w:rPr>
        <w:t xml:space="preserve"> inquiry based on a number of factors, including but not limited to the employer's judgment as to what duties are essential and any written job description the employer prepared for the position. 42 U.S.C. § 12111(8); </w:t>
      </w:r>
      <w:bookmarkStart w:id="2153" w:name="Bookmark_I567C99V2SF7VP0020000400"/>
      <w:bookmarkEnd w:id="2153"/>
      <w:r>
        <w:rPr>
          <w:rFonts w:ascii="Arial" w:eastAsia="Arial" w:hAnsi="Arial" w:cs="Arial"/>
          <w:i/>
          <w:color w:val="000000"/>
          <w:sz w:val="20"/>
        </w:rPr>
        <w:t>Davidson</w:t>
      </w:r>
      <w:r>
        <w:rPr>
          <w:rFonts w:ascii="Arial" w:eastAsia="Arial" w:hAnsi="Arial" w:cs="Arial"/>
          <w:color w:val="000000"/>
          <w:sz w:val="20"/>
        </w:rPr>
        <w:t>, 337 F.3d at 1191 ("Determining whether a particular function is essential is a factual inquiry.").</w:t>
      </w:r>
    </w:p>
    <w:p w14:paraId="6E275005" w14:textId="77777777" w:rsidR="00D041A2" w:rsidRDefault="00000000">
      <w:pPr>
        <w:pStyle w:val="Normal17"/>
        <w:widowControl w:val="0"/>
        <w:spacing w:before="200" w:line="260" w:lineRule="atLeast"/>
        <w:jc w:val="both"/>
      </w:pPr>
      <w:bookmarkStart w:id="2154" w:name="Bookmark_para_70_0"/>
      <w:bookmarkStart w:id="2155" w:name="Bookmark_I3WXY3RXH9300079WNY00235"/>
      <w:bookmarkStart w:id="2156" w:name="Bookmark_I567C99V2SF7VP0050000400"/>
      <w:bookmarkEnd w:id="2154"/>
      <w:bookmarkEnd w:id="2155"/>
      <w:bookmarkEnd w:id="2156"/>
      <w:r>
        <w:rPr>
          <w:rFonts w:ascii="Arial" w:eastAsia="Arial" w:hAnsi="Arial" w:cs="Arial"/>
          <w:color w:val="000000"/>
          <w:sz w:val="20"/>
        </w:rPr>
        <w:t xml:space="preserve">But  [**43] the employer's judgment is not conclusive evidence. As this court has said, "an employer may not turn every condition of employment which it elects to adopt into a job function, let alone an essential job function, merely by including it in a job description." </w:t>
      </w:r>
      <w:bookmarkStart w:id="2157" w:name="Bookmark_I567C99V2SF7VP0040000400"/>
      <w:bookmarkEnd w:id="2157"/>
      <w:r>
        <w:rPr>
          <w:rFonts w:ascii="Arial" w:eastAsia="Arial" w:hAnsi="Arial" w:cs="Arial"/>
          <w:i/>
          <w:color w:val="000000"/>
          <w:sz w:val="20"/>
        </w:rPr>
        <w:t>Davidson</w:t>
      </w:r>
      <w:r>
        <w:rPr>
          <w:rFonts w:ascii="Arial" w:eastAsia="Arial" w:hAnsi="Arial" w:cs="Arial"/>
          <w:color w:val="000000"/>
          <w:sz w:val="20"/>
        </w:rPr>
        <w:t>, 337 F.3d at 1191. More specifically, we deal here with a purported "essential function" that the Employer now seeks to define in such a way as to eliminate an entire class of disabled persons — those who do not communicate well orally.</w:t>
      </w:r>
      <w:r>
        <w:rPr>
          <w:rFonts w:ascii="Arial" w:eastAsia="Arial" w:hAnsi="Arial" w:cs="Arial"/>
          <w:vertAlign w:val="superscript"/>
        </w:rPr>
        <w:footnoteReference w:customMarkFollows="1" w:id="98"/>
        <w:t>8</w:t>
      </w:r>
    </w:p>
    <w:p w14:paraId="7535CFA4" w14:textId="77777777" w:rsidR="00D041A2" w:rsidRDefault="00000000">
      <w:pPr>
        <w:pStyle w:val="Normal17"/>
        <w:widowControl w:val="0"/>
        <w:spacing w:before="200" w:line="260" w:lineRule="atLeast"/>
        <w:jc w:val="both"/>
      </w:pPr>
      <w:bookmarkStart w:id="2159" w:name="Bookmark_para_71_0"/>
      <w:bookmarkEnd w:id="2159"/>
      <w:r>
        <w:rPr>
          <w:rFonts w:ascii="Arial" w:eastAsia="Arial" w:hAnsi="Arial" w:cs="Arial"/>
          <w:color w:val="000000"/>
          <w:sz w:val="20"/>
        </w:rPr>
        <w:t xml:space="preserve">The majority correctly notes the legal principles that establish when an employer may adopt such qualification standards. By statute, such a qualification standard may only be used when "consistent with business necessity." 42 U.S.C. § 12112(b)(6), quoted in maj. op. at 7. The majority also correctly notes that an employer </w:t>
      </w:r>
      <w:r>
        <w:rPr>
          <w:rFonts w:ascii="Arial" w:eastAsia="Arial" w:hAnsi="Arial" w:cs="Arial"/>
          <w:i/>
          <w:color w:val="000000"/>
          <w:sz w:val="20"/>
        </w:rPr>
        <w:t>must</w:t>
      </w:r>
      <w:r>
        <w:rPr>
          <w:rFonts w:ascii="Arial" w:eastAsia="Arial" w:hAnsi="Arial" w:cs="Arial"/>
          <w:color w:val="000000"/>
          <w:sz w:val="20"/>
        </w:rPr>
        <w:t xml:space="preserve"> make "reasonable accommodations" for an otherwise qualified person unless the employer can show that the  [*998]  accommodation "would impose an undue hardship" on the employer's operations. 42 U.S.C. § 12112(b)(6), quoted in maj.  [**44] op. at 7.</w:t>
      </w:r>
    </w:p>
    <w:p w14:paraId="2C6BC249" w14:textId="77777777" w:rsidR="00D041A2" w:rsidRDefault="00000000">
      <w:pPr>
        <w:pStyle w:val="Normal17"/>
        <w:widowControl w:val="0"/>
        <w:spacing w:before="200" w:line="260" w:lineRule="atLeast"/>
        <w:jc w:val="both"/>
      </w:pPr>
      <w:bookmarkStart w:id="2160" w:name="Bookmark_para_72_0"/>
      <w:bookmarkEnd w:id="2160"/>
      <w:r>
        <w:rPr>
          <w:rFonts w:ascii="Arial" w:eastAsia="Arial" w:hAnsi="Arial" w:cs="Arial"/>
          <w:color w:val="000000"/>
          <w:sz w:val="20"/>
        </w:rPr>
        <w:t xml:space="preserve">The Employer's primary contention is that the ability to communicate orally is an essential function of the position. The EEOC's primary contention is that ability to communicate orally is a </w:t>
      </w:r>
      <w:r>
        <w:rPr>
          <w:rFonts w:ascii="Arial" w:eastAsia="Arial" w:hAnsi="Arial" w:cs="Arial"/>
          <w:i/>
          <w:color w:val="000000"/>
          <w:sz w:val="20"/>
        </w:rPr>
        <w:t>method</w:t>
      </w:r>
      <w:r>
        <w:rPr>
          <w:rFonts w:ascii="Arial" w:eastAsia="Arial" w:hAnsi="Arial" w:cs="Arial"/>
          <w:color w:val="000000"/>
          <w:sz w:val="20"/>
        </w:rPr>
        <w:t xml:space="preserve"> by which most employees perform the essential function of communicating with the customers.</w:t>
      </w:r>
    </w:p>
    <w:p w14:paraId="3D09402A" w14:textId="77777777" w:rsidR="00D041A2" w:rsidRDefault="00000000">
      <w:pPr>
        <w:pStyle w:val="Normal17"/>
        <w:widowControl w:val="0"/>
        <w:spacing w:before="200" w:line="260" w:lineRule="atLeast"/>
        <w:jc w:val="both"/>
      </w:pPr>
      <w:bookmarkStart w:id="2161" w:name="Bookmark_para_73_0"/>
      <w:bookmarkStart w:id="2162" w:name="Bookmark_I3WXY3RXN4700079WNY00236"/>
      <w:bookmarkStart w:id="2163" w:name="Bookmark_I567C99V2D6N4T0020000400"/>
      <w:bookmarkEnd w:id="2161"/>
      <w:bookmarkEnd w:id="2162"/>
      <w:bookmarkEnd w:id="2163"/>
      <w:r>
        <w:rPr>
          <w:rFonts w:ascii="Arial" w:eastAsia="Arial" w:hAnsi="Arial" w:cs="Arial"/>
          <w:color w:val="000000"/>
          <w:sz w:val="20"/>
        </w:rPr>
        <w:t>The Employer offered two job descriptions in its materials supporting its motion for summary judgment, one for the position of "performer" and one for the position of "seasonal associate." Both listed as job duties making customers feel welcome and comfortable and providing customers with a variety of distinct portraits. The Employer's witnesses gave similar descriptions of the job duties, such as: greet customers as they arrive and check them in at the front desk (intake); ascertain the kind of pictures the customer wants and take pictures that satisfy the customer, which includes communicating with the customer on desired poses (photography); develop pictures in the lab; and sell the customer a package of pictures (sales). Notably, none of these descriptions includes as a job duty a requirement of oral communication.</w:t>
      </w:r>
      <w:r>
        <w:rPr>
          <w:rFonts w:ascii="Arial" w:eastAsia="Arial" w:hAnsi="Arial" w:cs="Arial"/>
          <w:vertAlign w:val="superscript"/>
        </w:rPr>
        <w:footnoteReference w:customMarkFollows="1" w:id="99"/>
        <w:t>9</w:t>
      </w:r>
      <w:r>
        <w:rPr>
          <w:rFonts w:ascii="Arial" w:eastAsia="Arial" w:hAnsi="Arial" w:cs="Arial"/>
          <w:color w:val="000000"/>
          <w:sz w:val="20"/>
        </w:rPr>
        <w:t xml:space="preserve"> A jury could find from this evidence that oral communication is "</w:t>
      </w:r>
      <w:r>
        <w:rPr>
          <w:rFonts w:ascii="Arial" w:eastAsia="Arial" w:hAnsi="Arial" w:cs="Arial"/>
          <w:i/>
          <w:color w:val="000000"/>
          <w:sz w:val="20"/>
        </w:rPr>
        <w:t>a useful  [**45] skill or method</w:t>
      </w:r>
      <w:r>
        <w:rPr>
          <w:rFonts w:ascii="Arial" w:eastAsia="Arial" w:hAnsi="Arial" w:cs="Arial"/>
          <w:color w:val="000000"/>
          <w:sz w:val="20"/>
        </w:rPr>
        <w:t xml:space="preserve"> to perform the essential functions" of communicating with customers, but one that is "not in itself an essential function of the . . . position." </w:t>
      </w:r>
      <w:r>
        <w:rPr>
          <w:rFonts w:ascii="Arial" w:eastAsia="Arial" w:hAnsi="Arial" w:cs="Arial"/>
          <w:i/>
          <w:color w:val="000000"/>
          <w:sz w:val="20"/>
        </w:rPr>
        <w:t xml:space="preserve">See </w:t>
      </w:r>
      <w:bookmarkStart w:id="2165" w:name="Bookmark_I567C99V2D6N4T0010000400"/>
      <w:bookmarkEnd w:id="2165"/>
      <w:r>
        <w:rPr>
          <w:rFonts w:ascii="Arial" w:eastAsia="Arial" w:hAnsi="Arial" w:cs="Arial"/>
          <w:i/>
          <w:color w:val="000000"/>
          <w:sz w:val="20"/>
        </w:rPr>
        <w:t>Skerski v. Time Warner Cable Co</w:t>
      </w:r>
      <w:r>
        <w:rPr>
          <w:rFonts w:ascii="Arial" w:eastAsia="Arial" w:hAnsi="Arial" w:cs="Arial"/>
          <w:color w:val="000000"/>
          <w:sz w:val="20"/>
        </w:rPr>
        <w:t xml:space="preserve">., 257 F.3d 273 280 (3d Cir. 2001) (emphasis added). Significantly, </w:t>
      </w:r>
      <w:r>
        <w:rPr>
          <w:rFonts w:ascii="Arial" w:eastAsia="Arial" w:hAnsi="Arial" w:cs="Arial"/>
          <w:i/>
          <w:color w:val="000000"/>
          <w:sz w:val="20"/>
        </w:rPr>
        <w:t>Skerski</w:t>
      </w:r>
      <w:r>
        <w:rPr>
          <w:rFonts w:ascii="Arial" w:eastAsia="Arial" w:hAnsi="Arial" w:cs="Arial"/>
          <w:color w:val="000000"/>
          <w:sz w:val="20"/>
        </w:rPr>
        <w:t xml:space="preserve"> noted that the legislative history of the ADA indicated that the "essential function requirement focuses on the desired result rather than the means of accomplishing it." </w:t>
      </w:r>
      <w:r>
        <w:rPr>
          <w:rFonts w:ascii="Arial" w:eastAsia="Arial" w:hAnsi="Arial" w:cs="Arial"/>
          <w:i/>
          <w:color w:val="000000"/>
          <w:sz w:val="20"/>
        </w:rPr>
        <w:t>Id</w:t>
      </w:r>
      <w:r>
        <w:rPr>
          <w:rFonts w:ascii="Arial" w:eastAsia="Arial" w:hAnsi="Arial" w:cs="Arial"/>
          <w:color w:val="000000"/>
          <w:sz w:val="20"/>
        </w:rPr>
        <w:t>. (quoting 136 Cong. Rec. 11,451 (1990)).</w:t>
      </w:r>
    </w:p>
    <w:p w14:paraId="26EF5656" w14:textId="77777777" w:rsidR="00D041A2" w:rsidRDefault="00000000">
      <w:pPr>
        <w:pStyle w:val="Normal17"/>
        <w:widowControl w:val="0"/>
        <w:spacing w:before="200" w:line="260" w:lineRule="atLeast"/>
        <w:jc w:val="both"/>
      </w:pPr>
      <w:bookmarkStart w:id="2166" w:name="Bookmark_para_74_0"/>
      <w:bookmarkEnd w:id="2166"/>
      <w:r>
        <w:rPr>
          <w:rFonts w:ascii="Arial" w:eastAsia="Arial" w:hAnsi="Arial" w:cs="Arial"/>
          <w:color w:val="000000"/>
          <w:sz w:val="20"/>
        </w:rPr>
        <w:t xml:space="preserve">The majority says that Ms. Chrysler "is unable to fully perform three of the four main duties of a performer." Maj. op. at 9. Rejecting the EEOC's evidence that Ms. Chrysler can communicate effectively using her alternative means, the majority further says that "nothing suggests that gestures, pantomime, and written communication are similarly effective  [**46] and efficient for these tasks." </w:t>
      </w:r>
      <w:r>
        <w:rPr>
          <w:rFonts w:ascii="Arial" w:eastAsia="Arial" w:hAnsi="Arial" w:cs="Arial"/>
          <w:i/>
          <w:color w:val="000000"/>
          <w:sz w:val="20"/>
        </w:rPr>
        <w:t>Id</w:t>
      </w:r>
      <w:r>
        <w:rPr>
          <w:rFonts w:ascii="Arial" w:eastAsia="Arial" w:hAnsi="Arial" w:cs="Arial"/>
          <w:color w:val="000000"/>
          <w:sz w:val="20"/>
        </w:rPr>
        <w:t>. at 10. I strongly disagree. Considerable evidence was produced from which a jury could determine that Ms. Chrysler could communicate effectively.</w:t>
      </w:r>
    </w:p>
    <w:p w14:paraId="46CFFB3B" w14:textId="77777777" w:rsidR="00D041A2" w:rsidRDefault="00000000">
      <w:pPr>
        <w:pStyle w:val="Normal17"/>
        <w:widowControl w:val="0"/>
        <w:spacing w:before="200" w:line="260" w:lineRule="atLeast"/>
        <w:jc w:val="both"/>
      </w:pPr>
      <w:bookmarkStart w:id="2167" w:name="Bookmark_para_75_0"/>
      <w:bookmarkEnd w:id="2167"/>
      <w:r>
        <w:rPr>
          <w:rFonts w:ascii="Arial" w:eastAsia="Arial" w:hAnsi="Arial" w:cs="Arial"/>
          <w:color w:val="000000"/>
          <w:sz w:val="20"/>
        </w:rPr>
        <w:t xml:space="preserve">Most notably, there was evidence that Ms. Chrysler not only could but </w:t>
      </w:r>
      <w:r>
        <w:rPr>
          <w:rFonts w:ascii="Arial" w:eastAsia="Arial" w:hAnsi="Arial" w:cs="Arial"/>
          <w:i/>
          <w:color w:val="000000"/>
          <w:sz w:val="20"/>
        </w:rPr>
        <w:t>did</w:t>
      </w:r>
      <w:r>
        <w:rPr>
          <w:rFonts w:ascii="Arial" w:eastAsia="Arial" w:hAnsi="Arial" w:cs="Arial"/>
          <w:color w:val="000000"/>
          <w:sz w:val="20"/>
        </w:rPr>
        <w:t xml:space="preserve"> communicate effectively and efficiently. First, there is the evidence of the photo session with the Krol family, discussed </w:t>
      </w:r>
      <w:r>
        <w:rPr>
          <w:rFonts w:ascii="Arial" w:eastAsia="Arial" w:hAnsi="Arial" w:cs="Arial"/>
          <w:i/>
          <w:color w:val="000000"/>
          <w:sz w:val="20"/>
        </w:rPr>
        <w:t>supra</w:t>
      </w:r>
      <w:r>
        <w:rPr>
          <w:rFonts w:ascii="Arial" w:eastAsia="Arial" w:hAnsi="Arial" w:cs="Arial"/>
          <w:color w:val="000000"/>
          <w:sz w:val="20"/>
        </w:rPr>
        <w:t>. Only by ignoring this clear example of Ms. Chrysler's ability to perform the essential functions of photo shooting and sales can the majority find that "nothing suggests" that she could do that which she had in fact already done. Moreover, Ms. Chrysler conducted several other shoots, some by herself and some with another employee present. No evidence has been cited to us suggesting that there were any communication problems in conducting these sessions. Mr. Aguilar testified that he never received a complaint from a customer for whom Ms. Chrysler had taken photos. III Aplt. App. at 613a.</w:t>
      </w:r>
    </w:p>
    <w:p w14:paraId="33E5E60B" w14:textId="77777777" w:rsidR="00D041A2" w:rsidRDefault="00000000">
      <w:pPr>
        <w:pStyle w:val="Normal17"/>
        <w:widowControl w:val="0"/>
        <w:spacing w:before="200" w:line="260" w:lineRule="atLeast"/>
        <w:jc w:val="both"/>
      </w:pPr>
      <w:bookmarkStart w:id="2168" w:name="Bookmark_para_76_0"/>
      <w:bookmarkEnd w:id="2168"/>
      <w:r>
        <w:rPr>
          <w:rFonts w:ascii="Arial" w:eastAsia="Arial" w:hAnsi="Arial" w:cs="Arial"/>
          <w:color w:val="000000"/>
          <w:sz w:val="20"/>
        </w:rPr>
        <w:t>It appears that none of the employees who worked with Ms. Chrysler in photo [*999]  sessions testified; in any event, the Employer has not cited any record evidence that any of these persons observed deficiencies in her performance.  [**47] Consequently, in the face of Ms. Chrysler's testimony that she had conducted 15 to 20 photo sessions, there is no evidence of any resulting communication problems.</w:t>
      </w:r>
      <w:r>
        <w:rPr>
          <w:rFonts w:ascii="Arial" w:eastAsia="Arial" w:hAnsi="Arial" w:cs="Arial"/>
          <w:vertAlign w:val="superscript"/>
        </w:rPr>
        <w:footnoteReference w:customMarkFollows="1" w:id="100"/>
        <w:t>10</w:t>
      </w:r>
    </w:p>
    <w:p w14:paraId="15B70525" w14:textId="77777777" w:rsidR="00D041A2" w:rsidRDefault="00000000">
      <w:pPr>
        <w:pStyle w:val="Normal17"/>
        <w:widowControl w:val="0"/>
        <w:spacing w:before="200" w:line="260" w:lineRule="atLeast"/>
        <w:jc w:val="both"/>
      </w:pPr>
      <w:bookmarkStart w:id="2170" w:name="Bookmark_para_77_0"/>
      <w:bookmarkEnd w:id="2170"/>
      <w:r>
        <w:rPr>
          <w:rFonts w:ascii="Arial" w:eastAsia="Arial" w:hAnsi="Arial" w:cs="Arial"/>
          <w:color w:val="000000"/>
          <w:sz w:val="20"/>
        </w:rPr>
        <w:t xml:space="preserve">As for the efficiency of the communication, again there is no evidence that any of Ms. Chrysler's sessions were out of the ordinary in duration. Of course the Employer's ultimate interest is sales. The only evidence in the record regarding Ms. Chrysler's performance in this area comes from her manager, Mr. Aguilar, who testified that Ms. Chrysler made a "huge sale" to the Krol family, successfully selling the Krols more photos than they had originally planned to purchase. I Aplt. App. 96a; see also n.4, </w:t>
      </w:r>
      <w:r>
        <w:rPr>
          <w:rFonts w:ascii="Arial" w:eastAsia="Arial" w:hAnsi="Arial" w:cs="Arial"/>
          <w:i/>
          <w:color w:val="000000"/>
          <w:sz w:val="20"/>
        </w:rPr>
        <w:t>supra</w:t>
      </w:r>
      <w:r>
        <w:rPr>
          <w:rFonts w:ascii="Arial" w:eastAsia="Arial" w:hAnsi="Arial" w:cs="Arial"/>
          <w:color w:val="000000"/>
          <w:sz w:val="20"/>
        </w:rPr>
        <w:t>, and accompanying  [**48] text.</w:t>
      </w:r>
    </w:p>
    <w:p w14:paraId="294D2B6B" w14:textId="77777777" w:rsidR="00D041A2" w:rsidRDefault="00000000">
      <w:pPr>
        <w:pStyle w:val="Normal17"/>
        <w:widowControl w:val="0"/>
        <w:spacing w:before="200" w:line="260" w:lineRule="atLeast"/>
        <w:jc w:val="both"/>
      </w:pPr>
      <w:bookmarkStart w:id="2171" w:name="Bookmark_para_78_0"/>
      <w:bookmarkEnd w:id="2171"/>
      <w:r>
        <w:rPr>
          <w:rFonts w:ascii="Arial" w:eastAsia="Arial" w:hAnsi="Arial" w:cs="Arial"/>
          <w:color w:val="000000"/>
          <w:sz w:val="20"/>
        </w:rPr>
        <w:t>It is surely relevant also that Ms. Chrysler was, after all, hired by the branch's manager, Mr. Aguilar, with full awareness of both the job requirements and Ms. Chrysler's deafness. Mr. Aguilar had been with the Employer for some years and believed that Ms. Chrysler could perform the job. As noted, he had worked with a deaf performer in the past. A jury could find these facts highly relevant in determining whether the ability to communicate orally is indeed a business necessity.</w:t>
      </w:r>
    </w:p>
    <w:p w14:paraId="10876C95" w14:textId="77777777" w:rsidR="00D041A2" w:rsidRDefault="00000000">
      <w:pPr>
        <w:pStyle w:val="Normal17"/>
        <w:widowControl w:val="0"/>
        <w:spacing w:before="200" w:line="260" w:lineRule="atLeast"/>
        <w:jc w:val="both"/>
      </w:pPr>
      <w:bookmarkStart w:id="2172" w:name="Bookmark_para_79_0"/>
      <w:bookmarkEnd w:id="2172"/>
      <w:r>
        <w:rPr>
          <w:rFonts w:ascii="Arial" w:eastAsia="Arial" w:hAnsi="Arial" w:cs="Arial"/>
          <w:color w:val="000000"/>
          <w:sz w:val="20"/>
        </w:rPr>
        <w:t>The EEOC produced additional evidence of Ms. Chrysler's abilities. Her vocational rehabilitation counselor, Ms. Barbara Bryant, testified, based on her experience in working with the disabled, that deaf persons can perform a job calling for strong customer service skills and oral communication skills by using gestures, notes and so forth. The counselor also testified that, based on her experience working with her, Ms. Chrysler could communicate with customers in the Employer's setting and ensure that they had a pleasant experience. The EEOC's vocational expert, Mr. Newman, also testified that Ms. Chrysler could perform the essential functions of the performer position with reasonable accommodation.</w:t>
      </w:r>
    </w:p>
    <w:p w14:paraId="365D5943" w14:textId="77777777" w:rsidR="00D041A2" w:rsidRDefault="00000000">
      <w:pPr>
        <w:pStyle w:val="Normal17"/>
        <w:widowControl w:val="0"/>
        <w:spacing w:before="200" w:line="260" w:lineRule="atLeast"/>
        <w:jc w:val="both"/>
      </w:pPr>
      <w:bookmarkStart w:id="2173" w:name="Bookmark_para_80"/>
      <w:bookmarkEnd w:id="2173"/>
      <w:r>
        <w:rPr>
          <w:rFonts w:ascii="Arial" w:eastAsia="Arial" w:hAnsi="Arial" w:cs="Arial"/>
          <w:color w:val="000000"/>
          <w:sz w:val="20"/>
        </w:rPr>
        <w:t xml:space="preserve">In sum,  [**49] substantial evidence was presented from which a jury could determine that oral communication is not an essential function of the job but a </w:t>
      </w:r>
      <w:r>
        <w:rPr>
          <w:rFonts w:ascii="Arial" w:eastAsia="Arial" w:hAnsi="Arial" w:cs="Arial"/>
          <w:i/>
          <w:color w:val="000000"/>
          <w:sz w:val="20"/>
        </w:rPr>
        <w:t>method</w:t>
      </w:r>
      <w:r>
        <w:rPr>
          <w:rFonts w:ascii="Arial" w:eastAsia="Arial" w:hAnsi="Arial" w:cs="Arial"/>
          <w:color w:val="000000"/>
          <w:sz w:val="20"/>
        </w:rPr>
        <w:t xml:space="preserve"> for performing the essential function of communication, and that Ms. Chrysler could perform the essential function of communication with or without reasonable accommodation. Thus the summary judgment against the EEOC on the discrimination claims was clearly unjustified.</w:t>
      </w:r>
    </w:p>
    <w:p w14:paraId="36361D9B" w14:textId="77777777" w:rsidR="00D041A2" w:rsidRDefault="00000000">
      <w:pPr>
        <w:pStyle w:val="Normal17"/>
        <w:widowControl w:val="0"/>
        <w:spacing w:before="120" w:line="260" w:lineRule="atLeast"/>
      </w:pPr>
      <w:r>
        <w:rPr>
          <w:rFonts w:ascii="Arial" w:eastAsia="Arial" w:hAnsi="Arial" w:cs="Arial"/>
          <w:color w:val="000000"/>
          <w:sz w:val="20"/>
        </w:rPr>
        <w:t>B.</w:t>
      </w:r>
    </w:p>
    <w:p w14:paraId="551A9AF9" w14:textId="77777777" w:rsidR="00D041A2" w:rsidRDefault="00000000">
      <w:pPr>
        <w:pStyle w:val="Normal17"/>
        <w:widowControl w:val="0"/>
        <w:spacing w:before="240" w:line="260" w:lineRule="atLeast"/>
      </w:pPr>
      <w:r>
        <w:br/>
      </w:r>
      <w:r>
        <w:rPr>
          <w:rFonts w:ascii="Arial" w:eastAsia="Arial" w:hAnsi="Arial" w:cs="Arial"/>
          <w:i/>
          <w:color w:val="000000"/>
          <w:sz w:val="20"/>
        </w:rPr>
        <w:t>The Davidson precedent</w:t>
      </w:r>
    </w:p>
    <w:p w14:paraId="78B83039" w14:textId="77777777" w:rsidR="00D041A2" w:rsidRDefault="00000000">
      <w:pPr>
        <w:pStyle w:val="Normal17"/>
        <w:widowControl w:val="0"/>
        <w:spacing w:before="200" w:line="260" w:lineRule="atLeast"/>
        <w:jc w:val="both"/>
      </w:pPr>
      <w:bookmarkStart w:id="2174" w:name="Bookmark_para_81"/>
      <w:bookmarkStart w:id="2175" w:name="Bookmark_I3WXY3RXV7300079WNY00237"/>
      <w:bookmarkStart w:id="2176" w:name="Bookmark_I3WXY3RY02700079WNY00238"/>
      <w:bookmarkStart w:id="2177" w:name="Bookmark_I567C99V2D6N4T0040000400"/>
      <w:bookmarkEnd w:id="2174"/>
      <w:bookmarkEnd w:id="2175"/>
      <w:bookmarkEnd w:id="2176"/>
      <w:bookmarkEnd w:id="2177"/>
      <w:r>
        <w:rPr>
          <w:rFonts w:ascii="Arial" w:eastAsia="Arial" w:hAnsi="Arial" w:cs="Arial"/>
          <w:color w:val="000000"/>
          <w:sz w:val="20"/>
        </w:rPr>
        <w:t xml:space="preserve">In </w:t>
      </w:r>
      <w:bookmarkStart w:id="2178" w:name="Bookmark_I567C99V2D6N4T0030000400"/>
      <w:bookmarkEnd w:id="2178"/>
      <w:r>
        <w:rPr>
          <w:rFonts w:ascii="Arial" w:eastAsia="Arial" w:hAnsi="Arial" w:cs="Arial"/>
          <w:i/>
          <w:color w:val="000000"/>
          <w:sz w:val="20"/>
        </w:rPr>
        <w:t>Davidson v. America Online, Inc</w:t>
      </w:r>
      <w:r>
        <w:rPr>
          <w:rFonts w:ascii="Arial" w:eastAsia="Arial" w:hAnsi="Arial" w:cs="Arial"/>
          <w:color w:val="000000"/>
          <w:sz w:val="20"/>
        </w:rPr>
        <w:t>., 337 F.3d 1179 (10th Cir. 2003), as in this case, the employer "relied on [the job claimant's] disability" as a reason for the challenged employment decision.</w:t>
      </w:r>
      <w:r>
        <w:rPr>
          <w:rFonts w:ascii="Arial" w:eastAsia="Arial" w:hAnsi="Arial" w:cs="Arial"/>
          <w:vertAlign w:val="superscript"/>
        </w:rPr>
        <w:footnoteReference w:customMarkFollows="1" w:id="101"/>
        <w:t>11</w:t>
      </w:r>
      <w:r>
        <w:rPr>
          <w:rFonts w:ascii="Arial" w:eastAsia="Arial" w:hAnsi="Arial" w:cs="Arial"/>
          <w:color w:val="000000"/>
          <w:sz w:val="20"/>
        </w:rPr>
        <w:t xml:space="preserve"> In [*1000]  both cases, the affected employee or prospective employee was deaf. We said there that if the employee or prospective employee "is in fact statutorily disabled, the determinative issue in the case will not be the employer's intent, but whether the employee is 'otherwise qualified,' with or without reasonable accommodation, to perform the job, </w:t>
      </w:r>
      <w:r>
        <w:rPr>
          <w:rFonts w:ascii="Arial" w:eastAsia="Arial" w:hAnsi="Arial" w:cs="Arial"/>
          <w:i/>
          <w:color w:val="000000"/>
          <w:sz w:val="20"/>
        </w:rPr>
        <w:t>a factual dispute that is resolved through traditional methods of proof</w:t>
      </w:r>
      <w:r>
        <w:rPr>
          <w:rFonts w:ascii="Arial" w:eastAsia="Arial" w:hAnsi="Arial" w:cs="Arial"/>
          <w:color w:val="000000"/>
          <w:sz w:val="20"/>
        </w:rPr>
        <w:t xml:space="preserve">." </w:t>
      </w:r>
      <w:bookmarkStart w:id="2180" w:name="Bookmark_I567C99V2D6N4T0050000400"/>
      <w:bookmarkEnd w:id="2180"/>
      <w:r>
        <w:rPr>
          <w:rFonts w:ascii="Arial" w:eastAsia="Arial" w:hAnsi="Arial" w:cs="Arial"/>
          <w:color w:val="000000"/>
          <w:sz w:val="20"/>
        </w:rPr>
        <w:t>337 F.3d at 1189 (emphasis added).</w:t>
      </w:r>
    </w:p>
    <w:p w14:paraId="4D1EFEE1" w14:textId="77777777" w:rsidR="00D041A2" w:rsidRDefault="00000000">
      <w:pPr>
        <w:pStyle w:val="Normal17"/>
        <w:widowControl w:val="0"/>
        <w:spacing w:before="200" w:line="260" w:lineRule="atLeast"/>
        <w:jc w:val="both"/>
      </w:pPr>
      <w:bookmarkStart w:id="2181" w:name="Bookmark_para_82"/>
      <w:bookmarkStart w:id="2182" w:name="Bookmark_I3WXY3RY55300079WNY0055V"/>
      <w:bookmarkStart w:id="2183" w:name="Bookmark_I3WXY3RYG3300079WNY0055X"/>
      <w:bookmarkStart w:id="2184" w:name="Bookmark_I3WXY3RY90700079WNY0055W"/>
      <w:bookmarkStart w:id="2185" w:name="Bookmark_I567C99V28T52R0030000400"/>
      <w:bookmarkEnd w:id="2181"/>
      <w:bookmarkEnd w:id="2182"/>
      <w:bookmarkEnd w:id="2183"/>
      <w:bookmarkEnd w:id="2184"/>
      <w:bookmarkEnd w:id="2185"/>
      <w:r>
        <w:rPr>
          <w:rFonts w:ascii="Arial" w:eastAsia="Arial" w:hAnsi="Arial" w:cs="Arial"/>
          <w:color w:val="000000"/>
          <w:sz w:val="20"/>
        </w:rPr>
        <w:t xml:space="preserve">In </w:t>
      </w:r>
      <w:r>
        <w:rPr>
          <w:rFonts w:ascii="Arial" w:eastAsia="Arial" w:hAnsi="Arial" w:cs="Arial"/>
          <w:i/>
          <w:color w:val="000000"/>
          <w:sz w:val="20"/>
        </w:rPr>
        <w:t>Davidson</w:t>
      </w:r>
      <w:r>
        <w:rPr>
          <w:rFonts w:ascii="Arial" w:eastAsia="Arial" w:hAnsi="Arial" w:cs="Arial"/>
          <w:color w:val="000000"/>
          <w:sz w:val="20"/>
        </w:rPr>
        <w:t xml:space="preserve">, as in this case, the decisive issue was whether the plaintiff was "otherwise qualified" for the position, </w:t>
      </w:r>
      <w:r>
        <w:rPr>
          <w:rFonts w:ascii="Arial" w:eastAsia="Arial" w:hAnsi="Arial" w:cs="Arial"/>
          <w:i/>
          <w:color w:val="000000"/>
          <w:sz w:val="20"/>
        </w:rPr>
        <w:t>i.e</w:t>
      </w:r>
      <w:r>
        <w:rPr>
          <w:rFonts w:ascii="Arial" w:eastAsia="Arial" w:hAnsi="Arial" w:cs="Arial"/>
          <w:color w:val="000000"/>
          <w:sz w:val="20"/>
        </w:rPr>
        <w:t xml:space="preserve">., whether he could, with or without reasonable accommodation, perform the essential functions of the position. As here, that key issue depended on whether the employer's requirement related to an "essential function" of the job. And that is a fact question for the jury: "Determining whether a particular function is essential is </w:t>
      </w:r>
      <w:r>
        <w:rPr>
          <w:rFonts w:ascii="Arial" w:eastAsia="Arial" w:hAnsi="Arial" w:cs="Arial"/>
          <w:i/>
          <w:color w:val="000000"/>
          <w:sz w:val="20"/>
        </w:rPr>
        <w:t>a factual inquiry</w:t>
      </w:r>
      <w:r>
        <w:rPr>
          <w:rFonts w:ascii="Arial" w:eastAsia="Arial" w:hAnsi="Arial" w:cs="Arial"/>
          <w:color w:val="000000"/>
          <w:sz w:val="20"/>
        </w:rPr>
        <w:t xml:space="preserve">." </w:t>
      </w:r>
      <w:bookmarkStart w:id="2186" w:name="Bookmark_I567C99V28T52R0020000400"/>
      <w:bookmarkEnd w:id="2186"/>
      <w:r>
        <w:rPr>
          <w:rFonts w:ascii="Arial" w:eastAsia="Arial" w:hAnsi="Arial" w:cs="Arial"/>
          <w:i/>
          <w:color w:val="000000"/>
          <w:sz w:val="20"/>
        </w:rPr>
        <w:t>Id</w:t>
      </w:r>
      <w:r>
        <w:rPr>
          <w:rFonts w:ascii="Arial" w:eastAsia="Arial" w:hAnsi="Arial" w:cs="Arial"/>
          <w:color w:val="000000"/>
          <w:sz w:val="20"/>
        </w:rPr>
        <w:t xml:space="preserve">. at 1191 (emphasis added); </w:t>
      </w:r>
      <w:r>
        <w:rPr>
          <w:rFonts w:ascii="Arial" w:eastAsia="Arial" w:hAnsi="Arial" w:cs="Arial"/>
          <w:i/>
          <w:color w:val="000000"/>
          <w:sz w:val="20"/>
        </w:rPr>
        <w:t xml:space="preserve">see also </w:t>
      </w:r>
      <w:bookmarkStart w:id="2187" w:name="Bookmark_I567C99V28T52R0040000400"/>
      <w:bookmarkEnd w:id="2187"/>
      <w:r>
        <w:rPr>
          <w:rFonts w:ascii="Arial" w:eastAsia="Arial" w:hAnsi="Arial" w:cs="Arial"/>
          <w:i/>
          <w:color w:val="000000"/>
          <w:sz w:val="20"/>
        </w:rPr>
        <w:t>Kellogg v. Energy Safety Services, Inc</w:t>
      </w:r>
      <w:r>
        <w:rPr>
          <w:rFonts w:ascii="Arial" w:eastAsia="Arial" w:hAnsi="Arial" w:cs="Arial"/>
          <w:color w:val="000000"/>
          <w:sz w:val="20"/>
        </w:rPr>
        <w:t xml:space="preserve">., 544 F.3d 1121, 1127-28 (10th Cir. 2008) (holding, </w:t>
      </w:r>
      <w:r>
        <w:rPr>
          <w:rFonts w:ascii="Arial" w:eastAsia="Arial" w:hAnsi="Arial" w:cs="Arial"/>
          <w:i/>
          <w:color w:val="000000"/>
          <w:sz w:val="20"/>
        </w:rPr>
        <w:t>inter alia</w:t>
      </w:r>
      <w:r>
        <w:rPr>
          <w:rFonts w:ascii="Arial" w:eastAsia="Arial" w:hAnsi="Arial" w:cs="Arial"/>
          <w:color w:val="000000"/>
          <w:sz w:val="20"/>
        </w:rPr>
        <w:t xml:space="preserve">, that "the jury could properly have found that neither of [the employer's] claimed job requirements was an essential function of Ms. Kellogg's job."); </w:t>
      </w:r>
      <w:bookmarkStart w:id="2188" w:name="Bookmark_I567C99V2N1PYX0010000400"/>
      <w:bookmarkEnd w:id="2188"/>
      <w:r>
        <w:rPr>
          <w:rFonts w:ascii="Arial" w:eastAsia="Arial" w:hAnsi="Arial" w:cs="Arial"/>
          <w:i/>
          <w:color w:val="000000"/>
          <w:sz w:val="20"/>
        </w:rPr>
        <w:t>Bartee v. Michelin North America, Inc</w:t>
      </w:r>
      <w:r>
        <w:rPr>
          <w:rFonts w:ascii="Arial" w:eastAsia="Arial" w:hAnsi="Arial" w:cs="Arial"/>
          <w:color w:val="000000"/>
          <w:sz w:val="20"/>
        </w:rPr>
        <w:t>., 374 F.3d 906, 914) (10th Cir. 2004)  [**51] (issues on appeal included "whether the jury could have found" that employer's requirements "are not essential functions" of the position at issue).</w:t>
      </w:r>
    </w:p>
    <w:p w14:paraId="3924E776" w14:textId="77777777" w:rsidR="00D041A2" w:rsidRDefault="00000000">
      <w:pPr>
        <w:pStyle w:val="Normal17"/>
        <w:widowControl w:val="0"/>
        <w:spacing w:before="200" w:line="260" w:lineRule="atLeast"/>
        <w:jc w:val="both"/>
      </w:pPr>
      <w:bookmarkStart w:id="2189" w:name="Bookmark_para_83"/>
      <w:bookmarkEnd w:id="2189"/>
      <w:r>
        <w:rPr>
          <w:rFonts w:ascii="Arial" w:eastAsia="Arial" w:hAnsi="Arial" w:cs="Arial"/>
          <w:color w:val="000000"/>
          <w:sz w:val="20"/>
        </w:rPr>
        <w:t xml:space="preserve">I am convinced that </w:t>
      </w:r>
      <w:r>
        <w:rPr>
          <w:rFonts w:ascii="Arial" w:eastAsia="Arial" w:hAnsi="Arial" w:cs="Arial"/>
          <w:i/>
          <w:color w:val="000000"/>
          <w:sz w:val="20"/>
        </w:rPr>
        <w:t>Davidson</w:t>
      </w:r>
      <w:r>
        <w:rPr>
          <w:rFonts w:ascii="Arial" w:eastAsia="Arial" w:hAnsi="Arial" w:cs="Arial"/>
          <w:color w:val="000000"/>
          <w:sz w:val="20"/>
        </w:rPr>
        <w:t xml:space="preserve"> is directly on point and mandates reversal of the summary judgment in favor of the Employer. A </w:t>
      </w:r>
      <w:r>
        <w:rPr>
          <w:rFonts w:ascii="Arial" w:eastAsia="Arial" w:hAnsi="Arial" w:cs="Arial"/>
          <w:i/>
          <w:color w:val="000000"/>
          <w:sz w:val="20"/>
        </w:rPr>
        <w:t>jury</w:t>
      </w:r>
      <w:r>
        <w:rPr>
          <w:rFonts w:ascii="Arial" w:eastAsia="Arial" w:hAnsi="Arial" w:cs="Arial"/>
          <w:color w:val="000000"/>
          <w:sz w:val="20"/>
        </w:rPr>
        <w:t xml:space="preserve"> must decide whether oral communication skills are an essential function of the job or only the manner in which most hearing employees perform the job. Indeed, I find it astonishing that on this record the district court and the majority rule </w:t>
      </w:r>
      <w:r>
        <w:rPr>
          <w:rFonts w:ascii="Arial" w:eastAsia="Arial" w:hAnsi="Arial" w:cs="Arial"/>
          <w:i/>
          <w:color w:val="000000"/>
          <w:sz w:val="20"/>
        </w:rPr>
        <w:t>as a matter of law</w:t>
      </w:r>
      <w:r>
        <w:rPr>
          <w:rFonts w:ascii="Arial" w:eastAsia="Arial" w:hAnsi="Arial" w:cs="Arial"/>
          <w:color w:val="000000"/>
          <w:sz w:val="20"/>
        </w:rPr>
        <w:t xml:space="preserve"> that Ms. Chrysler could not perform the essential functions of the position when in fact the evidence that she could do so was considerably stronger than the minimum necessary to submit these </w:t>
      </w:r>
      <w:r>
        <w:rPr>
          <w:rFonts w:ascii="Arial" w:eastAsia="Arial" w:hAnsi="Arial" w:cs="Arial"/>
          <w:i/>
          <w:color w:val="000000"/>
          <w:sz w:val="20"/>
        </w:rPr>
        <w:t>factual</w:t>
      </w:r>
      <w:r>
        <w:rPr>
          <w:rFonts w:ascii="Arial" w:eastAsia="Arial" w:hAnsi="Arial" w:cs="Arial"/>
          <w:color w:val="000000"/>
          <w:sz w:val="20"/>
        </w:rPr>
        <w:t xml:space="preserve"> questions to the jury.</w:t>
      </w:r>
    </w:p>
    <w:p w14:paraId="57D07F05" w14:textId="77777777" w:rsidR="00D041A2" w:rsidRDefault="00000000">
      <w:pPr>
        <w:pStyle w:val="Normal17"/>
        <w:widowControl w:val="0"/>
        <w:spacing w:before="200" w:line="260" w:lineRule="atLeast"/>
        <w:jc w:val="both"/>
      </w:pPr>
      <w:bookmarkStart w:id="2190" w:name="Bookmark_para_84"/>
      <w:bookmarkEnd w:id="2190"/>
      <w:r>
        <w:rPr>
          <w:rFonts w:ascii="Arial" w:eastAsia="Arial" w:hAnsi="Arial" w:cs="Arial"/>
          <w:color w:val="000000"/>
          <w:sz w:val="20"/>
        </w:rPr>
        <w:t xml:space="preserve">A jury could determine that the Employer's decisions were based on exactly the kind of stereotypes that the ADA was enacted to combat. Congress has codified its views on this point: "[P]hysical or mental disabilities in no way diminish a person's right to fully participate in all aspects of society, yet many people with physical or mental disabilities have been precluded from doing so because of discrimination." 42 U.S.C. § 12101. Moreover,  [**52] lawsuits like Ms. Chrysler's are precisely the mechanism Congress envisioned for correcting such injustice: "It is the purpose of [the ADA] . . . to provide a clear and comprehensive national </w:t>
      </w:r>
      <w:r>
        <w:rPr>
          <w:rFonts w:ascii="Arial" w:eastAsia="Arial" w:hAnsi="Arial" w:cs="Arial"/>
          <w:i/>
          <w:color w:val="000000"/>
          <w:sz w:val="20"/>
        </w:rPr>
        <w:t>mandate</w:t>
      </w:r>
      <w:r>
        <w:rPr>
          <w:rFonts w:ascii="Arial" w:eastAsia="Arial" w:hAnsi="Arial" w:cs="Arial"/>
          <w:color w:val="000000"/>
          <w:sz w:val="20"/>
        </w:rPr>
        <w:t xml:space="preserve"> for the elimination of discrimination against individuals with disabilities." </w:t>
      </w:r>
      <w:r>
        <w:rPr>
          <w:rFonts w:ascii="Arial" w:eastAsia="Arial" w:hAnsi="Arial" w:cs="Arial"/>
          <w:i/>
          <w:color w:val="000000"/>
          <w:sz w:val="20"/>
        </w:rPr>
        <w:t>Id</w:t>
      </w:r>
      <w:r>
        <w:rPr>
          <w:rFonts w:ascii="Arial" w:eastAsia="Arial" w:hAnsi="Arial" w:cs="Arial"/>
          <w:color w:val="000000"/>
          <w:sz w:val="20"/>
        </w:rPr>
        <w:t>. (emphasis added). It is distressing that this court should affirm the ruling below, refusing to submit the issues to a jury and for it to do so without careful adherence to our duty to view the facts in the light most favorable to the party opposing summary judgment. I would reverse the judgment of the district court and hold that the claims of wrongful termination and failure to accommodate must be submitted to a jury.</w:t>
      </w:r>
    </w:p>
    <w:p w14:paraId="74A5C4E5" w14:textId="77777777" w:rsidR="00D041A2" w:rsidRDefault="00000000">
      <w:pPr>
        <w:pStyle w:val="Normal17"/>
        <w:widowControl w:val="0"/>
        <w:spacing w:before="120" w:line="260" w:lineRule="atLeast"/>
      </w:pPr>
      <w:r>
        <w:rPr>
          <w:rFonts w:ascii="Arial" w:eastAsia="Arial" w:hAnsi="Arial" w:cs="Arial"/>
          <w:color w:val="000000"/>
          <w:sz w:val="20"/>
        </w:rPr>
        <w:t>C.</w:t>
      </w:r>
    </w:p>
    <w:p w14:paraId="167F7C7B" w14:textId="77777777" w:rsidR="00D041A2" w:rsidRDefault="00000000">
      <w:pPr>
        <w:pStyle w:val="Normal17"/>
        <w:widowControl w:val="0"/>
        <w:spacing w:before="240" w:line="260" w:lineRule="atLeast"/>
      </w:pPr>
      <w:r>
        <w:br/>
      </w:r>
      <w:r>
        <w:rPr>
          <w:rFonts w:ascii="Arial" w:eastAsia="Arial" w:hAnsi="Arial" w:cs="Arial"/>
          <w:i/>
          <w:color w:val="000000"/>
          <w:sz w:val="20"/>
        </w:rPr>
        <w:t>The retaliation claim</w:t>
      </w:r>
    </w:p>
    <w:p w14:paraId="33D734C1" w14:textId="77777777" w:rsidR="00D041A2" w:rsidRDefault="00000000">
      <w:pPr>
        <w:pStyle w:val="Normal17"/>
        <w:widowControl w:val="0"/>
        <w:spacing w:before="200" w:line="260" w:lineRule="atLeast"/>
        <w:jc w:val="both"/>
      </w:pPr>
      <w:bookmarkStart w:id="2191" w:name="Bookmark_para_85"/>
      <w:bookmarkEnd w:id="2191"/>
      <w:r>
        <w:rPr>
          <w:rFonts w:ascii="Arial" w:eastAsia="Arial" w:hAnsi="Arial" w:cs="Arial"/>
          <w:color w:val="000000"/>
          <w:sz w:val="20"/>
        </w:rPr>
        <w:t xml:space="preserve">Ms. Chrysler's claim of retaliation is even stronger than her claim of discrimination. The record shows that disciplinary action was initiated against Ms. Chrysler </w:t>
      </w:r>
      <w:r>
        <w:rPr>
          <w:rFonts w:ascii="Arial" w:eastAsia="Arial" w:hAnsi="Arial" w:cs="Arial"/>
          <w:i/>
          <w:color w:val="000000"/>
          <w:sz w:val="20"/>
        </w:rPr>
        <w:t>when</w:t>
      </w:r>
      <w:r>
        <w:rPr>
          <w:rFonts w:ascii="Arial" w:eastAsia="Arial" w:hAnsi="Arial" w:cs="Arial"/>
          <w:color w:val="000000"/>
          <w:sz w:val="20"/>
        </w:rPr>
        <w:t xml:space="preserve"> she threatened to bring a grievance complaining of the Employer's alleged discrimination on the basis of Chrysler's deafness. </w:t>
      </w:r>
      <w:r>
        <w:rPr>
          <w:rFonts w:ascii="Arial" w:eastAsia="Arial" w:hAnsi="Arial" w:cs="Arial"/>
          <w:vertAlign w:val="superscript"/>
        </w:rPr>
        <w:footnoteReference w:customMarkFollows="1" w:id="102"/>
        <w:t>12</w:t>
      </w:r>
      <w:r>
        <w:rPr>
          <w:rFonts w:ascii="Arial" w:eastAsia="Arial" w:hAnsi="Arial" w:cs="Arial"/>
          <w:color w:val="000000"/>
          <w:sz w:val="20"/>
        </w:rPr>
        <w:t xml:space="preserve">  [*1001]  Such timing is, of course, a fact from which a jury could infer retaliatory motive. But here there is significantly more. Not only was discipline initiated </w:t>
      </w:r>
      <w:r>
        <w:rPr>
          <w:rFonts w:ascii="Arial" w:eastAsia="Arial" w:hAnsi="Arial" w:cs="Arial"/>
          <w:i/>
          <w:color w:val="000000"/>
          <w:sz w:val="20"/>
        </w:rPr>
        <w:t>when</w:t>
      </w:r>
      <w:r>
        <w:rPr>
          <w:rFonts w:ascii="Arial" w:eastAsia="Arial" w:hAnsi="Arial" w:cs="Arial"/>
          <w:color w:val="000000"/>
          <w:sz w:val="20"/>
        </w:rPr>
        <w:t xml:space="preserve"> she asserted her  [**53] rights; it was initiated </w:t>
      </w:r>
      <w:r>
        <w:rPr>
          <w:rFonts w:ascii="Arial" w:eastAsia="Arial" w:hAnsi="Arial" w:cs="Arial"/>
          <w:i/>
          <w:color w:val="000000"/>
          <w:sz w:val="20"/>
        </w:rPr>
        <w:t>because</w:t>
      </w:r>
      <w:r>
        <w:rPr>
          <w:rFonts w:ascii="Arial" w:eastAsia="Arial" w:hAnsi="Arial" w:cs="Arial"/>
          <w:color w:val="000000"/>
          <w:sz w:val="20"/>
        </w:rPr>
        <w:t xml:space="preserve"> she asserted her statutory rights: The disciplinary notice she was given specifically reprimanded her for asserting her ADA rights!</w:t>
      </w:r>
    </w:p>
    <w:p w14:paraId="620FA12F" w14:textId="77777777" w:rsidR="00D041A2" w:rsidRDefault="00000000">
      <w:pPr>
        <w:pStyle w:val="Normal17"/>
        <w:widowControl w:val="0"/>
        <w:spacing w:before="200" w:line="260" w:lineRule="atLeast"/>
        <w:jc w:val="both"/>
      </w:pPr>
      <w:bookmarkStart w:id="2193" w:name="Bookmark_para_86"/>
      <w:bookmarkStart w:id="2194" w:name="Bookmark_I3WXY3RYRRC00079WNY00560"/>
      <w:bookmarkStart w:id="2195" w:name="Bookmark_I3WXY3RYKX700079WNY0055Y"/>
      <w:bookmarkStart w:id="2196" w:name="Bookmark_I3WXY3S06GH00079WNY00562"/>
      <w:bookmarkStart w:id="2197" w:name="Bookmark_I3WXY3S0B9N00079WNY00563"/>
      <w:bookmarkStart w:id="2198" w:name="Bookmark_I567C99V2N1PYX0040000400"/>
      <w:bookmarkEnd w:id="2193"/>
      <w:bookmarkEnd w:id="2194"/>
      <w:bookmarkEnd w:id="2195"/>
      <w:bookmarkEnd w:id="2196"/>
      <w:bookmarkEnd w:id="2197"/>
      <w:bookmarkEnd w:id="2198"/>
      <w:r>
        <w:rPr>
          <w:rFonts w:ascii="Arial" w:eastAsia="Arial" w:hAnsi="Arial" w:cs="Arial"/>
          <w:color w:val="000000"/>
          <w:sz w:val="20"/>
        </w:rPr>
        <w:t xml:space="preserve">In criticizing Ms. Chrysler's actions, the Employer directly impugned her for the fact that she "became angry and threatened to bring a grievance." II Aplt. App. 341a. It is hard to imagine more direct proof of mistreatment for relying on her statutory rights. </w:t>
      </w:r>
      <w:r>
        <w:rPr>
          <w:rFonts w:ascii="Arial" w:eastAsia="Arial" w:hAnsi="Arial" w:cs="Arial"/>
          <w:i/>
          <w:color w:val="000000"/>
          <w:sz w:val="20"/>
        </w:rPr>
        <w:t xml:space="preserve">Direct evidence of retaliatory motive is evidence of pretext sufficient to require submission of the issue to the jury. See </w:t>
      </w:r>
      <w:bookmarkStart w:id="2199" w:name="Bookmark_I567C99V2N1PYX0030000400"/>
      <w:bookmarkEnd w:id="2199"/>
      <w:r>
        <w:rPr>
          <w:rFonts w:ascii="Arial" w:eastAsia="Arial" w:hAnsi="Arial" w:cs="Arial"/>
          <w:i/>
          <w:color w:val="000000"/>
          <w:sz w:val="20"/>
        </w:rPr>
        <w:t>Crowe v. ADT Security Services, Inc</w:t>
      </w:r>
      <w:r>
        <w:rPr>
          <w:rFonts w:ascii="Arial" w:eastAsia="Arial" w:hAnsi="Arial" w:cs="Arial"/>
          <w:color w:val="000000"/>
          <w:sz w:val="20"/>
        </w:rPr>
        <w:t xml:space="preserve">., 649 F.3d 1189, 1196 (10th Cir. 2011); </w:t>
      </w:r>
      <w:bookmarkStart w:id="2200" w:name="Bookmark_I567C99V2N1PYX0050000400"/>
      <w:bookmarkEnd w:id="2200"/>
      <w:r>
        <w:rPr>
          <w:rFonts w:ascii="Arial" w:eastAsia="Arial" w:hAnsi="Arial" w:cs="Arial"/>
          <w:i/>
          <w:color w:val="000000"/>
          <w:sz w:val="20"/>
        </w:rPr>
        <w:t>Medlock v. Ortho Biotech, Inc</w:t>
      </w:r>
      <w:r>
        <w:rPr>
          <w:rFonts w:ascii="Arial" w:eastAsia="Arial" w:hAnsi="Arial" w:cs="Arial"/>
          <w:color w:val="000000"/>
          <w:sz w:val="20"/>
        </w:rPr>
        <w:t xml:space="preserve">., 164 F.3d 545, 551 (10th Cir. 1999); </w:t>
      </w:r>
      <w:bookmarkStart w:id="2201" w:name="Bookmark_I567C99V2D6N4V0020000400"/>
      <w:bookmarkEnd w:id="2201"/>
      <w:r>
        <w:rPr>
          <w:rFonts w:ascii="Arial" w:eastAsia="Arial" w:hAnsi="Arial" w:cs="Arial"/>
          <w:i/>
          <w:color w:val="000000"/>
          <w:sz w:val="20"/>
        </w:rPr>
        <w:t>Conner v. Schnuck Markets, Inc</w:t>
      </w:r>
      <w:r>
        <w:rPr>
          <w:rFonts w:ascii="Arial" w:eastAsia="Arial" w:hAnsi="Arial" w:cs="Arial"/>
          <w:color w:val="000000"/>
          <w:sz w:val="20"/>
        </w:rPr>
        <w:t xml:space="preserve">., 121 F.3d 1390, 1396 &amp; n.5 (10th Cir. 1997); </w:t>
      </w:r>
      <w:bookmarkStart w:id="2202" w:name="Bookmark_I567C99V2D6N4V0040000400"/>
      <w:bookmarkEnd w:id="2202"/>
      <w:r>
        <w:rPr>
          <w:rFonts w:ascii="Arial" w:eastAsia="Arial" w:hAnsi="Arial" w:cs="Arial"/>
          <w:i/>
          <w:color w:val="000000"/>
          <w:sz w:val="20"/>
        </w:rPr>
        <w:t>Randle v. City of Aurora</w:t>
      </w:r>
      <w:r>
        <w:rPr>
          <w:rFonts w:ascii="Arial" w:eastAsia="Arial" w:hAnsi="Arial" w:cs="Arial"/>
          <w:color w:val="000000"/>
          <w:sz w:val="20"/>
        </w:rPr>
        <w:t>, 69 F.3d 441, 453 (10th Cir. 1995). The majority's startling holding here that direct evidence of retaliatory motive is insufficient  [**54] to create a genuine issue of material fact is directly contrary to these precedents.</w:t>
      </w:r>
    </w:p>
    <w:p w14:paraId="0CA77672" w14:textId="77777777" w:rsidR="00D041A2" w:rsidRDefault="00000000">
      <w:pPr>
        <w:pStyle w:val="Normal17"/>
        <w:widowControl w:val="0"/>
        <w:spacing w:before="200" w:line="260" w:lineRule="atLeast"/>
        <w:jc w:val="both"/>
      </w:pPr>
      <w:bookmarkStart w:id="2203" w:name="Bookmark_para_87"/>
      <w:bookmarkEnd w:id="2203"/>
      <w:r>
        <w:rPr>
          <w:rFonts w:ascii="Arial" w:eastAsia="Arial" w:hAnsi="Arial" w:cs="Arial"/>
          <w:color w:val="000000"/>
          <w:sz w:val="20"/>
        </w:rPr>
        <w:t xml:space="preserve">To overcome summary judgment on the issue of pretext, the majority correctly notes, "a plaintiff must present evidence of temporal proximity plus circumstantial evidence of retaliatory motive." Maj. op. at 14-15. </w:t>
      </w:r>
      <w:bookmarkStart w:id="2204" w:name="Bookmark_I3WXY3S0HDH00079WNY00564"/>
      <w:bookmarkStart w:id="2205" w:name="Bookmark_I567C99V2N1PYY0020000400"/>
      <w:bookmarkEnd w:id="2204"/>
      <w:bookmarkEnd w:id="2205"/>
      <w:r>
        <w:rPr>
          <w:rFonts w:ascii="Arial" w:eastAsia="Arial" w:hAnsi="Arial" w:cs="Arial"/>
          <w:color w:val="000000"/>
          <w:sz w:val="20"/>
        </w:rPr>
        <w:t xml:space="preserve">Both of these requirements are satisfied in this case. Yet the majority chooses to scrutinize </w:t>
      </w:r>
      <w:r>
        <w:rPr>
          <w:rFonts w:ascii="Arial" w:eastAsia="Arial" w:hAnsi="Arial" w:cs="Arial"/>
          <w:i/>
          <w:color w:val="000000"/>
          <w:sz w:val="20"/>
        </w:rPr>
        <w:t>additional</w:t>
      </w:r>
      <w:r>
        <w:rPr>
          <w:rFonts w:ascii="Arial" w:eastAsia="Arial" w:hAnsi="Arial" w:cs="Arial"/>
          <w:color w:val="000000"/>
          <w:sz w:val="20"/>
        </w:rPr>
        <w:t xml:space="preserve"> evidence of retaliatory motive while ignoring the direct evidence of that motive, </w:t>
      </w:r>
      <w:r>
        <w:rPr>
          <w:rFonts w:ascii="Arial" w:eastAsia="Arial" w:hAnsi="Arial" w:cs="Arial"/>
          <w:i/>
          <w:color w:val="000000"/>
          <w:sz w:val="20"/>
        </w:rPr>
        <w:t>i.e</w:t>
      </w:r>
      <w:r>
        <w:rPr>
          <w:rFonts w:ascii="Arial" w:eastAsia="Arial" w:hAnsi="Arial" w:cs="Arial"/>
          <w:color w:val="000000"/>
          <w:sz w:val="20"/>
        </w:rPr>
        <w:t xml:space="preserve">., the fact that the Employer reprimanded Ms. Chrysler specifically for saying that she might pursue a remedy for the discriminatory treatment she had received. The fact that discipline was initiated </w:t>
      </w:r>
      <w:r>
        <w:rPr>
          <w:rFonts w:ascii="Arial" w:eastAsia="Arial" w:hAnsi="Arial" w:cs="Arial"/>
          <w:i/>
          <w:color w:val="000000"/>
          <w:sz w:val="20"/>
        </w:rPr>
        <w:t>because</w:t>
      </w:r>
      <w:r>
        <w:rPr>
          <w:rFonts w:ascii="Arial" w:eastAsia="Arial" w:hAnsi="Arial" w:cs="Arial"/>
          <w:color w:val="000000"/>
          <w:sz w:val="20"/>
        </w:rPr>
        <w:t xml:space="preserve"> of protected activity, even if only partly because of that activity, is sufficient evidence for a jury to find retaliatory motive. </w:t>
      </w:r>
      <w:r>
        <w:rPr>
          <w:rFonts w:ascii="Arial" w:eastAsia="Arial" w:hAnsi="Arial" w:cs="Arial"/>
          <w:i/>
          <w:color w:val="000000"/>
          <w:sz w:val="20"/>
        </w:rPr>
        <w:t xml:space="preserve">See </w:t>
      </w:r>
      <w:bookmarkStart w:id="2206" w:name="Bookmark_I567C99V2N1PYY0010000400"/>
      <w:bookmarkEnd w:id="2206"/>
      <w:r>
        <w:rPr>
          <w:rFonts w:ascii="Arial" w:eastAsia="Arial" w:hAnsi="Arial" w:cs="Arial"/>
          <w:i/>
          <w:color w:val="000000"/>
          <w:sz w:val="20"/>
        </w:rPr>
        <w:t>Conner</w:t>
      </w:r>
      <w:r>
        <w:rPr>
          <w:rFonts w:ascii="Arial" w:eastAsia="Arial" w:hAnsi="Arial" w:cs="Arial"/>
          <w:color w:val="000000"/>
          <w:sz w:val="20"/>
        </w:rPr>
        <w:t xml:space="preserve">, 121 F.3d at 1396 &amp; n.5. Moreover, the majority's efforts to dismiss the </w:t>
      </w:r>
      <w:r>
        <w:rPr>
          <w:rFonts w:ascii="Arial" w:eastAsia="Arial" w:hAnsi="Arial" w:cs="Arial"/>
          <w:i/>
          <w:color w:val="000000"/>
          <w:sz w:val="20"/>
        </w:rPr>
        <w:t>additional</w:t>
      </w:r>
      <w:r>
        <w:rPr>
          <w:rFonts w:ascii="Arial" w:eastAsia="Arial" w:hAnsi="Arial" w:cs="Arial"/>
          <w:color w:val="000000"/>
          <w:sz w:val="20"/>
        </w:rPr>
        <w:t>, indirect evidence of pretext is unconvincing.</w:t>
      </w:r>
    </w:p>
    <w:p w14:paraId="0F77BC3F" w14:textId="77777777" w:rsidR="00D041A2" w:rsidRDefault="00000000">
      <w:pPr>
        <w:pStyle w:val="Normal17"/>
        <w:widowControl w:val="0"/>
        <w:spacing w:before="200" w:line="260" w:lineRule="atLeast"/>
        <w:jc w:val="both"/>
      </w:pPr>
      <w:bookmarkStart w:id="2207" w:name="Bookmark_para_88"/>
      <w:bookmarkEnd w:id="2207"/>
      <w:r>
        <w:rPr>
          <w:rFonts w:ascii="Arial" w:eastAsia="Arial" w:hAnsi="Arial" w:cs="Arial"/>
          <w:color w:val="000000"/>
          <w:sz w:val="20"/>
        </w:rPr>
        <w:t>Ms. Chrysler was disciplined for conduct that others engaged in without repercussion. The district court discounted this evidence on the basis that the EEOC "provided no details about the other employees and their infractions that would  [**55] allow a jury to conclude these employees were similarly situated to Chrysler." III Aplt. App. 867. Ms. Chrysler testified that the other employees worked with her in the lab and engaged in the same conduct for which she was disciplined. At the summary judgment stage, I would hold that this is sufficient to raise an issue as to whether those other employees were situated similarly to Ms. Chrysler.</w:t>
      </w:r>
    </w:p>
    <w:p w14:paraId="7F7D85A3" w14:textId="77777777" w:rsidR="00D041A2" w:rsidRDefault="00000000">
      <w:pPr>
        <w:pStyle w:val="Normal17"/>
        <w:widowControl w:val="0"/>
        <w:spacing w:before="200" w:line="260" w:lineRule="atLeast"/>
        <w:jc w:val="both"/>
      </w:pPr>
      <w:bookmarkStart w:id="2208" w:name="Bookmark_para_89"/>
      <w:bookmarkEnd w:id="2208"/>
      <w:r>
        <w:rPr>
          <w:rFonts w:ascii="Arial" w:eastAsia="Arial" w:hAnsi="Arial" w:cs="Arial"/>
          <w:color w:val="000000"/>
          <w:sz w:val="20"/>
        </w:rPr>
        <w:t>Moreover, there is considerable additional evidence that the Employer's stated reasons were pretextual. The majority correctly notes that all (or at least most) employees had their hours reduced after the holiday season.</w:t>
      </w:r>
      <w:r>
        <w:rPr>
          <w:rFonts w:ascii="Arial" w:eastAsia="Arial" w:hAnsi="Arial" w:cs="Arial"/>
          <w:vertAlign w:val="superscript"/>
        </w:rPr>
        <w:footnoteReference w:customMarkFollows="1" w:id="103"/>
        <w:t>13</w:t>
      </w:r>
      <w:r>
        <w:rPr>
          <w:rFonts w:ascii="Arial" w:eastAsia="Arial" w:hAnsi="Arial" w:cs="Arial"/>
          <w:color w:val="000000"/>
          <w:sz w:val="20"/>
        </w:rPr>
        <w:t xml:space="preserve"> But Ms. Chrysler's hours were totally eliminated — not just reduced — and not just in the period immediately following the holiday season but for ten months until she finally was terminated. There is no evidence that any other [*1002]  employee's hours were "reduced" so drastically. Not only that, but the Employer repeatedly promised Ms. Chrysler that she would be given some work, promises which the Employer never fulfilled; indeed as far as this record reveals, the Employer never attempted to fulfill those promises.</w:t>
      </w:r>
    </w:p>
    <w:p w14:paraId="0D7CCCBB" w14:textId="77777777" w:rsidR="00D041A2" w:rsidRDefault="00000000">
      <w:pPr>
        <w:pStyle w:val="Normal17"/>
        <w:widowControl w:val="0"/>
        <w:spacing w:before="200" w:line="260" w:lineRule="atLeast"/>
        <w:jc w:val="both"/>
      </w:pPr>
      <w:bookmarkStart w:id="2210" w:name="Bookmark_para_90"/>
      <w:bookmarkEnd w:id="2210"/>
      <w:r>
        <w:rPr>
          <w:rFonts w:ascii="Arial" w:eastAsia="Arial" w:hAnsi="Arial" w:cs="Arial"/>
          <w:color w:val="000000"/>
          <w:sz w:val="20"/>
        </w:rPr>
        <w:t xml:space="preserve">The EEOC identified even more evidence of pretext in its briefs, such as the discrepancies between testimony of district manager Bryan and other witnesses. But with direct evidence of discriminatory motive and the evidence I have already noted, further discussion here is not necessary. If temporal proximity plus circumstantial evidence of retaliatory motive is sufficient — and the majority correctly says that it is — then how can temporal proximity plus </w:t>
      </w:r>
      <w:r>
        <w:rPr>
          <w:rFonts w:ascii="Arial" w:eastAsia="Arial" w:hAnsi="Arial" w:cs="Arial"/>
          <w:i/>
          <w:color w:val="000000"/>
          <w:sz w:val="20"/>
        </w:rPr>
        <w:t>direct</w:t>
      </w:r>
      <w:r>
        <w:rPr>
          <w:rFonts w:ascii="Arial" w:eastAsia="Arial" w:hAnsi="Arial" w:cs="Arial"/>
          <w:color w:val="000000"/>
          <w:sz w:val="20"/>
        </w:rPr>
        <w:t xml:space="preserve"> evidence of retaliatory motive be insufficient? Our precedents say that it is sufficient. I strongly disagree with the majority's holding that the retaliation claim may be rejected by a summary judgment.</w:t>
      </w:r>
    </w:p>
    <w:p w14:paraId="07C6E7FF" w14:textId="77777777" w:rsidR="00D041A2" w:rsidRDefault="00000000">
      <w:pPr>
        <w:pStyle w:val="Normal17"/>
        <w:widowControl w:val="0"/>
        <w:spacing w:before="240" w:line="260" w:lineRule="atLeast"/>
      </w:pPr>
      <w:r>
        <w:br/>
      </w:r>
      <w:r>
        <w:rPr>
          <w:rFonts w:ascii="Arial" w:eastAsia="Arial" w:hAnsi="Arial" w:cs="Arial"/>
          <w:b/>
          <w:color w:val="000000"/>
          <w:sz w:val="20"/>
        </w:rPr>
        <w:t>Conclusion</w:t>
      </w:r>
    </w:p>
    <w:p w14:paraId="74BECEBE" w14:textId="77777777" w:rsidR="00D041A2" w:rsidRDefault="00000000">
      <w:pPr>
        <w:pStyle w:val="Normal17"/>
        <w:widowControl w:val="0"/>
        <w:spacing w:before="200" w:line="260" w:lineRule="atLeast"/>
        <w:jc w:val="both"/>
      </w:pPr>
      <w:bookmarkStart w:id="2211" w:name="Bookmark_para_91"/>
      <w:bookmarkEnd w:id="2211"/>
      <w:r>
        <w:rPr>
          <w:rFonts w:ascii="Arial" w:eastAsia="Arial" w:hAnsi="Arial" w:cs="Arial"/>
          <w:color w:val="000000"/>
          <w:sz w:val="20"/>
        </w:rPr>
        <w:t>The majority opinion fails to take the facts in the light most favorable to the EEOC as we are bound to do in the posture of this case, leading to the surreal conclusion that Ms. Chrysler is unable, as a matter of law, to perform the tasks that she had completed successfully. On the retaliation claim, the majority ignores direct evidence of retaliatory motive and incorrectly finds the remaining  [**57] evidence insufficient.</w:t>
      </w:r>
    </w:p>
    <w:p w14:paraId="570E3633" w14:textId="77777777" w:rsidR="00D041A2" w:rsidRDefault="00000000">
      <w:pPr>
        <w:pStyle w:val="Normal17"/>
        <w:widowControl w:val="0"/>
        <w:spacing w:before="200" w:line="260" w:lineRule="atLeast"/>
        <w:jc w:val="both"/>
      </w:pPr>
      <w:bookmarkStart w:id="2212" w:name="Bookmark_para_92"/>
      <w:bookmarkEnd w:id="2212"/>
      <w:r>
        <w:rPr>
          <w:rFonts w:ascii="Arial" w:eastAsia="Arial" w:hAnsi="Arial" w:cs="Arial"/>
          <w:color w:val="000000"/>
          <w:sz w:val="20"/>
        </w:rPr>
        <w:t>In sum, I would reverse the district court and remand for a properly instructed jury to resolve the genuine issues of material fact that are presented here. Accordingly, I must respectfully but emphatically dissent.</w:t>
      </w:r>
    </w:p>
    <w:p w14:paraId="57422103" w14:textId="77777777" w:rsidR="00D041A2" w:rsidRDefault="00D041A2">
      <w:pPr>
        <w:pStyle w:val="Normal17"/>
      </w:pPr>
    </w:p>
    <w:p w14:paraId="1EF94BCE" w14:textId="49E95DC0" w:rsidR="00D041A2" w:rsidRDefault="00000000">
      <w:pPr>
        <w:pStyle w:val="Normal17"/>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97152" behindDoc="0" locked="0" layoutInCell="1" allowOverlap="1" wp14:anchorId="78038680" wp14:editId="4550DADE">
                <wp:simplePos x="0" y="0"/>
                <wp:positionH relativeFrom="column">
                  <wp:posOffset>0</wp:posOffset>
                </wp:positionH>
                <wp:positionV relativeFrom="paragraph">
                  <wp:posOffset>127000</wp:posOffset>
                </wp:positionV>
                <wp:extent cx="6502400" cy="0"/>
                <wp:effectExtent l="9525" t="12700" r="12700" b="6350"/>
                <wp:wrapNone/>
                <wp:docPr id="139532548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04297" id="Line 39"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CDDDDE6" w14:textId="77777777" w:rsidR="00D041A2" w:rsidRDefault="00D041A2">
      <w:pPr>
        <w:pStyle w:val="Normal18"/>
        <w:sectPr w:rsidR="00D041A2">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gutter="0"/>
          <w:cols w:space="720"/>
          <w:titlePg/>
        </w:sectPr>
      </w:pPr>
    </w:p>
    <w:p w14:paraId="4696A602" w14:textId="77777777" w:rsidR="00D041A2" w:rsidRDefault="00D041A2">
      <w:pPr>
        <w:pStyle w:val="Normal18"/>
      </w:pPr>
    </w:p>
    <w:p w14:paraId="1C6B7252" w14:textId="77777777" w:rsidR="00D041A2" w:rsidRDefault="00000000">
      <w:pPr>
        <w:pStyle w:val="Heading117"/>
        <w:keepNext w:val="0"/>
        <w:widowControl w:val="0"/>
        <w:spacing w:after="200" w:line="340" w:lineRule="atLeast"/>
        <w:jc w:val="center"/>
      </w:pPr>
      <w:r>
        <w:rPr>
          <w:rFonts w:eastAsia="Arial"/>
          <w:color w:val="000000"/>
          <w:sz w:val="28"/>
        </w:rPr>
        <w:t>United States v. WHPC-DWR, LLC</w:t>
      </w:r>
    </w:p>
    <w:p w14:paraId="610D743A" w14:textId="77777777" w:rsidR="00D041A2" w:rsidRDefault="00000000">
      <w:pPr>
        <w:pStyle w:val="Normal18"/>
        <w:widowControl w:val="0"/>
        <w:spacing w:before="120" w:line="260" w:lineRule="atLeast"/>
        <w:jc w:val="center"/>
      </w:pPr>
      <w:r>
        <w:rPr>
          <w:rFonts w:ascii="Arial" w:eastAsia="Arial" w:hAnsi="Arial" w:cs="Arial"/>
          <w:color w:val="000000"/>
          <w:sz w:val="20"/>
        </w:rPr>
        <w:t>United States Court of Appeals for the Seventh Circuit</w:t>
      </w:r>
    </w:p>
    <w:p w14:paraId="5C30B700" w14:textId="77777777" w:rsidR="00D041A2" w:rsidRDefault="00000000">
      <w:pPr>
        <w:pStyle w:val="Normal18"/>
        <w:widowControl w:val="0"/>
        <w:spacing w:before="120" w:line="260" w:lineRule="atLeast"/>
        <w:jc w:val="center"/>
      </w:pPr>
      <w:r>
        <w:rPr>
          <w:rFonts w:ascii="Arial" w:eastAsia="Arial" w:hAnsi="Arial" w:cs="Arial"/>
          <w:color w:val="000000"/>
          <w:sz w:val="20"/>
        </w:rPr>
        <w:t>June 27, 2012</w:t>
      </w:r>
      <w:r>
        <w:rPr>
          <w:rFonts w:ascii="Arial" w:eastAsia="Arial" w:hAnsi="Arial" w:cs="Arial"/>
          <w:vertAlign w:val="superscript"/>
        </w:rPr>
        <w:footnoteReference w:customMarkFollows="1" w:id="104"/>
        <w:t>*</w:t>
      </w:r>
      <w:r>
        <w:rPr>
          <w:rFonts w:ascii="Arial" w:eastAsia="Arial" w:hAnsi="Arial" w:cs="Arial"/>
          <w:color w:val="000000"/>
          <w:sz w:val="20"/>
        </w:rPr>
        <w:t>, Submitted; June 29, 2012, Decided</w:t>
      </w:r>
    </w:p>
    <w:p w14:paraId="53E96459" w14:textId="77777777" w:rsidR="00D041A2" w:rsidRDefault="00000000">
      <w:pPr>
        <w:pStyle w:val="Normal18"/>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12-1189</w:t>
      </w:r>
    </w:p>
    <w:p w14:paraId="3BBB9302" w14:textId="77777777" w:rsidR="00D041A2" w:rsidRDefault="00D041A2">
      <w:pPr>
        <w:pStyle w:val="Normal18"/>
        <w:widowControl w:val="0"/>
        <w:spacing w:line="240" w:lineRule="atLeast"/>
        <w:jc w:val="both"/>
      </w:pPr>
      <w:bookmarkStart w:id="2214" w:name="Bookmark_19"/>
      <w:bookmarkEnd w:id="2214"/>
    </w:p>
    <w:p w14:paraId="2603840D" w14:textId="77777777" w:rsidR="00D041A2" w:rsidRDefault="00000000">
      <w:pPr>
        <w:pStyle w:val="Normal18"/>
        <w:widowControl w:val="0"/>
        <w:spacing w:before="200" w:line="240" w:lineRule="atLeast"/>
      </w:pPr>
      <w:bookmarkStart w:id="2215" w:name="Reporter_17"/>
      <w:bookmarkEnd w:id="2215"/>
      <w:r>
        <w:rPr>
          <w:rFonts w:ascii="Arial" w:eastAsia="Arial" w:hAnsi="Arial" w:cs="Arial"/>
          <w:b/>
          <w:color w:val="000000"/>
          <w:sz w:val="18"/>
        </w:rPr>
        <w:t>Reporter</w:t>
      </w:r>
    </w:p>
    <w:p w14:paraId="6FEDB5C5" w14:textId="77777777" w:rsidR="00D041A2" w:rsidRDefault="00000000">
      <w:pPr>
        <w:pStyle w:val="Normal18"/>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491 Fed. Appx. 733 *; 2012 U.S. App. LEXIS 13358 **; 2012 WL 2498836</w:t>
      </w:r>
    </w:p>
    <w:p w14:paraId="0D63389C" w14:textId="77777777" w:rsidR="00D041A2" w:rsidRDefault="00000000">
      <w:pPr>
        <w:pStyle w:val="Normal18"/>
        <w:widowControl w:val="0"/>
        <w:spacing w:before="120" w:line="260" w:lineRule="atLeast"/>
      </w:pPr>
      <w:r>
        <w:rPr>
          <w:rFonts w:ascii="Arial" w:eastAsia="Arial" w:hAnsi="Arial" w:cs="Arial"/>
          <w:color w:val="000000"/>
          <w:sz w:val="20"/>
        </w:rPr>
        <w:t>UNITED STATES OF AMERICA, Plaintiff, v. WHPC-DWR, LLC, et al., Defendants-Appellees. APPEAL OF: RICHARD SINGSIME, Intervenor-Appellant.</w:t>
      </w:r>
    </w:p>
    <w:p w14:paraId="327F7DD5" w14:textId="77777777" w:rsidR="00D041A2" w:rsidRDefault="00000000">
      <w:pPr>
        <w:pStyle w:val="Normal18"/>
        <w:widowControl w:val="0"/>
        <w:spacing w:before="240" w:line="260" w:lineRule="atLeast"/>
        <w:jc w:val="both"/>
      </w:pPr>
      <w:bookmarkStart w:id="2216" w:name="Notice_9"/>
      <w:bookmarkEnd w:id="2216"/>
      <w:r>
        <w:rPr>
          <w:rFonts w:ascii="Arial" w:eastAsia="Arial" w:hAnsi="Arial" w:cs="Arial"/>
          <w:b/>
          <w:color w:val="000000"/>
          <w:sz w:val="20"/>
        </w:rPr>
        <w:t>Notice:</w:t>
      </w:r>
      <w:r>
        <w:rPr>
          <w:rFonts w:ascii="Arial" w:eastAsia="Arial" w:hAnsi="Arial" w:cs="Arial"/>
          <w:color w:val="000000"/>
          <w:sz w:val="20"/>
        </w:rPr>
        <w:t> </w:t>
      </w:r>
      <w:bookmarkStart w:id="2217" w:name="Bookmark_para_1_17"/>
      <w:bookmarkEnd w:id="2217"/>
      <w:r>
        <w:rPr>
          <w:rFonts w:ascii="Arial" w:eastAsia="Arial" w:hAnsi="Arial" w:cs="Arial"/>
          <w:color w:val="000000"/>
          <w:sz w:val="20"/>
        </w:rPr>
        <w:t>PLEASE REFER TO FEDERAL RULES OF APPELLATE PROCEDURE RULE 32.1 GOVERNING THE CITATION TO UNPUBLISHED OPINIONS.</w:t>
      </w:r>
    </w:p>
    <w:p w14:paraId="600B20F4" w14:textId="77777777" w:rsidR="00D041A2" w:rsidRDefault="00000000">
      <w:pPr>
        <w:pStyle w:val="Normal18"/>
        <w:widowControl w:val="0"/>
        <w:spacing w:before="240" w:line="260" w:lineRule="atLeast"/>
        <w:jc w:val="both"/>
      </w:pPr>
      <w:bookmarkStart w:id="2218" w:name="Prior_History_17"/>
      <w:bookmarkEnd w:id="2218"/>
      <w:r>
        <w:rPr>
          <w:rFonts w:ascii="Arial" w:eastAsia="Arial" w:hAnsi="Arial" w:cs="Arial"/>
          <w:b/>
          <w:color w:val="000000"/>
          <w:sz w:val="20"/>
        </w:rPr>
        <w:t>Prior History:</w:t>
      </w:r>
      <w:r>
        <w:rPr>
          <w:rFonts w:ascii="Arial" w:eastAsia="Arial" w:hAnsi="Arial" w:cs="Arial"/>
          <w:color w:val="000000"/>
          <w:sz w:val="20"/>
        </w:rPr>
        <w:t>  [**1] </w:t>
      </w:r>
      <w:bookmarkStart w:id="2219" w:name="Bookmark_para_2_17"/>
      <w:bookmarkEnd w:id="2219"/>
      <w:r>
        <w:rPr>
          <w:rFonts w:ascii="Arial" w:eastAsia="Arial" w:hAnsi="Arial" w:cs="Arial"/>
          <w:color w:val="000000"/>
          <w:sz w:val="20"/>
        </w:rPr>
        <w:t>Appeal from the United States District Court for the Eastern District of Wisconsin. No. 10-CV-590-JPS. J.P. Stadtmueller, Judge.</w:t>
      </w:r>
    </w:p>
    <w:p w14:paraId="25FC22E8" w14:textId="77777777" w:rsidR="00D041A2" w:rsidRDefault="00000000">
      <w:pPr>
        <w:pStyle w:val="Normal18"/>
        <w:widowControl w:val="0"/>
        <w:spacing w:before="120" w:line="260" w:lineRule="atLeast"/>
      </w:pPr>
      <w:r>
        <w:rPr>
          <w:rFonts w:ascii="Arial" w:eastAsia="Arial" w:hAnsi="Arial" w:cs="Arial"/>
          <w:color w:val="000000"/>
          <w:sz w:val="20"/>
        </w:rPr>
        <w:t>United States v. WHPC-DWR, LLC, 2011 U.S. Dist. LEXIS 149042 (E.D. Wis., Dec. 28, 2011)</w:t>
      </w:r>
    </w:p>
    <w:p w14:paraId="54D3F832" w14:textId="77777777" w:rsidR="00D041A2" w:rsidRDefault="00000000">
      <w:pPr>
        <w:pStyle w:val="Normal18"/>
        <w:widowControl w:val="0"/>
        <w:spacing w:before="240" w:line="260" w:lineRule="atLeast"/>
      </w:pPr>
      <w:bookmarkStart w:id="2220" w:name="Counsel_17"/>
      <w:bookmarkEnd w:id="2220"/>
      <w:r>
        <w:rPr>
          <w:rFonts w:ascii="Arial" w:eastAsia="Arial" w:hAnsi="Arial" w:cs="Arial"/>
          <w:b/>
          <w:color w:val="000000"/>
          <w:sz w:val="20"/>
        </w:rPr>
        <w:t>Counsel:</w:t>
      </w:r>
      <w:r>
        <w:rPr>
          <w:rFonts w:ascii="Arial" w:eastAsia="Arial" w:hAnsi="Arial" w:cs="Arial"/>
          <w:color w:val="000000"/>
          <w:sz w:val="20"/>
        </w:rPr>
        <w:t> For UNITED STATES OF AMERICA, Plaintiff: Lennie A. Lehman, Attorney, OFFICE OF THE UNITED STATES ATTORNEY, Milwaukee, WI.</w:t>
      </w:r>
    </w:p>
    <w:p w14:paraId="62E56ECD" w14:textId="77777777" w:rsidR="00D041A2" w:rsidRDefault="00000000">
      <w:pPr>
        <w:pStyle w:val="Normal18"/>
        <w:widowControl w:val="0"/>
        <w:spacing w:before="120" w:line="260" w:lineRule="atLeast"/>
      </w:pPr>
      <w:r>
        <w:rPr>
          <w:rFonts w:ascii="Arial" w:eastAsia="Arial" w:hAnsi="Arial" w:cs="Arial"/>
          <w:color w:val="000000"/>
          <w:sz w:val="20"/>
        </w:rPr>
        <w:t>For WHPC-DWR LLC, CARDINAL CAPITAL MANAGEMENT INC., DEE LUEBKE, Defendants - Appellees: Christopher P. Banaszak, Attorney, Robert Stephen Driscoll, Attorney, REINHART BOERNER VAN DEUREN S.C., Milwaukee, WI.</w:t>
      </w:r>
    </w:p>
    <w:p w14:paraId="16D8AA1B" w14:textId="77777777" w:rsidR="00D041A2" w:rsidRDefault="00000000">
      <w:pPr>
        <w:pStyle w:val="Normal18"/>
        <w:widowControl w:val="0"/>
        <w:spacing w:before="120" w:line="260" w:lineRule="atLeast"/>
      </w:pPr>
      <w:r>
        <w:rPr>
          <w:rFonts w:ascii="Arial" w:eastAsia="Arial" w:hAnsi="Arial" w:cs="Arial"/>
          <w:color w:val="000000"/>
          <w:sz w:val="20"/>
        </w:rPr>
        <w:t>RICHARD SINGSIME, Intervenor - Appellant, Pro se, Elkhorn, WI.</w:t>
      </w:r>
    </w:p>
    <w:p w14:paraId="11029C69" w14:textId="77777777" w:rsidR="00D041A2" w:rsidRDefault="00000000">
      <w:pPr>
        <w:pStyle w:val="Normal18"/>
        <w:widowControl w:val="0"/>
        <w:spacing w:before="240" w:line="260" w:lineRule="atLeast"/>
      </w:pPr>
      <w:bookmarkStart w:id="2221" w:name="Judges_17"/>
      <w:bookmarkEnd w:id="2221"/>
      <w:r>
        <w:rPr>
          <w:rFonts w:ascii="Arial" w:eastAsia="Arial" w:hAnsi="Arial" w:cs="Arial"/>
          <w:b/>
          <w:color w:val="000000"/>
          <w:sz w:val="20"/>
        </w:rPr>
        <w:t>Judges:</w:t>
      </w:r>
      <w:r>
        <w:rPr>
          <w:rFonts w:ascii="Arial" w:eastAsia="Arial" w:hAnsi="Arial" w:cs="Arial"/>
          <w:color w:val="000000"/>
          <w:sz w:val="20"/>
        </w:rPr>
        <w:t> Before JOEL M. FLAUM, Circuit Judge, ILANA DIAMOND ROVNER, Circuit Judge, ANN CLAIRE WILLIAMS, Circuit Judge.</w:t>
      </w:r>
    </w:p>
    <w:p w14:paraId="2C373060" w14:textId="77777777" w:rsidR="00D041A2" w:rsidRDefault="00000000">
      <w:pPr>
        <w:pStyle w:val="Normal18"/>
        <w:keepNext/>
        <w:widowControl w:val="0"/>
        <w:spacing w:before="240" w:line="340" w:lineRule="atLeast"/>
      </w:pPr>
      <w:bookmarkStart w:id="2222" w:name="Opinion_17"/>
      <w:bookmarkEnd w:id="2222"/>
      <w:r>
        <w:rPr>
          <w:rFonts w:ascii="Arial" w:eastAsia="Arial" w:hAnsi="Arial" w:cs="Arial"/>
          <w:b/>
          <w:color w:val="000000"/>
          <w:sz w:val="28"/>
        </w:rPr>
        <w:t>Opinion</w:t>
      </w:r>
    </w:p>
    <w:p w14:paraId="5C47B09C" w14:textId="7394E5C4" w:rsidR="00D041A2" w:rsidRDefault="004D4403">
      <w:pPr>
        <w:pStyle w:val="Normal18"/>
        <w:spacing w:line="60" w:lineRule="exact"/>
      </w:pPr>
      <w:r>
        <w:rPr>
          <w:noProof/>
        </w:rPr>
        <mc:AlternateContent>
          <mc:Choice Requires="wps">
            <w:drawing>
              <wp:anchor distT="0" distB="0" distL="114300" distR="114300" simplePos="0" relativeHeight="251698176" behindDoc="0" locked="0" layoutInCell="1" allowOverlap="1" wp14:anchorId="3A4BC566" wp14:editId="58774B69">
                <wp:simplePos x="0" y="0"/>
                <wp:positionH relativeFrom="column">
                  <wp:posOffset>0</wp:posOffset>
                </wp:positionH>
                <wp:positionV relativeFrom="paragraph">
                  <wp:posOffset>25400</wp:posOffset>
                </wp:positionV>
                <wp:extent cx="3187700" cy="0"/>
                <wp:effectExtent l="19050" t="15875" r="12700" b="12700"/>
                <wp:wrapTopAndBottom/>
                <wp:docPr id="643708788"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AA42B"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54F336D" w14:textId="77777777" w:rsidR="00D041A2" w:rsidRDefault="00D041A2">
      <w:pPr>
        <w:pStyle w:val="Normal18"/>
        <w:spacing w:line="120" w:lineRule="exact"/>
      </w:pPr>
    </w:p>
    <w:p w14:paraId="0A74C5E0" w14:textId="77777777" w:rsidR="00D041A2" w:rsidRDefault="00000000">
      <w:pPr>
        <w:pStyle w:val="Normal18"/>
        <w:widowControl w:val="0"/>
        <w:spacing w:before="240" w:line="260" w:lineRule="atLeast"/>
      </w:pPr>
      <w:r>
        <w:br/>
      </w:r>
      <w:r>
        <w:rPr>
          <w:rFonts w:ascii="Arial" w:eastAsia="Arial" w:hAnsi="Arial" w:cs="Arial"/>
          <w:color w:val="000000"/>
          <w:sz w:val="20"/>
        </w:rPr>
        <w:t xml:space="preserve"> [*734]  </w:t>
      </w:r>
      <w:r>
        <w:rPr>
          <w:rFonts w:ascii="Arial" w:eastAsia="Arial" w:hAnsi="Arial" w:cs="Arial"/>
          <w:b/>
          <w:color w:val="000000"/>
          <w:sz w:val="20"/>
        </w:rPr>
        <w:t>ORDER</w:t>
      </w:r>
    </w:p>
    <w:p w14:paraId="3CD7DDB8" w14:textId="77777777" w:rsidR="00D041A2" w:rsidRDefault="00000000">
      <w:pPr>
        <w:pStyle w:val="Normal18"/>
        <w:widowControl w:val="0"/>
        <w:spacing w:before="200" w:line="260" w:lineRule="atLeast"/>
        <w:jc w:val="both"/>
      </w:pPr>
      <w:bookmarkStart w:id="2223" w:name="Bookmark_para_3_17"/>
      <w:bookmarkEnd w:id="2223"/>
      <w:r>
        <w:rPr>
          <w:rFonts w:ascii="Arial" w:eastAsia="Arial" w:hAnsi="Arial" w:cs="Arial"/>
          <w:color w:val="000000"/>
          <w:sz w:val="20"/>
        </w:rPr>
        <w:t xml:space="preserve">Richard Singsime claims that the owner and managers of an apartment building violated the Fair Housing Act, 42 U.S.C. §§ 3601-19, by not designating for his use one of the parking spaces closest to the building entrance. Singsime had complained to the United States Department of Housing and Urban Development, which investigated and found reasonable cause to believe that a discriminatory practice had existed. </w:t>
      </w:r>
      <w:r>
        <w:rPr>
          <w:rFonts w:ascii="Arial" w:eastAsia="Arial" w:hAnsi="Arial" w:cs="Arial"/>
          <w:i/>
          <w:color w:val="000000"/>
          <w:sz w:val="20"/>
        </w:rPr>
        <w:t>See id.</w:t>
      </w:r>
      <w:r>
        <w:rPr>
          <w:rFonts w:ascii="Arial" w:eastAsia="Arial" w:hAnsi="Arial" w:cs="Arial"/>
          <w:color w:val="000000"/>
          <w:sz w:val="20"/>
        </w:rPr>
        <w:t xml:space="preserve"> § 3610(a)(1), (g)(1). On that basis the Secretary of HUD issued an administrative charge of discrimination. </w:t>
      </w:r>
      <w:r>
        <w:rPr>
          <w:rFonts w:ascii="Arial" w:eastAsia="Arial" w:hAnsi="Arial" w:cs="Arial"/>
          <w:i/>
          <w:color w:val="000000"/>
          <w:sz w:val="20"/>
        </w:rPr>
        <w:t>See id.</w:t>
      </w:r>
      <w:r>
        <w:rPr>
          <w:rFonts w:ascii="Arial" w:eastAsia="Arial" w:hAnsi="Arial" w:cs="Arial"/>
          <w:color w:val="000000"/>
          <w:sz w:val="20"/>
        </w:rPr>
        <w:t xml:space="preserve"> § 3610(g)(2)(A). Singsime could have  [**2] sued in federal court even without that administrative charge, </w:t>
      </w:r>
      <w:r>
        <w:rPr>
          <w:rFonts w:ascii="Arial" w:eastAsia="Arial" w:hAnsi="Arial" w:cs="Arial"/>
          <w:i/>
          <w:color w:val="000000"/>
          <w:sz w:val="20"/>
        </w:rPr>
        <w:t>see id.</w:t>
      </w:r>
      <w:r>
        <w:rPr>
          <w:rFonts w:ascii="Arial" w:eastAsia="Arial" w:hAnsi="Arial" w:cs="Arial"/>
          <w:color w:val="000000"/>
          <w:sz w:val="20"/>
        </w:rPr>
        <w:t xml:space="preserve"> § 3613, but with the charge in hand he gained the additional options of vetting the dispute before an Administrative Law Judge or, alternatively, compelling the Attorney General to sue on his behalf, </w:t>
      </w:r>
      <w:r>
        <w:rPr>
          <w:rFonts w:ascii="Arial" w:eastAsia="Arial" w:hAnsi="Arial" w:cs="Arial"/>
          <w:i/>
          <w:color w:val="000000"/>
          <w:sz w:val="20"/>
        </w:rPr>
        <w:t>see id.</w:t>
      </w:r>
      <w:r>
        <w:rPr>
          <w:rFonts w:ascii="Arial" w:eastAsia="Arial" w:hAnsi="Arial" w:cs="Arial"/>
          <w:color w:val="000000"/>
          <w:sz w:val="20"/>
        </w:rPr>
        <w:t xml:space="preserve"> § 3612(a), (b), (</w:t>
      </w:r>
      <w:r>
        <w:rPr>
          <w:rFonts w:ascii="Arial" w:eastAsia="Arial" w:hAnsi="Arial" w:cs="Arial"/>
          <w:i/>
          <w:color w:val="000000"/>
          <w:sz w:val="20"/>
        </w:rPr>
        <w:t>o</w:t>
      </w:r>
      <w:r>
        <w:rPr>
          <w:rFonts w:ascii="Arial" w:eastAsia="Arial" w:hAnsi="Arial" w:cs="Arial"/>
          <w:color w:val="000000"/>
          <w:sz w:val="20"/>
        </w:rPr>
        <w:t xml:space="preserve">)(1). Singsime elected the last of these options, yet after the United States filed suit he hired his own lawyer and intervened, citing a statutory provision authorizing any "aggrieved party" to intervene in a suit brought by the Attorney General. </w:t>
      </w:r>
      <w:r>
        <w:rPr>
          <w:rFonts w:ascii="Arial" w:eastAsia="Arial" w:hAnsi="Arial" w:cs="Arial"/>
          <w:i/>
          <w:color w:val="000000"/>
          <w:sz w:val="20"/>
        </w:rPr>
        <w:t>See id.</w:t>
      </w:r>
      <w:r>
        <w:rPr>
          <w:rFonts w:ascii="Arial" w:eastAsia="Arial" w:hAnsi="Arial" w:cs="Arial"/>
          <w:color w:val="000000"/>
          <w:sz w:val="20"/>
        </w:rPr>
        <w:t xml:space="preserve"> § 3612(</w:t>
      </w:r>
      <w:r>
        <w:rPr>
          <w:rFonts w:ascii="Arial" w:eastAsia="Arial" w:hAnsi="Arial" w:cs="Arial"/>
          <w:i/>
          <w:color w:val="000000"/>
          <w:sz w:val="20"/>
        </w:rPr>
        <w:t>o</w:t>
      </w:r>
      <w:r>
        <w:rPr>
          <w:rFonts w:ascii="Arial" w:eastAsia="Arial" w:hAnsi="Arial" w:cs="Arial"/>
          <w:color w:val="000000"/>
          <w:sz w:val="20"/>
        </w:rPr>
        <w:t>)(2). Singsime did not substitute himself as plaintiff, and neither did he object when the United States settled the suit. Even so, the Consent Order signed by the district judge allowed Singsime to continue litigating as if there had been no resolution of his claims, and eventually he lost at summary judgment. Singsime, who is now pro se, appeals from that adverse decision.</w:t>
      </w:r>
    </w:p>
    <w:p w14:paraId="4061B04A" w14:textId="77777777" w:rsidR="00D041A2" w:rsidRDefault="00000000">
      <w:pPr>
        <w:pStyle w:val="Normal18"/>
        <w:widowControl w:val="0"/>
        <w:spacing w:before="200" w:line="260" w:lineRule="atLeast"/>
        <w:jc w:val="both"/>
      </w:pPr>
      <w:bookmarkStart w:id="2224" w:name="Bookmark_para_4_17"/>
      <w:bookmarkStart w:id="2225" w:name="Bookmark_I564THTP2D6P1B0020000400"/>
      <w:bookmarkEnd w:id="2224"/>
      <w:bookmarkEnd w:id="2225"/>
      <w:r>
        <w:rPr>
          <w:rFonts w:ascii="Arial" w:eastAsia="Arial" w:hAnsi="Arial" w:cs="Arial"/>
          <w:color w:val="000000"/>
          <w:sz w:val="20"/>
        </w:rPr>
        <w:t xml:space="preserve">The facts, which we recite in the light most favorable to Singsime, are undisputed unless otherwise noted. </w:t>
      </w:r>
      <w:r>
        <w:rPr>
          <w:rFonts w:ascii="Arial" w:eastAsia="Arial" w:hAnsi="Arial" w:cs="Arial"/>
          <w:i/>
          <w:color w:val="000000"/>
          <w:sz w:val="20"/>
        </w:rPr>
        <w:t xml:space="preserve">See </w:t>
      </w:r>
      <w:bookmarkStart w:id="2226" w:name="Bookmark_I564THTP2D6P1B0010000400"/>
      <w:bookmarkEnd w:id="2226"/>
      <w:r>
        <w:rPr>
          <w:rFonts w:ascii="Arial" w:eastAsia="Arial" w:hAnsi="Arial" w:cs="Arial"/>
          <w:i/>
          <w:color w:val="000000"/>
          <w:sz w:val="20"/>
        </w:rPr>
        <w:t>Nova Design Build, Inc. v. Grace Hotels, LLC</w:t>
      </w:r>
      <w:r>
        <w:rPr>
          <w:rFonts w:ascii="Arial" w:eastAsia="Arial" w:hAnsi="Arial" w:cs="Arial"/>
          <w:color w:val="000000"/>
          <w:sz w:val="20"/>
        </w:rPr>
        <w:t>, 652 F.3d 814, 817 (7th Cir. 2011). From October 2008 until November 2009, Singsime lived at Village Square,  [**3] an 18-unit, HUD-subsidized apartment building in Walworth, Wisconsin, that rents exclusively to tenants who are 62 and older or disabled. Village Square is owned by WHPC-DWR, LLC, a nonprofit corporation devoted to providing affordable housing, and managed by Cardinal Capital Management, Inc.</w:t>
      </w:r>
    </w:p>
    <w:p w14:paraId="7EB4D58E" w14:textId="77777777" w:rsidR="00D041A2" w:rsidRDefault="00000000">
      <w:pPr>
        <w:pStyle w:val="Normal18"/>
        <w:widowControl w:val="0"/>
        <w:spacing w:before="200" w:line="260" w:lineRule="atLeast"/>
        <w:jc w:val="both"/>
      </w:pPr>
      <w:bookmarkStart w:id="2227" w:name="Bookmark_para_5_17"/>
      <w:bookmarkEnd w:id="2227"/>
      <w:r>
        <w:rPr>
          <w:rFonts w:ascii="Arial" w:eastAsia="Arial" w:hAnsi="Arial" w:cs="Arial"/>
          <w:color w:val="000000"/>
          <w:sz w:val="20"/>
        </w:rPr>
        <w:t>Most tenants at Village Square have difficulty ambulating, and some use wheelchairs, walkers, or other assistive devices. Singsime suffers, too, from conditions impeding his ability to walk, including idiopathic peripheral neuropathy and peripheral vascular disease. He uses a cane and wears leg braces but, like ten or eleven other residents, owned a car while living at Village Square. Singsime had a placard authorizing him to park in spaces designated for the disabled, s</w:t>
      </w:r>
      <w:r>
        <w:rPr>
          <w:rFonts w:ascii="Arial" w:eastAsia="Arial" w:hAnsi="Arial" w:cs="Arial"/>
          <w:i/>
          <w:color w:val="000000"/>
          <w:sz w:val="20"/>
        </w:rPr>
        <w:t>ee</w:t>
      </w:r>
      <w:r>
        <w:rPr>
          <w:rFonts w:ascii="Arial" w:eastAsia="Arial" w:hAnsi="Arial" w:cs="Arial"/>
          <w:color w:val="000000"/>
          <w:sz w:val="20"/>
        </w:rPr>
        <w:t xml:space="preserve"> </w:t>
      </w:r>
      <w:r>
        <w:rPr>
          <w:rFonts w:ascii="Arial" w:eastAsia="Arial" w:hAnsi="Arial" w:cs="Arial"/>
          <w:smallCaps/>
          <w:color w:val="000000"/>
          <w:sz w:val="20"/>
        </w:rPr>
        <w:t>Wis. Stat.</w:t>
      </w:r>
      <w:r>
        <w:rPr>
          <w:rFonts w:ascii="Arial" w:eastAsia="Arial" w:hAnsi="Arial" w:cs="Arial"/>
          <w:color w:val="000000"/>
          <w:sz w:val="20"/>
        </w:rPr>
        <w:t xml:space="preserve"> § 343.51, but so did three, and sometimes four, other residents.</w:t>
      </w:r>
    </w:p>
    <w:p w14:paraId="7A719E25" w14:textId="77777777" w:rsidR="00D041A2" w:rsidRDefault="00000000">
      <w:pPr>
        <w:pStyle w:val="Normal18"/>
        <w:widowControl w:val="0"/>
        <w:spacing w:before="200" w:line="260" w:lineRule="atLeast"/>
        <w:jc w:val="both"/>
      </w:pPr>
      <w:bookmarkStart w:id="2228" w:name="Bookmark_para_6_17"/>
      <w:bookmarkEnd w:id="2228"/>
      <w:r>
        <w:rPr>
          <w:rFonts w:ascii="Arial" w:eastAsia="Arial" w:hAnsi="Arial" w:cs="Arial"/>
          <w:color w:val="000000"/>
          <w:sz w:val="20"/>
        </w:rPr>
        <w:t>When Singsime moved in, Village Square was allocating its twelve parking spaces on a "first come, first served" basis. No spot was permanently assigned. The spaces were divided among two rows. The first row, located directly in front of the building, had five spaces. Of those the space closest to the door of the building had a curb cut and was identified,  [**4] by a sign and pavement markings, as reserved for the disabled. The complaint alleges that the adjacent space also was marked on the pavement as reserved for the disabled but did not have a sign. An understanding had been reached among the existing residents that use of the space with the curb cut would be limited to temporary parking; residents and visitors with cars, including those residents with "handicapped" placards, parked in other spaces so that the spot closest to the door would be left open for emergency vehicles and to accommodate drivers transporting disabled  [*735]  or infirm residents. The second row of spaces, with seven spots, ran parallel to the first and was separated from the building only by the width of the driving lane between the two rows of spaces. No suggestion has been made that Village Square's parking configuration violated state or local law, the Rehabilitation Act or the Americans with Disabilities Act, or HUD regulations governing subsidized housing.</w:t>
      </w:r>
    </w:p>
    <w:p w14:paraId="73CCF17E" w14:textId="77777777" w:rsidR="00D041A2" w:rsidRDefault="00000000">
      <w:pPr>
        <w:pStyle w:val="Normal18"/>
        <w:widowControl w:val="0"/>
        <w:spacing w:before="200" w:line="260" w:lineRule="atLeast"/>
        <w:jc w:val="both"/>
      </w:pPr>
      <w:bookmarkStart w:id="2229" w:name="Bookmark_para_7_17"/>
      <w:bookmarkEnd w:id="2229"/>
      <w:r>
        <w:rPr>
          <w:rFonts w:ascii="Arial" w:eastAsia="Arial" w:hAnsi="Arial" w:cs="Arial"/>
          <w:color w:val="000000"/>
          <w:sz w:val="20"/>
        </w:rPr>
        <w:t>Singsime did not know about the customary use of the handicapped space and began leaving his truck there. But soon an assistant property manager, Cardinal Capital employee Dee Luebke, called him to the office and explained  [**5] the established practice. According to Singsime, when he asked Luebke where he should move his truck, she pointed to the row of seven spaces and said to put it "on the other end" in the open spot farthest from the entrance. Singsime began parking exclusively in that space under the mistaken belief that parking spaces were permanently assigned.</w:t>
      </w:r>
    </w:p>
    <w:p w14:paraId="185958F3" w14:textId="77777777" w:rsidR="00D041A2" w:rsidRDefault="00000000">
      <w:pPr>
        <w:pStyle w:val="Normal18"/>
        <w:widowControl w:val="0"/>
        <w:spacing w:before="200" w:line="260" w:lineRule="atLeast"/>
        <w:jc w:val="both"/>
      </w:pPr>
      <w:bookmarkStart w:id="2230" w:name="Bookmark_para_8_16"/>
      <w:bookmarkEnd w:id="2230"/>
      <w:r>
        <w:rPr>
          <w:rFonts w:ascii="Arial" w:eastAsia="Arial" w:hAnsi="Arial" w:cs="Arial"/>
          <w:color w:val="000000"/>
          <w:sz w:val="20"/>
        </w:rPr>
        <w:t xml:space="preserve">That simple misunderstanding soon escalated into litigation. In the weeks following, Singsime twice asked Luebke if he could have a closer parking space (she denies that these conversations took place, but we accept Singsime's version as we must on a motion for summary judgment). Singsime did not request a specific space for his exclusive long-term use. According to Singsime, Luebke responded, not by telling him that he must continue parking where he was, but by reminding him that only short-term parking was allowed in the first handicapped space. The two disagree about whether Luebke ever said explicitly that Singsime could park anywhere else under the "first come, first served" policy—she says yes, he says no. When Luebke purportedly said that she was powerless to change that policy, Singsime telephoned her boss, Robert McCormick. That conversation  [**6] was in late October 2008, and at summary judgment Singsime did not contradict McCormick's deposition testimony that </w:t>
      </w:r>
      <w:r>
        <w:rPr>
          <w:rFonts w:ascii="Arial" w:eastAsia="Arial" w:hAnsi="Arial" w:cs="Arial"/>
          <w:i/>
          <w:color w:val="000000"/>
          <w:sz w:val="20"/>
        </w:rPr>
        <w:t>he</w:t>
      </w:r>
      <w:r>
        <w:rPr>
          <w:rFonts w:ascii="Arial" w:eastAsia="Arial" w:hAnsi="Arial" w:cs="Arial"/>
          <w:color w:val="000000"/>
          <w:sz w:val="20"/>
        </w:rPr>
        <w:t xml:space="preserve"> told Singsime that the parking spaces were unassigned. Singsime admits that spaces closer to the door typically were open when he sought to park, but even after speaking with McCormick he continued parking in the farthest spot. His use of that space did not change even after he slipped and fell in the parking lot in December 2008.</w:t>
      </w:r>
    </w:p>
    <w:p w14:paraId="36B62497" w14:textId="77777777" w:rsidR="00D041A2" w:rsidRDefault="00000000">
      <w:pPr>
        <w:pStyle w:val="Normal18"/>
        <w:widowControl w:val="0"/>
        <w:spacing w:before="200" w:line="260" w:lineRule="atLeast"/>
        <w:jc w:val="both"/>
      </w:pPr>
      <w:bookmarkStart w:id="2231" w:name="Bookmark_para_9_15"/>
      <w:bookmarkEnd w:id="2231"/>
      <w:r>
        <w:rPr>
          <w:rFonts w:ascii="Arial" w:eastAsia="Arial" w:hAnsi="Arial" w:cs="Arial"/>
          <w:color w:val="000000"/>
          <w:sz w:val="20"/>
        </w:rPr>
        <w:t xml:space="preserve">Meanwhile, before calling McCormick, Singsime already had contacted HUD. After speaking with McCormick, he filed his administrative complaint asserting that the building owner along with Cardinal Capital, Luebke, and McCormick had denied him a reasonable accommodation in the form of an accessible parking space. HUD's administrative charge of discrimination does not assert that Singsime asked Luebke or McCormick to assign him a particular parking space, nor does the HUD charge say that Singsime was unaware that he, like the other seventeen elderly or disabled tenants at Village Square, could park long-term in any open space except for the handicapped spot closest to the door. Yet in the civil complaint filed on Singsime's behalf (and echoed  [**7] by Singsime when he intervened in the lawsuit), the United States alleges that Singsime had asked for an "assigned parking space near the building entrance." The suit claims that the defendants refused this purported request and thus constructively denied a dwelling to Singsime on account of his handicap, </w:t>
      </w:r>
      <w:r>
        <w:rPr>
          <w:rFonts w:ascii="Arial" w:eastAsia="Arial" w:hAnsi="Arial" w:cs="Arial"/>
          <w:i/>
          <w:color w:val="000000"/>
          <w:sz w:val="20"/>
        </w:rPr>
        <w:t>see</w:t>
      </w:r>
      <w:r>
        <w:rPr>
          <w:rFonts w:ascii="Arial" w:eastAsia="Arial" w:hAnsi="Arial" w:cs="Arial"/>
          <w:color w:val="000000"/>
          <w:sz w:val="20"/>
        </w:rPr>
        <w:t xml:space="preserve"> 42 U.S.C. § 3604(f)(1)(A); discriminated against him in the terms of rental, </w:t>
      </w:r>
      <w:r>
        <w:rPr>
          <w:rFonts w:ascii="Arial" w:eastAsia="Arial" w:hAnsi="Arial" w:cs="Arial"/>
          <w:i/>
          <w:color w:val="000000"/>
          <w:sz w:val="20"/>
        </w:rPr>
        <w:t>see id.</w:t>
      </w:r>
      <w:r>
        <w:rPr>
          <w:rFonts w:ascii="Arial" w:eastAsia="Arial" w:hAnsi="Arial" w:cs="Arial"/>
          <w:color w:val="000000"/>
          <w:sz w:val="20"/>
        </w:rPr>
        <w:t xml:space="preserve"> § 3604(f)(2)(A); and refused a reasonable accommodation necessary to afford him equal enjoyment of the apartment building, </w:t>
      </w:r>
      <w:r>
        <w:rPr>
          <w:rFonts w:ascii="Arial" w:eastAsia="Arial" w:hAnsi="Arial" w:cs="Arial"/>
          <w:i/>
          <w:color w:val="000000"/>
          <w:sz w:val="20"/>
        </w:rPr>
        <w:t>see id.</w:t>
      </w:r>
      <w:r>
        <w:rPr>
          <w:rFonts w:ascii="Arial" w:eastAsia="Arial" w:hAnsi="Arial" w:cs="Arial"/>
          <w:color w:val="000000"/>
          <w:sz w:val="20"/>
        </w:rPr>
        <w:t xml:space="preserve"> § 3604(f)(3)(B). The United States sought a declaration that the defendants had violated the FHA and an injunction  [*736]  prohibiting them from discriminating on the basis of disability. Singsime apparently intervened to press also for compensatory and punitive damages, but he did not add to, or alter, the existing claims.</w:t>
      </w:r>
    </w:p>
    <w:p w14:paraId="04A6852F" w14:textId="77777777" w:rsidR="00D041A2" w:rsidRDefault="00000000">
      <w:pPr>
        <w:pStyle w:val="Normal18"/>
        <w:widowControl w:val="0"/>
        <w:spacing w:before="200" w:line="260" w:lineRule="atLeast"/>
        <w:jc w:val="both"/>
      </w:pPr>
      <w:bookmarkStart w:id="2232" w:name="Bookmark_para_10_15"/>
      <w:bookmarkEnd w:id="2232"/>
      <w:r>
        <w:rPr>
          <w:rFonts w:ascii="Arial" w:eastAsia="Arial" w:hAnsi="Arial" w:cs="Arial"/>
          <w:color w:val="000000"/>
          <w:sz w:val="20"/>
        </w:rPr>
        <w:t>After discovery the United States settled with the defendants. The Consent Order acknowledges that the United States had sued "on behalf of" Singsime, that § 3612(</w:t>
      </w:r>
      <w:r>
        <w:rPr>
          <w:rFonts w:ascii="Arial" w:eastAsia="Arial" w:hAnsi="Arial" w:cs="Arial"/>
          <w:i/>
          <w:color w:val="000000"/>
          <w:sz w:val="20"/>
        </w:rPr>
        <w:t>o</w:t>
      </w:r>
      <w:r>
        <w:rPr>
          <w:rFonts w:ascii="Arial" w:eastAsia="Arial" w:hAnsi="Arial" w:cs="Arial"/>
          <w:color w:val="000000"/>
          <w:sz w:val="20"/>
        </w:rPr>
        <w:t>) was the only basis for the Attorney General's involvement, and that the settlement covered "all claims asserted by the United States."  [**8] As noted, Singsime had not asserted any additional claims—he simply wanted damages—but he did not object to the settlement. The defendants did not admit liability but agreed to (1) formalize and distribute to residents a "reasonable accommodation policy," (2) change the Village Square parking policy to allow any qualified individual with a disability to park long-term in either of the two handicapped spaces, and (3) create additional handicapped spaces if necessary and feasible. As a result of this settlement, Village Square designated three spaces for drivers with "handicapped" plates or placards but had to reduce the overall number of parking spaces to ten to accommodate the additional, wider handicapped spots. This modification left only three parking spaces on the side of the lot closest to the building.</w:t>
      </w:r>
    </w:p>
    <w:p w14:paraId="035004C4" w14:textId="77777777" w:rsidR="00D041A2" w:rsidRDefault="00000000">
      <w:pPr>
        <w:pStyle w:val="Normal18"/>
        <w:widowControl w:val="0"/>
        <w:spacing w:before="200" w:line="260" w:lineRule="atLeast"/>
        <w:jc w:val="both"/>
      </w:pPr>
      <w:bookmarkStart w:id="2233" w:name="Bookmark_para_11_14"/>
      <w:bookmarkEnd w:id="2233"/>
      <w:r>
        <w:rPr>
          <w:rFonts w:ascii="Arial" w:eastAsia="Arial" w:hAnsi="Arial" w:cs="Arial"/>
          <w:color w:val="000000"/>
          <w:sz w:val="20"/>
        </w:rPr>
        <w:t xml:space="preserve">By its terms the Consent Order did not resolve Singsime's intervention in the lawsuit, so the defendants moved for summary judgment. They argued, first, that Singsime's pivotal factual allegation in the lawsuit—that he requested but was refused an "assigned parking space near the building entrance"—lacked evidentiary support. Instead, the defendants pointed out, the evidence at  [**9] summary judgment established that Singsime had asked only to park closer than the space farthest from the building's entrance; that accommodation already was satisfied under Village Square's "first come, first served" parking policy, which McCormick made clear to Singsime before he filed his administrative complaint with HUD. The defendants further argued that, even if Singsime had produced evidence that he requested an assigned space closer to the building entrance, that accommodation would not have been reasonable at Village Square because the lot was small and many other disabled residents would be disadvantaged. In granting summary judgment for the defendants, the district court agreed with the defendants that Singsime could not establish a violation of the FHA because it was undisputed that he knew he could park in the open spaces closer to the building entrance and had never asked that one of those spaces be assigned to him for his exclusive use. The district court reasoned that Village Square could not have refused Singsime the same "first come, first served" access to the closest spots enjoyed by all residents but did not address the defendants' contention that, consistent  [**10] with the FHA, they could have refused to </w:t>
      </w:r>
      <w:r>
        <w:rPr>
          <w:rFonts w:ascii="Arial" w:eastAsia="Arial" w:hAnsi="Arial" w:cs="Arial"/>
          <w:i/>
          <w:color w:val="000000"/>
          <w:sz w:val="20"/>
        </w:rPr>
        <w:t>assign</w:t>
      </w:r>
      <w:r>
        <w:rPr>
          <w:rFonts w:ascii="Arial" w:eastAsia="Arial" w:hAnsi="Arial" w:cs="Arial"/>
          <w:color w:val="000000"/>
          <w:sz w:val="20"/>
        </w:rPr>
        <w:t xml:space="preserve"> Singsime a closer space if he had asked for that accommodation.</w:t>
      </w:r>
    </w:p>
    <w:p w14:paraId="2FD37885" w14:textId="77777777" w:rsidR="00D041A2" w:rsidRDefault="00000000">
      <w:pPr>
        <w:pStyle w:val="Normal18"/>
        <w:widowControl w:val="0"/>
        <w:spacing w:before="200" w:line="260" w:lineRule="atLeast"/>
        <w:jc w:val="both"/>
      </w:pPr>
      <w:bookmarkStart w:id="2234" w:name="Bookmark_para_12_13"/>
      <w:bookmarkStart w:id="2235" w:name="Bookmark_I564THTP2D6P1B0040000400"/>
      <w:bookmarkEnd w:id="2234"/>
      <w:bookmarkEnd w:id="2235"/>
      <w:r>
        <w:rPr>
          <w:rFonts w:ascii="Arial" w:eastAsia="Arial" w:hAnsi="Arial" w:cs="Arial"/>
          <w:color w:val="000000"/>
          <w:sz w:val="20"/>
        </w:rPr>
        <w:t xml:space="preserve">Singsime, now proceeding pro se, insists that the district court erred in granting summary judgment because material issues of fact remain. </w:t>
      </w:r>
      <w:bookmarkStart w:id="2236" w:name="Bookmark_I564THTP2HM6270010000400"/>
      <w:bookmarkStart w:id="2237" w:name="Bookmark_LNHNREFclscc1_12"/>
      <w:bookmarkEnd w:id="2236"/>
      <w:bookmarkEnd w:id="2237"/>
      <w:r>
        <w:rPr>
          <w:rFonts w:ascii="Arial" w:eastAsia="Arial" w:hAnsi="Arial" w:cs="Arial"/>
          <w:color w:val="000000"/>
          <w:sz w:val="20"/>
        </w:rPr>
        <w:t xml:space="preserve">To prevail on an FHA accommodation claim, a disabled plaintiff must establish that he requested and was denied an accommodation that was both reasonable and necessary to afford him an equal opportunity to use and enjoy his dwelling. </w:t>
      </w:r>
      <w:r>
        <w:rPr>
          <w:rFonts w:ascii="Arial" w:eastAsia="Arial" w:hAnsi="Arial" w:cs="Arial"/>
          <w:i/>
          <w:color w:val="000000"/>
          <w:sz w:val="20"/>
        </w:rPr>
        <w:t xml:space="preserve">See </w:t>
      </w:r>
      <w:bookmarkStart w:id="2238" w:name="Bookmark_I564THTP2D6P1B0030000400"/>
      <w:bookmarkEnd w:id="2238"/>
      <w:r>
        <w:rPr>
          <w:rFonts w:ascii="Arial" w:eastAsia="Arial" w:hAnsi="Arial" w:cs="Arial"/>
          <w:i/>
          <w:color w:val="000000"/>
          <w:sz w:val="20"/>
        </w:rPr>
        <w:t>Wis. Cmty. Servs., Inc. v. City of Milwaukee</w:t>
      </w:r>
      <w:r>
        <w:rPr>
          <w:rFonts w:ascii="Arial" w:eastAsia="Arial" w:hAnsi="Arial" w:cs="Arial"/>
          <w:color w:val="000000"/>
          <w:sz w:val="20"/>
        </w:rPr>
        <w:t xml:space="preserve">, 465 F.3d 737, 749 (7th Cir. 2006) (en banc). </w:t>
      </w:r>
      <w:bookmarkStart w:id="2239" w:name="Bookmark_I564THTP2HM6270010000400_2"/>
      <w:bookmarkEnd w:id="2239"/>
      <w:r>
        <w:rPr>
          <w:rFonts w:ascii="Arial" w:eastAsia="Arial" w:hAnsi="Arial" w:cs="Arial"/>
          <w:color w:val="000000"/>
          <w:sz w:val="20"/>
        </w:rPr>
        <w:t xml:space="preserve">Under our circuit's burden-shifting framework, a plaintiff cannot establish a prima facie case of discrimination without showing that the accommodation he sought is reasonable on its face. </w:t>
      </w:r>
      <w:bookmarkStart w:id="2240" w:name="Bookmark_I564THTP2D6P1B0050000400"/>
      <w:bookmarkEnd w:id="2240"/>
      <w:r>
        <w:rPr>
          <w:rFonts w:ascii="Arial" w:eastAsia="Arial" w:hAnsi="Arial" w:cs="Arial"/>
          <w:i/>
          <w:color w:val="000000"/>
          <w:sz w:val="20"/>
        </w:rPr>
        <w:t>Oconomowoc Residential Programs v. City of Milwaukee</w:t>
      </w:r>
      <w:r>
        <w:rPr>
          <w:rFonts w:ascii="Arial" w:eastAsia="Arial" w:hAnsi="Arial" w:cs="Arial"/>
          <w:color w:val="000000"/>
          <w:sz w:val="20"/>
        </w:rPr>
        <w:t>, 300 F.3d 775, 783 (7th Cir. 2002).</w:t>
      </w:r>
    </w:p>
    <w:p w14:paraId="5EC34B53" w14:textId="77777777" w:rsidR="00D041A2" w:rsidRDefault="00000000">
      <w:pPr>
        <w:pStyle w:val="Normal18"/>
        <w:widowControl w:val="0"/>
        <w:spacing w:before="200" w:line="260" w:lineRule="atLeast"/>
        <w:jc w:val="both"/>
      </w:pPr>
      <w:bookmarkStart w:id="2241" w:name="Bookmark_para_13_12"/>
      <w:bookmarkEnd w:id="2241"/>
      <w:r>
        <w:rPr>
          <w:rFonts w:ascii="Arial" w:eastAsia="Arial" w:hAnsi="Arial" w:cs="Arial"/>
          <w:color w:val="000000"/>
          <w:sz w:val="20"/>
        </w:rPr>
        <w:t xml:space="preserve"> [*737]  We agree with the district court that no jury reasonably could find for Singsime on the evidence presented at summary judgment, but we are puzzled that a lawsuit filed by the United States to vindicate claims specific to Singsime continued to summary judgment after an unopposed settlement of those very claims. This is not a situation where an  [**11] aggrieved party has intervened in litigation filed independently by the United States to address a pattern or practice of disability discrimination, </w:t>
      </w:r>
      <w:r>
        <w:rPr>
          <w:rFonts w:ascii="Arial" w:eastAsia="Arial" w:hAnsi="Arial" w:cs="Arial"/>
          <w:i/>
          <w:color w:val="000000"/>
          <w:sz w:val="20"/>
        </w:rPr>
        <w:t>see</w:t>
      </w:r>
      <w:r>
        <w:rPr>
          <w:rFonts w:ascii="Arial" w:eastAsia="Arial" w:hAnsi="Arial" w:cs="Arial"/>
          <w:color w:val="000000"/>
          <w:sz w:val="20"/>
        </w:rPr>
        <w:t xml:space="preserve"> 42 U.S.C. § 3614(a), (e), or because the Secretary of HUD referred the matter for enforcement consideration, </w:t>
      </w:r>
      <w:r>
        <w:rPr>
          <w:rFonts w:ascii="Arial" w:eastAsia="Arial" w:hAnsi="Arial" w:cs="Arial"/>
          <w:i/>
          <w:color w:val="000000"/>
          <w:sz w:val="20"/>
        </w:rPr>
        <w:t>see id.</w:t>
      </w:r>
      <w:r>
        <w:rPr>
          <w:rFonts w:ascii="Arial" w:eastAsia="Arial" w:hAnsi="Arial" w:cs="Arial"/>
          <w:color w:val="000000"/>
          <w:sz w:val="20"/>
        </w:rPr>
        <w:t xml:space="preserve"> § 3614(b), (e). </w:t>
      </w:r>
      <w:bookmarkStart w:id="2242" w:name="Bookmark_I564THTP2HM6270030000400"/>
      <w:bookmarkEnd w:id="2242"/>
      <w:r>
        <w:rPr>
          <w:rFonts w:ascii="Arial" w:eastAsia="Arial" w:hAnsi="Arial" w:cs="Arial"/>
          <w:color w:val="000000"/>
          <w:sz w:val="20"/>
        </w:rPr>
        <w:t xml:space="preserve">And neither is this lawsuit one where the United States has intervened in an aggrieved party's private-enforcement action to vindicate issues of "general public importance." </w:t>
      </w:r>
      <w:r>
        <w:rPr>
          <w:rFonts w:ascii="Arial" w:eastAsia="Arial" w:hAnsi="Arial" w:cs="Arial"/>
          <w:i/>
          <w:color w:val="000000"/>
          <w:sz w:val="20"/>
        </w:rPr>
        <w:t>See id.</w:t>
      </w:r>
      <w:r>
        <w:rPr>
          <w:rFonts w:ascii="Arial" w:eastAsia="Arial" w:hAnsi="Arial" w:cs="Arial"/>
          <w:color w:val="000000"/>
          <w:sz w:val="20"/>
        </w:rPr>
        <w:t xml:space="preserve"> § 3613(a)(1)(A), (e). In all of those situations the United States and the aggrieved party might have differing claims that one or the other should be free to settle without prejudicing the right of the other to proceed. </w:t>
      </w:r>
      <w:r>
        <w:rPr>
          <w:rFonts w:ascii="Arial" w:eastAsia="Arial" w:hAnsi="Arial" w:cs="Arial"/>
          <w:i/>
          <w:color w:val="000000"/>
          <w:sz w:val="20"/>
        </w:rPr>
        <w:t xml:space="preserve">See </w:t>
      </w:r>
      <w:bookmarkStart w:id="2243" w:name="Bookmark_I564THTP2HM6270020000400"/>
      <w:bookmarkEnd w:id="2243"/>
      <w:r>
        <w:rPr>
          <w:rFonts w:ascii="Arial" w:eastAsia="Arial" w:hAnsi="Arial" w:cs="Arial"/>
          <w:i/>
          <w:color w:val="000000"/>
          <w:sz w:val="20"/>
        </w:rPr>
        <w:t>United States v. Katz</w:t>
      </w:r>
      <w:r>
        <w:rPr>
          <w:rFonts w:ascii="Arial" w:eastAsia="Arial" w:hAnsi="Arial" w:cs="Arial"/>
          <w:color w:val="000000"/>
          <w:sz w:val="20"/>
        </w:rPr>
        <w:t xml:space="preserve">, No. 10 Civ. 3335, 2011 U.S. Dist. LEXIS 59159, 2011 WL 2175787, at *6 (S.D. N.Y. June 2, 2011); </w:t>
      </w:r>
      <w:bookmarkStart w:id="2244" w:name="Bookmark_I564THTP2HM6270040000400"/>
      <w:bookmarkEnd w:id="2244"/>
      <w:r>
        <w:rPr>
          <w:rFonts w:ascii="Arial" w:eastAsia="Arial" w:hAnsi="Arial" w:cs="Arial"/>
          <w:i/>
          <w:color w:val="000000"/>
          <w:sz w:val="20"/>
        </w:rPr>
        <w:t>United States v. Koch</w:t>
      </w:r>
      <w:r>
        <w:rPr>
          <w:rFonts w:ascii="Arial" w:eastAsia="Arial" w:hAnsi="Arial" w:cs="Arial"/>
          <w:color w:val="000000"/>
          <w:sz w:val="20"/>
        </w:rPr>
        <w:t xml:space="preserve">, No. 8:03CV406, 2006 U.S. Dist. LEXIS 44618, 2006 WL 1720489, at *2 (D. Neb. June 20, 2006); </w:t>
      </w:r>
      <w:bookmarkStart w:id="2245" w:name="Bookmark_I564THTP2HM6280010000400"/>
      <w:bookmarkEnd w:id="2245"/>
      <w:r>
        <w:rPr>
          <w:rFonts w:ascii="Arial" w:eastAsia="Arial" w:hAnsi="Arial" w:cs="Arial"/>
          <w:i/>
          <w:color w:val="000000"/>
          <w:sz w:val="20"/>
        </w:rPr>
        <w:t>Cohen v. Twp. of Cheltenham, Pa.</w:t>
      </w:r>
      <w:r>
        <w:rPr>
          <w:rFonts w:ascii="Arial" w:eastAsia="Arial" w:hAnsi="Arial" w:cs="Arial"/>
          <w:color w:val="000000"/>
          <w:sz w:val="20"/>
        </w:rPr>
        <w:t>, 174 F. Supp. 2d 307, 310 (E.D. Pa. 2001). Yet here the United States became a participant only because Singsime exercised his right under § 3612(</w:t>
      </w:r>
      <w:r>
        <w:rPr>
          <w:rFonts w:ascii="Arial" w:eastAsia="Arial" w:hAnsi="Arial" w:cs="Arial"/>
          <w:i/>
          <w:color w:val="000000"/>
          <w:sz w:val="20"/>
        </w:rPr>
        <w:t>o</w:t>
      </w:r>
      <w:r>
        <w:rPr>
          <w:rFonts w:ascii="Arial" w:eastAsia="Arial" w:hAnsi="Arial" w:cs="Arial"/>
          <w:color w:val="000000"/>
          <w:sz w:val="20"/>
        </w:rPr>
        <w:t>)(1) to compel the Attorney General to sue on his behalf, and as the complaint filed by the United States makes explicit, the United States indeed was  [**12] acting on Singsime's behalf. When Singsime then intervened, he did not expand on the claims brought by the United States; he adopted them. So it seems odd that Singsime, after intervening, could both allow the United States to settle claims pursued on his behalf and then, having failed to object to the settlement, not be bound by it.</w:t>
      </w:r>
    </w:p>
    <w:p w14:paraId="052DAB2A" w14:textId="77777777" w:rsidR="00D041A2" w:rsidRDefault="00000000">
      <w:pPr>
        <w:pStyle w:val="Normal18"/>
        <w:widowControl w:val="0"/>
        <w:spacing w:before="200" w:line="260" w:lineRule="atLeast"/>
        <w:jc w:val="both"/>
      </w:pPr>
      <w:bookmarkStart w:id="2246" w:name="Bookmark_para_14_11"/>
      <w:bookmarkEnd w:id="2246"/>
      <w:r>
        <w:rPr>
          <w:rFonts w:ascii="Arial" w:eastAsia="Arial" w:hAnsi="Arial" w:cs="Arial"/>
          <w:color w:val="000000"/>
          <w:sz w:val="20"/>
        </w:rPr>
        <w:t xml:space="preserve">But this result is not questioned by the defendants, so we move to the merits. </w:t>
      </w:r>
      <w:bookmarkStart w:id="2247" w:name="Bookmark_I564THTP2HM6280040000400"/>
      <w:bookmarkEnd w:id="2247"/>
      <w:r>
        <w:rPr>
          <w:rFonts w:ascii="Arial" w:eastAsia="Arial" w:hAnsi="Arial" w:cs="Arial"/>
          <w:color w:val="000000"/>
          <w:sz w:val="20"/>
        </w:rPr>
        <w:t xml:space="preserve">In his appellate brief Singsime does not identify record evidence supporting his assertion that he requested accommodation in the form of an assigned space closer than the spot he had been using. His deposition testimony, construed in the most favorable light, establishes that he asked only for leeway to park closer to the door, not for an assigned spot. Singsime might have thought that Luebke should read more into his words, but </w:t>
      </w:r>
      <w:bookmarkStart w:id="2248" w:name="Bookmark_LNHNREFclscc2_12"/>
      <w:bookmarkEnd w:id="2248"/>
      <w:r>
        <w:rPr>
          <w:rFonts w:ascii="Arial" w:eastAsia="Arial" w:hAnsi="Arial" w:cs="Arial"/>
          <w:color w:val="000000"/>
          <w:sz w:val="20"/>
        </w:rPr>
        <w:t xml:space="preserve">a request for accommodation must be specific enough to apprise the other party of the relief sought. </w:t>
      </w:r>
      <w:r>
        <w:rPr>
          <w:rFonts w:ascii="Arial" w:eastAsia="Arial" w:hAnsi="Arial" w:cs="Arial"/>
          <w:i/>
          <w:color w:val="000000"/>
          <w:sz w:val="20"/>
        </w:rPr>
        <w:t xml:space="preserve">See </w:t>
      </w:r>
      <w:bookmarkStart w:id="2249" w:name="Bookmark_I564THTP2HM6280030000400"/>
      <w:bookmarkEnd w:id="2249"/>
      <w:r>
        <w:rPr>
          <w:rFonts w:ascii="Arial" w:eastAsia="Arial" w:hAnsi="Arial" w:cs="Arial"/>
          <w:i/>
          <w:color w:val="000000"/>
          <w:sz w:val="20"/>
        </w:rPr>
        <w:t>Cassidy v. Detroit Edison Co.</w:t>
      </w:r>
      <w:r>
        <w:rPr>
          <w:rFonts w:ascii="Arial" w:eastAsia="Arial" w:hAnsi="Arial" w:cs="Arial"/>
          <w:color w:val="000000"/>
          <w:sz w:val="20"/>
        </w:rPr>
        <w:t xml:space="preserve">, 138 F.3d 629, 635 (6th Cir. 1998) (holding that summary judgment was warranted in case brought under ADA because plaintiff's requested accommodation was too vague); </w:t>
      </w:r>
      <w:r>
        <w:rPr>
          <w:rFonts w:ascii="Arial" w:eastAsia="Arial" w:hAnsi="Arial" w:cs="Arial"/>
          <w:i/>
          <w:color w:val="000000"/>
          <w:sz w:val="20"/>
        </w:rPr>
        <w:t xml:space="preserve">see also </w:t>
      </w:r>
      <w:bookmarkStart w:id="2250" w:name="Bookmark_I564THTP2HM6280050000400"/>
      <w:bookmarkEnd w:id="2250"/>
      <w:r>
        <w:rPr>
          <w:rFonts w:ascii="Arial" w:eastAsia="Arial" w:hAnsi="Arial" w:cs="Arial"/>
          <w:i/>
          <w:color w:val="000000"/>
          <w:sz w:val="20"/>
        </w:rPr>
        <w:t>Good Shepherd Manor Foundation, Inc. v. City of Momence</w:t>
      </w:r>
      <w:r>
        <w:rPr>
          <w:rFonts w:ascii="Arial" w:eastAsia="Arial" w:hAnsi="Arial" w:cs="Arial"/>
          <w:color w:val="000000"/>
          <w:sz w:val="20"/>
        </w:rPr>
        <w:t xml:space="preserve">, 323 F.3d 557, 561 (7th Cir. 2003)  [**13] (noting that requirements for establishing failure to accommodate are same under ADA and FHA); </w:t>
      </w:r>
      <w:bookmarkStart w:id="2251" w:name="Bookmark_I564THTP28T42T0020000400"/>
      <w:bookmarkEnd w:id="2251"/>
      <w:r>
        <w:rPr>
          <w:rFonts w:ascii="Arial" w:eastAsia="Arial" w:hAnsi="Arial" w:cs="Arial"/>
          <w:i/>
          <w:color w:val="000000"/>
          <w:sz w:val="20"/>
        </w:rPr>
        <w:t>Oconomowoc Residential Programs</w:t>
      </w:r>
      <w:r>
        <w:rPr>
          <w:rFonts w:ascii="Arial" w:eastAsia="Arial" w:hAnsi="Arial" w:cs="Arial"/>
          <w:color w:val="000000"/>
          <w:sz w:val="20"/>
        </w:rPr>
        <w:t>, 300 F.3d at 783 (same). And since the evidence is undisputed that McCormick told Singsime he was free to do exactly what he asked to do—park closer to the door—the defendants could not have violated the FHA because they did not deny his requested accommodation.</w:t>
      </w:r>
    </w:p>
    <w:p w14:paraId="440C0EF9" w14:textId="77777777" w:rsidR="00D041A2" w:rsidRDefault="00000000">
      <w:pPr>
        <w:pStyle w:val="Normal18"/>
        <w:widowControl w:val="0"/>
        <w:spacing w:before="200" w:line="260" w:lineRule="atLeast"/>
        <w:jc w:val="both"/>
      </w:pPr>
      <w:bookmarkStart w:id="2252" w:name="Bookmark_para_15_11"/>
      <w:bookmarkStart w:id="2253" w:name="Bookmark_I564THTP28T42T0050000400"/>
      <w:bookmarkEnd w:id="2252"/>
      <w:bookmarkEnd w:id="2253"/>
      <w:r>
        <w:rPr>
          <w:rFonts w:ascii="Arial" w:eastAsia="Arial" w:hAnsi="Arial" w:cs="Arial"/>
          <w:color w:val="000000"/>
          <w:sz w:val="20"/>
        </w:rPr>
        <w:t xml:space="preserve">It follows that, because Singsime's lawsuit is unsupported factually, we need not address the defendants' further contention that forcing Village Square to give Singsime exclusive use of a space close to the door would not have been a </w:t>
      </w:r>
      <w:r>
        <w:rPr>
          <w:rFonts w:ascii="Arial" w:eastAsia="Arial" w:hAnsi="Arial" w:cs="Arial"/>
          <w:i/>
          <w:color w:val="000000"/>
          <w:sz w:val="20"/>
        </w:rPr>
        <w:t>reasonable</w:t>
      </w:r>
      <w:r>
        <w:rPr>
          <w:rFonts w:ascii="Arial" w:eastAsia="Arial" w:hAnsi="Arial" w:cs="Arial"/>
          <w:color w:val="000000"/>
          <w:sz w:val="20"/>
        </w:rPr>
        <w:t xml:space="preserve"> accommodation under the FHA. Although HUD regulations interpreting the FHA assume that in some circumstances a "first come, first served" parking policy must yield to accommodate residents with impaired mobility, </w:t>
      </w:r>
      <w:r>
        <w:rPr>
          <w:rFonts w:ascii="Arial" w:eastAsia="Arial" w:hAnsi="Arial" w:cs="Arial"/>
          <w:i/>
          <w:color w:val="000000"/>
          <w:sz w:val="20"/>
        </w:rPr>
        <w:t>see</w:t>
      </w:r>
      <w:r>
        <w:rPr>
          <w:rFonts w:ascii="Arial" w:eastAsia="Arial" w:hAnsi="Arial" w:cs="Arial"/>
          <w:color w:val="000000"/>
          <w:sz w:val="20"/>
        </w:rPr>
        <w:t xml:space="preserve"> 24 C.F.R. § 100.204(b)(2)</w:t>
      </w:r>
      <w:r>
        <w:rPr>
          <w:rFonts w:ascii="Arial" w:eastAsia="Arial" w:hAnsi="Arial" w:cs="Arial"/>
          <w:i/>
          <w:color w:val="000000"/>
          <w:sz w:val="20"/>
        </w:rPr>
        <w:t xml:space="preserve">; </w:t>
      </w:r>
      <w:bookmarkStart w:id="2254" w:name="Bookmark_I564THTP28T42T0040000400"/>
      <w:bookmarkEnd w:id="2254"/>
      <w:r>
        <w:rPr>
          <w:rFonts w:ascii="Arial" w:eastAsia="Arial" w:hAnsi="Arial" w:cs="Arial"/>
          <w:i/>
          <w:color w:val="000000"/>
          <w:sz w:val="20"/>
        </w:rPr>
        <w:t>United States v. Cal. Mobile Home Park Mgmt. Co.</w:t>
      </w:r>
      <w:r>
        <w:rPr>
          <w:rFonts w:ascii="Arial" w:eastAsia="Arial" w:hAnsi="Arial" w:cs="Arial"/>
          <w:color w:val="000000"/>
          <w:sz w:val="20"/>
        </w:rPr>
        <w:t xml:space="preserve">, 29 F.3d 1413, 1417 [*738]  (9th Cir. 1994), the facts of this case are readily distinguished from the example posed in the regulations of a 300-unit apartment complex with 450 parking spaces. Village Square had twelve spaces for eighteen apartments which can be occupied </w:t>
      </w:r>
      <w:r>
        <w:rPr>
          <w:rFonts w:ascii="Arial" w:eastAsia="Arial" w:hAnsi="Arial" w:cs="Arial"/>
          <w:i/>
          <w:color w:val="000000"/>
          <w:sz w:val="20"/>
        </w:rPr>
        <w:t>only</w:t>
      </w:r>
      <w:r>
        <w:rPr>
          <w:rFonts w:ascii="Arial" w:eastAsia="Arial" w:hAnsi="Arial" w:cs="Arial"/>
          <w:color w:val="000000"/>
          <w:sz w:val="20"/>
        </w:rPr>
        <w:t xml:space="preserve"> by  [**14] persons who are older or disabled, and Singsime has never explained how preferring him with an assigned space at or near the door would not have discriminated against other tenants given the ratio of disabled residents to close parking spaces. Whether on these facts the FHA would have required giving Singsime an exclusive space is a question for another day.</w:t>
      </w:r>
    </w:p>
    <w:p w14:paraId="1DA74073" w14:textId="77777777" w:rsidR="00D041A2" w:rsidRDefault="00000000">
      <w:pPr>
        <w:pStyle w:val="Normal18"/>
        <w:widowControl w:val="0"/>
        <w:spacing w:before="200" w:line="260" w:lineRule="atLeast"/>
        <w:jc w:val="both"/>
      </w:pPr>
      <w:bookmarkStart w:id="2255" w:name="Bookmark_para_16_11"/>
      <w:bookmarkStart w:id="2256" w:name="Bookmark_I564THTP2SF89C0020000400"/>
      <w:bookmarkStart w:id="2257" w:name="Bookmark_I0BF1JCDV4D000RGTFW004B2"/>
      <w:bookmarkStart w:id="2258" w:name="Bookmark_I0BF1JCF178000RGTFW004B3"/>
      <w:bookmarkStart w:id="2259" w:name="Bookmark_I564THTP2SF89C0040000400"/>
      <w:bookmarkEnd w:id="2255"/>
      <w:bookmarkEnd w:id="2256"/>
      <w:bookmarkEnd w:id="2257"/>
      <w:bookmarkEnd w:id="2258"/>
      <w:bookmarkEnd w:id="2259"/>
      <w:r>
        <w:rPr>
          <w:rFonts w:ascii="Arial" w:eastAsia="Arial" w:hAnsi="Arial" w:cs="Arial"/>
          <w:color w:val="000000"/>
          <w:sz w:val="20"/>
        </w:rPr>
        <w:t xml:space="preserve">Finally, Singsime suggests that the district judge may have been prejudiced because a former law clerk represented the United States in this action. It is "common knowledge in the profession that former law clerks practice regularly before judges for whom they once clerked," </w:t>
      </w:r>
      <w:bookmarkStart w:id="2260" w:name="Bookmark_I564THTP2SF89C0010000400"/>
      <w:bookmarkEnd w:id="2260"/>
      <w:r>
        <w:rPr>
          <w:rFonts w:ascii="Arial" w:eastAsia="Arial" w:hAnsi="Arial" w:cs="Arial"/>
          <w:i/>
          <w:color w:val="000000"/>
          <w:sz w:val="20"/>
        </w:rPr>
        <w:t>In re Martinez-Catala</w:t>
      </w:r>
      <w:r>
        <w:rPr>
          <w:rFonts w:ascii="Arial" w:eastAsia="Arial" w:hAnsi="Arial" w:cs="Arial"/>
          <w:color w:val="000000"/>
          <w:sz w:val="20"/>
        </w:rPr>
        <w:t xml:space="preserve">, 129 F.3d 213, 221 (1st Cir. 1997), but Singsime's concern is particularly puzzling because the United States—and thus the judge's former clerk—was advocating for Singsime, not the defendants. At any rate, Singsime waived this argument because he did not seek recusal or move to disqualify the judge in the district court, </w:t>
      </w:r>
      <w:r>
        <w:rPr>
          <w:rFonts w:ascii="Arial" w:eastAsia="Arial" w:hAnsi="Arial" w:cs="Arial"/>
          <w:i/>
          <w:color w:val="000000"/>
          <w:sz w:val="20"/>
        </w:rPr>
        <w:t xml:space="preserve">see </w:t>
      </w:r>
      <w:bookmarkStart w:id="2261" w:name="Bookmark_I564THTP2SF89C0030000400"/>
      <w:bookmarkEnd w:id="2261"/>
      <w:r>
        <w:rPr>
          <w:rFonts w:ascii="Arial" w:eastAsia="Arial" w:hAnsi="Arial" w:cs="Arial"/>
          <w:i/>
          <w:color w:val="000000"/>
          <w:sz w:val="20"/>
        </w:rPr>
        <w:t>Szymanski v. Rite-Way Lawn Maintenance Co., Inc.</w:t>
      </w:r>
      <w:r>
        <w:rPr>
          <w:rFonts w:ascii="Arial" w:eastAsia="Arial" w:hAnsi="Arial" w:cs="Arial"/>
          <w:color w:val="000000"/>
          <w:sz w:val="20"/>
        </w:rPr>
        <w:t xml:space="preserve">, 231 F.3d 360, 363 (7th Cir. 2000), and the record contains no evidence of actual bias, </w:t>
      </w:r>
      <w:r>
        <w:rPr>
          <w:rFonts w:ascii="Arial" w:eastAsia="Arial" w:hAnsi="Arial" w:cs="Arial"/>
          <w:i/>
          <w:color w:val="000000"/>
          <w:sz w:val="20"/>
        </w:rPr>
        <w:t xml:space="preserve">see </w:t>
      </w:r>
      <w:bookmarkStart w:id="2262" w:name="Bookmark_I564THTP2SF89C0050000400"/>
      <w:bookmarkEnd w:id="2262"/>
      <w:r>
        <w:rPr>
          <w:rFonts w:ascii="Arial" w:eastAsia="Arial" w:hAnsi="Arial" w:cs="Arial"/>
          <w:i/>
          <w:color w:val="000000"/>
          <w:sz w:val="20"/>
        </w:rPr>
        <w:t>Hoffman v. Caterpillar, Inc.</w:t>
      </w:r>
      <w:r>
        <w:rPr>
          <w:rFonts w:ascii="Arial" w:eastAsia="Arial" w:hAnsi="Arial" w:cs="Arial"/>
          <w:color w:val="000000"/>
          <w:sz w:val="20"/>
        </w:rPr>
        <w:t>, 368 F.3d 709, 718 (7th Cir. 2004).</w:t>
      </w:r>
    </w:p>
    <w:p w14:paraId="34603506" w14:textId="77777777" w:rsidR="00D041A2" w:rsidRDefault="00000000">
      <w:pPr>
        <w:pStyle w:val="Normal18"/>
        <w:widowControl w:val="0"/>
        <w:spacing w:before="200" w:line="260" w:lineRule="atLeast"/>
        <w:jc w:val="both"/>
      </w:pPr>
      <w:bookmarkStart w:id="2263" w:name="Bookmark_para_17_11"/>
      <w:bookmarkEnd w:id="2263"/>
      <w:r>
        <w:rPr>
          <w:rFonts w:ascii="Arial" w:eastAsia="Arial" w:hAnsi="Arial" w:cs="Arial"/>
          <w:color w:val="000000"/>
          <w:sz w:val="20"/>
        </w:rPr>
        <w:t xml:space="preserve">Accordingly,  [**15] the judgment of the district court is </w:t>
      </w:r>
      <w:r>
        <w:rPr>
          <w:rFonts w:ascii="Arial" w:eastAsia="Arial" w:hAnsi="Arial" w:cs="Arial"/>
          <w:b/>
          <w:color w:val="000000"/>
          <w:sz w:val="20"/>
        </w:rPr>
        <w:t>AFFIRMED.</w:t>
      </w:r>
    </w:p>
    <w:p w14:paraId="69DEF853" w14:textId="77777777" w:rsidR="00D041A2" w:rsidRDefault="00D041A2">
      <w:pPr>
        <w:pStyle w:val="Normal18"/>
      </w:pPr>
    </w:p>
    <w:p w14:paraId="29E97D7E" w14:textId="3DB58DBB" w:rsidR="00D041A2" w:rsidRDefault="00000000">
      <w:pPr>
        <w:pStyle w:val="Normal18"/>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699200" behindDoc="0" locked="0" layoutInCell="1" allowOverlap="1" wp14:anchorId="07E0BF49" wp14:editId="6837BF5F">
                <wp:simplePos x="0" y="0"/>
                <wp:positionH relativeFrom="column">
                  <wp:posOffset>0</wp:posOffset>
                </wp:positionH>
                <wp:positionV relativeFrom="paragraph">
                  <wp:posOffset>127000</wp:posOffset>
                </wp:positionV>
                <wp:extent cx="6502400" cy="0"/>
                <wp:effectExtent l="9525" t="12700" r="12700" b="6350"/>
                <wp:wrapNone/>
                <wp:docPr id="272709972"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FFC1A" id="Line 4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D800F7B" w14:textId="77777777" w:rsidR="00D041A2" w:rsidRDefault="00D041A2">
      <w:pPr>
        <w:pStyle w:val="Normal19"/>
        <w:sectPr w:rsidR="00D041A2">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gutter="0"/>
          <w:cols w:space="720"/>
          <w:titlePg/>
        </w:sectPr>
      </w:pPr>
    </w:p>
    <w:p w14:paraId="34DED12E" w14:textId="77777777" w:rsidR="00D041A2" w:rsidRDefault="00D041A2">
      <w:pPr>
        <w:pStyle w:val="Normal19"/>
      </w:pPr>
    </w:p>
    <w:p w14:paraId="630B8FF9" w14:textId="77777777" w:rsidR="00D041A2" w:rsidRDefault="00000000">
      <w:pPr>
        <w:pStyle w:val="Heading118"/>
        <w:keepNext w:val="0"/>
        <w:widowControl w:val="0"/>
        <w:spacing w:after="200" w:line="340" w:lineRule="atLeast"/>
        <w:jc w:val="center"/>
      </w:pPr>
      <w:r>
        <w:rPr>
          <w:rFonts w:eastAsia="Arial"/>
          <w:color w:val="000000"/>
          <w:sz w:val="28"/>
        </w:rPr>
        <w:t>Greer v. Richardson Indep. Sch. Dist.</w:t>
      </w:r>
    </w:p>
    <w:p w14:paraId="4D9F417C" w14:textId="77777777" w:rsidR="00D041A2" w:rsidRDefault="00000000">
      <w:pPr>
        <w:pStyle w:val="Normal19"/>
        <w:widowControl w:val="0"/>
        <w:spacing w:before="120" w:line="260" w:lineRule="atLeast"/>
        <w:jc w:val="center"/>
      </w:pPr>
      <w:r>
        <w:rPr>
          <w:rFonts w:ascii="Arial" w:eastAsia="Arial" w:hAnsi="Arial" w:cs="Arial"/>
          <w:color w:val="000000"/>
          <w:sz w:val="20"/>
        </w:rPr>
        <w:t>United States Court of Appeals for the Fifth Circuit</w:t>
      </w:r>
    </w:p>
    <w:p w14:paraId="71A01FD0" w14:textId="77777777" w:rsidR="00D041A2" w:rsidRDefault="00000000">
      <w:pPr>
        <w:pStyle w:val="Normal19"/>
        <w:widowControl w:val="0"/>
        <w:spacing w:before="120" w:line="260" w:lineRule="atLeast"/>
        <w:jc w:val="center"/>
      </w:pPr>
      <w:r>
        <w:rPr>
          <w:rFonts w:ascii="Arial" w:eastAsia="Arial" w:hAnsi="Arial" w:cs="Arial"/>
          <w:color w:val="000000"/>
          <w:sz w:val="20"/>
        </w:rPr>
        <w:t>March 14, 2012, Filed</w:t>
      </w:r>
    </w:p>
    <w:p w14:paraId="26F172BD" w14:textId="77777777" w:rsidR="00D041A2" w:rsidRDefault="00000000">
      <w:pPr>
        <w:pStyle w:val="Normal19"/>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10-11254</w:t>
      </w:r>
    </w:p>
    <w:p w14:paraId="17CB8006" w14:textId="77777777" w:rsidR="00D041A2" w:rsidRDefault="00D041A2">
      <w:pPr>
        <w:pStyle w:val="Normal19"/>
        <w:widowControl w:val="0"/>
        <w:spacing w:line="240" w:lineRule="atLeast"/>
        <w:jc w:val="both"/>
      </w:pPr>
      <w:bookmarkStart w:id="2264" w:name="Bookmark_20"/>
      <w:bookmarkEnd w:id="2264"/>
    </w:p>
    <w:p w14:paraId="74FB24F7" w14:textId="77777777" w:rsidR="00D041A2" w:rsidRDefault="00000000">
      <w:pPr>
        <w:pStyle w:val="Normal19"/>
        <w:widowControl w:val="0"/>
        <w:spacing w:before="200" w:line="240" w:lineRule="atLeast"/>
      </w:pPr>
      <w:bookmarkStart w:id="2265" w:name="Reporter_18"/>
      <w:bookmarkEnd w:id="2265"/>
      <w:r>
        <w:rPr>
          <w:rFonts w:ascii="Arial" w:eastAsia="Arial" w:hAnsi="Arial" w:cs="Arial"/>
          <w:b/>
          <w:color w:val="000000"/>
          <w:sz w:val="18"/>
        </w:rPr>
        <w:t>Reporter</w:t>
      </w:r>
    </w:p>
    <w:p w14:paraId="61C6202C" w14:textId="77777777" w:rsidR="00D041A2" w:rsidRDefault="00000000">
      <w:pPr>
        <w:pStyle w:val="Normal19"/>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472 Fed. Appx. 287 *; 2012 U.S. App. LEXIS 5356 **; 2012 WL 833367</w:t>
      </w:r>
    </w:p>
    <w:p w14:paraId="08CD2F59" w14:textId="77777777" w:rsidR="00D041A2" w:rsidRDefault="00000000">
      <w:pPr>
        <w:pStyle w:val="Normal19"/>
        <w:widowControl w:val="0"/>
        <w:spacing w:before="120" w:line="260" w:lineRule="atLeast"/>
      </w:pPr>
      <w:r>
        <w:rPr>
          <w:rFonts w:ascii="Arial" w:eastAsia="Arial" w:hAnsi="Arial" w:cs="Arial"/>
          <w:color w:val="000000"/>
          <w:sz w:val="20"/>
        </w:rPr>
        <w:t>LESLIE GREER, Plaintiff - Appellant v. RICHARDSON INDEPENDENT SCHOOL DISTRICT, Defendant - Appellee</w:t>
      </w:r>
    </w:p>
    <w:p w14:paraId="429E2A5F" w14:textId="77777777" w:rsidR="00D041A2" w:rsidRDefault="00000000">
      <w:pPr>
        <w:pStyle w:val="Normal19"/>
        <w:widowControl w:val="0"/>
        <w:spacing w:before="240" w:line="260" w:lineRule="atLeast"/>
        <w:jc w:val="both"/>
      </w:pPr>
      <w:bookmarkStart w:id="2266" w:name="Notice_10"/>
      <w:bookmarkEnd w:id="2266"/>
      <w:r>
        <w:rPr>
          <w:rFonts w:ascii="Arial" w:eastAsia="Arial" w:hAnsi="Arial" w:cs="Arial"/>
          <w:b/>
          <w:color w:val="000000"/>
          <w:sz w:val="20"/>
        </w:rPr>
        <w:t>Notice:</w:t>
      </w:r>
      <w:r>
        <w:rPr>
          <w:rFonts w:ascii="Arial" w:eastAsia="Arial" w:hAnsi="Arial" w:cs="Arial"/>
          <w:color w:val="000000"/>
          <w:sz w:val="20"/>
        </w:rPr>
        <w:t> </w:t>
      </w:r>
      <w:bookmarkStart w:id="2267" w:name="Bookmark_para_1_18"/>
      <w:bookmarkEnd w:id="2267"/>
      <w:r>
        <w:rPr>
          <w:rFonts w:ascii="Arial" w:eastAsia="Arial" w:hAnsi="Arial" w:cs="Arial"/>
          <w:color w:val="000000"/>
          <w:sz w:val="20"/>
        </w:rPr>
        <w:t>PLEASE REFER TO FEDERAL RULES OF APPELLATE PROCEDURE RULE 32.1 GOVERNING THE CITATION TO UNPUBLISHED OPINIONS.</w:t>
      </w:r>
    </w:p>
    <w:p w14:paraId="48CC4B76" w14:textId="77777777" w:rsidR="00D041A2" w:rsidRDefault="00000000">
      <w:pPr>
        <w:pStyle w:val="Normal19"/>
        <w:widowControl w:val="0"/>
        <w:spacing w:before="240" w:line="260" w:lineRule="atLeast"/>
        <w:jc w:val="both"/>
      </w:pPr>
      <w:bookmarkStart w:id="2268" w:name="Prior_History_18"/>
      <w:bookmarkEnd w:id="2268"/>
      <w:r>
        <w:rPr>
          <w:rFonts w:ascii="Arial" w:eastAsia="Arial" w:hAnsi="Arial" w:cs="Arial"/>
          <w:b/>
          <w:color w:val="000000"/>
          <w:sz w:val="20"/>
        </w:rPr>
        <w:t>Prior History:</w:t>
      </w:r>
      <w:r>
        <w:rPr>
          <w:rFonts w:ascii="Arial" w:eastAsia="Arial" w:hAnsi="Arial" w:cs="Arial"/>
          <w:color w:val="000000"/>
          <w:sz w:val="20"/>
        </w:rPr>
        <w:t>  [**1] </w:t>
      </w:r>
      <w:bookmarkStart w:id="2269" w:name="Bookmark_para_2_18"/>
      <w:bookmarkEnd w:id="2269"/>
      <w:r>
        <w:rPr>
          <w:rFonts w:ascii="Arial" w:eastAsia="Arial" w:hAnsi="Arial" w:cs="Arial"/>
          <w:color w:val="000000"/>
          <w:sz w:val="20"/>
        </w:rPr>
        <w:t>Appeals from the United States District Court for the Northern District of Texas. USDC No. 3:08-CV-160.</w:t>
      </w:r>
    </w:p>
    <w:p w14:paraId="6077DC9C" w14:textId="77777777" w:rsidR="00D041A2" w:rsidRDefault="00000000">
      <w:pPr>
        <w:pStyle w:val="Normal19"/>
        <w:widowControl w:val="0"/>
        <w:spacing w:before="120" w:line="260" w:lineRule="atLeast"/>
      </w:pPr>
      <w:r>
        <w:rPr>
          <w:rFonts w:ascii="Arial" w:eastAsia="Arial" w:hAnsi="Arial" w:cs="Arial"/>
          <w:color w:val="000000"/>
          <w:sz w:val="20"/>
        </w:rPr>
        <w:t>Greer v. Richardson Indep. Sch. Dist., 752 F. Supp. 2d 759, 2010 U.S. Dist. LEXIS 120681 (N.D. Tex., 2010)</w:t>
      </w:r>
    </w:p>
    <w:p w14:paraId="71573857" w14:textId="77777777" w:rsidR="00D041A2" w:rsidRDefault="00000000">
      <w:pPr>
        <w:pStyle w:val="Normal19"/>
        <w:widowControl w:val="0"/>
        <w:spacing w:before="120" w:line="260" w:lineRule="atLeast"/>
      </w:pPr>
      <w:r>
        <w:rPr>
          <w:rFonts w:ascii="Arial" w:eastAsia="Arial" w:hAnsi="Arial" w:cs="Arial"/>
          <w:color w:val="000000"/>
          <w:sz w:val="20"/>
        </w:rPr>
        <w:t>Greer v. Richardson Indep. Sch. Dist., 752 F. Supp. 2d 746, 2010 U.S. Dist. LEXIS 78639 (N.D. Tex., 2010)</w:t>
      </w:r>
    </w:p>
    <w:p w14:paraId="3A19627C" w14:textId="77777777" w:rsidR="00D041A2" w:rsidRDefault="00000000">
      <w:pPr>
        <w:pStyle w:val="Normal19"/>
        <w:widowControl w:val="0"/>
        <w:spacing w:before="240" w:line="260" w:lineRule="atLeast"/>
      </w:pPr>
      <w:bookmarkStart w:id="2270" w:name="Counsel_18"/>
      <w:bookmarkEnd w:id="2270"/>
      <w:r>
        <w:rPr>
          <w:rFonts w:ascii="Arial" w:eastAsia="Arial" w:hAnsi="Arial" w:cs="Arial"/>
          <w:b/>
          <w:color w:val="000000"/>
          <w:sz w:val="20"/>
        </w:rPr>
        <w:t>Counsel:</w:t>
      </w:r>
      <w:r>
        <w:rPr>
          <w:rFonts w:ascii="Arial" w:eastAsia="Arial" w:hAnsi="Arial" w:cs="Arial"/>
          <w:color w:val="000000"/>
          <w:sz w:val="20"/>
        </w:rPr>
        <w:t> For LESLIE GREER, Plaintiff - Appellant: Palmer D. Bailey, Esq., Law Office of Palmer Bailey, Addison, TX; Kenneth D. Carden, Carden Law Office, Dallas, TX.</w:t>
      </w:r>
    </w:p>
    <w:p w14:paraId="7AE3F2B4" w14:textId="77777777" w:rsidR="00D041A2" w:rsidRDefault="00000000">
      <w:pPr>
        <w:pStyle w:val="Normal19"/>
        <w:widowControl w:val="0"/>
        <w:spacing w:before="120" w:line="260" w:lineRule="atLeast"/>
      </w:pPr>
      <w:r>
        <w:rPr>
          <w:rFonts w:ascii="Arial" w:eastAsia="Arial" w:hAnsi="Arial" w:cs="Arial"/>
          <w:color w:val="000000"/>
          <w:sz w:val="20"/>
        </w:rPr>
        <w:t>For RICHARDSON INDEPENDENT SCHOOL DISTRICT, Defendant - Appellee: Bridget Ranee Robinson, Attorney, Adrienne Rene Butcher, Esq., Walsh, Anderson, Brown, Gallegos &amp; Green, P.C., Austin, TX.</w:t>
      </w:r>
    </w:p>
    <w:p w14:paraId="15E2E46C" w14:textId="77777777" w:rsidR="00D041A2" w:rsidRDefault="00000000">
      <w:pPr>
        <w:pStyle w:val="Normal19"/>
        <w:widowControl w:val="0"/>
        <w:spacing w:before="240" w:line="260" w:lineRule="atLeast"/>
      </w:pPr>
      <w:bookmarkStart w:id="2271" w:name="Judges_18"/>
      <w:bookmarkEnd w:id="2271"/>
      <w:r>
        <w:rPr>
          <w:rFonts w:ascii="Arial" w:eastAsia="Arial" w:hAnsi="Arial" w:cs="Arial"/>
          <w:b/>
          <w:color w:val="000000"/>
          <w:sz w:val="20"/>
        </w:rPr>
        <w:t>Judges:</w:t>
      </w:r>
      <w:r>
        <w:rPr>
          <w:rFonts w:ascii="Arial" w:eastAsia="Arial" w:hAnsi="Arial" w:cs="Arial"/>
          <w:color w:val="000000"/>
          <w:sz w:val="20"/>
        </w:rPr>
        <w:t> Before STEWART, CLEMENT, and GRAVES, Circuit Judges.</w:t>
      </w:r>
    </w:p>
    <w:p w14:paraId="3C61AE9E" w14:textId="77777777" w:rsidR="00D041A2" w:rsidRDefault="00000000">
      <w:pPr>
        <w:pStyle w:val="Normal19"/>
        <w:widowControl w:val="0"/>
        <w:spacing w:before="240" w:line="260" w:lineRule="atLeast"/>
      </w:pPr>
      <w:bookmarkStart w:id="2272" w:name="Opinion_by_12"/>
      <w:bookmarkEnd w:id="2272"/>
      <w:r>
        <w:rPr>
          <w:rFonts w:ascii="Arial" w:eastAsia="Arial" w:hAnsi="Arial" w:cs="Arial"/>
          <w:b/>
          <w:color w:val="000000"/>
          <w:sz w:val="20"/>
        </w:rPr>
        <w:t>Opinion by:</w:t>
      </w:r>
      <w:r>
        <w:rPr>
          <w:rFonts w:ascii="Arial" w:eastAsia="Arial" w:hAnsi="Arial" w:cs="Arial"/>
          <w:color w:val="000000"/>
          <w:sz w:val="20"/>
        </w:rPr>
        <w:t> EDITH BROWN CLEMENT</w:t>
      </w:r>
    </w:p>
    <w:p w14:paraId="0A74C3C3" w14:textId="77777777" w:rsidR="00D041A2" w:rsidRDefault="00000000">
      <w:pPr>
        <w:pStyle w:val="Normal19"/>
        <w:keepNext/>
        <w:widowControl w:val="0"/>
        <w:spacing w:before="240" w:line="340" w:lineRule="atLeast"/>
      </w:pPr>
      <w:bookmarkStart w:id="2273" w:name="Opinion_18"/>
      <w:bookmarkEnd w:id="2273"/>
      <w:r>
        <w:rPr>
          <w:rFonts w:ascii="Arial" w:eastAsia="Arial" w:hAnsi="Arial" w:cs="Arial"/>
          <w:b/>
          <w:color w:val="000000"/>
          <w:sz w:val="28"/>
        </w:rPr>
        <w:t>Opinion</w:t>
      </w:r>
    </w:p>
    <w:p w14:paraId="3C86B395" w14:textId="689A72E3" w:rsidR="00D041A2" w:rsidRDefault="004D4403">
      <w:pPr>
        <w:pStyle w:val="Normal19"/>
        <w:spacing w:line="60" w:lineRule="exact"/>
      </w:pPr>
      <w:r>
        <w:rPr>
          <w:noProof/>
        </w:rPr>
        <mc:AlternateContent>
          <mc:Choice Requires="wps">
            <w:drawing>
              <wp:anchor distT="0" distB="0" distL="114300" distR="114300" simplePos="0" relativeHeight="251700224" behindDoc="0" locked="0" layoutInCell="1" allowOverlap="1" wp14:anchorId="54171634" wp14:editId="4FE39365">
                <wp:simplePos x="0" y="0"/>
                <wp:positionH relativeFrom="column">
                  <wp:posOffset>0</wp:posOffset>
                </wp:positionH>
                <wp:positionV relativeFrom="paragraph">
                  <wp:posOffset>25400</wp:posOffset>
                </wp:positionV>
                <wp:extent cx="3187700" cy="0"/>
                <wp:effectExtent l="19050" t="15875" r="12700" b="12700"/>
                <wp:wrapTopAndBottom/>
                <wp:docPr id="1313221388"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C19C8" id="Line 4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6A42742" w14:textId="77777777" w:rsidR="00D041A2" w:rsidRDefault="00D041A2">
      <w:pPr>
        <w:pStyle w:val="Normal19"/>
      </w:pPr>
    </w:p>
    <w:p w14:paraId="3282D76F" w14:textId="77777777" w:rsidR="00D041A2" w:rsidRDefault="00000000">
      <w:pPr>
        <w:pStyle w:val="Normal19"/>
        <w:widowControl w:val="0"/>
        <w:spacing w:before="200" w:line="260" w:lineRule="atLeast"/>
        <w:jc w:val="both"/>
      </w:pPr>
      <w:bookmarkStart w:id="2274" w:name="Bookmark_para_3_18"/>
      <w:bookmarkEnd w:id="2274"/>
      <w:r>
        <w:rPr>
          <w:rFonts w:ascii="Arial" w:eastAsia="Arial" w:hAnsi="Arial" w:cs="Arial"/>
          <w:color w:val="000000"/>
          <w:sz w:val="20"/>
        </w:rPr>
        <w:t> [*288]  EDITH BROWN CLEMENT, Circuit Judge:</w:t>
      </w:r>
      <w:r>
        <w:rPr>
          <w:rFonts w:ascii="Arial" w:eastAsia="Arial" w:hAnsi="Arial" w:cs="Arial"/>
          <w:vertAlign w:val="superscript"/>
        </w:rPr>
        <w:footnoteReference w:customMarkFollows="1" w:id="105"/>
        <w:t>*</w:t>
      </w:r>
    </w:p>
    <w:p w14:paraId="608F8999" w14:textId="77777777" w:rsidR="00D041A2" w:rsidRDefault="00000000">
      <w:pPr>
        <w:pStyle w:val="Normal19"/>
        <w:widowControl w:val="0"/>
        <w:spacing w:before="200" w:line="260" w:lineRule="atLeast"/>
        <w:jc w:val="both"/>
      </w:pPr>
      <w:bookmarkStart w:id="2276" w:name="Bookmark_para_4_18"/>
      <w:bookmarkEnd w:id="2276"/>
      <w:r>
        <w:rPr>
          <w:rFonts w:ascii="Arial" w:eastAsia="Arial" w:hAnsi="Arial" w:cs="Arial"/>
          <w:color w:val="000000"/>
          <w:sz w:val="20"/>
        </w:rPr>
        <w:t>Leslie Greer appeals the district court's grant of summary judgment in favor of Richardson Independent School District ("RISD") on her claims of discrimination under Title II of the Americans with Disabilities Act ("ADA") and § 504 of the Rehabilitation Act. For the following reasons, we affirm.</w:t>
      </w:r>
    </w:p>
    <w:p w14:paraId="7D9EAF56" w14:textId="77777777" w:rsidR="00D041A2" w:rsidRDefault="00000000">
      <w:pPr>
        <w:pStyle w:val="Normal19"/>
        <w:widowControl w:val="0"/>
        <w:spacing w:before="240" w:line="260" w:lineRule="atLeast"/>
      </w:pPr>
      <w:r>
        <w:br/>
      </w:r>
      <w:r>
        <w:rPr>
          <w:rFonts w:ascii="Arial" w:eastAsia="Arial" w:hAnsi="Arial" w:cs="Arial"/>
          <w:b/>
          <w:color w:val="000000"/>
          <w:sz w:val="20"/>
        </w:rPr>
        <w:t>FACTS AND PROCEEDINGS</w:t>
      </w:r>
    </w:p>
    <w:p w14:paraId="4BB960A4" w14:textId="77777777" w:rsidR="00D041A2" w:rsidRDefault="00000000">
      <w:pPr>
        <w:pStyle w:val="Normal19"/>
        <w:widowControl w:val="0"/>
        <w:spacing w:before="200" w:line="260" w:lineRule="atLeast"/>
        <w:jc w:val="both"/>
      </w:pPr>
      <w:bookmarkStart w:id="2277" w:name="Bookmark_para_5_18"/>
      <w:bookmarkEnd w:id="2277"/>
      <w:r>
        <w:rPr>
          <w:rFonts w:ascii="Arial" w:eastAsia="Arial" w:hAnsi="Arial" w:cs="Arial"/>
          <w:color w:val="000000"/>
          <w:sz w:val="20"/>
        </w:rPr>
        <w:t>Greer, who uses a wheelchair for mobility as a result of a spinal cord injury, attended her son's junior varsity football game at RISD's Berkner  [**2] B stadium, located at Berkner High School in Richardson, Texas, on October 4, 2007. After entering the stadium, Greer realized that the only way to access the stadium's bleacher seating was by climbing a flight of stairs. Unable to access the stadium's bleachers, Greer maneuvered her wheelchair to an accessible paved area adjacent to the bleachers where she watched the football game through a chain link fence that surrounds the field while her husband watched the game from the bleachers. From her viewpoint, Greer claims she was  [*289]  only able to observe roughly 15% of the game due to her view being blocked by football players standing on the sideline. She also claims the area, while accessible by a wheelchair, was slightly sloped, which required her to hold on to the fence to avoid slowly rolling backwards. It is not disputed that Greer was able to access other aspects of the stadium, including being able to park at the stadium, navigate from the parking lot to the stadium, buy a ticket to the game, and buy a hot dog and beverage at the concession stand.</w:t>
      </w:r>
    </w:p>
    <w:p w14:paraId="21BD4AB9" w14:textId="77777777" w:rsidR="00D041A2" w:rsidRDefault="00000000">
      <w:pPr>
        <w:pStyle w:val="Normal19"/>
        <w:widowControl w:val="0"/>
        <w:spacing w:before="200" w:line="260" w:lineRule="atLeast"/>
        <w:jc w:val="both"/>
      </w:pPr>
      <w:bookmarkStart w:id="2278" w:name="Bookmark_para_6_18"/>
      <w:bookmarkEnd w:id="2278"/>
      <w:r>
        <w:rPr>
          <w:rFonts w:ascii="Arial" w:eastAsia="Arial" w:hAnsi="Arial" w:cs="Arial"/>
          <w:color w:val="000000"/>
          <w:sz w:val="20"/>
        </w:rPr>
        <w:t xml:space="preserve">On February 1, 2008, Greer sued RISD, claiming that it discriminated against her by excluding her from participation in the benefits, programs  [**3] and activities of a governmental entity receiving federal assistance, in violation of Title II of the ADA, 42 U.S.C. § 12101, </w:t>
      </w:r>
      <w:r>
        <w:rPr>
          <w:rFonts w:ascii="Arial" w:eastAsia="Arial" w:hAnsi="Arial" w:cs="Arial"/>
          <w:i/>
          <w:color w:val="000000"/>
          <w:sz w:val="20"/>
        </w:rPr>
        <w:t>et seq.</w:t>
      </w:r>
      <w:r>
        <w:rPr>
          <w:rFonts w:ascii="Arial" w:eastAsia="Arial" w:hAnsi="Arial" w:cs="Arial"/>
          <w:color w:val="000000"/>
          <w:sz w:val="20"/>
        </w:rPr>
        <w:t xml:space="preserve"> and the Rehabilitation Act of 1973, 29 U.S.C. §§ 794 and 794a. The basis of Greer's original complaint focused solely on her exclusion from the bleachers at Berkner B stadium.</w:t>
      </w:r>
    </w:p>
    <w:p w14:paraId="75E85832" w14:textId="77777777" w:rsidR="00D041A2" w:rsidRDefault="00000000">
      <w:pPr>
        <w:pStyle w:val="Normal19"/>
        <w:widowControl w:val="0"/>
        <w:spacing w:before="200" w:line="260" w:lineRule="atLeast"/>
        <w:jc w:val="both"/>
      </w:pPr>
      <w:bookmarkStart w:id="2279" w:name="Bookmark_para_7_18"/>
      <w:bookmarkEnd w:id="2279"/>
      <w:r>
        <w:rPr>
          <w:rFonts w:ascii="Arial" w:eastAsia="Arial" w:hAnsi="Arial" w:cs="Arial"/>
          <w:color w:val="000000"/>
          <w:sz w:val="20"/>
        </w:rPr>
        <w:t>The parties filed cross-motions for summary judgment in December 2008. At a motion hearing on March 4, 2009, the district court granted leave for RISD to amend its answer to assert the affirmative defense of "undue burden" with respect to making accessibility modifications to the Berkner B stadium and reopened discovery as to that limited issue. On July 9, 2009, the Court granted Greer leave to file a Second Amended Complaint, in which she expanded her claims to include accessibility allegations regarding other aspects of the Berkner B stadium including restroom access, curb cuts, ramp access to a public right of way, and access to the track surrounding the football field. RISD then filed a Third Amended Answer on July 17, 2009.</w:t>
      </w:r>
    </w:p>
    <w:p w14:paraId="6D8C70D2" w14:textId="77777777" w:rsidR="00D041A2" w:rsidRDefault="00000000">
      <w:pPr>
        <w:pStyle w:val="Normal19"/>
        <w:widowControl w:val="0"/>
        <w:spacing w:before="200" w:line="260" w:lineRule="atLeast"/>
        <w:jc w:val="both"/>
      </w:pPr>
      <w:bookmarkStart w:id="2280" w:name="Bookmark_para_8_17"/>
      <w:bookmarkEnd w:id="2280"/>
      <w:r>
        <w:rPr>
          <w:rFonts w:ascii="Arial" w:eastAsia="Arial" w:hAnsi="Arial" w:cs="Arial"/>
          <w:color w:val="000000"/>
          <w:sz w:val="20"/>
        </w:rPr>
        <w:t>Both parties again filed cross-motions for summary judgment on August 3, 2009, and Greer also filed a motion to extend discovery and allow subsequent briefing  [**4] on RISD's defense that modifications to the Berkner B stadium would represent an undue burden. The district court granted Greer's motion and extended the case deadlines once again.</w:t>
      </w:r>
    </w:p>
    <w:p w14:paraId="3FD10F77" w14:textId="77777777" w:rsidR="00D041A2" w:rsidRDefault="00000000">
      <w:pPr>
        <w:pStyle w:val="Normal19"/>
        <w:widowControl w:val="0"/>
        <w:spacing w:before="200" w:line="260" w:lineRule="atLeast"/>
        <w:jc w:val="both"/>
      </w:pPr>
      <w:bookmarkStart w:id="2281" w:name="Bookmark_para_9_16"/>
      <w:bookmarkEnd w:id="2281"/>
      <w:r>
        <w:rPr>
          <w:rFonts w:ascii="Arial" w:eastAsia="Arial" w:hAnsi="Arial" w:cs="Arial"/>
          <w:color w:val="000000"/>
          <w:sz w:val="20"/>
        </w:rPr>
        <w:t>On February 1, 2010, the parties filed their third and final cross-motions for summary judgment. Greer also filed a Motion to Strike Undue Burden Defense and for Sanctions on April 21, 2010, claiming RISD's undue burden defense was asserted in bad faith. Greer's motion argued that RISD never had a factual basis for asserting the undue burden defense because it never produced evidence that it had conducted the three-part analysis required under 28 C.F.R. § 35.150(a)(3).</w:t>
      </w:r>
    </w:p>
    <w:p w14:paraId="524B26B7" w14:textId="77777777" w:rsidR="00D041A2" w:rsidRDefault="00000000">
      <w:pPr>
        <w:pStyle w:val="Normal19"/>
        <w:widowControl w:val="0"/>
        <w:spacing w:before="200" w:line="260" w:lineRule="atLeast"/>
        <w:jc w:val="both"/>
      </w:pPr>
      <w:bookmarkStart w:id="2282" w:name="Bookmark_para_10_16"/>
      <w:bookmarkStart w:id="2283" w:name="Bookmark_I55BDMPJ28T4DF0020000400"/>
      <w:bookmarkStart w:id="2284" w:name="Bookmark_I55BDMPJ28T4DF0040000400"/>
      <w:bookmarkStart w:id="2285" w:name="Bookmark_I55BDMPJ2HM69D0010000400"/>
      <w:bookmarkEnd w:id="2282"/>
      <w:bookmarkEnd w:id="2283"/>
      <w:bookmarkEnd w:id="2284"/>
      <w:bookmarkEnd w:id="2285"/>
      <w:r>
        <w:rPr>
          <w:rFonts w:ascii="Arial" w:eastAsia="Arial" w:hAnsi="Arial" w:cs="Arial"/>
          <w:color w:val="000000"/>
          <w:sz w:val="20"/>
        </w:rPr>
        <w:t xml:space="preserve">The district court granted RISD's motion for summary judgment in part on August 2, 2010, finding that Greer failed to present a prima facie case of discrimination under Section II of the ADA. </w:t>
      </w:r>
      <w:bookmarkStart w:id="2286" w:name="Bookmark_I55BDMPJ28T4DF0010000400"/>
      <w:bookmarkEnd w:id="2286"/>
      <w:r>
        <w:rPr>
          <w:rFonts w:ascii="Arial" w:eastAsia="Arial" w:hAnsi="Arial" w:cs="Arial"/>
          <w:i/>
          <w:color w:val="000000"/>
          <w:sz w:val="20"/>
        </w:rPr>
        <w:t>Greer v. Richardson Indep. Sch. Dist.,</w:t>
      </w:r>
      <w:r>
        <w:rPr>
          <w:rFonts w:ascii="Arial" w:eastAsia="Arial" w:hAnsi="Arial" w:cs="Arial"/>
          <w:color w:val="000000"/>
          <w:sz w:val="20"/>
        </w:rPr>
        <w:t xml:space="preserve"> 752 F. Supp. 2d 746, 754 (N.D. Tex. 2010) ("</w:t>
      </w:r>
      <w:r>
        <w:rPr>
          <w:rFonts w:ascii="Arial" w:eastAsia="Arial" w:hAnsi="Arial" w:cs="Arial"/>
          <w:i/>
          <w:color w:val="000000"/>
          <w:sz w:val="20"/>
        </w:rPr>
        <w:t>Greer I</w:t>
      </w:r>
      <w:r>
        <w:rPr>
          <w:rFonts w:ascii="Arial" w:eastAsia="Arial" w:hAnsi="Arial" w:cs="Arial"/>
          <w:color w:val="000000"/>
          <w:sz w:val="20"/>
        </w:rPr>
        <w:t xml:space="preserve">"). In addition, the district court granted summary judgment in part to Greer on her allegation that a ramp installed at the stadium did not comply with ADA Accessibility Guidelines for Buildings and Facilities ("ADAAG") requirements, </w:t>
      </w:r>
      <w:bookmarkStart w:id="2287" w:name="Bookmark_I55BDMPJ28T4DF0030000400"/>
      <w:bookmarkEnd w:id="2287"/>
      <w:r>
        <w:rPr>
          <w:rFonts w:ascii="Arial" w:eastAsia="Arial" w:hAnsi="Arial" w:cs="Arial"/>
          <w:i/>
          <w:color w:val="000000"/>
          <w:sz w:val="20"/>
        </w:rPr>
        <w:t>id.</w:t>
      </w:r>
      <w:r>
        <w:rPr>
          <w:rFonts w:ascii="Arial" w:eastAsia="Arial" w:hAnsi="Arial" w:cs="Arial"/>
          <w:color w:val="000000"/>
          <w:sz w:val="20"/>
        </w:rPr>
        <w:t xml:space="preserve"> at 758, denied Greer's motion  [**5] to strike and for sanctions, </w:t>
      </w:r>
      <w:r>
        <w:rPr>
          <w:rFonts w:ascii="Arial" w:eastAsia="Arial" w:hAnsi="Arial" w:cs="Arial"/>
          <w:i/>
          <w:color w:val="000000"/>
          <w:sz w:val="20"/>
        </w:rPr>
        <w:t>id.,</w:t>
      </w:r>
      <w:r>
        <w:rPr>
          <w:rFonts w:ascii="Arial" w:eastAsia="Arial" w:hAnsi="Arial" w:cs="Arial"/>
          <w:color w:val="000000"/>
          <w:sz w:val="20"/>
        </w:rPr>
        <w:t xml:space="preserve"> and reserved judgment on Greer's claim of parking lot accessibility pending additional briefing from the parties. </w:t>
      </w:r>
      <w:bookmarkStart w:id="2288" w:name="Bookmark_I55BDMPJ28T4DF0050000400"/>
      <w:bookmarkEnd w:id="2288"/>
      <w:r>
        <w:rPr>
          <w:rFonts w:ascii="Arial" w:eastAsia="Arial" w:hAnsi="Arial" w:cs="Arial"/>
          <w:i/>
          <w:color w:val="000000"/>
          <w:sz w:val="20"/>
        </w:rPr>
        <w:t>Id.</w:t>
      </w:r>
      <w:r>
        <w:rPr>
          <w:rFonts w:ascii="Arial" w:eastAsia="Arial" w:hAnsi="Arial" w:cs="Arial"/>
          <w:color w:val="000000"/>
          <w:sz w:val="20"/>
        </w:rPr>
        <w:t xml:space="preserve"> at 757.</w:t>
      </w:r>
    </w:p>
    <w:p w14:paraId="28191632" w14:textId="77777777" w:rsidR="00D041A2" w:rsidRDefault="00000000">
      <w:pPr>
        <w:pStyle w:val="Normal19"/>
        <w:widowControl w:val="0"/>
        <w:spacing w:before="200" w:line="260" w:lineRule="atLeast"/>
        <w:jc w:val="both"/>
      </w:pPr>
      <w:bookmarkStart w:id="2289" w:name="Bookmark_para_11_15"/>
      <w:bookmarkEnd w:id="2289"/>
      <w:r>
        <w:rPr>
          <w:rFonts w:ascii="Arial" w:eastAsia="Arial" w:hAnsi="Arial" w:cs="Arial"/>
          <w:color w:val="000000"/>
          <w:sz w:val="20"/>
        </w:rPr>
        <w:t xml:space="preserve">On August 12, 2010, the parties submitted a Joint Stipulation, agreeing on the number of parking spaces available at Berkner B but disagreeing as to whether the accessible spaces comply with the ADAAG. Also on August 12, 2010, RISD filed a Motion for Reconsideration as to the grant of summary judgment in favor of Greer on the ramp, claiming there was summary judgment evidence proving the  [*290]  ramp's compliance with the ADAAG. </w:t>
      </w:r>
      <w:bookmarkStart w:id="2290" w:name="Bookmark_I55BDMPJ2HM69D0030000400"/>
      <w:bookmarkEnd w:id="2290"/>
      <w:r>
        <w:rPr>
          <w:rFonts w:ascii="Arial" w:eastAsia="Arial" w:hAnsi="Arial" w:cs="Arial"/>
          <w:color w:val="000000"/>
          <w:sz w:val="20"/>
        </w:rPr>
        <w:t xml:space="preserve">Greer filed a Motion for Findings of Fact on August 20, 2010, requesting the district court explain its denial of her motion to strike and for sanctions. The district court issued an order a week later in response to Greer's motion, explaining that RISD did not assert the undue burden defense in bad faith and that the court allowed RISD to assert the defense "in light of the scattershot allegations [Greer] pled in her Complaint" in case it became necessary to determine the issue pending the resolution of the summary judgment motions. Finally, RISD filed a supplemental brief on September 2, 2010, arguing that  [**6] this court's then-newly-decided opinion on panel rehearing in </w:t>
      </w:r>
      <w:bookmarkStart w:id="2291" w:name="Bookmark_I55BDMPJ2HM69D0020000400"/>
      <w:bookmarkEnd w:id="2291"/>
      <w:r>
        <w:rPr>
          <w:rFonts w:ascii="Arial" w:eastAsia="Arial" w:hAnsi="Arial" w:cs="Arial"/>
          <w:i/>
          <w:color w:val="000000"/>
          <w:sz w:val="20"/>
        </w:rPr>
        <w:t>Frame v. City of Arlington,</w:t>
      </w:r>
      <w:r>
        <w:rPr>
          <w:rFonts w:ascii="Arial" w:eastAsia="Arial" w:hAnsi="Arial" w:cs="Arial"/>
          <w:color w:val="000000"/>
          <w:sz w:val="20"/>
        </w:rPr>
        <w:t xml:space="preserve"> 616 F.3d 476 (5th Cir. 2010), </w:t>
      </w:r>
      <w:r>
        <w:rPr>
          <w:rFonts w:ascii="Arial" w:eastAsia="Arial" w:hAnsi="Arial" w:cs="Arial"/>
          <w:i/>
          <w:color w:val="000000"/>
          <w:sz w:val="20"/>
        </w:rPr>
        <w:t>vacated by</w:t>
      </w:r>
      <w:r>
        <w:rPr>
          <w:rFonts w:ascii="Arial" w:eastAsia="Arial" w:hAnsi="Arial" w:cs="Arial"/>
          <w:color w:val="000000"/>
          <w:sz w:val="20"/>
        </w:rPr>
        <w:t xml:space="preserve"> 632 F.3d 177 (5th Cir. 2011), controlled.</w:t>
      </w:r>
    </w:p>
    <w:p w14:paraId="65753C3A" w14:textId="77777777" w:rsidR="00D041A2" w:rsidRDefault="00000000">
      <w:pPr>
        <w:pStyle w:val="Normal19"/>
        <w:widowControl w:val="0"/>
        <w:spacing w:before="200" w:line="260" w:lineRule="atLeast"/>
        <w:jc w:val="both"/>
      </w:pPr>
      <w:bookmarkStart w:id="2292" w:name="Bookmark_para_12_14"/>
      <w:bookmarkStart w:id="2293" w:name="Bookmark_I55BDMPJ2HM69D0050000400"/>
      <w:bookmarkEnd w:id="2292"/>
      <w:bookmarkEnd w:id="2293"/>
      <w:r>
        <w:rPr>
          <w:rFonts w:ascii="Arial" w:eastAsia="Arial" w:hAnsi="Arial" w:cs="Arial"/>
          <w:color w:val="000000"/>
          <w:sz w:val="20"/>
        </w:rPr>
        <w:t xml:space="preserve">The district court disposed of all pending motions and claims on November 12, 2010 in favor of RISD, granting its motion for reconsideration regarding the ramp and subsequently granting summary judgment in favor of RISD on the issues of the ramp and the accessible parking spaces in light of Frame. </w:t>
      </w:r>
      <w:bookmarkStart w:id="2294" w:name="Bookmark_I55BDMPJ2HM69D0040000400"/>
      <w:bookmarkEnd w:id="2294"/>
      <w:r>
        <w:rPr>
          <w:rFonts w:ascii="Arial" w:eastAsia="Arial" w:hAnsi="Arial" w:cs="Arial"/>
          <w:i/>
          <w:color w:val="000000"/>
          <w:sz w:val="20"/>
        </w:rPr>
        <w:t>Greer v. Richardson Indep. Sch. Dist.,</w:t>
      </w:r>
      <w:r>
        <w:rPr>
          <w:rFonts w:ascii="Arial" w:eastAsia="Arial" w:hAnsi="Arial" w:cs="Arial"/>
          <w:color w:val="000000"/>
          <w:sz w:val="20"/>
        </w:rPr>
        <w:t xml:space="preserve"> 752 F. Supp. 2d 759, 762-63 (N.D. Tex. 2010) ("</w:t>
      </w:r>
      <w:r>
        <w:rPr>
          <w:rFonts w:ascii="Arial" w:eastAsia="Arial" w:hAnsi="Arial" w:cs="Arial"/>
          <w:i/>
          <w:color w:val="000000"/>
          <w:sz w:val="20"/>
        </w:rPr>
        <w:t>Greer II</w:t>
      </w:r>
      <w:r>
        <w:rPr>
          <w:rFonts w:ascii="Arial" w:eastAsia="Arial" w:hAnsi="Arial" w:cs="Arial"/>
          <w:color w:val="000000"/>
          <w:sz w:val="20"/>
        </w:rPr>
        <w:t>").</w:t>
      </w:r>
    </w:p>
    <w:p w14:paraId="5D946286" w14:textId="77777777" w:rsidR="00D041A2" w:rsidRDefault="00000000">
      <w:pPr>
        <w:pStyle w:val="Normal19"/>
        <w:widowControl w:val="0"/>
        <w:spacing w:before="200" w:line="260" w:lineRule="atLeast"/>
        <w:jc w:val="both"/>
      </w:pPr>
      <w:bookmarkStart w:id="2295" w:name="Bookmark_para_13_13"/>
      <w:bookmarkEnd w:id="2295"/>
      <w:r>
        <w:rPr>
          <w:rFonts w:ascii="Arial" w:eastAsia="Arial" w:hAnsi="Arial" w:cs="Arial"/>
          <w:color w:val="000000"/>
          <w:sz w:val="20"/>
        </w:rPr>
        <w:t xml:space="preserve">Greer appeals the district court's rulings on summary judgment and on the denial of sanctions. Greer argues the district court improperly weighed evidence in granting summary judgment in favor of RISD and that it erred by failing to find as a matter of law that relegating disabled patrons to a non-accessible area of the stadium is discriminatory. Greer also challenges the district court's reversal of its own decision regarding the accessible ramp in light of </w:t>
      </w:r>
      <w:r>
        <w:rPr>
          <w:rFonts w:ascii="Arial" w:eastAsia="Arial" w:hAnsi="Arial" w:cs="Arial"/>
          <w:i/>
          <w:color w:val="000000"/>
          <w:sz w:val="20"/>
        </w:rPr>
        <w:t>Frame</w:t>
      </w:r>
      <w:r>
        <w:rPr>
          <w:rFonts w:ascii="Arial" w:eastAsia="Arial" w:hAnsi="Arial" w:cs="Arial"/>
          <w:color w:val="000000"/>
          <w:sz w:val="20"/>
        </w:rPr>
        <w:t xml:space="preserve"> and continues to assert her claim that RISD should be sanctioned for raising the undue burden defense.</w:t>
      </w:r>
    </w:p>
    <w:p w14:paraId="20948646" w14:textId="77777777" w:rsidR="00D041A2" w:rsidRDefault="00000000">
      <w:pPr>
        <w:pStyle w:val="Normal19"/>
        <w:widowControl w:val="0"/>
        <w:spacing w:before="240" w:line="260" w:lineRule="atLeast"/>
      </w:pPr>
      <w:r>
        <w:br/>
      </w:r>
      <w:r>
        <w:rPr>
          <w:rFonts w:ascii="Arial" w:eastAsia="Arial" w:hAnsi="Arial" w:cs="Arial"/>
          <w:b/>
          <w:color w:val="000000"/>
          <w:sz w:val="20"/>
        </w:rPr>
        <w:t>STANDARD OF REVIEW</w:t>
      </w:r>
    </w:p>
    <w:p w14:paraId="7CEFEBDD" w14:textId="77777777" w:rsidR="00D041A2" w:rsidRDefault="00000000">
      <w:pPr>
        <w:pStyle w:val="Normal19"/>
        <w:widowControl w:val="0"/>
        <w:spacing w:before="200" w:line="260" w:lineRule="atLeast"/>
        <w:jc w:val="both"/>
      </w:pPr>
      <w:bookmarkStart w:id="2296" w:name="Bookmark_para_14_12"/>
      <w:bookmarkStart w:id="2297" w:name="Bookmark_I55BDMPJ2N1RSD0020000400"/>
      <w:bookmarkStart w:id="2298" w:name="Bookmark_LNHNREFclscc1_13"/>
      <w:bookmarkEnd w:id="2296"/>
      <w:bookmarkEnd w:id="2297"/>
      <w:bookmarkEnd w:id="2298"/>
      <w:r>
        <w:rPr>
          <w:rFonts w:ascii="Arial" w:eastAsia="Arial" w:hAnsi="Arial" w:cs="Arial"/>
          <w:color w:val="000000"/>
          <w:sz w:val="20"/>
        </w:rPr>
        <w:t xml:space="preserve">We review a grant of summary judgment </w:t>
      </w:r>
      <w:r>
        <w:rPr>
          <w:rFonts w:ascii="Arial" w:eastAsia="Arial" w:hAnsi="Arial" w:cs="Arial"/>
          <w:i/>
          <w:color w:val="000000"/>
          <w:sz w:val="20"/>
        </w:rPr>
        <w:t>de  [**7] novo,</w:t>
      </w:r>
      <w:r>
        <w:rPr>
          <w:rFonts w:ascii="Arial" w:eastAsia="Arial" w:hAnsi="Arial" w:cs="Arial"/>
          <w:color w:val="000000"/>
          <w:sz w:val="20"/>
        </w:rPr>
        <w:t xml:space="preserve"> applying the same legal standard as the district court. </w:t>
      </w:r>
      <w:bookmarkStart w:id="2299" w:name="Bookmark_I55BDMPJ2N1RSD0010000400"/>
      <w:bookmarkEnd w:id="2299"/>
      <w:r>
        <w:rPr>
          <w:rFonts w:ascii="Arial" w:eastAsia="Arial" w:hAnsi="Arial" w:cs="Arial"/>
          <w:i/>
          <w:color w:val="000000"/>
          <w:sz w:val="20"/>
        </w:rPr>
        <w:t>Int'l Fid. Ins. Co. v. Sweet Little Mex. Corp.,</w:t>
      </w:r>
      <w:r>
        <w:rPr>
          <w:rFonts w:ascii="Arial" w:eastAsia="Arial" w:hAnsi="Arial" w:cs="Arial"/>
          <w:color w:val="000000"/>
          <w:sz w:val="20"/>
        </w:rPr>
        <w:t xml:space="preserve"> 665 F.3d 671, 679 (5th Cir. 2011). </w:t>
      </w:r>
      <w:bookmarkStart w:id="2300" w:name="Bookmark_I55BDMPJ2N1RSD0040000400"/>
      <w:bookmarkStart w:id="2301" w:name="Bookmark_LNHNREFclscc2_13"/>
      <w:bookmarkEnd w:id="2300"/>
      <w:bookmarkEnd w:id="2301"/>
      <w:r>
        <w:rPr>
          <w:rFonts w:ascii="Arial" w:eastAsia="Arial" w:hAnsi="Arial" w:cs="Arial"/>
          <w:color w:val="000000"/>
          <w:sz w:val="20"/>
        </w:rPr>
        <w:t xml:space="preserve">Summary judgment should be rendered if the record demonstrates that "there is no genuine dispute as to any material fact and the movant is entitled to judgment as a matter of law." </w:t>
      </w:r>
      <w:r>
        <w:rPr>
          <w:rFonts w:ascii="Arial" w:eastAsia="Arial" w:hAnsi="Arial" w:cs="Arial"/>
          <w:smallCaps/>
          <w:color w:val="000000"/>
          <w:sz w:val="20"/>
        </w:rPr>
        <w:t>Fed. R. Civ. P.</w:t>
      </w:r>
      <w:r>
        <w:rPr>
          <w:rFonts w:ascii="Arial" w:eastAsia="Arial" w:hAnsi="Arial" w:cs="Arial"/>
          <w:color w:val="000000"/>
          <w:sz w:val="20"/>
        </w:rPr>
        <w:t xml:space="preserve"> 56(a). </w:t>
      </w:r>
      <w:bookmarkStart w:id="2302" w:name="Bookmark_I55BDMPJ2N1RSD0040000400_2"/>
      <w:bookmarkEnd w:id="2302"/>
      <w:r>
        <w:rPr>
          <w:rFonts w:ascii="Arial" w:eastAsia="Arial" w:hAnsi="Arial" w:cs="Arial"/>
          <w:color w:val="000000"/>
          <w:sz w:val="20"/>
        </w:rPr>
        <w:t xml:space="preserve">We view all disputed facts in the light most favorable to the non-moving party. </w:t>
      </w:r>
      <w:bookmarkStart w:id="2303" w:name="Bookmark_I55BDMPJ2HM69F0010000400"/>
      <w:bookmarkStart w:id="2304" w:name="Bookmark_I55BDMPJ2N1RSD0030000400"/>
      <w:bookmarkEnd w:id="2303"/>
      <w:bookmarkEnd w:id="2304"/>
      <w:r>
        <w:rPr>
          <w:rFonts w:ascii="Arial" w:eastAsia="Arial" w:hAnsi="Arial" w:cs="Arial"/>
          <w:i/>
          <w:color w:val="000000"/>
          <w:sz w:val="20"/>
        </w:rPr>
        <w:t>Int'l Fid. Ins. Co.,</w:t>
      </w:r>
      <w:r>
        <w:rPr>
          <w:rFonts w:ascii="Arial" w:eastAsia="Arial" w:hAnsi="Arial" w:cs="Arial"/>
          <w:color w:val="000000"/>
          <w:sz w:val="20"/>
        </w:rPr>
        <w:t xml:space="preserve"> 665 F.3d at 679. </w:t>
      </w:r>
      <w:bookmarkStart w:id="2305" w:name="Bookmark_I55BDMPJ2HM69F0010000400_2"/>
      <w:bookmarkStart w:id="2306" w:name="Bookmark_I55BDMPJ2HM69F0030000400"/>
      <w:bookmarkStart w:id="2307" w:name="Bookmark_LNHNREFclscc3_12"/>
      <w:bookmarkEnd w:id="2305"/>
      <w:bookmarkEnd w:id="2306"/>
      <w:bookmarkEnd w:id="2307"/>
      <w:r>
        <w:rPr>
          <w:rFonts w:ascii="Arial" w:eastAsia="Arial" w:hAnsi="Arial" w:cs="Arial"/>
          <w:color w:val="000000"/>
          <w:sz w:val="20"/>
        </w:rPr>
        <w:t xml:space="preserve">We review the district court's ruling regarding sanctions for abuse of discretion. </w:t>
      </w:r>
      <w:bookmarkStart w:id="2308" w:name="Bookmark_I55BDMPJ2N1RSD0050000400"/>
      <w:bookmarkEnd w:id="2308"/>
      <w:r>
        <w:rPr>
          <w:rFonts w:ascii="Arial" w:eastAsia="Arial" w:hAnsi="Arial" w:cs="Arial"/>
          <w:i/>
          <w:color w:val="000000"/>
          <w:sz w:val="20"/>
        </w:rPr>
        <w:t>Whitehead v. Food Max of Miss., Inc.,</w:t>
      </w:r>
      <w:r>
        <w:rPr>
          <w:rFonts w:ascii="Arial" w:eastAsia="Arial" w:hAnsi="Arial" w:cs="Arial"/>
          <w:color w:val="000000"/>
          <w:sz w:val="20"/>
        </w:rPr>
        <w:t xml:space="preserve"> 332 F.3d 796, 803 (5th Cir. 2003). </w:t>
      </w:r>
      <w:bookmarkStart w:id="2309" w:name="Bookmark_I55BDMPJ2HM69F0030000400_2"/>
      <w:bookmarkEnd w:id="2309"/>
      <w:r>
        <w:rPr>
          <w:rFonts w:ascii="Arial" w:eastAsia="Arial" w:hAnsi="Arial" w:cs="Arial"/>
          <w:color w:val="000000"/>
          <w:sz w:val="20"/>
        </w:rPr>
        <w:t xml:space="preserve">Under this deferential standard, "an abuse of discretion only occurs where no reasonable person could take the view adopted by the trial court." </w:t>
      </w:r>
      <w:bookmarkStart w:id="2310" w:name="Bookmark_I55BDMPJ2HM69F0020000400"/>
      <w:bookmarkEnd w:id="2310"/>
      <w:r>
        <w:rPr>
          <w:rFonts w:ascii="Arial" w:eastAsia="Arial" w:hAnsi="Arial" w:cs="Arial"/>
          <w:i/>
          <w:color w:val="000000"/>
          <w:sz w:val="20"/>
        </w:rPr>
        <w:t>Friends for Am. Free Enter. Ass'n v. Wal-Mart Stores, Inc.,</w:t>
      </w:r>
      <w:r>
        <w:rPr>
          <w:rFonts w:ascii="Arial" w:eastAsia="Arial" w:hAnsi="Arial" w:cs="Arial"/>
          <w:color w:val="000000"/>
          <w:sz w:val="20"/>
        </w:rPr>
        <w:t xml:space="preserve"> 284 F.3d 575, 578 (5th Cir. 2002) (internal quotation omitted).</w:t>
      </w:r>
    </w:p>
    <w:p w14:paraId="1B388595" w14:textId="77777777" w:rsidR="00D041A2" w:rsidRDefault="00000000">
      <w:pPr>
        <w:pStyle w:val="Normal19"/>
        <w:widowControl w:val="0"/>
        <w:spacing w:before="240" w:line="260" w:lineRule="atLeast"/>
      </w:pPr>
      <w:r>
        <w:br/>
      </w:r>
      <w:r>
        <w:rPr>
          <w:rFonts w:ascii="Arial" w:eastAsia="Arial" w:hAnsi="Arial" w:cs="Arial"/>
          <w:b/>
          <w:color w:val="000000"/>
          <w:sz w:val="20"/>
        </w:rPr>
        <w:t>DISCUSSION</w:t>
      </w:r>
    </w:p>
    <w:p w14:paraId="62696830" w14:textId="77777777" w:rsidR="00D041A2" w:rsidRDefault="00000000">
      <w:pPr>
        <w:pStyle w:val="Normal19"/>
        <w:widowControl w:val="0"/>
        <w:spacing w:before="240" w:line="260" w:lineRule="atLeast"/>
      </w:pPr>
      <w:r>
        <w:br/>
      </w:r>
      <w:r>
        <w:rPr>
          <w:rFonts w:ascii="Arial" w:eastAsia="Arial" w:hAnsi="Arial" w:cs="Arial"/>
          <w:b/>
          <w:color w:val="000000"/>
          <w:sz w:val="20"/>
        </w:rPr>
        <w:t>A. ADA and Existing Structures</w:t>
      </w:r>
    </w:p>
    <w:p w14:paraId="00CEE916" w14:textId="77777777" w:rsidR="00D041A2" w:rsidRDefault="00000000">
      <w:pPr>
        <w:pStyle w:val="Normal19"/>
        <w:widowControl w:val="0"/>
        <w:spacing w:before="200" w:line="260" w:lineRule="atLeast"/>
        <w:jc w:val="both"/>
      </w:pPr>
      <w:bookmarkStart w:id="2311" w:name="Bookmark_para_15_12"/>
      <w:bookmarkEnd w:id="2311"/>
      <w:r>
        <w:rPr>
          <w:rFonts w:ascii="Arial" w:eastAsia="Arial" w:hAnsi="Arial" w:cs="Arial"/>
          <w:color w:val="000000"/>
          <w:sz w:val="20"/>
        </w:rPr>
        <w:t xml:space="preserve">Title II of the ADA states that </w:t>
      </w:r>
      <w:bookmarkStart w:id="2312" w:name="Bookmark_LNHNREFclscc4_12"/>
      <w:bookmarkEnd w:id="2312"/>
      <w:r>
        <w:rPr>
          <w:rFonts w:ascii="Arial" w:eastAsia="Arial" w:hAnsi="Arial" w:cs="Arial"/>
          <w:color w:val="000000"/>
          <w:sz w:val="20"/>
        </w:rPr>
        <w:t>"no qualified individual with a disability shall, by reason of such disability, be excluded from participation in or be denied the benefits of the services, programs, or activities of a public entity, or be subjected to discrimination by  [**8] any such entity."</w:t>
      </w:r>
      <w:r>
        <w:rPr>
          <w:rFonts w:ascii="Arial" w:eastAsia="Arial" w:hAnsi="Arial" w:cs="Arial"/>
          <w:vertAlign w:val="superscript"/>
        </w:rPr>
        <w:footnoteReference w:customMarkFollows="1" w:id="106"/>
        <w:t>1</w:t>
      </w:r>
      <w:r>
        <w:rPr>
          <w:rFonts w:ascii="Arial" w:eastAsia="Arial" w:hAnsi="Arial" w:cs="Arial"/>
          <w:color w:val="000000"/>
          <w:sz w:val="20"/>
        </w:rPr>
        <w:t xml:space="preserve"> 42 U.S.C. § 12132;  [*291]  </w:t>
      </w:r>
      <w:r>
        <w:rPr>
          <w:rFonts w:ascii="Arial" w:eastAsia="Arial" w:hAnsi="Arial" w:cs="Arial"/>
          <w:i/>
          <w:color w:val="000000"/>
          <w:sz w:val="20"/>
        </w:rPr>
        <w:t>see also</w:t>
      </w:r>
      <w:r>
        <w:rPr>
          <w:rFonts w:ascii="Arial" w:eastAsia="Arial" w:hAnsi="Arial" w:cs="Arial"/>
          <w:color w:val="000000"/>
          <w:sz w:val="20"/>
        </w:rPr>
        <w:t xml:space="preserve"> 28 C.F.R. § 35.130(a) ("No qualified individual with a disability shall, on the basis of disability, be excluded from participation in or be denied the benefits of the services, programs, or activities of a public entity, or be subjected to discrimination by any public entity"). </w:t>
      </w:r>
      <w:bookmarkStart w:id="2318" w:name="Bookmark_LNHNREFclscc5_12"/>
      <w:bookmarkEnd w:id="2318"/>
      <w:r>
        <w:rPr>
          <w:rFonts w:ascii="Arial" w:eastAsia="Arial" w:hAnsi="Arial" w:cs="Arial"/>
          <w:color w:val="000000"/>
          <w:sz w:val="20"/>
        </w:rPr>
        <w:t>The implementation of Title II and the construction and access requirements, as it pertains to ensuring public facilities are accessible to individuals with disabilities, are articulated in the ADAAG regulations. These regulations provide the minimum technical requirements for ADA compliance for newly constructed facilities and for alterations made to existing facilities. 28 C.F.R. pt. 36 app. A.</w:t>
      </w:r>
      <w:r>
        <w:rPr>
          <w:rFonts w:ascii="Arial" w:eastAsia="Arial" w:hAnsi="Arial" w:cs="Arial"/>
          <w:vertAlign w:val="superscript"/>
        </w:rPr>
        <w:footnoteReference w:customMarkFollows="1" w:id="107"/>
        <w:t>2</w:t>
      </w:r>
      <w:r>
        <w:rPr>
          <w:rFonts w:ascii="Arial" w:eastAsia="Arial" w:hAnsi="Arial" w:cs="Arial"/>
          <w:color w:val="000000"/>
          <w:sz w:val="20"/>
        </w:rPr>
        <w:t xml:space="preserve"> There is no dispute that RISD is a governmental entity of the State of Texas and is subject to the requirements of the ADA, the Rehabilitation Act, and the relevant implementing regulations.</w:t>
      </w:r>
    </w:p>
    <w:p w14:paraId="1CD096D5" w14:textId="77777777" w:rsidR="00D041A2" w:rsidRDefault="00000000">
      <w:pPr>
        <w:pStyle w:val="Normal19"/>
        <w:widowControl w:val="0"/>
        <w:spacing w:before="200" w:line="260" w:lineRule="atLeast"/>
        <w:jc w:val="both"/>
      </w:pPr>
      <w:bookmarkStart w:id="2321" w:name="Bookmark_para_16_12"/>
      <w:bookmarkStart w:id="2322" w:name="Bookmark_I55BDMPJ2HM69F0050000400"/>
      <w:bookmarkEnd w:id="2321"/>
      <w:bookmarkEnd w:id="2322"/>
      <w:r>
        <w:rPr>
          <w:rFonts w:ascii="Arial" w:eastAsia="Arial" w:hAnsi="Arial" w:cs="Arial"/>
          <w:color w:val="000000"/>
          <w:sz w:val="20"/>
        </w:rPr>
        <w:t>When enacting the ADA, Congress acknowledged that some public entities operating then-existing buildings and structures would be unable to comply with all technical aspects of the new ADAAG regulations. Accordingly,  [**10] </w:t>
      </w:r>
      <w:bookmarkStart w:id="2323" w:name="Bookmark_LNHNREFclscc11_10"/>
      <w:bookmarkEnd w:id="2323"/>
      <w:r>
        <w:rPr>
          <w:rFonts w:ascii="Arial" w:eastAsia="Arial" w:hAnsi="Arial" w:cs="Arial"/>
          <w:color w:val="000000"/>
          <w:sz w:val="20"/>
        </w:rPr>
        <w:t xml:space="preserve">the regulations promulgated by the United States Attorney General to implement the requirements of Title II differentiate between structures built prior to the Act taking effect in January 1992 ("existing facilities") and facilities built or altered after January 1992. </w:t>
      </w:r>
      <w:bookmarkStart w:id="2324" w:name="Bookmark_I55BDMPJ2D6MT40020000400"/>
      <w:bookmarkStart w:id="2325" w:name="Bookmark_I55BDMPJ2HM69F0040000400"/>
      <w:bookmarkEnd w:id="2324"/>
      <w:bookmarkEnd w:id="2325"/>
      <w:r>
        <w:rPr>
          <w:rFonts w:ascii="Arial" w:eastAsia="Arial" w:hAnsi="Arial" w:cs="Arial"/>
          <w:i/>
          <w:color w:val="000000"/>
          <w:sz w:val="20"/>
        </w:rPr>
        <w:t>Tennessee v. Lane,</w:t>
      </w:r>
      <w:r>
        <w:rPr>
          <w:rFonts w:ascii="Arial" w:eastAsia="Arial" w:hAnsi="Arial" w:cs="Arial"/>
          <w:color w:val="000000"/>
          <w:sz w:val="20"/>
        </w:rPr>
        <w:t xml:space="preserve"> 541 U.S. 509, 531-32, 124 S. Ct. 1978, 158 L. Ed. 2d 820 (2004); 28 C.F.R. § 35.104. </w:t>
      </w:r>
      <w:bookmarkStart w:id="2326" w:name="Bookmark_I55BDMPJ2D6MT40020000400_2"/>
      <w:bookmarkEnd w:id="2326"/>
      <w:r>
        <w:rPr>
          <w:rFonts w:ascii="Arial" w:eastAsia="Arial" w:hAnsi="Arial" w:cs="Arial"/>
          <w:color w:val="000000"/>
          <w:sz w:val="20"/>
        </w:rPr>
        <w:t xml:space="preserve">The accessibility requirements for existing facilities are less stringent and more flexible than for new facilities. "[I]n the case of older facilities, for which structural change is likely to be more difficult, a public entity may comply with Title II by adopting a variety of less costly measures, including relocating services to alternative, accessible sites and assigning aides to assist persons with disabilities in accessing services." </w:t>
      </w:r>
      <w:bookmarkStart w:id="2327" w:name="Bookmark_I55BDMPJ2D6MT40010000400"/>
      <w:bookmarkEnd w:id="2327"/>
      <w:r>
        <w:rPr>
          <w:rFonts w:ascii="Arial" w:eastAsia="Arial" w:hAnsi="Arial" w:cs="Arial"/>
          <w:i/>
          <w:color w:val="000000"/>
          <w:sz w:val="20"/>
        </w:rPr>
        <w:t>Lane,</w:t>
      </w:r>
      <w:r>
        <w:rPr>
          <w:rFonts w:ascii="Arial" w:eastAsia="Arial" w:hAnsi="Arial" w:cs="Arial"/>
          <w:color w:val="000000"/>
          <w:sz w:val="20"/>
        </w:rPr>
        <w:t xml:space="preserve"> 541 U.S. at 532. It is undisputed that RISD's Berkner B stadium, built in 1968, qualifies as an existing structure.</w:t>
      </w:r>
    </w:p>
    <w:p w14:paraId="093738CF" w14:textId="77777777" w:rsidR="00D041A2" w:rsidRDefault="00000000">
      <w:pPr>
        <w:pStyle w:val="Normal19"/>
        <w:widowControl w:val="0"/>
        <w:spacing w:before="200" w:line="260" w:lineRule="atLeast"/>
        <w:jc w:val="both"/>
      </w:pPr>
      <w:bookmarkStart w:id="2328" w:name="Bookmark_para_17_12"/>
      <w:bookmarkStart w:id="2329" w:name="Bookmark_LNHNREFclscc12_9"/>
      <w:bookmarkEnd w:id="2328"/>
      <w:bookmarkEnd w:id="2329"/>
      <w:r>
        <w:rPr>
          <w:rFonts w:ascii="Arial" w:eastAsia="Arial" w:hAnsi="Arial" w:cs="Arial"/>
          <w:color w:val="000000"/>
          <w:sz w:val="20"/>
        </w:rPr>
        <w:t xml:space="preserve">When considering ADA compliance for such existing structures, the touchstone is thus not the facility's technical compliance with the ADAAG, but is instead "program accessibility." "A public entity shall operate each service, program, or activity so that the service, program, or activity, when viewed  [**11] in its entirety, is readily accessible to and usable by individuals with disabilities." 28 C.F.R. § 35.150(a). Making a program or activity accessible under this standard does not require a public entity to make all of its existing facilities accessible to disabled individuals nor does it require a public entity to take an action that would place an undue burden on the entity. </w:t>
      </w:r>
      <w:r>
        <w:rPr>
          <w:rFonts w:ascii="Arial" w:eastAsia="Arial" w:hAnsi="Arial" w:cs="Arial"/>
          <w:i/>
          <w:color w:val="000000"/>
          <w:sz w:val="20"/>
        </w:rPr>
        <w:t>Id.</w:t>
      </w:r>
      <w:r>
        <w:rPr>
          <w:rFonts w:ascii="Arial" w:eastAsia="Arial" w:hAnsi="Arial" w:cs="Arial"/>
          <w:color w:val="000000"/>
          <w:sz w:val="20"/>
        </w:rPr>
        <w:t xml:space="preserve"> at (a)(1), (3). Furthermore, the regulations do not provide any objective criteria for evaluating program accessibility. While an existing facility's compliance with the ADAAG regulations may be informative, program accessibility is ultimately a subjective determination by viewing the program or activity at issue in its entirety and not solely by evaluating individual elements  [*292]  of the facility where the program is held.</w:t>
      </w:r>
      <w:r>
        <w:rPr>
          <w:rFonts w:ascii="Arial" w:eastAsia="Arial" w:hAnsi="Arial" w:cs="Arial"/>
          <w:vertAlign w:val="superscript"/>
        </w:rPr>
        <w:footnoteReference w:customMarkFollows="1" w:id="108"/>
        <w:t>3</w:t>
      </w:r>
    </w:p>
    <w:p w14:paraId="268B0A7F" w14:textId="77777777" w:rsidR="00D041A2" w:rsidRDefault="00000000">
      <w:pPr>
        <w:pStyle w:val="Normal19"/>
        <w:widowControl w:val="0"/>
        <w:spacing w:before="240" w:line="260" w:lineRule="atLeast"/>
      </w:pPr>
      <w:r>
        <w:br/>
      </w:r>
      <w:r>
        <w:rPr>
          <w:rFonts w:ascii="Arial" w:eastAsia="Arial" w:hAnsi="Arial" w:cs="Arial"/>
          <w:b/>
          <w:color w:val="000000"/>
          <w:sz w:val="20"/>
        </w:rPr>
        <w:t>B. Greer's Prima Facie Case</w:t>
      </w:r>
    </w:p>
    <w:p w14:paraId="3F1E6930" w14:textId="77777777" w:rsidR="00D041A2" w:rsidRDefault="00000000">
      <w:pPr>
        <w:pStyle w:val="Normal19"/>
        <w:widowControl w:val="0"/>
        <w:spacing w:before="200" w:line="260" w:lineRule="atLeast"/>
        <w:jc w:val="both"/>
      </w:pPr>
      <w:bookmarkStart w:id="2338" w:name="Bookmark_para_18_10"/>
      <w:bookmarkStart w:id="2339" w:name="Bookmark_I7GG5JT272K000G4PRN0003X"/>
      <w:bookmarkStart w:id="2340" w:name="Bookmark_I55BDMPJ2N1RSG0040000400"/>
      <w:bookmarkStart w:id="2341" w:name="Bookmark_LNHNREFclscc14_7"/>
      <w:bookmarkEnd w:id="2338"/>
      <w:bookmarkEnd w:id="2339"/>
      <w:bookmarkEnd w:id="2340"/>
      <w:bookmarkEnd w:id="2341"/>
      <w:r>
        <w:rPr>
          <w:rFonts w:ascii="Arial" w:eastAsia="Arial" w:hAnsi="Arial" w:cs="Arial"/>
          <w:color w:val="000000"/>
          <w:sz w:val="20"/>
        </w:rPr>
        <w:t xml:space="preserve">To establish a prima facie case of discrimination under the ADA, Greer must demonstrate: (1) that she is a qualified individual within the meaning of the ADA; (2) that she was excluded from participation in, or was denied benefits of, services, programs, or activities for which RISD is responsible; and (3) that such exclusion or discrimination is because of her disability. </w:t>
      </w:r>
      <w:bookmarkStart w:id="2342" w:name="Bookmark_I55BDMPJ2N1RSG0030000400"/>
      <w:bookmarkEnd w:id="2342"/>
      <w:r>
        <w:rPr>
          <w:rFonts w:ascii="Arial" w:eastAsia="Arial" w:hAnsi="Arial" w:cs="Arial"/>
          <w:i/>
          <w:color w:val="000000"/>
          <w:sz w:val="20"/>
        </w:rPr>
        <w:t>Melton v. Dall. Area Rapid Transit,</w:t>
      </w:r>
      <w:r>
        <w:rPr>
          <w:rFonts w:ascii="Arial" w:eastAsia="Arial" w:hAnsi="Arial" w:cs="Arial"/>
          <w:color w:val="000000"/>
          <w:sz w:val="20"/>
        </w:rPr>
        <w:t xml:space="preserve"> 391 F.3d 669, 671-72 (5th Cir. 2004). If Greer makes a prima facie case, RISD may assert an affirmative defense by showing that the requested actions would constitute an undue financial or administrative burden. 28 C.F.R. § 35.150(a)(3).</w:t>
      </w:r>
    </w:p>
    <w:p w14:paraId="0CB63DBB" w14:textId="77777777" w:rsidR="00D041A2" w:rsidRDefault="00000000">
      <w:pPr>
        <w:pStyle w:val="Normal19"/>
        <w:widowControl w:val="0"/>
        <w:spacing w:before="200" w:line="260" w:lineRule="atLeast"/>
        <w:jc w:val="both"/>
      </w:pPr>
      <w:bookmarkStart w:id="2343" w:name="Bookmark_para_19_10"/>
      <w:bookmarkStart w:id="2344" w:name="Bookmark_I55BDMPJ28T4DG0010000400"/>
      <w:bookmarkEnd w:id="2343"/>
      <w:bookmarkEnd w:id="2344"/>
      <w:r>
        <w:rPr>
          <w:rFonts w:ascii="Arial" w:eastAsia="Arial" w:hAnsi="Arial" w:cs="Arial"/>
          <w:color w:val="000000"/>
          <w:sz w:val="20"/>
        </w:rPr>
        <w:t xml:space="preserve">We note that </w:t>
      </w:r>
      <w:bookmarkStart w:id="2345" w:name="Bookmark_LNHNREFclscc15_6"/>
      <w:bookmarkEnd w:id="2345"/>
      <w:r>
        <w:rPr>
          <w:rFonts w:ascii="Arial" w:eastAsia="Arial" w:hAnsi="Arial" w:cs="Arial"/>
          <w:color w:val="000000"/>
          <w:sz w:val="20"/>
        </w:rPr>
        <w:t xml:space="preserve">disability discrimination differs from racial discrimination in the constitutional sense. </w:t>
      </w:r>
      <w:bookmarkStart w:id="2346" w:name="Bookmark_I55BDMPJ2N1RSG0050000400"/>
      <w:bookmarkEnd w:id="2346"/>
      <w:r>
        <w:rPr>
          <w:rFonts w:ascii="Arial" w:eastAsia="Arial" w:hAnsi="Arial" w:cs="Arial"/>
          <w:i/>
          <w:color w:val="000000"/>
          <w:sz w:val="20"/>
        </w:rPr>
        <w:t>Melton,</w:t>
      </w:r>
      <w:r>
        <w:rPr>
          <w:rFonts w:ascii="Arial" w:eastAsia="Arial" w:hAnsi="Arial" w:cs="Arial"/>
          <w:color w:val="000000"/>
          <w:sz w:val="20"/>
        </w:rPr>
        <w:t xml:space="preserve"> 391 F.3d at 672.</w:t>
      </w:r>
      <w:r>
        <w:rPr>
          <w:rFonts w:ascii="Arial" w:eastAsia="Arial" w:hAnsi="Arial" w:cs="Arial"/>
          <w:vertAlign w:val="superscript"/>
        </w:rPr>
        <w:footnoteReference w:customMarkFollows="1" w:id="109"/>
        <w:t>4</w:t>
      </w:r>
      <w:r>
        <w:rPr>
          <w:rFonts w:ascii="Arial" w:eastAsia="Arial" w:hAnsi="Arial" w:cs="Arial"/>
          <w:color w:val="000000"/>
          <w:sz w:val="20"/>
        </w:rPr>
        <w:t xml:space="preserve"> To determine whether RISD discriminated against Greer on the basis of her disability, we rely on the language of the ADA itself and its applicable definition of discrimination—whether the junior varsity football game at Berkner B was an accessible program at an existing facility.  [**14] If the football game is not readily accessible to someone with a disability, Greer may have stated a prima facie case of discrimination. On the other hand, if it is apparent that RISD provides sufficient program access to football games held at Berkner B, Greer has failed to establish a prima facie case and the district court was correct in denying Greer's summary judgment motion.</w:t>
      </w:r>
    </w:p>
    <w:p w14:paraId="466ADE4A" w14:textId="77777777" w:rsidR="00D041A2" w:rsidRDefault="00000000">
      <w:pPr>
        <w:pStyle w:val="Normal19"/>
        <w:widowControl w:val="0"/>
        <w:spacing w:before="200" w:line="260" w:lineRule="atLeast"/>
        <w:jc w:val="both"/>
      </w:pPr>
      <w:bookmarkStart w:id="2348" w:name="Bookmark_para_20_10"/>
      <w:bookmarkEnd w:id="2348"/>
      <w:r>
        <w:rPr>
          <w:rFonts w:ascii="Arial" w:eastAsia="Arial" w:hAnsi="Arial" w:cs="Arial"/>
          <w:color w:val="000000"/>
          <w:sz w:val="20"/>
        </w:rPr>
        <w:t>The parties do not dispute that Greer satisfies elements one and three in establishing a prima facie case: she is a qualified individual under the ADA and any alleged exclusion or discrimination was a result of her disability—her inability to access the Berkner B bleachers while in a wheelchair. As a result, the primary question before this court is whether the district court properly found that Greer failed  [*293]  to satisfy element two, and thus failed to present a prima facie case,  [**15] by showing that there was insufficient program access when she attended the football game at Berkner B.</w:t>
      </w:r>
    </w:p>
    <w:p w14:paraId="0CDE8EEF" w14:textId="77777777" w:rsidR="00D041A2" w:rsidRDefault="00000000">
      <w:pPr>
        <w:pStyle w:val="Normal19"/>
        <w:widowControl w:val="0"/>
        <w:spacing w:before="200" w:line="260" w:lineRule="atLeast"/>
        <w:jc w:val="both"/>
      </w:pPr>
      <w:bookmarkStart w:id="2349" w:name="Bookmark_para_21_10"/>
      <w:bookmarkEnd w:id="2349"/>
      <w:r>
        <w:rPr>
          <w:rFonts w:ascii="Arial" w:eastAsia="Arial" w:hAnsi="Arial" w:cs="Arial"/>
          <w:color w:val="000000"/>
          <w:sz w:val="20"/>
        </w:rPr>
        <w:t>Establishing exactly what constitutes sufficient access to the "program"—watching her son's football game—was a primary concern of the district court and continues to be a matter of debate on appeal. The following exchange between the district court and Greer's counsel at the hearing on the parties' cross-motions for summary judgment is instructive.</w:t>
      </w:r>
    </w:p>
    <w:p w14:paraId="511E1654" w14:textId="77777777" w:rsidR="00D041A2" w:rsidRDefault="00000000">
      <w:pPr>
        <w:pStyle w:val="Normal19"/>
        <w:widowControl w:val="0"/>
        <w:spacing w:before="200" w:line="260" w:lineRule="atLeast"/>
        <w:jc w:val="both"/>
      </w:pPr>
      <w:bookmarkStart w:id="2350" w:name="Bookmark_para_22_10"/>
      <w:bookmarkEnd w:id="2350"/>
      <w:r>
        <w:rPr>
          <w:rFonts w:ascii="Arial" w:eastAsia="Arial" w:hAnsi="Arial" w:cs="Arial"/>
          <w:color w:val="000000"/>
          <w:sz w:val="20"/>
        </w:rPr>
        <w:t>The district court:</w:t>
      </w:r>
    </w:p>
    <w:p w14:paraId="0A4B7481" w14:textId="77777777" w:rsidR="00D041A2" w:rsidRDefault="00000000">
      <w:pPr>
        <w:pStyle w:val="Normal19"/>
        <w:widowControl w:val="0"/>
        <w:spacing w:line="260" w:lineRule="atLeast"/>
        <w:ind w:left="400"/>
        <w:jc w:val="both"/>
      </w:pPr>
      <w:bookmarkStart w:id="2351" w:name="Bookmark_para_23_10"/>
      <w:bookmarkEnd w:id="2351"/>
      <w:r>
        <w:rPr>
          <w:rFonts w:ascii="Arial" w:eastAsia="Arial" w:hAnsi="Arial" w:cs="Arial"/>
          <w:color w:val="000000"/>
          <w:sz w:val="20"/>
        </w:rPr>
        <w:t>That the key issue with respect to this subject, as the plaintiff would characterize it, is that [providing alternative accessible viewing areas] doesn't do because it's not just watching the game that matters, which Ms. Greer, or others, seated in one of those areas could do, but it is the experience of watching the game with the other fans.</w:t>
      </w:r>
    </w:p>
    <w:p w14:paraId="0BC12021" w14:textId="77777777" w:rsidR="00D041A2" w:rsidRDefault="00000000">
      <w:pPr>
        <w:pStyle w:val="Normal19"/>
        <w:widowControl w:val="0"/>
        <w:spacing w:before="200" w:line="260" w:lineRule="atLeast"/>
        <w:jc w:val="both"/>
      </w:pPr>
      <w:bookmarkStart w:id="2352" w:name="Bookmark_para_24_9"/>
      <w:bookmarkEnd w:id="2352"/>
      <w:r>
        <w:rPr>
          <w:rFonts w:ascii="Arial" w:eastAsia="Arial" w:hAnsi="Arial" w:cs="Arial"/>
          <w:color w:val="000000"/>
          <w:sz w:val="20"/>
        </w:rPr>
        <w:t>Greer's counsel in response:</w:t>
      </w:r>
    </w:p>
    <w:p w14:paraId="0AFA4C5C" w14:textId="77777777" w:rsidR="00D041A2" w:rsidRDefault="00000000">
      <w:pPr>
        <w:pStyle w:val="Normal19"/>
        <w:widowControl w:val="0"/>
        <w:spacing w:line="260" w:lineRule="atLeast"/>
        <w:ind w:left="400"/>
        <w:jc w:val="both"/>
      </w:pPr>
      <w:bookmarkStart w:id="2353" w:name="Bookmark_para_25_9"/>
      <w:bookmarkEnd w:id="2353"/>
      <w:r>
        <w:rPr>
          <w:rFonts w:ascii="Arial" w:eastAsia="Arial" w:hAnsi="Arial" w:cs="Arial"/>
          <w:color w:val="000000"/>
          <w:sz w:val="20"/>
        </w:rPr>
        <w:t>But to the extent that the basic argument is that are you entitled to keep the disabled out of the general seating area versus not, then I would agree that that is a fair assessment of one of the central issues before the Court."</w:t>
      </w:r>
    </w:p>
    <w:p w14:paraId="3F502C01" w14:textId="77777777" w:rsidR="00D041A2" w:rsidRDefault="00000000">
      <w:pPr>
        <w:pStyle w:val="Normal19"/>
        <w:widowControl w:val="0"/>
        <w:spacing w:before="200" w:line="260" w:lineRule="atLeast"/>
        <w:jc w:val="both"/>
      </w:pPr>
      <w:bookmarkStart w:id="2354" w:name="Bookmark_para_26_9"/>
      <w:bookmarkEnd w:id="2354"/>
      <w:r>
        <w:rPr>
          <w:rFonts w:ascii="Arial" w:eastAsia="Arial" w:hAnsi="Arial" w:cs="Arial"/>
          <w:color w:val="000000"/>
          <w:sz w:val="20"/>
        </w:rPr>
        <w:t>In light of the prior proceedings and the parties' briefs, we understand Greer's general contention to be this: "program access"  [**16] is more than just the ability to watch the football game at the Berkner B stadium. Instead program access requires that a disabled individual such as Greer not only be able to watch the game but also experience the game from the general admission public bleachers so as to not be separated from other attendees.</w:t>
      </w:r>
    </w:p>
    <w:p w14:paraId="01B50041" w14:textId="77777777" w:rsidR="00D041A2" w:rsidRDefault="00000000">
      <w:pPr>
        <w:pStyle w:val="Normal19"/>
        <w:widowControl w:val="0"/>
        <w:spacing w:before="200" w:line="260" w:lineRule="atLeast"/>
        <w:jc w:val="both"/>
      </w:pPr>
      <w:bookmarkStart w:id="2355" w:name="Bookmark_para_27_9"/>
      <w:bookmarkEnd w:id="2355"/>
      <w:r>
        <w:rPr>
          <w:rFonts w:ascii="Arial" w:eastAsia="Arial" w:hAnsi="Arial" w:cs="Arial"/>
          <w:color w:val="000000"/>
          <w:sz w:val="20"/>
        </w:rPr>
        <w:t>There is an aspect of Greer's segregation argument that rings true as noted by the district court during its hearing on the cross-motions for summary judgment. It would likely not be permissible for a public entity such as RISD to claim it provides program access if it required disabled individuals to sit alone in an area far removed from her companions and other attendees, such as behind the goal posts at the end of the field, when all other attendees were seated along the sidelines. Yet we need not determine where that line exists here—how far away is too far away—because, as the photos in the record show, all of the accessible seating offered by RISD is either immediately adjacent to or in front of the bleacher seating for the general public.</w:t>
      </w:r>
    </w:p>
    <w:p w14:paraId="17D76195" w14:textId="77777777" w:rsidR="00D041A2" w:rsidRDefault="00000000">
      <w:pPr>
        <w:pStyle w:val="Normal19"/>
        <w:widowControl w:val="0"/>
        <w:spacing w:before="200" w:line="260" w:lineRule="atLeast"/>
        <w:jc w:val="both"/>
      </w:pPr>
      <w:bookmarkStart w:id="2356" w:name="Bookmark_para_28_8"/>
      <w:bookmarkEnd w:id="2356"/>
      <w:r>
        <w:rPr>
          <w:rFonts w:ascii="Arial" w:eastAsia="Arial" w:hAnsi="Arial" w:cs="Arial"/>
          <w:color w:val="000000"/>
          <w:sz w:val="20"/>
        </w:rPr>
        <w:t xml:space="preserve">However, we disagree with Greer's suggestion that any separation from the general public seating area is </w:t>
      </w:r>
      <w:r>
        <w:rPr>
          <w:rFonts w:ascii="Arial" w:eastAsia="Arial" w:hAnsi="Arial" w:cs="Arial"/>
          <w:i/>
          <w:color w:val="000000"/>
          <w:sz w:val="20"/>
        </w:rPr>
        <w:t>ipso facto</w:t>
      </w:r>
      <w:r>
        <w:rPr>
          <w:rFonts w:ascii="Arial" w:eastAsia="Arial" w:hAnsi="Arial" w:cs="Arial"/>
          <w:color w:val="000000"/>
          <w:sz w:val="20"/>
        </w:rPr>
        <w:t xml:space="preserve"> discrimination and  [**17] we do not agree with Greer's argument that she was denied program access at the Berkner B stadium. Like the district court, we note that much of Greer's argument focuses on "the actual state of ADAAG compliance at the facility" and conflates these observations about </w:t>
      </w:r>
      <w:r>
        <w:rPr>
          <w:rFonts w:ascii="Arial" w:eastAsia="Arial" w:hAnsi="Arial" w:cs="Arial"/>
          <w:i/>
          <w:color w:val="000000"/>
          <w:sz w:val="20"/>
        </w:rPr>
        <w:t>facility</w:t>
      </w:r>
      <w:r>
        <w:rPr>
          <w:rFonts w:ascii="Arial" w:eastAsia="Arial" w:hAnsi="Arial" w:cs="Arial"/>
          <w:color w:val="000000"/>
          <w:sz w:val="20"/>
        </w:rPr>
        <w:t xml:space="preserve"> deviations from ADAAG standards, which are applicable to newly constructed or modified facilities, with RISD's obligation to provide </w:t>
      </w:r>
      <w:r>
        <w:rPr>
          <w:rFonts w:ascii="Arial" w:eastAsia="Arial" w:hAnsi="Arial" w:cs="Arial"/>
          <w:i/>
          <w:color w:val="000000"/>
          <w:sz w:val="20"/>
        </w:rPr>
        <w:t>program</w:t>
      </w:r>
      <w:r>
        <w:rPr>
          <w:rFonts w:ascii="Arial" w:eastAsia="Arial" w:hAnsi="Arial" w:cs="Arial"/>
          <w:color w:val="000000"/>
          <w:sz w:val="20"/>
        </w:rPr>
        <w:t xml:space="preserve"> access at an existing facility.</w:t>
      </w:r>
      <w:r>
        <w:rPr>
          <w:rFonts w:ascii="Arial" w:eastAsia="Arial" w:hAnsi="Arial" w:cs="Arial"/>
          <w:vertAlign w:val="superscript"/>
        </w:rPr>
        <w:footnoteReference w:customMarkFollows="1" w:id="110"/>
        <w:t>5</w:t>
      </w:r>
    </w:p>
    <w:p w14:paraId="3CC74BCD" w14:textId="77777777" w:rsidR="00D041A2" w:rsidRDefault="00000000">
      <w:pPr>
        <w:pStyle w:val="Normal19"/>
        <w:widowControl w:val="0"/>
        <w:spacing w:before="200" w:line="260" w:lineRule="atLeast"/>
        <w:jc w:val="both"/>
      </w:pPr>
      <w:bookmarkStart w:id="2360" w:name="Bookmark_para_29_7"/>
      <w:bookmarkEnd w:id="2360"/>
      <w:r>
        <w:rPr>
          <w:rFonts w:ascii="Arial" w:eastAsia="Arial" w:hAnsi="Arial" w:cs="Arial"/>
          <w:color w:val="000000"/>
          <w:sz w:val="20"/>
        </w:rPr>
        <w:t xml:space="preserve"> [*294]  In making these arguments, Greer attempts to completely nullify the "program access" standard of review  [**18] by asserting that, based on RISD's admission that the bleachers are not accessible and therefore wheelchair-bound visitors to Berkner B are provided alternate seating areas, RISD must prove that modifying the stadium seating would constitute an undue financial burden in order for RISD to avoid summary judgment. This however is not an accurate interpretation of the law. </w:t>
      </w:r>
      <w:bookmarkStart w:id="2361" w:name="Bookmark_LNHNREFclscc16_5"/>
      <w:bookmarkEnd w:id="2361"/>
      <w:r>
        <w:rPr>
          <w:rFonts w:ascii="Arial" w:eastAsia="Arial" w:hAnsi="Arial" w:cs="Arial"/>
          <w:color w:val="000000"/>
          <w:sz w:val="20"/>
        </w:rPr>
        <w:t xml:space="preserve">As an operator of an existing facility, RISD need only show that the </w:t>
      </w:r>
      <w:r>
        <w:rPr>
          <w:rFonts w:ascii="Arial" w:eastAsia="Arial" w:hAnsi="Arial" w:cs="Arial"/>
          <w:i/>
          <w:color w:val="000000"/>
          <w:sz w:val="20"/>
        </w:rPr>
        <w:t>program</w:t>
      </w:r>
      <w:r>
        <w:rPr>
          <w:rFonts w:ascii="Arial" w:eastAsia="Arial" w:hAnsi="Arial" w:cs="Arial"/>
          <w:color w:val="000000"/>
          <w:sz w:val="20"/>
        </w:rPr>
        <w:t xml:space="preserve"> offered at Berkner B, when viewed in its entirety, is readily accessible to and usable by individuals with disabilities. 28 C.F.R. § 35.150(a). Thus, despite Greer's protests that RISD's repeated statements that it "is not legally obligated to provide bleacher access for a mobility-impaired individual who has designated accessible seating available in an alternate area" are incorrect, RISD's statement is a valid interpretation of the law. As an existing facility, RISD's duty is to provide </w:t>
      </w:r>
      <w:r>
        <w:rPr>
          <w:rFonts w:ascii="Arial" w:eastAsia="Arial" w:hAnsi="Arial" w:cs="Arial"/>
          <w:i/>
          <w:color w:val="000000"/>
          <w:sz w:val="20"/>
        </w:rPr>
        <w:t>program</w:t>
      </w:r>
      <w:r>
        <w:rPr>
          <w:rFonts w:ascii="Arial" w:eastAsia="Arial" w:hAnsi="Arial" w:cs="Arial"/>
          <w:color w:val="000000"/>
          <w:sz w:val="20"/>
        </w:rPr>
        <w:t xml:space="preserve"> access to events at Berkner B, which may be achieved without providing access to the bleachers.</w:t>
      </w:r>
    </w:p>
    <w:p w14:paraId="44B3CA91" w14:textId="77777777" w:rsidR="00D041A2" w:rsidRDefault="00000000">
      <w:pPr>
        <w:pStyle w:val="Normal19"/>
        <w:widowControl w:val="0"/>
        <w:spacing w:before="200" w:line="260" w:lineRule="atLeast"/>
        <w:jc w:val="both"/>
      </w:pPr>
      <w:bookmarkStart w:id="2362" w:name="Bookmark_para_30_7"/>
      <w:bookmarkEnd w:id="2362"/>
      <w:r>
        <w:rPr>
          <w:rFonts w:ascii="Arial" w:eastAsia="Arial" w:hAnsi="Arial" w:cs="Arial"/>
          <w:color w:val="000000"/>
          <w:sz w:val="20"/>
        </w:rPr>
        <w:t xml:space="preserve">Furthermore, Greer's argument that "Keeping the disabled out of the public seating—without any justification—is a denial of program access </w:t>
      </w:r>
      <w:r>
        <w:rPr>
          <w:rFonts w:ascii="Arial" w:eastAsia="Arial" w:hAnsi="Arial" w:cs="Arial"/>
          <w:i/>
          <w:color w:val="000000"/>
          <w:sz w:val="20"/>
        </w:rPr>
        <w:t>on its face,</w:t>
      </w:r>
      <w:r>
        <w:rPr>
          <w:rFonts w:ascii="Arial" w:eastAsia="Arial" w:hAnsi="Arial" w:cs="Arial"/>
          <w:color w:val="000000"/>
          <w:sz w:val="20"/>
        </w:rPr>
        <w:t>" Reply  [**19] Br. 10, would render the "program access" standard meaningless. Under such a reading, a public entity would be required in all cases to modify existing facilities whenever the general public seating area was not wheelchair accessible or ADAAG compliant. Yet this is precisely what the program access standard for existing facilities was meant to avoid by allowing public entities to ensure that disabled individuals can readily access the program at the facility but not necessarily all aspects of the facility itself.</w:t>
      </w:r>
    </w:p>
    <w:p w14:paraId="406F0760" w14:textId="77777777" w:rsidR="00D041A2" w:rsidRDefault="00000000">
      <w:pPr>
        <w:pStyle w:val="Normal19"/>
        <w:widowControl w:val="0"/>
        <w:spacing w:before="200" w:line="260" w:lineRule="atLeast"/>
        <w:jc w:val="both"/>
      </w:pPr>
      <w:bookmarkStart w:id="2363" w:name="Bookmark_para_31_7"/>
      <w:bookmarkStart w:id="2364" w:name="Bookmark_I55BDMPJ28T4DG0050000400"/>
      <w:bookmarkEnd w:id="2363"/>
      <w:bookmarkEnd w:id="2364"/>
      <w:r>
        <w:rPr>
          <w:rFonts w:ascii="Arial" w:eastAsia="Arial" w:hAnsi="Arial" w:cs="Arial"/>
          <w:color w:val="000000"/>
          <w:sz w:val="20"/>
        </w:rPr>
        <w:t>As an example of conflating program access with facility access, Greer asserts in her opening brief that "The undisputed expert testimony in the case is that the [track] surface is not accessible" as an alternative seating area and supports the statement with citations to the record. However, the cited portions of the record consist of only two items: (1) a portion of her expert's report claiming that the surface would not comply with current ADAAG standards (but lacking any objective measurements in support of the claim),</w:t>
      </w:r>
      <w:r>
        <w:rPr>
          <w:rFonts w:ascii="Arial" w:eastAsia="Arial" w:hAnsi="Arial" w:cs="Arial"/>
          <w:vertAlign w:val="superscript"/>
        </w:rPr>
        <w:footnoteReference w:customMarkFollows="1" w:id="111"/>
        <w:t>6</w:t>
      </w:r>
      <w:r>
        <w:rPr>
          <w:rFonts w:ascii="Arial" w:eastAsia="Arial" w:hAnsi="Arial" w:cs="Arial"/>
          <w:color w:val="000000"/>
          <w:sz w:val="20"/>
        </w:rPr>
        <w:t xml:space="preserve"> and (2) a RISD representative's response to a deposition question from Greer's counsel in which the individual simply answers "I don't know" to whether  [**20] the track would have to meet ADAAG new construction standards for an accessible surface.</w:t>
      </w:r>
      <w:r>
        <w:rPr>
          <w:rFonts w:ascii="Arial" w:eastAsia="Arial" w:hAnsi="Arial" w:cs="Arial"/>
          <w:vertAlign w:val="superscript"/>
        </w:rPr>
        <w:footnoteReference w:customMarkFollows="1" w:id="112"/>
        <w:t>7</w:t>
      </w:r>
      <w:r>
        <w:rPr>
          <w:rFonts w:ascii="Arial" w:eastAsia="Arial" w:hAnsi="Arial" w:cs="Arial"/>
          <w:color w:val="000000"/>
          <w:sz w:val="20"/>
        </w:rPr>
        <w:t xml:space="preserve"> Despite Greer's arguments, the  [*295]  focus of the district court's finding, and our review, remains on the accessibility of the program and not technical compliance with ADAAG in an existing facility. And on this point, we agree with the district court that RISD provided program access at Berkner B stadium.</w:t>
      </w:r>
    </w:p>
    <w:p w14:paraId="7E7ABA86" w14:textId="77777777" w:rsidR="00D041A2" w:rsidRDefault="00000000">
      <w:pPr>
        <w:pStyle w:val="Normal19"/>
        <w:widowControl w:val="0"/>
        <w:spacing w:before="200" w:line="260" w:lineRule="atLeast"/>
        <w:jc w:val="both"/>
      </w:pPr>
      <w:bookmarkStart w:id="2372" w:name="Bookmark_para_32_7"/>
      <w:bookmarkEnd w:id="2372"/>
      <w:r>
        <w:rPr>
          <w:rFonts w:ascii="Arial" w:eastAsia="Arial" w:hAnsi="Arial" w:cs="Arial"/>
          <w:color w:val="000000"/>
          <w:sz w:val="20"/>
        </w:rPr>
        <w:t>Laid bare, Greer's claims in her motion for summary judgment consist only of her own statements  [**22] of dissatisfaction from her experience at one football game at Berkner B and her expert's report that opines on various deviations of Berkner B's structural elements from current ADAAG requirements for new or modified facilities. Many of the observations in the expert report do not relate to whether RISD provides program access to disabled individuals attending events at Berkner B and others are inapposite because Greer failed to offer evidence that the allegedly non-compliant structures in or around the Berkner B stadium have been modified since the ADA was enacted in 1992 and thus may be required to comply with the ADAAG requirements. Additionally, Greer has failed to demonstrate how minor deviations from the ADAAG requirements in various parts of the stadium identified by her expert, such as a quarter-inch variance in "maximum beveled slope" on one designated wheelchair viewing area or bathroom mirrors that are mounted seven inches too high, prevent her or other disabled individuals from accessing the program at Berkner B, i.e., watching a football game.</w:t>
      </w:r>
    </w:p>
    <w:p w14:paraId="45529FEA" w14:textId="77777777" w:rsidR="00D041A2" w:rsidRDefault="00000000">
      <w:pPr>
        <w:pStyle w:val="Normal19"/>
        <w:widowControl w:val="0"/>
        <w:spacing w:before="200" w:line="260" w:lineRule="atLeast"/>
        <w:jc w:val="both"/>
      </w:pPr>
      <w:bookmarkStart w:id="2373" w:name="Bookmark_para_33_7"/>
      <w:bookmarkStart w:id="2374" w:name="Bookmark_I55BDMPJ2D6MT50040000400"/>
      <w:bookmarkEnd w:id="2373"/>
      <w:bookmarkEnd w:id="2374"/>
      <w:r>
        <w:rPr>
          <w:rFonts w:ascii="Arial" w:eastAsia="Arial" w:hAnsi="Arial" w:cs="Arial"/>
          <w:color w:val="000000"/>
          <w:sz w:val="20"/>
        </w:rPr>
        <w:t xml:space="preserve">Instead, the district court was correct that, based on the evidence offered by RISD in support of its motion for summary judgment  [**23] and not contradicted by Greer, Berkner B stadium provides program accessibility when viewed in its entirety. RISD provided sworn statements from two individuals that use wheelchairs when they attend events at Berkner B, both of whom stated that they had no issues attending events. </w:t>
      </w:r>
      <w:bookmarkStart w:id="2375" w:name="Bookmark_I55BDMPJ2D6MT50030000400"/>
      <w:bookmarkEnd w:id="2375"/>
      <w:r>
        <w:rPr>
          <w:rFonts w:ascii="Arial" w:eastAsia="Arial" w:hAnsi="Arial" w:cs="Arial"/>
          <w:i/>
          <w:color w:val="000000"/>
          <w:sz w:val="20"/>
        </w:rPr>
        <w:t>Greer I,</w:t>
      </w:r>
      <w:r>
        <w:rPr>
          <w:rFonts w:ascii="Arial" w:eastAsia="Arial" w:hAnsi="Arial" w:cs="Arial"/>
          <w:color w:val="000000"/>
          <w:sz w:val="20"/>
        </w:rPr>
        <w:t xml:space="preserve"> 752 F. Supp. 2d at 754-55. Greer herself admitted she was able to access the parking lot, navigate into the stadium, buy a ticket, make a purchase from the concession stand, and view a portion of the game.</w:t>
      </w:r>
    </w:p>
    <w:p w14:paraId="0DCDA9F4" w14:textId="77777777" w:rsidR="00D041A2" w:rsidRDefault="00000000">
      <w:pPr>
        <w:pStyle w:val="Normal19"/>
        <w:widowControl w:val="0"/>
        <w:spacing w:before="200" w:line="260" w:lineRule="atLeast"/>
        <w:jc w:val="both"/>
      </w:pPr>
      <w:bookmarkStart w:id="2376" w:name="Bookmark_para_34_7"/>
      <w:bookmarkEnd w:id="2376"/>
      <w:r>
        <w:rPr>
          <w:rFonts w:ascii="Arial" w:eastAsia="Arial" w:hAnsi="Arial" w:cs="Arial"/>
          <w:color w:val="000000"/>
          <w:sz w:val="20"/>
        </w:rPr>
        <w:t>Nonetheless, as Greer points out, "seeing the program is the entire reason for going." Most attendees at a high school football game, particularly parents of students playing in the game, are not going to the stadium for the quality of the hot dogs at the concession stand. Thus, being able to do things such as buying a ticket and visiting the concession stand would not be sufficient to provide program access if she was unable to view the actual football game.</w:t>
      </w:r>
    </w:p>
    <w:p w14:paraId="25FDB63B" w14:textId="77777777" w:rsidR="00D041A2" w:rsidRDefault="00000000">
      <w:pPr>
        <w:pStyle w:val="Normal19"/>
        <w:widowControl w:val="0"/>
        <w:spacing w:before="200" w:line="260" w:lineRule="atLeast"/>
        <w:jc w:val="both"/>
      </w:pPr>
      <w:bookmarkStart w:id="2377" w:name="Bookmark_para_35_7"/>
      <w:bookmarkEnd w:id="2377"/>
      <w:r>
        <w:rPr>
          <w:rFonts w:ascii="Arial" w:eastAsia="Arial" w:hAnsi="Arial" w:cs="Arial"/>
          <w:color w:val="000000"/>
          <w:sz w:val="20"/>
        </w:rPr>
        <w:t>Even taking as true Greer's claim that she was only able to see 15% of the game from her vantage point next to the bleachers, the problem with Greer's single experience is that it appears to be, at least in part, a product of her own choices  [**24] and was strongly contradicted by RISD's evidence. She acknowledges that she never asked if she could be accommodated by sitting somewhere else in the stadium, such as the track that surrounds the football field, that would have provided an unobstructed  [*296]  view.</w:t>
      </w:r>
      <w:r>
        <w:rPr>
          <w:rFonts w:ascii="Arial" w:eastAsia="Arial" w:hAnsi="Arial" w:cs="Arial"/>
          <w:vertAlign w:val="superscript"/>
        </w:rPr>
        <w:footnoteReference w:customMarkFollows="1" w:id="113"/>
        <w:t>8</w:t>
      </w:r>
      <w:r>
        <w:rPr>
          <w:rFonts w:ascii="Arial" w:eastAsia="Arial" w:hAnsi="Arial" w:cs="Arial"/>
          <w:color w:val="000000"/>
          <w:sz w:val="20"/>
        </w:rPr>
        <w:t xml:space="preserve"> She did not ask anyone at the stadium if her husband or friends could be accommodated by being provided chairs to sit next to her. She admits she did not even attempt to use the women's restroom and thus has no basis for her claim that the restroom is not accessible other than her expert's findings that certain aspects of the restrooms do not meet ADAAG requirements for newly constructed facilities.</w:t>
      </w:r>
    </w:p>
    <w:p w14:paraId="1144BEF1" w14:textId="77777777" w:rsidR="00D041A2" w:rsidRDefault="00000000">
      <w:pPr>
        <w:pStyle w:val="Normal19"/>
        <w:widowControl w:val="0"/>
        <w:spacing w:before="200" w:line="260" w:lineRule="atLeast"/>
        <w:jc w:val="both"/>
      </w:pPr>
      <w:bookmarkStart w:id="2379" w:name="Bookmark_para_36_7"/>
      <w:bookmarkEnd w:id="2379"/>
      <w:r>
        <w:rPr>
          <w:rFonts w:ascii="Arial" w:eastAsia="Arial" w:hAnsi="Arial" w:cs="Arial"/>
          <w:color w:val="000000"/>
          <w:sz w:val="20"/>
        </w:rPr>
        <w:t>Moreover, this was a single experience for Greer in contrast to the sworn statements by other disabled individuals who have attended  [**25] numerous events at Berkner B without issues. Had she returned to the stadium several times and routinely not been provided suitable seating despite attempting to seek out event staff or asking for better accommodations, her prima facie claim might ring true. However, based on the record before this court, she has not returned to Berkner B stadium and thus her claims are tied to her single experience at the facility.</w:t>
      </w:r>
    </w:p>
    <w:p w14:paraId="155DDE4C" w14:textId="77777777" w:rsidR="00D041A2" w:rsidRDefault="00000000">
      <w:pPr>
        <w:pStyle w:val="Normal19"/>
        <w:widowControl w:val="0"/>
        <w:spacing w:before="200" w:line="260" w:lineRule="atLeast"/>
        <w:jc w:val="both"/>
      </w:pPr>
      <w:bookmarkStart w:id="2380" w:name="Bookmark_para_37_7"/>
      <w:bookmarkStart w:id="2381" w:name="Bookmark_I55BDMPJ28T4DH0010000400"/>
      <w:bookmarkStart w:id="2382" w:name="Bookmark_I55BDMPJ2D6MT60020000400"/>
      <w:bookmarkEnd w:id="2380"/>
      <w:bookmarkEnd w:id="2381"/>
      <w:bookmarkEnd w:id="2382"/>
      <w:r>
        <w:rPr>
          <w:rFonts w:ascii="Arial" w:eastAsia="Arial" w:hAnsi="Arial" w:cs="Arial"/>
          <w:color w:val="000000"/>
          <w:sz w:val="20"/>
        </w:rPr>
        <w:t>By pointing out Greer's failure to make any inquiry regarding more suitable accommodations, we do not imply that the burden is or should be on disabled individuals to actively request accessible accommodations in all situations.</w:t>
      </w:r>
      <w:r>
        <w:rPr>
          <w:rFonts w:ascii="Arial" w:eastAsia="Arial" w:hAnsi="Arial" w:cs="Arial"/>
          <w:vertAlign w:val="superscript"/>
        </w:rPr>
        <w:footnoteReference w:customMarkFollows="1" w:id="114"/>
        <w:t>9</w:t>
      </w:r>
      <w:r>
        <w:rPr>
          <w:rFonts w:ascii="Arial" w:eastAsia="Arial" w:hAnsi="Arial" w:cs="Arial"/>
          <w:color w:val="000000"/>
          <w:sz w:val="20"/>
        </w:rPr>
        <w:t xml:space="preserve"> As this court, and courts in other circuits have held, </w:t>
      </w:r>
      <w:bookmarkStart w:id="2385" w:name="Bookmark_LNHNREFclscc17_5"/>
      <w:bookmarkEnd w:id="2385"/>
      <w:r>
        <w:rPr>
          <w:rFonts w:ascii="Arial" w:eastAsia="Arial" w:hAnsi="Arial" w:cs="Arial"/>
          <w:color w:val="000000"/>
          <w:sz w:val="20"/>
        </w:rPr>
        <w:t xml:space="preserve">there is a common sense aspect to determining whether a public entity has provided accommodations for a disabled individual, part of which requires the public entity be made aware of the inadequacy of the accommodations provided. </w:t>
      </w:r>
      <w:r>
        <w:rPr>
          <w:rFonts w:ascii="Arial" w:eastAsia="Arial" w:hAnsi="Arial" w:cs="Arial"/>
          <w:i/>
          <w:color w:val="000000"/>
          <w:sz w:val="20"/>
        </w:rPr>
        <w:t xml:space="preserve">See </w:t>
      </w:r>
      <w:bookmarkStart w:id="2386" w:name="Bookmark_I55BDMPJ2D6MT50050000400"/>
      <w:bookmarkEnd w:id="2386"/>
      <w:r>
        <w:rPr>
          <w:rFonts w:ascii="Arial" w:eastAsia="Arial" w:hAnsi="Arial" w:cs="Arial"/>
          <w:i/>
          <w:color w:val="000000"/>
          <w:sz w:val="20"/>
        </w:rPr>
        <w:t>E.E.O.C. v. Chevron Phillips Chem. Co.,</w:t>
      </w:r>
      <w:r>
        <w:rPr>
          <w:rFonts w:ascii="Arial" w:eastAsia="Arial" w:hAnsi="Arial" w:cs="Arial"/>
          <w:color w:val="000000"/>
          <w:sz w:val="20"/>
        </w:rPr>
        <w:t xml:space="preserve"> 570 F.3d 606, 621 (5th Cir. 2009); </w:t>
      </w:r>
      <w:bookmarkStart w:id="2387" w:name="Bookmark_I55BDMPJ28T4DH0020000400"/>
      <w:bookmarkEnd w:id="2387"/>
      <w:r>
        <w:rPr>
          <w:rFonts w:ascii="Arial" w:eastAsia="Arial" w:hAnsi="Arial" w:cs="Arial"/>
          <w:i/>
          <w:color w:val="000000"/>
          <w:sz w:val="20"/>
        </w:rPr>
        <w:t>Robertson v. Las Animas Cnty. Sheriff's Dep't,</w:t>
      </w:r>
      <w:r>
        <w:rPr>
          <w:rFonts w:ascii="Arial" w:eastAsia="Arial" w:hAnsi="Arial" w:cs="Arial"/>
          <w:color w:val="000000"/>
          <w:sz w:val="20"/>
        </w:rPr>
        <w:t xml:space="preserve"> 500 F.3d 1185, 1196 (10th Cir. 2007) ("This is a 'duty dictated by common sense lest a disabled [individual] keep his disability a secret and  [**26] sue later for failure to accommodate.'") (alteration in original) (quoting </w:t>
      </w:r>
      <w:bookmarkStart w:id="2388" w:name="Bookmark_I55BDMPJ28T4DH0040000400"/>
      <w:bookmarkEnd w:id="2388"/>
      <w:r>
        <w:rPr>
          <w:rFonts w:ascii="Arial" w:eastAsia="Arial" w:hAnsi="Arial" w:cs="Arial"/>
          <w:i/>
          <w:color w:val="000000"/>
          <w:sz w:val="20"/>
        </w:rPr>
        <w:t>Beck v. Univ. of Wis. Bd. of Regents,</w:t>
      </w:r>
      <w:r>
        <w:rPr>
          <w:rFonts w:ascii="Arial" w:eastAsia="Arial" w:hAnsi="Arial" w:cs="Arial"/>
          <w:color w:val="000000"/>
          <w:sz w:val="20"/>
        </w:rPr>
        <w:t xml:space="preserve"> 75 F.3d 1130, 1134 (7th Cir.1996)). However, a disabled person's failure to expressly "request" an accommodation is not fatal to an ADA claim where the defendant otherwise had knowledge of the individual's disability and needs but took no action. </w:t>
      </w:r>
      <w:r>
        <w:rPr>
          <w:rFonts w:ascii="Arial" w:eastAsia="Arial" w:hAnsi="Arial" w:cs="Arial"/>
          <w:i/>
          <w:color w:val="000000"/>
          <w:sz w:val="20"/>
        </w:rPr>
        <w:t>See McCoy v. Texas Dep't of Criminal Justice,</w:t>
      </w:r>
      <w:r>
        <w:rPr>
          <w:rFonts w:ascii="Arial" w:eastAsia="Arial" w:hAnsi="Arial" w:cs="Arial"/>
          <w:color w:val="000000"/>
          <w:sz w:val="20"/>
        </w:rPr>
        <w:t xml:space="preserve"> No. C-05-370, 2006 U.S. Dist. LEXIS 55403, 2006 WL 2331055, at *7-8 (S.D. Tex. Aug. 9, 2006) (collecting cases from multiple circuits). Taken together, there is a balance to be struck between a disabled individual's need to request accommodations when limitations are not obvious or apparent and a public entity's duty to provide accommodations without further notice or a request. </w:t>
      </w:r>
      <w:r>
        <w:rPr>
          <w:rFonts w:ascii="Arial" w:eastAsia="Arial" w:hAnsi="Arial" w:cs="Arial"/>
          <w:i/>
          <w:color w:val="000000"/>
          <w:sz w:val="20"/>
        </w:rPr>
        <w:t>Id.</w:t>
      </w:r>
    </w:p>
    <w:p w14:paraId="4D25CCAB" w14:textId="77777777" w:rsidR="00D041A2" w:rsidRDefault="00000000">
      <w:pPr>
        <w:pStyle w:val="Normal19"/>
        <w:widowControl w:val="0"/>
        <w:spacing w:before="200" w:line="260" w:lineRule="atLeast"/>
        <w:jc w:val="both"/>
      </w:pPr>
      <w:bookmarkStart w:id="2389" w:name="Bookmark_para_38_7"/>
      <w:bookmarkEnd w:id="2389"/>
      <w:r>
        <w:rPr>
          <w:rFonts w:ascii="Arial" w:eastAsia="Arial" w:hAnsi="Arial" w:cs="Arial"/>
          <w:color w:val="000000"/>
          <w:sz w:val="20"/>
        </w:rPr>
        <w:t>Under the facts here, when a disabled individual such as Greer attends one event at a venue she was otherwise unfamiliar with, that person does not by default gain a prima facie case of discrimination under Title II  [**27] merely because she is dissatisfied with her seating location and makes no effort to ask the venue's staff as to where alternative accessible seating is located or if she and her family can be accommodated. By Greer's own admission, she was able to access all aspects of the stadium she attempted to use during her visit—the parking lot, the sidewalks, the ticket booth,  [*297]  the concession stand, and one of the several accessible seating areas. Her argument focuses on her inability to see the whole game from her viewing point for the game without giving RISD any opportunity to reaccommodate her or her companions such that she could have a better viewpoint. Considering the size and types of events held at Berkner B, such as football games and track meets, it is unclear how RISD officials would be able to develop a universal accessibility plan that would always satisfy the viewing preferences for disabled individuals other than by what they have already done—providing several alternative accessible seating areas. Stated differently, simply asking a few questions of the event venue's staff for more suitable accommodations is likely to be more effective and consistent with case law than remaining  [**28] silent and resorting to a Title II discrimination claim in the federal court system.</w:t>
      </w:r>
    </w:p>
    <w:p w14:paraId="3E29ABC4" w14:textId="77777777" w:rsidR="00D041A2" w:rsidRDefault="00000000">
      <w:pPr>
        <w:pStyle w:val="Normal19"/>
        <w:widowControl w:val="0"/>
        <w:spacing w:before="200" w:line="260" w:lineRule="atLeast"/>
        <w:jc w:val="both"/>
      </w:pPr>
      <w:bookmarkStart w:id="2390" w:name="Bookmark_para_39_7"/>
      <w:bookmarkEnd w:id="2390"/>
      <w:r>
        <w:rPr>
          <w:rFonts w:ascii="Arial" w:eastAsia="Arial" w:hAnsi="Arial" w:cs="Arial"/>
          <w:color w:val="000000"/>
          <w:sz w:val="20"/>
        </w:rPr>
        <w:t xml:space="preserve">Even setting aside whether Greer sought out any accommodations, her single experience at Berkner B does not reflect RISD's accessibility policies or the uncontroverted experiences of other disabled individuals that have regularly attended events at Berkner B. RISD's stated policy, uncontroverted by Greer, states: "The District provides accessible parking, an accessible entrance, employees who are available to assist patrons who desire assistance, and an ability for all patrons, including individuals with disabilities, to participate in or view the events and programs at the Berkner B Field. </w:t>
      </w:r>
      <w:bookmarkStart w:id="2391" w:name="Bookmark_I55BDMPJ2D6MT60040000400"/>
      <w:bookmarkEnd w:id="2391"/>
      <w:r>
        <w:rPr>
          <w:rFonts w:ascii="Arial" w:eastAsia="Arial" w:hAnsi="Arial" w:cs="Arial"/>
          <w:color w:val="000000"/>
          <w:sz w:val="20"/>
        </w:rPr>
        <w:t xml:space="preserve">Patrons of the Berkner B Field, including individuals with disabilities and their companions, are provided seating on the track, behind the fence, or any other accessible area so that they can participate in or view the events and programs." The testimony from two regular attendees of events at Berkner B reinforce the veracity of RISD's policy, as both individuals testified that they have always been provided accessible seating with their companions, often on the track, and that neither attendee had difficulties  [**29] accessing any of the Berkner B facilities, including navigating on the track surface in their wheelchairs. One of the two individuals even noted that a seat on the track provides a better view than a seat in the bleachers. </w:t>
      </w:r>
      <w:bookmarkStart w:id="2392" w:name="Bookmark_I55BDMPJ2D6MT60030000400"/>
      <w:bookmarkEnd w:id="2392"/>
      <w:r>
        <w:rPr>
          <w:rFonts w:ascii="Arial" w:eastAsia="Arial" w:hAnsi="Arial" w:cs="Arial"/>
          <w:i/>
          <w:color w:val="000000"/>
          <w:sz w:val="20"/>
        </w:rPr>
        <w:t>Greer I,</w:t>
      </w:r>
      <w:r>
        <w:rPr>
          <w:rFonts w:ascii="Arial" w:eastAsia="Arial" w:hAnsi="Arial" w:cs="Arial"/>
          <w:color w:val="000000"/>
          <w:sz w:val="20"/>
        </w:rPr>
        <w:t xml:space="preserve"> 752 F. Supp. 2d at 754-55.</w:t>
      </w:r>
    </w:p>
    <w:p w14:paraId="5FAF4A67" w14:textId="77777777" w:rsidR="00D041A2" w:rsidRDefault="00000000">
      <w:pPr>
        <w:pStyle w:val="Normal19"/>
        <w:widowControl w:val="0"/>
        <w:spacing w:before="200" w:line="260" w:lineRule="atLeast"/>
        <w:jc w:val="both"/>
      </w:pPr>
      <w:bookmarkStart w:id="2393" w:name="Bookmark_para_40_7"/>
      <w:bookmarkEnd w:id="2393"/>
      <w:r>
        <w:rPr>
          <w:rFonts w:ascii="Arial" w:eastAsia="Arial" w:hAnsi="Arial" w:cs="Arial"/>
          <w:color w:val="000000"/>
          <w:sz w:val="20"/>
        </w:rPr>
        <w:t xml:space="preserve">While Greer decries the district court's reliance on such statements as an improper weighing of evidence at the summary judgment stage, we disagree with Greer's characterization. The parties had simultaneously submitted cross-motions for summary judgment. </w:t>
      </w:r>
      <w:bookmarkStart w:id="2394" w:name="Bookmark_I55BDMPJ28T4DJ0010000400"/>
      <w:bookmarkEnd w:id="2394"/>
      <w:r>
        <w:rPr>
          <w:rFonts w:ascii="Arial" w:eastAsia="Arial" w:hAnsi="Arial" w:cs="Arial"/>
          <w:color w:val="000000"/>
          <w:sz w:val="20"/>
        </w:rPr>
        <w:t xml:space="preserve">Thus, what at first glance may appear to be a weighing of evidence is actually a sequential analysis of each party's motion. Although the district court announced its decision on each party's respective motion in a single paragraph, the motions were considered separately. </w:t>
      </w:r>
      <w:bookmarkStart w:id="2395" w:name="Bookmark_I55BDMPJ2D6MT60050000400"/>
      <w:bookmarkEnd w:id="2395"/>
      <w:r>
        <w:rPr>
          <w:rFonts w:ascii="Arial" w:eastAsia="Arial" w:hAnsi="Arial" w:cs="Arial"/>
          <w:i/>
          <w:color w:val="000000"/>
          <w:sz w:val="20"/>
        </w:rPr>
        <w:t>Id.</w:t>
      </w:r>
      <w:r>
        <w:rPr>
          <w:rFonts w:ascii="Arial" w:eastAsia="Arial" w:hAnsi="Arial" w:cs="Arial"/>
          <w:color w:val="000000"/>
          <w:sz w:val="20"/>
        </w:rPr>
        <w:t xml:space="preserve"> at 755-56.</w:t>
      </w:r>
    </w:p>
    <w:p w14:paraId="62C64734" w14:textId="77777777" w:rsidR="00D041A2" w:rsidRDefault="00000000">
      <w:pPr>
        <w:pStyle w:val="Normal19"/>
        <w:widowControl w:val="0"/>
        <w:spacing w:before="200" w:line="260" w:lineRule="atLeast"/>
        <w:jc w:val="both"/>
      </w:pPr>
      <w:bookmarkStart w:id="2396" w:name="Bookmark_para_41_6"/>
      <w:bookmarkEnd w:id="2396"/>
      <w:r>
        <w:rPr>
          <w:rFonts w:ascii="Arial" w:eastAsia="Arial" w:hAnsi="Arial" w:cs="Arial"/>
          <w:color w:val="000000"/>
          <w:sz w:val="20"/>
        </w:rPr>
        <w:t xml:space="preserve">First, the district court denied Greer's motion, finding that she had not presented a prima facie case of discrimination. </w:t>
      </w:r>
      <w:bookmarkStart w:id="2397" w:name="Bookmark_I55BDMPJ28T4DJ0030000400"/>
      <w:bookmarkEnd w:id="2397"/>
      <w:r>
        <w:rPr>
          <w:rFonts w:ascii="Arial" w:eastAsia="Arial" w:hAnsi="Arial" w:cs="Arial"/>
          <w:color w:val="000000"/>
          <w:sz w:val="20"/>
        </w:rPr>
        <w:t xml:space="preserve">Second, the court granted RISD's motion, on the basis of evidence it offered, finding that events at Berkner B are accessible to wheelchair-bound individuals based on Greer's own testimony and sworn testimony of other wheelchair-bound individuals that regularly attend events at  [**30] the stadium. Though not highlighted explicitly in the district court's opinion, Greer, as the nonmoving party in response to RISD's motion, needed to come forward with affidavits or other similar evidence to show that a genuine issue of material fact exists with respect to program access. </w:t>
      </w:r>
      <w:r>
        <w:rPr>
          <w:rFonts w:ascii="Arial" w:eastAsia="Arial" w:hAnsi="Arial" w:cs="Arial"/>
          <w:i/>
          <w:color w:val="000000"/>
          <w:sz w:val="20"/>
        </w:rPr>
        <w:t xml:space="preserve">See </w:t>
      </w:r>
      <w:bookmarkStart w:id="2398" w:name="Bookmark_I55BDMPJ28T4DJ0020000400"/>
      <w:bookmarkEnd w:id="2398"/>
      <w:r>
        <w:rPr>
          <w:rFonts w:ascii="Arial" w:eastAsia="Arial" w:hAnsi="Arial" w:cs="Arial"/>
          <w:i/>
          <w:color w:val="000000"/>
          <w:sz w:val="20"/>
        </w:rPr>
        <w:t>Matsushita Elec. Indus. Co. v. Zenith Radio Corp.,</w:t>
      </w:r>
      <w:r>
        <w:rPr>
          <w:rFonts w:ascii="Arial" w:eastAsia="Arial" w:hAnsi="Arial" w:cs="Arial"/>
          <w:color w:val="000000"/>
          <w:sz w:val="20"/>
        </w:rPr>
        <w:t xml:space="preserve"> 475 U.S. 574, 586, 106 S. Ct. 1348, 89 L. Ed. 2d 538 (1986).</w:t>
      </w:r>
    </w:p>
    <w:p w14:paraId="6BA68468" w14:textId="77777777" w:rsidR="00D041A2" w:rsidRDefault="00000000">
      <w:pPr>
        <w:pStyle w:val="Normal19"/>
        <w:widowControl w:val="0"/>
        <w:spacing w:before="200" w:line="260" w:lineRule="atLeast"/>
        <w:jc w:val="both"/>
      </w:pPr>
      <w:bookmarkStart w:id="2399" w:name="Bookmark_para_42_5"/>
      <w:bookmarkEnd w:id="2399"/>
      <w:r>
        <w:rPr>
          <w:rFonts w:ascii="Arial" w:eastAsia="Arial" w:hAnsi="Arial" w:cs="Arial"/>
          <w:color w:val="000000"/>
          <w:sz w:val="20"/>
        </w:rPr>
        <w:t xml:space="preserve"> [*298]  In responding to RISD's motion, Greer relied only on her own single experience and an expert report focused on </w:t>
      </w:r>
      <w:r>
        <w:rPr>
          <w:rFonts w:ascii="Arial" w:eastAsia="Arial" w:hAnsi="Arial" w:cs="Arial"/>
          <w:i/>
          <w:color w:val="000000"/>
          <w:sz w:val="20"/>
        </w:rPr>
        <w:t>facility</w:t>
      </w:r>
      <w:r>
        <w:rPr>
          <w:rFonts w:ascii="Arial" w:eastAsia="Arial" w:hAnsi="Arial" w:cs="Arial"/>
          <w:color w:val="000000"/>
          <w:sz w:val="20"/>
        </w:rPr>
        <w:t xml:space="preserve"> access and failed to produce any countervailing evidence to show that a genuine issue of material fact existed with respect to </w:t>
      </w:r>
      <w:r>
        <w:rPr>
          <w:rFonts w:ascii="Arial" w:eastAsia="Arial" w:hAnsi="Arial" w:cs="Arial"/>
          <w:i/>
          <w:color w:val="000000"/>
          <w:sz w:val="20"/>
        </w:rPr>
        <w:t>program</w:t>
      </w:r>
      <w:r>
        <w:rPr>
          <w:rFonts w:ascii="Arial" w:eastAsia="Arial" w:hAnsi="Arial" w:cs="Arial"/>
          <w:color w:val="000000"/>
          <w:sz w:val="20"/>
        </w:rPr>
        <w:t xml:space="preserve"> access. </w:t>
      </w:r>
      <w:bookmarkStart w:id="2400" w:name="Bookmark_I55BDMPJ28T4DJ0050000400"/>
      <w:bookmarkEnd w:id="2400"/>
      <w:r>
        <w:rPr>
          <w:rFonts w:ascii="Arial" w:eastAsia="Arial" w:hAnsi="Arial" w:cs="Arial"/>
          <w:color w:val="000000"/>
          <w:sz w:val="20"/>
        </w:rPr>
        <w:t>She offered no contradicting evidence about program access at Berkner B such as being refused more agreeable accessible seating such as the track. She made no attempt to use the track and thus has no basis to claim she was unable to access it or that the surface prevents RISD from designating the track as an alternative viewing area. She did not ask if her husband and friends could be seated near her. She did not request to speak with a stadium staff member to voice a complaint about the accessible seating or request additional accommodations or an alternate seating  [**31] location. This was not a weighing of evidence by the district court—Greer simply had no contrary evidence to dispute RISD's summary judgment evidence that it provided program access to disabled individuals who successfully and regularly attended events, including football games, at Berkner B, nor did she present evidence that a genuine issue of fact exists as to whether track access to watch football games at Berkner B fails the program accessibility test. Under Greer's argued approach, if district courts were required to find that a genuine issue of material fact existed in every case where the plaintiff simply asserted that his or her experience was different than sworn testimony or evidence offered by the defendant, every plaintiff could generate a genuine issue of "material" fact. This is not, and cannot be, the rule—</w:t>
      </w:r>
      <w:bookmarkStart w:id="2401" w:name="Bookmark_LNHNREFclscc18_3"/>
      <w:bookmarkEnd w:id="2401"/>
      <w:r>
        <w:rPr>
          <w:rFonts w:ascii="Arial" w:eastAsia="Arial" w:hAnsi="Arial" w:cs="Arial"/>
          <w:color w:val="000000"/>
          <w:sz w:val="20"/>
        </w:rPr>
        <w:t xml:space="preserve">in responding to a defendant's motion for summary judgment, a plaintiff "must do more than simply show that there is some metaphysical doubt as to the material facts" and "must come forward with specific facts showing that there is a </w:t>
      </w:r>
      <w:r>
        <w:rPr>
          <w:rFonts w:ascii="Arial" w:eastAsia="Arial" w:hAnsi="Arial" w:cs="Arial"/>
          <w:i/>
          <w:color w:val="000000"/>
          <w:sz w:val="20"/>
        </w:rPr>
        <w:t>genuine issue for trial.</w:t>
      </w:r>
      <w:r>
        <w:rPr>
          <w:rFonts w:ascii="Arial" w:eastAsia="Arial" w:hAnsi="Arial" w:cs="Arial"/>
          <w:color w:val="000000"/>
          <w:sz w:val="20"/>
        </w:rPr>
        <w:t xml:space="preserve">" </w:t>
      </w:r>
      <w:bookmarkStart w:id="2402" w:name="Bookmark_I55BDMPJ28T4DJ0040000400"/>
      <w:bookmarkEnd w:id="2402"/>
      <w:r>
        <w:rPr>
          <w:rFonts w:ascii="Arial" w:eastAsia="Arial" w:hAnsi="Arial" w:cs="Arial"/>
          <w:i/>
          <w:color w:val="000000"/>
          <w:sz w:val="20"/>
        </w:rPr>
        <w:t>Matsushita Elec. Indus. Co., Ltd.,</w:t>
      </w:r>
      <w:r>
        <w:rPr>
          <w:rFonts w:ascii="Arial" w:eastAsia="Arial" w:hAnsi="Arial" w:cs="Arial"/>
          <w:color w:val="000000"/>
          <w:sz w:val="20"/>
        </w:rPr>
        <w:t xml:space="preserve"> 475 U.S. at 586 (internal quotation and citation omitted) (emphasis in original).</w:t>
      </w:r>
    </w:p>
    <w:p w14:paraId="6E3286E9" w14:textId="77777777" w:rsidR="00D041A2" w:rsidRDefault="00000000">
      <w:pPr>
        <w:pStyle w:val="Normal19"/>
        <w:widowControl w:val="0"/>
        <w:spacing w:before="200" w:line="260" w:lineRule="atLeast"/>
        <w:jc w:val="both"/>
      </w:pPr>
      <w:bookmarkStart w:id="2403" w:name="Bookmark_para_43_5"/>
      <w:bookmarkEnd w:id="2403"/>
      <w:r>
        <w:rPr>
          <w:rFonts w:ascii="Arial" w:eastAsia="Arial" w:hAnsi="Arial" w:cs="Arial"/>
          <w:color w:val="000000"/>
          <w:sz w:val="20"/>
        </w:rPr>
        <w:t>In  [**32] summary, what the district court, and now this court, is presented with are Greer's allegations that her experience watching a football game at Berkner B was unsatisfactory in her opinion. While unfortunate, this is not sufficient to present a prima facie case of disability discrimination under the program access standard and the district court's grant of summary judgment in favor of RISD was correct.</w:t>
      </w:r>
    </w:p>
    <w:p w14:paraId="236E7FAC" w14:textId="77777777" w:rsidR="00D041A2" w:rsidRDefault="00000000">
      <w:pPr>
        <w:pStyle w:val="Normal19"/>
        <w:widowControl w:val="0"/>
        <w:spacing w:before="240" w:line="260" w:lineRule="atLeast"/>
      </w:pPr>
      <w:r>
        <w:br/>
      </w:r>
      <w:r>
        <w:rPr>
          <w:rFonts w:ascii="Arial" w:eastAsia="Arial" w:hAnsi="Arial" w:cs="Arial"/>
          <w:b/>
          <w:color w:val="000000"/>
          <w:sz w:val="20"/>
        </w:rPr>
        <w:t>C. Greer's Motion for Sanctions</w:t>
      </w:r>
    </w:p>
    <w:p w14:paraId="6124BA08" w14:textId="77777777" w:rsidR="00D041A2" w:rsidRDefault="00000000">
      <w:pPr>
        <w:pStyle w:val="Normal19"/>
        <w:widowControl w:val="0"/>
        <w:spacing w:before="200" w:line="260" w:lineRule="atLeast"/>
        <w:jc w:val="both"/>
      </w:pPr>
      <w:bookmarkStart w:id="2404" w:name="Bookmark_para_44_5"/>
      <w:bookmarkEnd w:id="2404"/>
      <w:r>
        <w:rPr>
          <w:rFonts w:ascii="Arial" w:eastAsia="Arial" w:hAnsi="Arial" w:cs="Arial"/>
          <w:color w:val="000000"/>
          <w:sz w:val="20"/>
        </w:rPr>
        <w:t>Greer also contends the district court erred by failing to grant her motion for sanctions against RISD based on the school district's failure to produce a specific document defined by 28 C.F.R. § 35.150(a)(3) that explained the reasons making alterations to the stadium would result in an undue financial burden.</w:t>
      </w:r>
    </w:p>
    <w:p w14:paraId="5901A8DC" w14:textId="77777777" w:rsidR="00D041A2" w:rsidRDefault="00000000">
      <w:pPr>
        <w:pStyle w:val="Normal19"/>
        <w:widowControl w:val="0"/>
        <w:spacing w:before="200" w:line="260" w:lineRule="atLeast"/>
        <w:jc w:val="both"/>
      </w:pPr>
      <w:bookmarkStart w:id="2405" w:name="Bookmark_para_45_5"/>
      <w:bookmarkEnd w:id="2405"/>
      <w:r>
        <w:rPr>
          <w:rFonts w:ascii="Arial" w:eastAsia="Arial" w:hAnsi="Arial" w:cs="Arial"/>
          <w:color w:val="000000"/>
          <w:sz w:val="20"/>
        </w:rPr>
        <w:t xml:space="preserve">Under the highly deferential abuse of discretion standard, we cannot say the district court erred in denying Greer's motion. </w:t>
      </w:r>
      <w:bookmarkStart w:id="2406" w:name="Bookmark_I7GG5JT2SC5000G4PRN0010G"/>
      <w:bookmarkStart w:id="2407" w:name="Bookmark_I56H7M2T2N1RRS0020000400"/>
      <w:bookmarkEnd w:id="2406"/>
      <w:bookmarkEnd w:id="2407"/>
      <w:r>
        <w:rPr>
          <w:rFonts w:ascii="Arial" w:eastAsia="Arial" w:hAnsi="Arial" w:cs="Arial"/>
          <w:color w:val="000000"/>
          <w:sz w:val="20"/>
        </w:rPr>
        <w:t xml:space="preserve">The district court's order in response to Greer's motion for findings of fact on her motion for sanctions set forth six logical and well-reasoned findings for denying the motion for sanctions. In summary and most notably, the court noted that it allowed RISD to assert the undue burden affirmative defense "in light of the scattershot  [**33] allegations [Greer] pled in her Complaint, and the potential issues with regard to [Greer]'s standing to assert many of her claims under the [ADA]," that the undue burden defense was not asserted in bad faith, and that consideration of the defense was mooted when Greer failed to meet her prima facie burden for an ADA discrimination claim. </w:t>
      </w:r>
      <w:bookmarkStart w:id="2408" w:name="Bookmark_I56H7M2T2N1RRS0010000400"/>
      <w:bookmarkEnd w:id="2408"/>
      <w:r>
        <w:rPr>
          <w:rFonts w:ascii="Arial" w:eastAsia="Arial" w:hAnsi="Arial" w:cs="Arial"/>
          <w:i/>
          <w:color w:val="000000"/>
          <w:sz w:val="20"/>
        </w:rPr>
        <w:t>Greer v. Richardson Indep. Sch. Dist.,</w:t>
      </w:r>
      <w:r>
        <w:rPr>
          <w:rFonts w:ascii="Arial" w:eastAsia="Arial" w:hAnsi="Arial" w:cs="Arial"/>
          <w:color w:val="000000"/>
          <w:sz w:val="20"/>
        </w:rPr>
        <w:t xml:space="preserve"> 752 F. Supp. 2d 746 (N.D. Tex. 2010) (Order regarding  [*299]  Plaintiff's Motion for Findings of Fact on Plaintiff's Motion to Strike Undue Burden Defense and for Sanctions).</w:t>
      </w:r>
    </w:p>
    <w:p w14:paraId="2FB7E59A" w14:textId="77777777" w:rsidR="00D041A2" w:rsidRDefault="00000000">
      <w:pPr>
        <w:pStyle w:val="Normal19"/>
        <w:widowControl w:val="0"/>
        <w:spacing w:before="200" w:line="260" w:lineRule="atLeast"/>
        <w:jc w:val="both"/>
      </w:pPr>
      <w:bookmarkStart w:id="2409" w:name="Bookmark_para_46_5"/>
      <w:bookmarkEnd w:id="2409"/>
      <w:r>
        <w:rPr>
          <w:rFonts w:ascii="Arial" w:eastAsia="Arial" w:hAnsi="Arial" w:cs="Arial"/>
          <w:color w:val="000000"/>
          <w:sz w:val="20"/>
        </w:rPr>
        <w:t>While Greer strenuously argues that RISD failed to show that any undue burden analysis was ever made and thus RISD and its counsel asserted a defense that had no evidentiary basis in fact, we disagree. As RISD notes, there is little case law on point as to what is required to satisfy the requirement under 28 C.F.R. § 35.150(a)(3), which states:</w:t>
      </w:r>
    </w:p>
    <w:p w14:paraId="3CF00B14" w14:textId="77777777" w:rsidR="00D041A2" w:rsidRDefault="00000000">
      <w:pPr>
        <w:pStyle w:val="Normal19"/>
        <w:widowControl w:val="0"/>
        <w:spacing w:before="200" w:line="260" w:lineRule="atLeast"/>
        <w:ind w:left="400"/>
        <w:jc w:val="both"/>
      </w:pPr>
      <w:bookmarkStart w:id="2410" w:name="Bookmark_para_47_4"/>
      <w:bookmarkStart w:id="2411" w:name="Bookmark_LNHNREFclscc19_2"/>
      <w:bookmarkEnd w:id="2410"/>
      <w:bookmarkEnd w:id="2411"/>
      <w:r>
        <w:rPr>
          <w:rFonts w:ascii="Arial" w:eastAsia="Arial" w:hAnsi="Arial" w:cs="Arial"/>
          <w:color w:val="000000"/>
          <w:sz w:val="20"/>
        </w:rPr>
        <w:t>In those circumstances where personnel of the public entity believe that the proposed action would fundamentally alter the service, program, or activity or would result in undue financial and administrative burdens, a public entity has the burden of proving that compliance with § 35.150(a) of this part  [**34] would result in such alteration or burdens. The decision that compliance would result in such alteration or burdens must be made by the head of a public entity or his or her designee after considering all resources available for use in the funding and operation of the service, program, or activity, and must be accompanied by a written statement of the reasons for reaching that conclusion.</w:t>
      </w:r>
    </w:p>
    <w:p w14:paraId="5FE5D8B4" w14:textId="77777777" w:rsidR="00D041A2" w:rsidRDefault="00000000">
      <w:pPr>
        <w:pStyle w:val="Normal19"/>
        <w:widowControl w:val="0"/>
        <w:spacing w:before="200" w:line="260" w:lineRule="atLeast"/>
        <w:jc w:val="both"/>
      </w:pPr>
      <w:bookmarkStart w:id="2412" w:name="Bookmark_para_48_4"/>
      <w:bookmarkEnd w:id="2412"/>
      <w:r>
        <w:rPr>
          <w:rFonts w:ascii="Arial" w:eastAsia="Arial" w:hAnsi="Arial" w:cs="Arial"/>
          <w:color w:val="000000"/>
          <w:sz w:val="20"/>
        </w:rPr>
        <w:t xml:space="preserve">Greer focuses on what she claims is RISD's failure to demonstrate that any undue burden analysis was ever made as evidenced by RISD's failure to produce a "written statement" pursuant to § 35.150(a)(3). This argument however focuses too narrowly on subsection (a)(3). </w:t>
      </w:r>
      <w:bookmarkStart w:id="2413" w:name="Bookmark_LNHNREFclscc20_2"/>
      <w:bookmarkEnd w:id="2413"/>
      <w:r>
        <w:rPr>
          <w:rFonts w:ascii="Arial" w:eastAsia="Arial" w:hAnsi="Arial" w:cs="Arial"/>
          <w:color w:val="000000"/>
          <w:sz w:val="20"/>
        </w:rPr>
        <w:t>Subsection (a)(3) is subordinate to the general subsection (a) language that a public entity must conduct the undue burden analysis only in the event that, in order to provide program accessibility, the entity would be required to make a fundamental alteration in the nature of the program.</w:t>
      </w:r>
    </w:p>
    <w:p w14:paraId="0FB75473" w14:textId="77777777" w:rsidR="00D041A2" w:rsidRDefault="00000000">
      <w:pPr>
        <w:pStyle w:val="Normal19"/>
        <w:widowControl w:val="0"/>
        <w:spacing w:before="200" w:line="260" w:lineRule="atLeast"/>
        <w:jc w:val="both"/>
      </w:pPr>
      <w:bookmarkStart w:id="2414" w:name="Bookmark_para_49_4"/>
      <w:bookmarkEnd w:id="2414"/>
      <w:r>
        <w:rPr>
          <w:rFonts w:ascii="Arial" w:eastAsia="Arial" w:hAnsi="Arial" w:cs="Arial"/>
          <w:color w:val="000000"/>
          <w:sz w:val="20"/>
        </w:rPr>
        <w:t>Here, RISD had a nonfrivolous argument that it already provided program access to events at Berkner B stadium and thus did not believe it was required to take any actions that would fundamentally alter the facility or the programs offered at Berkner B.  [**35] RISD produced evidence about its evaluation of Berkner B's facilities and the budgeting process used to allocate funds for upgrades or modifications to all of the school district facilities, explaining that available funds had been allocated first to student instruction facilities and the district's "A" stadiums which serve varsity athletic events and are more heavily attended. Under this reasonable belief and a plain reading of § 35.150(a) and (a)(3), it is not clear that RISD was required to make a decision evidenced by a written statement as envisioned under subsection (a)(3). To the extent that Greer's new allegations in her second and third amended complaints filed in the midst of this litigation drew that belief into question, RISD provided substantial discovery materials related to the analyses the school district performed when evaluating what modifications would be made to facilities in the district and how budgetary funds would be allocated, by priority, to modification projects. Given these facts, the district court did not abuse its discretion when it found RISD did not assert the undue burden defense in bad faith.</w:t>
      </w:r>
    </w:p>
    <w:p w14:paraId="072F7834" w14:textId="77777777" w:rsidR="00D041A2" w:rsidRDefault="00000000">
      <w:pPr>
        <w:pStyle w:val="Normal19"/>
        <w:widowControl w:val="0"/>
        <w:spacing w:before="240" w:line="260" w:lineRule="atLeast"/>
      </w:pPr>
      <w:r>
        <w:br/>
      </w:r>
      <w:r>
        <w:rPr>
          <w:rFonts w:ascii="Arial" w:eastAsia="Arial" w:hAnsi="Arial" w:cs="Arial"/>
          <w:b/>
          <w:color w:val="000000"/>
          <w:sz w:val="20"/>
        </w:rPr>
        <w:t>D. Application of</w:t>
      </w:r>
      <w:r>
        <w:rPr>
          <w:rFonts w:ascii="Arial" w:eastAsia="Arial" w:hAnsi="Arial" w:cs="Arial"/>
          <w:b/>
          <w:i/>
          <w:color w:val="000000"/>
          <w:sz w:val="20"/>
        </w:rPr>
        <w:t>Frame v. City of Arlington</w:t>
      </w:r>
    </w:p>
    <w:p w14:paraId="43230DC0" w14:textId="77777777" w:rsidR="00D041A2" w:rsidRDefault="00000000">
      <w:pPr>
        <w:pStyle w:val="Normal19"/>
        <w:widowControl w:val="0"/>
        <w:spacing w:before="200" w:line="260" w:lineRule="atLeast"/>
        <w:jc w:val="both"/>
      </w:pPr>
      <w:bookmarkStart w:id="2415" w:name="Bookmark_para_50_4"/>
      <w:bookmarkStart w:id="2416" w:name="Bookmark_I55BDMPJ28T4DK0040000400"/>
      <w:bookmarkStart w:id="2417" w:name="Bookmark_I55BDMPJ2HM69G0010000400"/>
      <w:bookmarkEnd w:id="2415"/>
      <w:bookmarkEnd w:id="2416"/>
      <w:bookmarkEnd w:id="2417"/>
      <w:r>
        <w:rPr>
          <w:rFonts w:ascii="Arial" w:eastAsia="Arial" w:hAnsi="Arial" w:cs="Arial"/>
          <w:color w:val="000000"/>
          <w:sz w:val="20"/>
        </w:rPr>
        <w:t xml:space="preserve">While disposing  [**36] of most of Greer's claims on summary judgment in favor of RISD, the district court reserved two issues with respect to whether the Berkner B parking lot contained a sufficient number of accessible parking spaces and whether a wheelchair ramp from the parking lot to a sidewalk serving an adjacent street was ADA compliant. Following this court's opinion pursuant to a panel rehearing  [*300]  in </w:t>
      </w:r>
      <w:bookmarkStart w:id="2418" w:name="Bookmark_I55BDMPJ28T4DK0030000400"/>
      <w:bookmarkEnd w:id="2418"/>
      <w:r>
        <w:rPr>
          <w:rFonts w:ascii="Arial" w:eastAsia="Arial" w:hAnsi="Arial" w:cs="Arial"/>
          <w:i/>
          <w:color w:val="000000"/>
          <w:sz w:val="20"/>
        </w:rPr>
        <w:t>Frame v. City of Arlington,</w:t>
      </w:r>
      <w:r>
        <w:rPr>
          <w:rFonts w:ascii="Arial" w:eastAsia="Arial" w:hAnsi="Arial" w:cs="Arial"/>
          <w:color w:val="000000"/>
          <w:sz w:val="20"/>
        </w:rPr>
        <w:t xml:space="preserve"> 616 F.3d 476 (5th Cir. 2010) ("</w:t>
      </w:r>
      <w:r>
        <w:rPr>
          <w:rFonts w:ascii="Arial" w:eastAsia="Arial" w:hAnsi="Arial" w:cs="Arial"/>
          <w:i/>
          <w:color w:val="000000"/>
          <w:sz w:val="20"/>
        </w:rPr>
        <w:t>Frame II"</w:t>
      </w:r>
      <w:r>
        <w:rPr>
          <w:rFonts w:ascii="Arial" w:eastAsia="Arial" w:hAnsi="Arial" w:cs="Arial"/>
          <w:color w:val="000000"/>
          <w:sz w:val="20"/>
        </w:rPr>
        <w:t xml:space="preserve">), </w:t>
      </w:r>
      <w:r>
        <w:rPr>
          <w:rFonts w:ascii="Arial" w:eastAsia="Arial" w:hAnsi="Arial" w:cs="Arial"/>
          <w:i/>
          <w:color w:val="000000"/>
          <w:sz w:val="20"/>
        </w:rPr>
        <w:t>vacated and reh'g en banc granted,</w:t>
      </w:r>
      <w:r>
        <w:rPr>
          <w:rFonts w:ascii="Arial" w:eastAsia="Arial" w:hAnsi="Arial" w:cs="Arial"/>
          <w:color w:val="000000"/>
          <w:sz w:val="20"/>
        </w:rPr>
        <w:t xml:space="preserve"> 632 F.3d 177 (5th Cir. 2011), the district court granted summary judgment in favor of RISD on both remaining issues. </w:t>
      </w:r>
      <w:bookmarkStart w:id="2419" w:name="Bookmark_I55BDMPJ28T4DK0050000400"/>
      <w:bookmarkEnd w:id="2419"/>
      <w:r>
        <w:rPr>
          <w:rFonts w:ascii="Arial" w:eastAsia="Arial" w:hAnsi="Arial" w:cs="Arial"/>
          <w:i/>
          <w:color w:val="000000"/>
          <w:sz w:val="20"/>
        </w:rPr>
        <w:t>Greer II,</w:t>
      </w:r>
      <w:r>
        <w:rPr>
          <w:rFonts w:ascii="Arial" w:eastAsia="Arial" w:hAnsi="Arial" w:cs="Arial"/>
          <w:color w:val="000000"/>
          <w:sz w:val="20"/>
        </w:rPr>
        <w:t xml:space="preserve"> 752 F. Supp. 2d at 762-63.</w:t>
      </w:r>
    </w:p>
    <w:p w14:paraId="32D354B2" w14:textId="77777777" w:rsidR="00D041A2" w:rsidRDefault="00000000">
      <w:pPr>
        <w:pStyle w:val="Normal19"/>
        <w:widowControl w:val="0"/>
        <w:spacing w:before="200" w:line="260" w:lineRule="atLeast"/>
        <w:jc w:val="both"/>
      </w:pPr>
      <w:bookmarkStart w:id="2420" w:name="Bookmark_para_51_4"/>
      <w:bookmarkStart w:id="2421" w:name="Bookmark_I55BDMPJ2HM69G0030000400"/>
      <w:bookmarkEnd w:id="2420"/>
      <w:bookmarkEnd w:id="2421"/>
      <w:r>
        <w:rPr>
          <w:rFonts w:ascii="Arial" w:eastAsia="Arial" w:hAnsi="Arial" w:cs="Arial"/>
          <w:color w:val="000000"/>
          <w:sz w:val="20"/>
        </w:rPr>
        <w:t xml:space="preserve">In her opening brief filed in March 2011, Greer argued the district court misinterpreted the opinion in </w:t>
      </w:r>
      <w:r>
        <w:rPr>
          <w:rFonts w:ascii="Arial" w:eastAsia="Arial" w:hAnsi="Arial" w:cs="Arial"/>
          <w:i/>
          <w:color w:val="000000"/>
          <w:sz w:val="20"/>
        </w:rPr>
        <w:t>Frame II</w:t>
      </w:r>
      <w:r>
        <w:rPr>
          <w:rFonts w:ascii="Arial" w:eastAsia="Arial" w:hAnsi="Arial" w:cs="Arial"/>
          <w:color w:val="000000"/>
          <w:sz w:val="20"/>
        </w:rPr>
        <w:t xml:space="preserve"> and thus improperly granted summary judgment to RISD. After briefing was complete, this court issued an en banc decision, </w:t>
      </w:r>
      <w:bookmarkStart w:id="2422" w:name="Bookmark_I55BDMPJ2HM69G0020000400"/>
      <w:bookmarkEnd w:id="2422"/>
      <w:r>
        <w:rPr>
          <w:rFonts w:ascii="Arial" w:eastAsia="Arial" w:hAnsi="Arial" w:cs="Arial"/>
          <w:i/>
          <w:color w:val="000000"/>
          <w:sz w:val="20"/>
        </w:rPr>
        <w:t>Frame v. City of Arlington,</w:t>
      </w:r>
      <w:r>
        <w:rPr>
          <w:rFonts w:ascii="Arial" w:eastAsia="Arial" w:hAnsi="Arial" w:cs="Arial"/>
          <w:color w:val="000000"/>
          <w:sz w:val="20"/>
        </w:rPr>
        <w:t xml:space="preserve"> 657 F.3d 215 (5th Cir. 2011) (en banc) ("</w:t>
      </w:r>
      <w:r>
        <w:rPr>
          <w:rFonts w:ascii="Arial" w:eastAsia="Arial" w:hAnsi="Arial" w:cs="Arial"/>
          <w:i/>
          <w:color w:val="000000"/>
          <w:sz w:val="20"/>
        </w:rPr>
        <w:t>Frame III</w:t>
      </w:r>
      <w:r>
        <w:rPr>
          <w:rFonts w:ascii="Arial" w:eastAsia="Arial" w:hAnsi="Arial" w:cs="Arial"/>
          <w:color w:val="000000"/>
          <w:sz w:val="20"/>
        </w:rPr>
        <w:t xml:space="preserve">"). At the direction of the court, the parties filed letter briefs to address how the en banc decision in </w:t>
      </w:r>
      <w:r>
        <w:rPr>
          <w:rFonts w:ascii="Arial" w:eastAsia="Arial" w:hAnsi="Arial" w:cs="Arial"/>
          <w:i/>
          <w:color w:val="000000"/>
          <w:sz w:val="20"/>
        </w:rPr>
        <w:t>Frame</w:t>
      </w:r>
      <w:r>
        <w:rPr>
          <w:rFonts w:ascii="Arial" w:eastAsia="Arial" w:hAnsi="Arial" w:cs="Arial"/>
          <w:color w:val="000000"/>
          <w:sz w:val="20"/>
        </w:rPr>
        <w:t xml:space="preserve"> may affect our review of the district court's decision on the issue of the parking lot and the ramp.</w:t>
      </w:r>
    </w:p>
    <w:p w14:paraId="7064F140" w14:textId="77777777" w:rsidR="00D041A2" w:rsidRDefault="00000000">
      <w:pPr>
        <w:pStyle w:val="Normal19"/>
        <w:widowControl w:val="0"/>
        <w:spacing w:before="200" w:line="260" w:lineRule="atLeast"/>
        <w:jc w:val="both"/>
      </w:pPr>
      <w:bookmarkStart w:id="2423" w:name="Bookmark_para_52_4"/>
      <w:bookmarkStart w:id="2424" w:name="Bookmark_I7GG5JT2K89000G4PRN0003Y"/>
      <w:bookmarkStart w:id="2425" w:name="Bookmark_I55BDMPJ2HM69G0050000400"/>
      <w:bookmarkEnd w:id="2423"/>
      <w:bookmarkEnd w:id="2424"/>
      <w:bookmarkEnd w:id="2425"/>
      <w:r>
        <w:rPr>
          <w:rFonts w:ascii="Arial" w:eastAsia="Arial" w:hAnsi="Arial" w:cs="Arial"/>
          <w:i/>
          <w:color w:val="000000"/>
          <w:sz w:val="20"/>
        </w:rPr>
        <w:t>Frame III</w:t>
      </w:r>
      <w:r>
        <w:rPr>
          <w:rFonts w:ascii="Arial" w:eastAsia="Arial" w:hAnsi="Arial" w:cs="Arial"/>
          <w:color w:val="000000"/>
          <w:sz w:val="20"/>
        </w:rPr>
        <w:t xml:space="preserve"> reversed the panel's  [**37] opinion in </w:t>
      </w:r>
      <w:r>
        <w:rPr>
          <w:rFonts w:ascii="Arial" w:eastAsia="Arial" w:hAnsi="Arial" w:cs="Arial"/>
          <w:i/>
          <w:color w:val="000000"/>
          <w:sz w:val="20"/>
        </w:rPr>
        <w:t>Frame II</w:t>
      </w:r>
      <w:r>
        <w:rPr>
          <w:rFonts w:ascii="Arial" w:eastAsia="Arial" w:hAnsi="Arial" w:cs="Arial"/>
          <w:color w:val="000000"/>
          <w:sz w:val="20"/>
        </w:rPr>
        <w:t xml:space="preserve"> that a private right of action regarding a non-compliant sidewalk only existed in the context that the sidewalk was a gateway to some other service, program, or activity. </w:t>
      </w:r>
      <w:bookmarkStart w:id="2426" w:name="Bookmark_I55BDMPJ2HM69H0020000400"/>
      <w:bookmarkStart w:id="2427" w:name="Bookmark_I55BDMPJ2HM69G0040000400"/>
      <w:bookmarkEnd w:id="2426"/>
      <w:bookmarkEnd w:id="2427"/>
      <w:r>
        <w:rPr>
          <w:rFonts w:ascii="Arial" w:eastAsia="Arial" w:hAnsi="Arial" w:cs="Arial"/>
          <w:i/>
          <w:color w:val="000000"/>
          <w:sz w:val="20"/>
        </w:rPr>
        <w:t>Frame II</w:t>
      </w:r>
      <w:r>
        <w:rPr>
          <w:rFonts w:ascii="Arial" w:eastAsia="Arial" w:hAnsi="Arial" w:cs="Arial"/>
          <w:color w:val="000000"/>
          <w:sz w:val="20"/>
        </w:rPr>
        <w:t xml:space="preserve"> at 488-90. </w:t>
      </w:r>
      <w:bookmarkStart w:id="2428" w:name="Bookmark_I7GG5JT2YG1000G4PRN00040"/>
      <w:bookmarkStart w:id="2429" w:name="Bookmark_I55BDMPJ2HM69H0040000400"/>
      <w:bookmarkEnd w:id="2428"/>
      <w:bookmarkEnd w:id="2429"/>
      <w:r>
        <w:rPr>
          <w:rFonts w:ascii="Arial" w:eastAsia="Arial" w:hAnsi="Arial" w:cs="Arial"/>
          <w:color w:val="000000"/>
          <w:sz w:val="20"/>
        </w:rPr>
        <w:t xml:space="preserve">Instead, the en banc court held that </w:t>
      </w:r>
      <w:bookmarkStart w:id="2430" w:name="Bookmark_LNHNREFclscc21_1"/>
      <w:bookmarkEnd w:id="2430"/>
      <w:r>
        <w:rPr>
          <w:rFonts w:ascii="Arial" w:eastAsia="Arial" w:hAnsi="Arial" w:cs="Arial"/>
          <w:color w:val="000000"/>
          <w:sz w:val="20"/>
        </w:rPr>
        <w:t xml:space="preserve">a non-compliant newly constructed sidewalk itself provided a private right of action under Title II without regard to the proximity of the sidewalk to the public service or program. </w:t>
      </w:r>
      <w:bookmarkStart w:id="2431" w:name="Bookmark_I55BDMPJ2HM69H0040000400_2"/>
      <w:bookmarkStart w:id="2432" w:name="Bookmark_I55BDMPJ2HM69H0020000400_2"/>
      <w:bookmarkStart w:id="2433" w:name="Bookmark_I55BDMPJ2HM69H0010000400"/>
      <w:bookmarkEnd w:id="2431"/>
      <w:bookmarkEnd w:id="2432"/>
      <w:bookmarkEnd w:id="2433"/>
      <w:r>
        <w:rPr>
          <w:rFonts w:ascii="Arial" w:eastAsia="Arial" w:hAnsi="Arial" w:cs="Arial"/>
          <w:i/>
          <w:color w:val="000000"/>
          <w:sz w:val="20"/>
        </w:rPr>
        <w:t>Frame III</w:t>
      </w:r>
      <w:r>
        <w:rPr>
          <w:rFonts w:ascii="Arial" w:eastAsia="Arial" w:hAnsi="Arial" w:cs="Arial"/>
          <w:color w:val="000000"/>
          <w:sz w:val="20"/>
        </w:rPr>
        <w:t xml:space="preserve"> at 235. While the district court considered the parking spaces and ramp in the context of the gateway analysis, </w:t>
      </w:r>
      <w:bookmarkStart w:id="2434" w:name="Bookmark_I55BDMPJ2HM69H0030000400"/>
      <w:bookmarkEnd w:id="2434"/>
      <w:r>
        <w:rPr>
          <w:rFonts w:ascii="Arial" w:eastAsia="Arial" w:hAnsi="Arial" w:cs="Arial"/>
          <w:i/>
          <w:color w:val="000000"/>
          <w:sz w:val="20"/>
        </w:rPr>
        <w:t>Greer II</w:t>
      </w:r>
      <w:r>
        <w:rPr>
          <w:rFonts w:ascii="Arial" w:eastAsia="Arial" w:hAnsi="Arial" w:cs="Arial"/>
          <w:color w:val="000000"/>
          <w:sz w:val="20"/>
        </w:rPr>
        <w:t xml:space="preserve"> at 763, </w:t>
      </w:r>
      <w:bookmarkStart w:id="2435" w:name="Bookmark_I55BDMPJ2HM69H0050000400"/>
      <w:bookmarkEnd w:id="2435"/>
      <w:r>
        <w:rPr>
          <w:rFonts w:ascii="Arial" w:eastAsia="Arial" w:hAnsi="Arial" w:cs="Arial"/>
          <w:i/>
          <w:color w:val="000000"/>
          <w:sz w:val="20"/>
        </w:rPr>
        <w:t>Frame III</w:t>
      </w:r>
      <w:r>
        <w:rPr>
          <w:rFonts w:ascii="Arial" w:eastAsia="Arial" w:hAnsi="Arial" w:cs="Arial"/>
          <w:color w:val="000000"/>
          <w:sz w:val="20"/>
        </w:rPr>
        <w:t xml:space="preserve"> nonetheless does not change the outcome here.</w:t>
      </w:r>
    </w:p>
    <w:p w14:paraId="6B88141E" w14:textId="77777777" w:rsidR="00D041A2" w:rsidRDefault="00000000">
      <w:pPr>
        <w:pStyle w:val="Normal19"/>
        <w:widowControl w:val="0"/>
        <w:spacing w:before="200" w:line="260" w:lineRule="atLeast"/>
        <w:jc w:val="both"/>
      </w:pPr>
      <w:bookmarkStart w:id="2436" w:name="Bookmark_para_53_3"/>
      <w:bookmarkEnd w:id="2436"/>
      <w:r>
        <w:rPr>
          <w:rFonts w:ascii="Arial" w:eastAsia="Arial" w:hAnsi="Arial" w:cs="Arial"/>
          <w:color w:val="000000"/>
          <w:sz w:val="20"/>
        </w:rPr>
        <w:t xml:space="preserve">The parking lot and the ramp have both been modified or constructed after 1992 and thus do not fall within the more flexible guidelines for existing facilities. Instead, the ADAAG guidelines apply. The record establishes that the parking lot servicing the Berkner B stadium contains six accessible parking spaces, which complies with ADAAG guidelines for the number of accessible spaces. Additionally, the modifications to the parking lot, including allocation and placement of accessible parking spots, and the construction of the wheelchair ramp were completed pursuant to an  [**38] inspection by a Registered Accessibility Specialist, which demonstrates compliance with the Texas Accessibility Standards ("TAS"). The TAS have been certified and approved by the Department of Justice as being equivalent to the ADAAG. Architectural Barriers Frequently Asked Questions, Tex. Dep't of Licensing &amp; Regulation, http://www.tdlr.state.tx.us/ab/abfaq.htm#13 ("The Texas Accessibility Standards are as stringent (in some instances more stringent) as the ADAAG and have been deemed equivalent to the ADAAG by the United States Department of Justice. </w:t>
      </w:r>
      <w:bookmarkStart w:id="2437" w:name="Bookmark_I55BDMPJ2N1RSJ0030000400"/>
      <w:bookmarkEnd w:id="2437"/>
      <w:r>
        <w:rPr>
          <w:rFonts w:ascii="Arial" w:eastAsia="Arial" w:hAnsi="Arial" w:cs="Arial"/>
          <w:color w:val="000000"/>
          <w:sz w:val="20"/>
        </w:rPr>
        <w:t xml:space="preserve">The TAS received equivalency certification on September 23, 1996."). Accordingly, we affirm the district court's grant of summary judgment in favor of RISD on these two issues. </w:t>
      </w:r>
      <w:bookmarkStart w:id="2438" w:name="Bookmark_I55BDMPJ2N1RSJ0020000400"/>
      <w:bookmarkEnd w:id="2438"/>
      <w:r>
        <w:rPr>
          <w:rFonts w:ascii="Arial" w:eastAsia="Arial" w:hAnsi="Arial" w:cs="Arial"/>
          <w:i/>
          <w:color w:val="000000"/>
          <w:sz w:val="20"/>
        </w:rPr>
        <w:t>Rockwell v. Brown,</w:t>
      </w:r>
      <w:r>
        <w:rPr>
          <w:rFonts w:ascii="Arial" w:eastAsia="Arial" w:hAnsi="Arial" w:cs="Arial"/>
          <w:color w:val="000000"/>
          <w:sz w:val="20"/>
        </w:rPr>
        <w:t xml:space="preserve"> 664 F.3d 985, 990 (5th Cir. 2011) (</w:t>
      </w:r>
      <w:bookmarkStart w:id="2439" w:name="Bookmark_LNHNREFclscc22_1"/>
      <w:bookmarkEnd w:id="2439"/>
      <w:r>
        <w:rPr>
          <w:rFonts w:ascii="Arial" w:eastAsia="Arial" w:hAnsi="Arial" w:cs="Arial"/>
          <w:color w:val="000000"/>
          <w:sz w:val="20"/>
        </w:rPr>
        <w:t>"[W]e may affirm a grant of summary judgment on any basis supported by the record.") (internal quotation marks omitted).</w:t>
      </w:r>
    </w:p>
    <w:p w14:paraId="5E78A414" w14:textId="77777777" w:rsidR="00D041A2" w:rsidRDefault="00000000">
      <w:pPr>
        <w:pStyle w:val="Normal19"/>
        <w:widowControl w:val="0"/>
        <w:spacing w:before="240" w:line="260" w:lineRule="atLeast"/>
      </w:pPr>
      <w:r>
        <w:br/>
      </w:r>
      <w:r>
        <w:rPr>
          <w:rFonts w:ascii="Arial" w:eastAsia="Arial" w:hAnsi="Arial" w:cs="Arial"/>
          <w:b/>
          <w:color w:val="000000"/>
          <w:sz w:val="20"/>
        </w:rPr>
        <w:t>CONCLUSION</w:t>
      </w:r>
    </w:p>
    <w:p w14:paraId="553B83BB" w14:textId="77777777" w:rsidR="00D041A2" w:rsidRDefault="00000000">
      <w:pPr>
        <w:pStyle w:val="Normal19"/>
        <w:widowControl w:val="0"/>
        <w:spacing w:before="200" w:line="260" w:lineRule="atLeast"/>
        <w:jc w:val="both"/>
      </w:pPr>
      <w:bookmarkStart w:id="2440" w:name="Bookmark_para_54_3"/>
      <w:bookmarkEnd w:id="2440"/>
      <w:r>
        <w:rPr>
          <w:rFonts w:ascii="Arial" w:eastAsia="Arial" w:hAnsi="Arial" w:cs="Arial"/>
          <w:color w:val="000000"/>
          <w:sz w:val="20"/>
        </w:rPr>
        <w:t>For the foregoing reasons, the judgment of the district court is AFFIRMED.</w:t>
      </w:r>
    </w:p>
    <w:p w14:paraId="67398F6C" w14:textId="77777777" w:rsidR="00D041A2" w:rsidRDefault="00D041A2">
      <w:pPr>
        <w:pStyle w:val="Normal19"/>
      </w:pPr>
    </w:p>
    <w:p w14:paraId="2640110E" w14:textId="74B01D0B" w:rsidR="00D041A2" w:rsidRDefault="00000000">
      <w:pPr>
        <w:pStyle w:val="Normal19"/>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01248" behindDoc="0" locked="0" layoutInCell="1" allowOverlap="1" wp14:anchorId="14BBBC0F" wp14:editId="4DA60239">
                <wp:simplePos x="0" y="0"/>
                <wp:positionH relativeFrom="column">
                  <wp:posOffset>0</wp:posOffset>
                </wp:positionH>
                <wp:positionV relativeFrom="paragraph">
                  <wp:posOffset>127000</wp:posOffset>
                </wp:positionV>
                <wp:extent cx="6502400" cy="0"/>
                <wp:effectExtent l="9525" t="12700" r="12700" b="6350"/>
                <wp:wrapNone/>
                <wp:docPr id="191777582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26999" id="Line 4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2DB125E" w14:textId="77777777" w:rsidR="00D041A2" w:rsidRDefault="00D041A2">
      <w:pPr>
        <w:pStyle w:val="Normal20"/>
        <w:sectPr w:rsidR="00D041A2">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gutter="0"/>
          <w:cols w:space="720"/>
          <w:titlePg/>
        </w:sectPr>
      </w:pPr>
    </w:p>
    <w:p w14:paraId="295C502E" w14:textId="77777777" w:rsidR="00D041A2" w:rsidRDefault="00D041A2">
      <w:pPr>
        <w:pStyle w:val="Normal20"/>
      </w:pPr>
    </w:p>
    <w:p w14:paraId="557CB8BF" w14:textId="77777777" w:rsidR="00D041A2" w:rsidRDefault="00000000">
      <w:pPr>
        <w:pStyle w:val="Heading119"/>
        <w:keepNext w:val="0"/>
        <w:widowControl w:val="0"/>
        <w:spacing w:after="200" w:line="340" w:lineRule="atLeast"/>
        <w:jc w:val="center"/>
      </w:pPr>
      <w:r>
        <w:rPr>
          <w:rFonts w:eastAsia="Arial"/>
          <w:color w:val="000000"/>
          <w:sz w:val="28"/>
        </w:rPr>
        <w:t>Seremeth v. Bd. of County Comm'rs Frederick County</w:t>
      </w:r>
    </w:p>
    <w:p w14:paraId="2CC86588" w14:textId="77777777" w:rsidR="00D041A2" w:rsidRDefault="00000000">
      <w:pPr>
        <w:pStyle w:val="Normal20"/>
        <w:widowControl w:val="0"/>
        <w:spacing w:before="120" w:line="260" w:lineRule="atLeast"/>
        <w:jc w:val="center"/>
      </w:pPr>
      <w:r>
        <w:rPr>
          <w:rFonts w:ascii="Arial" w:eastAsia="Arial" w:hAnsi="Arial" w:cs="Arial"/>
          <w:color w:val="000000"/>
          <w:sz w:val="20"/>
        </w:rPr>
        <w:t>United States Court of Appeals for the Fourth Circuit</w:t>
      </w:r>
    </w:p>
    <w:p w14:paraId="1EEBECB2" w14:textId="77777777" w:rsidR="00D041A2" w:rsidRDefault="00000000">
      <w:pPr>
        <w:pStyle w:val="Normal20"/>
        <w:widowControl w:val="0"/>
        <w:spacing w:before="120" w:line="260" w:lineRule="atLeast"/>
        <w:jc w:val="center"/>
      </w:pPr>
      <w:r>
        <w:rPr>
          <w:rFonts w:ascii="Arial" w:eastAsia="Arial" w:hAnsi="Arial" w:cs="Arial"/>
          <w:color w:val="000000"/>
          <w:sz w:val="20"/>
        </w:rPr>
        <w:t>January 25, 2012, Argued; March 12, 2012, Decided</w:t>
      </w:r>
    </w:p>
    <w:p w14:paraId="5BE43DC8" w14:textId="77777777" w:rsidR="00D041A2" w:rsidRDefault="00000000">
      <w:pPr>
        <w:pStyle w:val="Normal20"/>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10-1711</w:t>
      </w:r>
    </w:p>
    <w:p w14:paraId="5E2308AE" w14:textId="77777777" w:rsidR="00D041A2" w:rsidRDefault="00D041A2">
      <w:pPr>
        <w:pStyle w:val="Normal20"/>
        <w:widowControl w:val="0"/>
        <w:spacing w:line="240" w:lineRule="atLeast"/>
        <w:jc w:val="both"/>
      </w:pPr>
      <w:bookmarkStart w:id="2441" w:name="Bookmark_21"/>
      <w:bookmarkEnd w:id="2441"/>
    </w:p>
    <w:p w14:paraId="0110F20D" w14:textId="77777777" w:rsidR="00D041A2" w:rsidRDefault="00000000">
      <w:pPr>
        <w:pStyle w:val="Normal20"/>
        <w:widowControl w:val="0"/>
        <w:spacing w:before="200" w:line="240" w:lineRule="atLeast"/>
      </w:pPr>
      <w:bookmarkStart w:id="2442" w:name="Reporter_19"/>
      <w:bookmarkEnd w:id="2442"/>
      <w:r>
        <w:rPr>
          <w:rFonts w:ascii="Arial" w:eastAsia="Arial" w:hAnsi="Arial" w:cs="Arial"/>
          <w:b/>
          <w:color w:val="000000"/>
          <w:sz w:val="18"/>
        </w:rPr>
        <w:t>Reporter</w:t>
      </w:r>
    </w:p>
    <w:p w14:paraId="02229359" w14:textId="77777777" w:rsidR="00D041A2" w:rsidRDefault="00000000">
      <w:pPr>
        <w:pStyle w:val="Normal20"/>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673 F.3d 333 *; 2012 U.S. App. LEXIS 5105 **; 72 A.L.R. Fed. 2d 751; 26 Am. Disabilities Cas. (BNA) 142; 2012 WL 764469</w:t>
      </w:r>
    </w:p>
    <w:p w14:paraId="037B80C6" w14:textId="77777777" w:rsidR="00D041A2" w:rsidRDefault="00000000">
      <w:pPr>
        <w:pStyle w:val="Normal20"/>
        <w:widowControl w:val="0"/>
        <w:spacing w:before="120" w:line="260" w:lineRule="atLeast"/>
      </w:pPr>
      <w:r>
        <w:rPr>
          <w:rFonts w:ascii="Arial" w:eastAsia="Arial" w:hAnsi="Arial" w:cs="Arial"/>
          <w:color w:val="000000"/>
          <w:sz w:val="20"/>
        </w:rPr>
        <w:t>ROBERT SEREMETH, JR.; ROBERT SEREMETH, JR., for the minor children A.S., C.S., E.S., F.S., Plaintiffs-Appellants, v. BOARD OF COUNTY COMMISSIONERS FREDERICK COUNTY, MARYLAND; SHERIFF CHARLES JENKINS; TRAVIS L. ROHRER, Deputy Sheriff, Defendants-Appellees, and FREDERICK COUNTY SHERIFF'S DEPARTMENT; STATE OF MARYLAND; STATE OF MARYLAND, Douglas S. Gansler, Attorney General, Defendants.</w:t>
      </w:r>
    </w:p>
    <w:p w14:paraId="3407D6D3" w14:textId="77777777" w:rsidR="00D041A2" w:rsidRDefault="00000000">
      <w:pPr>
        <w:pStyle w:val="Normal20"/>
        <w:widowControl w:val="0"/>
        <w:spacing w:before="240" w:line="260" w:lineRule="atLeast"/>
        <w:jc w:val="both"/>
      </w:pPr>
      <w:bookmarkStart w:id="2443" w:name="Prior_History_19"/>
      <w:bookmarkEnd w:id="2443"/>
      <w:r>
        <w:rPr>
          <w:rFonts w:ascii="Arial" w:eastAsia="Arial" w:hAnsi="Arial" w:cs="Arial"/>
          <w:b/>
          <w:color w:val="000000"/>
          <w:sz w:val="20"/>
        </w:rPr>
        <w:t>Prior History:</w:t>
      </w:r>
      <w:r>
        <w:rPr>
          <w:rFonts w:ascii="Arial" w:eastAsia="Arial" w:hAnsi="Arial" w:cs="Arial"/>
          <w:color w:val="000000"/>
          <w:sz w:val="20"/>
        </w:rPr>
        <w:t>  [**1] </w:t>
      </w:r>
      <w:bookmarkStart w:id="2444" w:name="Bookmark_para_1_19"/>
      <w:bookmarkEnd w:id="2444"/>
      <w:r>
        <w:rPr>
          <w:rFonts w:ascii="Arial" w:eastAsia="Arial" w:hAnsi="Arial" w:cs="Arial"/>
          <w:color w:val="000000"/>
          <w:sz w:val="20"/>
        </w:rPr>
        <w:t>Appeal from the United States District Court for the District of Maryland, at Baltimore. (1:09-cv-00058-BEL). Benson Everett Legg, District Judge.</w:t>
      </w:r>
    </w:p>
    <w:p w14:paraId="2BC93245" w14:textId="77777777" w:rsidR="00D041A2" w:rsidRDefault="00000000">
      <w:pPr>
        <w:pStyle w:val="Normal20"/>
        <w:widowControl w:val="0"/>
        <w:spacing w:before="120" w:line="260" w:lineRule="atLeast"/>
      </w:pPr>
      <w:r>
        <w:rPr>
          <w:rFonts w:ascii="Arial" w:eastAsia="Arial" w:hAnsi="Arial" w:cs="Arial"/>
          <w:color w:val="000000"/>
          <w:sz w:val="20"/>
        </w:rPr>
        <w:t>Seremeth v. Bd. of County Comm'rs, 2010 U.S. Dist. LEXIS 49200 (D. Md., May 18, 2010)</w:t>
      </w:r>
    </w:p>
    <w:p w14:paraId="609A44BA" w14:textId="77777777" w:rsidR="00D041A2" w:rsidRDefault="00000000">
      <w:pPr>
        <w:pStyle w:val="Normal20"/>
        <w:widowControl w:val="0"/>
        <w:spacing w:before="240" w:line="260" w:lineRule="atLeast"/>
      </w:pPr>
      <w:bookmarkStart w:id="2445" w:name="Counsel_19"/>
      <w:bookmarkEnd w:id="2445"/>
      <w:r>
        <w:rPr>
          <w:rFonts w:ascii="Arial" w:eastAsia="Arial" w:hAnsi="Arial" w:cs="Arial"/>
          <w:b/>
          <w:color w:val="000000"/>
          <w:sz w:val="20"/>
        </w:rPr>
        <w:t>Counsel:</w:t>
      </w:r>
      <w:r>
        <w:rPr>
          <w:rFonts w:ascii="Arial" w:eastAsia="Arial" w:hAnsi="Arial" w:cs="Arial"/>
          <w:color w:val="000000"/>
          <w:sz w:val="20"/>
        </w:rPr>
        <w:t> ARGUED: Monisha Cherayil, PUBLIC JUSTICE CENTER, Baltimore, Maryland, for Appellants.</w:t>
      </w:r>
    </w:p>
    <w:p w14:paraId="194B6E3C" w14:textId="77777777" w:rsidR="00D041A2" w:rsidRDefault="00000000">
      <w:pPr>
        <w:pStyle w:val="Normal20"/>
        <w:widowControl w:val="0"/>
        <w:spacing w:before="120" w:line="260" w:lineRule="atLeast"/>
      </w:pPr>
      <w:r>
        <w:rPr>
          <w:rFonts w:ascii="Arial" w:eastAsia="Arial" w:hAnsi="Arial" w:cs="Arial"/>
          <w:color w:val="000000"/>
          <w:sz w:val="20"/>
        </w:rPr>
        <w:t>Sandra Diana Lee, KARPINSKI, COLARESI &amp; KARP, PA, Baltimore, Maryland, for Appellees.</w:t>
      </w:r>
    </w:p>
    <w:p w14:paraId="7DD0C564" w14:textId="77777777" w:rsidR="00D041A2" w:rsidRDefault="00000000">
      <w:pPr>
        <w:pStyle w:val="Normal20"/>
        <w:widowControl w:val="0"/>
        <w:spacing w:before="120" w:line="260" w:lineRule="atLeast"/>
      </w:pPr>
      <w:r>
        <w:rPr>
          <w:rFonts w:ascii="Arial" w:eastAsia="Arial" w:hAnsi="Arial" w:cs="Arial"/>
          <w:color w:val="000000"/>
          <w:sz w:val="20"/>
        </w:rPr>
        <w:t>ON BRIEF: Daniel Karp, KARPINSKI, COLARESI &amp; KARP, PA, Baltimore, Maryland, for Appellees.</w:t>
      </w:r>
    </w:p>
    <w:p w14:paraId="4D31861D" w14:textId="77777777" w:rsidR="00D041A2" w:rsidRDefault="00000000">
      <w:pPr>
        <w:pStyle w:val="Normal20"/>
        <w:widowControl w:val="0"/>
        <w:spacing w:before="240" w:line="260" w:lineRule="atLeast"/>
      </w:pPr>
      <w:bookmarkStart w:id="2446" w:name="Judges_19"/>
      <w:bookmarkEnd w:id="2446"/>
      <w:r>
        <w:rPr>
          <w:rFonts w:ascii="Arial" w:eastAsia="Arial" w:hAnsi="Arial" w:cs="Arial"/>
          <w:b/>
          <w:color w:val="000000"/>
          <w:sz w:val="20"/>
        </w:rPr>
        <w:t>Judges:</w:t>
      </w:r>
      <w:r>
        <w:rPr>
          <w:rFonts w:ascii="Arial" w:eastAsia="Arial" w:hAnsi="Arial" w:cs="Arial"/>
          <w:color w:val="000000"/>
          <w:sz w:val="20"/>
        </w:rPr>
        <w:t> Before KING, GREGORY, and FLOYD, Circuit Judges. Judge Gregory wrote the opinion, in which Judge King and Judge Floyd joined.</w:t>
      </w:r>
    </w:p>
    <w:p w14:paraId="7FF2D8E1" w14:textId="77777777" w:rsidR="00D041A2" w:rsidRDefault="00000000">
      <w:pPr>
        <w:pStyle w:val="Normal20"/>
        <w:widowControl w:val="0"/>
        <w:spacing w:before="240" w:line="260" w:lineRule="atLeast"/>
      </w:pPr>
      <w:bookmarkStart w:id="2447" w:name="Opinion_by_13"/>
      <w:bookmarkEnd w:id="2447"/>
      <w:r>
        <w:rPr>
          <w:rFonts w:ascii="Arial" w:eastAsia="Arial" w:hAnsi="Arial" w:cs="Arial"/>
          <w:b/>
          <w:color w:val="000000"/>
          <w:sz w:val="20"/>
        </w:rPr>
        <w:t>Opinion by:</w:t>
      </w:r>
      <w:r>
        <w:rPr>
          <w:rFonts w:ascii="Arial" w:eastAsia="Arial" w:hAnsi="Arial" w:cs="Arial"/>
          <w:color w:val="000000"/>
          <w:sz w:val="20"/>
        </w:rPr>
        <w:t> GREGORY</w:t>
      </w:r>
    </w:p>
    <w:p w14:paraId="2277217B" w14:textId="77777777" w:rsidR="00D041A2" w:rsidRDefault="00000000">
      <w:pPr>
        <w:pStyle w:val="Normal20"/>
        <w:keepNext/>
        <w:widowControl w:val="0"/>
        <w:spacing w:before="240" w:line="340" w:lineRule="atLeast"/>
      </w:pPr>
      <w:bookmarkStart w:id="2448" w:name="Opinion_19"/>
      <w:bookmarkEnd w:id="2448"/>
      <w:r>
        <w:rPr>
          <w:rFonts w:ascii="Arial" w:eastAsia="Arial" w:hAnsi="Arial" w:cs="Arial"/>
          <w:b/>
          <w:color w:val="000000"/>
          <w:sz w:val="28"/>
        </w:rPr>
        <w:t>Opinion</w:t>
      </w:r>
    </w:p>
    <w:p w14:paraId="4F4C3B55" w14:textId="15D65451" w:rsidR="00D041A2" w:rsidRDefault="004D4403">
      <w:pPr>
        <w:pStyle w:val="Normal20"/>
        <w:spacing w:line="60" w:lineRule="exact"/>
      </w:pPr>
      <w:r>
        <w:rPr>
          <w:noProof/>
        </w:rPr>
        <mc:AlternateContent>
          <mc:Choice Requires="wps">
            <w:drawing>
              <wp:anchor distT="0" distB="0" distL="114300" distR="114300" simplePos="0" relativeHeight="251702272" behindDoc="0" locked="0" layoutInCell="1" allowOverlap="1" wp14:anchorId="012A45E6" wp14:editId="484EE5E5">
                <wp:simplePos x="0" y="0"/>
                <wp:positionH relativeFrom="column">
                  <wp:posOffset>0</wp:posOffset>
                </wp:positionH>
                <wp:positionV relativeFrom="paragraph">
                  <wp:posOffset>25400</wp:posOffset>
                </wp:positionV>
                <wp:extent cx="3187700" cy="0"/>
                <wp:effectExtent l="19050" t="15875" r="12700" b="12700"/>
                <wp:wrapTopAndBottom/>
                <wp:docPr id="10566204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C8370" id="Line 44"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A8D08F1" w14:textId="77777777" w:rsidR="00D041A2" w:rsidRDefault="00D041A2">
      <w:pPr>
        <w:pStyle w:val="Normal20"/>
      </w:pPr>
    </w:p>
    <w:p w14:paraId="4F9CCFF4" w14:textId="77777777" w:rsidR="00D041A2" w:rsidRDefault="00000000">
      <w:pPr>
        <w:pStyle w:val="Normal20"/>
        <w:widowControl w:val="0"/>
        <w:spacing w:before="200" w:line="260" w:lineRule="atLeast"/>
        <w:jc w:val="both"/>
      </w:pPr>
      <w:bookmarkStart w:id="2449" w:name="Bookmark_para_2_19"/>
      <w:bookmarkEnd w:id="2449"/>
      <w:r>
        <w:rPr>
          <w:rFonts w:ascii="Arial" w:eastAsia="Arial" w:hAnsi="Arial" w:cs="Arial"/>
          <w:color w:val="000000"/>
          <w:sz w:val="20"/>
        </w:rPr>
        <w:t> [*334]  GREGORY, Circuit Judge:</w:t>
      </w:r>
    </w:p>
    <w:p w14:paraId="4DE2ABA4" w14:textId="77777777" w:rsidR="00D041A2" w:rsidRDefault="00000000">
      <w:pPr>
        <w:pStyle w:val="Normal20"/>
        <w:widowControl w:val="0"/>
        <w:spacing w:before="200" w:line="260" w:lineRule="atLeast"/>
        <w:jc w:val="both"/>
      </w:pPr>
      <w:bookmarkStart w:id="2450" w:name="Bookmark_para_3_19"/>
      <w:bookmarkEnd w:id="2450"/>
      <w:r>
        <w:rPr>
          <w:rFonts w:ascii="Arial" w:eastAsia="Arial" w:hAnsi="Arial" w:cs="Arial"/>
          <w:color w:val="000000"/>
          <w:sz w:val="20"/>
        </w:rPr>
        <w:t>Robert Seremeth appeals the district court's ruling of summary judgment for the defendants-appellees. Seremeth argues that he was entitled to have the jury hear his argument that he was not reasonably accommodated by the Appellees during their investigation, in violation of his rights under the Americans with Disabilities Act ("ADA") and the Rehabilitation  [*335]  Act. For the reasons that follow, we affirm the district court's order.</w:t>
      </w:r>
    </w:p>
    <w:p w14:paraId="0BDF90EB" w14:textId="77777777" w:rsidR="00D041A2" w:rsidRDefault="00000000">
      <w:pPr>
        <w:pStyle w:val="Normal20"/>
        <w:widowControl w:val="0"/>
        <w:spacing w:before="120" w:line="260" w:lineRule="atLeast"/>
      </w:pPr>
      <w:r>
        <w:rPr>
          <w:rFonts w:ascii="Arial" w:eastAsia="Arial" w:hAnsi="Arial" w:cs="Arial"/>
          <w:color w:val="000000"/>
          <w:sz w:val="20"/>
        </w:rPr>
        <w:t>I.</w:t>
      </w:r>
    </w:p>
    <w:p w14:paraId="1AC72EC9" w14:textId="77777777" w:rsidR="00D041A2" w:rsidRDefault="00000000">
      <w:pPr>
        <w:pStyle w:val="Normal20"/>
        <w:widowControl w:val="0"/>
        <w:spacing w:before="200" w:line="260" w:lineRule="atLeast"/>
        <w:jc w:val="both"/>
      </w:pPr>
      <w:bookmarkStart w:id="2451" w:name="Bookmark_para_4_19"/>
      <w:bookmarkEnd w:id="2451"/>
      <w:r>
        <w:rPr>
          <w:rFonts w:ascii="Arial" w:eastAsia="Arial" w:hAnsi="Arial" w:cs="Arial"/>
          <w:color w:val="000000"/>
          <w:sz w:val="20"/>
        </w:rPr>
        <w:t>On January 13, 2008, Seremeth was at home in Middletown, Maryland, with his four children and his parents. Seremeth, his children, and his parents are deaf. Seremeth and his daughter had an argument about whether  [**2] the daughter had to go to bed, which followed an earlier incident that day when Seremeth told the daughter that she was not allowed to use the videophone to call her mother, Dawn Rood. The daughter then ran away from home, and Seremeth retrieved her from a nearby field 15 or 20 minutes later. The daughter then contacted Rood using a videophone. Rood placed a 9-1-1 call to the Frederick County Sheriff's Department because she claims she saw Seremeth hit their daughter. During the 9-1-1 call, Rood told the operator that the family is deaf and there were no weapons at the house.</w:t>
      </w:r>
    </w:p>
    <w:p w14:paraId="665A9D53" w14:textId="77777777" w:rsidR="00D041A2" w:rsidRDefault="00000000">
      <w:pPr>
        <w:pStyle w:val="Normal20"/>
        <w:widowControl w:val="0"/>
        <w:spacing w:before="200" w:line="260" w:lineRule="atLeast"/>
        <w:jc w:val="both"/>
      </w:pPr>
      <w:bookmarkStart w:id="2452" w:name="Bookmark_para_5_19"/>
      <w:bookmarkEnd w:id="2452"/>
      <w:r>
        <w:rPr>
          <w:rFonts w:ascii="Arial" w:eastAsia="Arial" w:hAnsi="Arial" w:cs="Arial"/>
          <w:color w:val="000000"/>
          <w:sz w:val="20"/>
        </w:rPr>
        <w:t>The parties differ somewhat on their accounts of the encounter that followed between the sheriff's office and Seremeth and his family. The facts in the light most favorable to Seremeth, however, show the following. Prior to the deputies' arrival at Seremeth's house, dispatch warned the deputies that the entire family is deaf and advised them to use their headlights to alert the residents of their presence. Sheriff's deputies had been to Seremeth's house on three or four occasions for alleged domestic disputes. In each of the previous instances, Seremeth was able to communicate with the deputies with notes, and  [**3] he was not charged with an offense. On one such occasion, a neighbor's daughter served as an interpreter. This time, the dispatcher contacted Meg Ryan, an officer of the Frederick City Police Department who was learning American Sign Language ("ASL"), to help communicate with Seremeth.</w:t>
      </w:r>
    </w:p>
    <w:p w14:paraId="3D525DDB" w14:textId="77777777" w:rsidR="00D041A2" w:rsidRDefault="00000000">
      <w:pPr>
        <w:pStyle w:val="Normal20"/>
        <w:widowControl w:val="0"/>
        <w:spacing w:before="200" w:line="260" w:lineRule="atLeast"/>
        <w:jc w:val="both"/>
      </w:pPr>
      <w:bookmarkStart w:id="2453" w:name="Bookmark_para_6_19"/>
      <w:bookmarkEnd w:id="2453"/>
      <w:r>
        <w:rPr>
          <w:rFonts w:ascii="Arial" w:eastAsia="Arial" w:hAnsi="Arial" w:cs="Arial"/>
          <w:color w:val="000000"/>
          <w:sz w:val="20"/>
        </w:rPr>
        <w:t>Upon arriving at Seremeth's house, the deputies shined their flashlights into the house to get the family's attention. Seremeth opened the door. The officers entered with guns drawn, one with his weapon aimed at Seremeth. Deputy Travis Rohrer ordered Seremeth via hand motions to drop the remote control that he was holding. Rohrer then handcuffed Seremeth's wrists behind his back. The deputies forced him to kneel outside on a cement walkway. This, Deputy Rohrer testified, was standard procedure for a domestic violence call. The handcuffs prevented Seremeth from writing notes or signing, so the deputies could not effectively interview Seremeth, and Seremeth could not ask why he was being detained. Seremeth tried to communicate vocally with the officers, and the officers responded by putting their fingers to their lips, indicating that Seremeth should remain silent. While Seremeth was outside and handcuffed  [**4] for 30-45 minutes without shoes or a coat, an unknown officer gave him a note saying that the situation would be explained to him and that an interpreter was being called to the scene. The officers did not tell Seremeth why they were there.</w:t>
      </w:r>
    </w:p>
    <w:p w14:paraId="1BE77932" w14:textId="77777777" w:rsidR="00D041A2" w:rsidRDefault="00000000">
      <w:pPr>
        <w:pStyle w:val="Normal20"/>
        <w:widowControl w:val="0"/>
        <w:spacing w:before="200" w:line="260" w:lineRule="atLeast"/>
        <w:jc w:val="both"/>
      </w:pPr>
      <w:bookmarkStart w:id="2454" w:name="Bookmark_para_7_19"/>
      <w:bookmarkEnd w:id="2454"/>
      <w:r>
        <w:rPr>
          <w:rFonts w:ascii="Arial" w:eastAsia="Arial" w:hAnsi="Arial" w:cs="Arial"/>
          <w:color w:val="000000"/>
          <w:sz w:val="20"/>
        </w:rPr>
        <w:t>The deputies woke the sleeping children and interviewed them without a qualified sign language interpreter. The sheriff's office has professional qualified-interpreter services available to it by contract with Maryland Interpreting Services, d/b/a WeInterpret. The contract provides for an emergency interpreter to arrive within one hour of the request. Seremeth was brought inside, and Seremeth's father, who is somewhat able to read lips and speak understandably, attempted to interpret for Seremeth and the officers. Ryan arrived 45 minutes into the encounter, carrying  [*336]  her ASL course book. Her efforts to communicate failed because of her lack of fluency. Through the questioning, with Seremeth's father as an interpreter, and more than an hour into the encounter but about ten minutes after Ryan had arrived, the deputies determined no abuse had occurred, and they left.</w:t>
      </w:r>
    </w:p>
    <w:p w14:paraId="1A213674" w14:textId="77777777" w:rsidR="00D041A2" w:rsidRDefault="00000000">
      <w:pPr>
        <w:pStyle w:val="Normal20"/>
        <w:widowControl w:val="0"/>
        <w:spacing w:before="200" w:line="260" w:lineRule="atLeast"/>
        <w:jc w:val="both"/>
      </w:pPr>
      <w:bookmarkStart w:id="2455" w:name="Bookmark_para_8_18"/>
      <w:bookmarkEnd w:id="2455"/>
      <w:r>
        <w:rPr>
          <w:rFonts w:ascii="Arial" w:eastAsia="Arial" w:hAnsi="Arial" w:cs="Arial"/>
          <w:color w:val="000000"/>
          <w:sz w:val="20"/>
        </w:rPr>
        <w:t>Seremeth claims he suffered "emotional issues" and "persistent anger" because the county  [**5] "violated [his] right to communicate" by handcuffing him behind his back and failing to explain their presence. J.A. 43-44, 72-80, 90-92. Seremeth and his children sought counseling. Seremeth claims he still has an emotional scar from the experience.</w:t>
      </w:r>
    </w:p>
    <w:p w14:paraId="0732B7F7" w14:textId="77777777" w:rsidR="00D041A2" w:rsidRDefault="00000000">
      <w:pPr>
        <w:pStyle w:val="Normal20"/>
        <w:widowControl w:val="0"/>
        <w:spacing w:before="200" w:line="260" w:lineRule="atLeast"/>
        <w:jc w:val="both"/>
      </w:pPr>
      <w:bookmarkStart w:id="2456" w:name="Bookmark_para_9_17"/>
      <w:bookmarkStart w:id="2457" w:name="Bookmark_I559SNKN2N1RV10020000400"/>
      <w:bookmarkStart w:id="2458" w:name="Bookmark_I559SNKN2N1RV10040000400"/>
      <w:bookmarkEnd w:id="2456"/>
      <w:bookmarkEnd w:id="2457"/>
      <w:bookmarkEnd w:id="2458"/>
      <w:r>
        <w:rPr>
          <w:rFonts w:ascii="Arial" w:eastAsia="Arial" w:hAnsi="Arial" w:cs="Arial"/>
          <w:color w:val="000000"/>
          <w:sz w:val="20"/>
        </w:rPr>
        <w:t xml:space="preserve">On January 12, 2009, Seremeth filed suit in the District Court for the District of Maryland against Frederick County Deputy Sheriff Travis Rohrer, Frederick County Sheriff Charles Jenkins, and the Board of County Commissioners of Frederick County (collectively, the "Appellees") for violations of the Rehabilitation Act and Title II of the ADA. The district court granted the Appellees' motion for summary judgment and denied Seremeth's motion for summary judgment. </w:t>
      </w:r>
      <w:bookmarkStart w:id="2459" w:name="Bookmark_I559SNKN2N1RV10010000400"/>
      <w:bookmarkEnd w:id="2459"/>
      <w:r>
        <w:rPr>
          <w:rFonts w:ascii="Arial" w:eastAsia="Arial" w:hAnsi="Arial" w:cs="Arial"/>
          <w:i/>
          <w:color w:val="000000"/>
          <w:sz w:val="20"/>
        </w:rPr>
        <w:t>Seremeth v. Bd. of County Comm'rs of Frederick County</w:t>
      </w:r>
      <w:r>
        <w:rPr>
          <w:rFonts w:ascii="Arial" w:eastAsia="Arial" w:hAnsi="Arial" w:cs="Arial"/>
          <w:color w:val="000000"/>
          <w:sz w:val="20"/>
        </w:rPr>
        <w:t xml:space="preserve">, No. 09-58, 2010 U.S. Dist. LEXIS 49200, 2010 WL 2025551 (D. Md. May 18, 2010). The district court concluded that the ADA and the Rehabilitation Act do not apply to police investigations and detentions, and even if they did, they did not require the provision of auxiliary aids and services as a reasonable accommodation in this case. </w:t>
      </w:r>
      <w:bookmarkStart w:id="2460" w:name="Bookmark_I559SNKN2N1RV10030000400"/>
      <w:bookmarkEnd w:id="2460"/>
      <w:r>
        <w:rPr>
          <w:rFonts w:ascii="Arial" w:eastAsia="Arial" w:hAnsi="Arial" w:cs="Arial"/>
          <w:color w:val="000000"/>
          <w:sz w:val="20"/>
        </w:rPr>
        <w:t>2010 U.S. Dist. LEXIS 49200, [WL] at *3. This appeal followed.</w:t>
      </w:r>
    </w:p>
    <w:p w14:paraId="3FC83E92" w14:textId="77777777" w:rsidR="00D041A2" w:rsidRDefault="00000000">
      <w:pPr>
        <w:pStyle w:val="Normal20"/>
        <w:widowControl w:val="0"/>
        <w:spacing w:before="120" w:line="260" w:lineRule="atLeast"/>
      </w:pPr>
      <w:r>
        <w:rPr>
          <w:rFonts w:ascii="Arial" w:eastAsia="Arial" w:hAnsi="Arial" w:cs="Arial"/>
          <w:color w:val="000000"/>
          <w:sz w:val="20"/>
        </w:rPr>
        <w:t>II.</w:t>
      </w:r>
    </w:p>
    <w:p w14:paraId="00153797" w14:textId="77777777" w:rsidR="00D041A2" w:rsidRDefault="00000000">
      <w:pPr>
        <w:pStyle w:val="Normal20"/>
        <w:widowControl w:val="0"/>
        <w:spacing w:before="200" w:line="260" w:lineRule="atLeast"/>
        <w:jc w:val="both"/>
      </w:pPr>
      <w:bookmarkStart w:id="2461" w:name="Bookmark_para_10_17"/>
      <w:bookmarkStart w:id="2462" w:name="Bookmark_I559SNKN2HM5X50010000400"/>
      <w:bookmarkStart w:id="2463" w:name="Bookmark_I559SNKN2HM5X50030000400"/>
      <w:bookmarkStart w:id="2464" w:name="Bookmark_LNHNREFclscc1_14"/>
      <w:bookmarkEnd w:id="2461"/>
      <w:bookmarkEnd w:id="2462"/>
      <w:bookmarkEnd w:id="2463"/>
      <w:bookmarkEnd w:id="2464"/>
      <w:r>
        <w:rPr>
          <w:rFonts w:ascii="Arial" w:eastAsia="Arial" w:hAnsi="Arial" w:cs="Arial"/>
          <w:color w:val="000000"/>
          <w:sz w:val="20"/>
        </w:rPr>
        <w:t xml:space="preserve">Because this is an appeal from an order of summary judgment, we review de novo the district  [**6] court's legal determinations. </w:t>
      </w:r>
      <w:bookmarkStart w:id="2465" w:name="Bookmark_I559SNKN2HM5X50050000400"/>
      <w:bookmarkStart w:id="2466" w:name="Bookmark_I559SNKN2N1RV10050000400"/>
      <w:bookmarkEnd w:id="2465"/>
      <w:bookmarkEnd w:id="2466"/>
      <w:r>
        <w:rPr>
          <w:rFonts w:ascii="Arial" w:eastAsia="Arial" w:hAnsi="Arial" w:cs="Arial"/>
          <w:i/>
          <w:color w:val="000000"/>
          <w:sz w:val="20"/>
        </w:rPr>
        <w:t>EEOC v. Fairbrook Med. Clinic</w:t>
      </w:r>
      <w:r>
        <w:rPr>
          <w:rFonts w:ascii="Arial" w:eastAsia="Arial" w:hAnsi="Arial" w:cs="Arial"/>
          <w:color w:val="000000"/>
          <w:sz w:val="20"/>
        </w:rPr>
        <w:t xml:space="preserve">, 609 F.3d 320, 327 (4th Cir. 2010). We can affirm the grant of summary judgment "if the pleadings, the discovery and disclosure materials on file, and any affidavits," when construed in favor of the nonmoving party, "show that there is no genuine issue as to any material fact and that the movant is entitled to judgment as a matter of law." </w:t>
      </w:r>
      <w:bookmarkStart w:id="2467" w:name="Bookmark_I559SNKN2HM5X50020000400"/>
      <w:bookmarkEnd w:id="2467"/>
      <w:r>
        <w:rPr>
          <w:rFonts w:ascii="Arial" w:eastAsia="Arial" w:hAnsi="Arial" w:cs="Arial"/>
          <w:i/>
          <w:color w:val="000000"/>
          <w:sz w:val="20"/>
        </w:rPr>
        <w:t>EEOC v. Cent. Wholesalers, Inc</w:t>
      </w:r>
      <w:r>
        <w:rPr>
          <w:rFonts w:ascii="Arial" w:eastAsia="Arial" w:hAnsi="Arial" w:cs="Arial"/>
          <w:color w:val="000000"/>
          <w:sz w:val="20"/>
        </w:rPr>
        <w:t xml:space="preserve">., 573 F.3d 167, 174 (4th Cir. 2009) (quoting FED. R. CIV. P. 56(c)). </w:t>
      </w:r>
      <w:bookmarkStart w:id="2468" w:name="Bookmark_I559SNKN2HM5X50050000400_2"/>
      <w:bookmarkEnd w:id="2468"/>
      <w:r>
        <w:rPr>
          <w:rFonts w:ascii="Arial" w:eastAsia="Arial" w:hAnsi="Arial" w:cs="Arial"/>
          <w:color w:val="000000"/>
          <w:sz w:val="20"/>
        </w:rPr>
        <w:t xml:space="preserve">We must reverse if there is an issue of triable fact. </w:t>
      </w:r>
      <w:bookmarkStart w:id="2469" w:name="Bookmark_I559SNKN2HM5X50040000400"/>
      <w:bookmarkEnd w:id="2469"/>
      <w:r>
        <w:rPr>
          <w:rFonts w:ascii="Arial" w:eastAsia="Arial" w:hAnsi="Arial" w:cs="Arial"/>
          <w:i/>
          <w:color w:val="000000"/>
          <w:sz w:val="20"/>
        </w:rPr>
        <w:t>Merritt v. Old Dominion Freight Line, Inc</w:t>
      </w:r>
      <w:r>
        <w:rPr>
          <w:rFonts w:ascii="Arial" w:eastAsia="Arial" w:hAnsi="Arial" w:cs="Arial"/>
          <w:color w:val="000000"/>
          <w:sz w:val="20"/>
        </w:rPr>
        <w:t>., 601 F.3d 289, 291 (4th Cir. 2010).</w:t>
      </w:r>
    </w:p>
    <w:p w14:paraId="49025972" w14:textId="77777777" w:rsidR="00D041A2" w:rsidRDefault="00000000">
      <w:pPr>
        <w:pStyle w:val="Normal20"/>
        <w:widowControl w:val="0"/>
        <w:spacing w:before="200" w:line="260" w:lineRule="atLeast"/>
        <w:jc w:val="both"/>
      </w:pPr>
      <w:bookmarkStart w:id="2470" w:name="Bookmark_para_11_16"/>
      <w:bookmarkStart w:id="2471" w:name="Bookmark_I559SNKN2HM5X60020000400"/>
      <w:bookmarkStart w:id="2472" w:name="Bookmark_I559SNKN2HM5X60040000400"/>
      <w:bookmarkEnd w:id="2470"/>
      <w:bookmarkEnd w:id="2471"/>
      <w:bookmarkEnd w:id="2472"/>
      <w:r>
        <w:rPr>
          <w:rFonts w:ascii="Arial" w:eastAsia="Arial" w:hAnsi="Arial" w:cs="Arial"/>
          <w:color w:val="000000"/>
          <w:sz w:val="20"/>
        </w:rPr>
        <w:t xml:space="preserve">The "public services" subchapter of the ADA, 42 U.S.C. § 12131, provides, </w:t>
      </w:r>
      <w:bookmarkStart w:id="2473" w:name="Bookmark_LNHNREFclscc2_14"/>
      <w:bookmarkEnd w:id="2473"/>
      <w:r>
        <w:rPr>
          <w:rFonts w:ascii="Arial" w:eastAsia="Arial" w:hAnsi="Arial" w:cs="Arial"/>
          <w:color w:val="000000"/>
          <w:sz w:val="20"/>
        </w:rPr>
        <w:t xml:space="preserve">"[N]o qualified individual with a disability shall, by reason of such disability, be excluded from participation in or be denied the benefits of the services, programs, or activities of a public entity, or be subjected to discrimination by any such entity." </w:t>
      </w:r>
      <w:r>
        <w:rPr>
          <w:rFonts w:ascii="Arial" w:eastAsia="Arial" w:hAnsi="Arial" w:cs="Arial"/>
          <w:i/>
          <w:color w:val="000000"/>
          <w:sz w:val="20"/>
        </w:rPr>
        <w:t>Id</w:t>
      </w:r>
      <w:r>
        <w:rPr>
          <w:rFonts w:ascii="Arial" w:eastAsia="Arial" w:hAnsi="Arial" w:cs="Arial"/>
          <w:color w:val="000000"/>
          <w:sz w:val="20"/>
        </w:rPr>
        <w:t xml:space="preserve">. § 12132. </w:t>
      </w:r>
      <w:bookmarkStart w:id="2474" w:name="Bookmark_LNHNREFclscc3_13"/>
      <w:bookmarkEnd w:id="2474"/>
      <w:r>
        <w:rPr>
          <w:rFonts w:ascii="Arial" w:eastAsia="Arial" w:hAnsi="Arial" w:cs="Arial"/>
          <w:color w:val="000000"/>
          <w:sz w:val="20"/>
        </w:rPr>
        <w:t xml:space="preserve">"Discrimination" includes "not making reasonable accommodations to the known physical or mental limitations of an otherwise qualified individual with a disability." </w:t>
      </w:r>
      <w:r>
        <w:rPr>
          <w:rFonts w:ascii="Arial" w:eastAsia="Arial" w:hAnsi="Arial" w:cs="Arial"/>
          <w:i/>
          <w:color w:val="000000"/>
          <w:sz w:val="20"/>
        </w:rPr>
        <w:t>Id</w:t>
      </w:r>
      <w:r>
        <w:rPr>
          <w:rFonts w:ascii="Arial" w:eastAsia="Arial" w:hAnsi="Arial" w:cs="Arial"/>
          <w:color w:val="000000"/>
          <w:sz w:val="20"/>
        </w:rPr>
        <w:t xml:space="preserve">. § 12112(b)(5)(A) (from Title I's definition); </w:t>
      </w:r>
      <w:r>
        <w:rPr>
          <w:rFonts w:ascii="Arial" w:eastAsia="Arial" w:hAnsi="Arial" w:cs="Arial"/>
          <w:i/>
          <w:color w:val="000000"/>
          <w:sz w:val="20"/>
        </w:rPr>
        <w:t>see also  [**7] </w:t>
      </w:r>
      <w:bookmarkStart w:id="2475" w:name="Bookmark_I559SNKN2HM5X60010000400"/>
      <w:bookmarkEnd w:id="2475"/>
      <w:r>
        <w:rPr>
          <w:rFonts w:ascii="Arial" w:eastAsia="Arial" w:hAnsi="Arial" w:cs="Arial"/>
          <w:i/>
          <w:color w:val="000000"/>
          <w:sz w:val="20"/>
        </w:rPr>
        <w:t>Paulone v. City of Frederick</w:t>
      </w:r>
      <w:r>
        <w:rPr>
          <w:rFonts w:ascii="Arial" w:eastAsia="Arial" w:hAnsi="Arial" w:cs="Arial"/>
          <w:color w:val="000000"/>
          <w:sz w:val="20"/>
        </w:rPr>
        <w:t>, 787 F. Supp. 2d 360, 372 (D. Md. 2011) (discussing the equivalence of "reasonable accommodations" and "reasonable modifications").</w:t>
      </w:r>
      <w:r>
        <w:rPr>
          <w:rFonts w:ascii="Arial" w:eastAsia="Arial" w:hAnsi="Arial" w:cs="Arial"/>
          <w:vertAlign w:val="superscript"/>
        </w:rPr>
        <w:footnoteReference w:customMarkFollows="1" w:id="115"/>
        <w:t>1</w:t>
      </w:r>
    </w:p>
    <w:p w14:paraId="7A2E5017" w14:textId="77777777" w:rsidR="00D041A2" w:rsidRDefault="00000000">
      <w:pPr>
        <w:pStyle w:val="Normal20"/>
        <w:widowControl w:val="0"/>
        <w:spacing w:before="200" w:line="260" w:lineRule="atLeast"/>
        <w:jc w:val="both"/>
      </w:pPr>
      <w:bookmarkStart w:id="2479" w:name="Bookmark_para_12_15"/>
      <w:bookmarkEnd w:id="2479"/>
      <w:r>
        <w:rPr>
          <w:rFonts w:ascii="Arial" w:eastAsia="Arial" w:hAnsi="Arial" w:cs="Arial"/>
          <w:color w:val="000000"/>
          <w:sz w:val="20"/>
        </w:rPr>
        <w:t xml:space="preserve">While it is undisputed that Seremeth has a disability and is a "qualified individual," the question remains whether the county's criminal investigation is covered by the ADA. If so, we must ask whether he was discriminated against because of a lack of "reasonable accommodations" for his disability. </w:t>
      </w:r>
      <w:r>
        <w:rPr>
          <w:rFonts w:ascii="Arial" w:eastAsia="Arial" w:hAnsi="Arial" w:cs="Arial"/>
          <w:i/>
          <w:color w:val="000000"/>
          <w:sz w:val="20"/>
        </w:rPr>
        <w:t>Id</w:t>
      </w:r>
      <w:r>
        <w:rPr>
          <w:rFonts w:ascii="Arial" w:eastAsia="Arial" w:hAnsi="Arial" w:cs="Arial"/>
          <w:color w:val="000000"/>
          <w:sz w:val="20"/>
        </w:rPr>
        <w:t xml:space="preserve">. § 12112(b)(5)(A). We hold  [*337]  that </w:t>
      </w:r>
      <w:bookmarkStart w:id="2480" w:name="Bookmark_LNHNREFclscc5_13"/>
      <w:bookmarkEnd w:id="2480"/>
      <w:r>
        <w:rPr>
          <w:rFonts w:ascii="Arial" w:eastAsia="Arial" w:hAnsi="Arial" w:cs="Arial"/>
          <w:color w:val="000000"/>
          <w:sz w:val="20"/>
        </w:rPr>
        <w:t>while police investigations are subject to the ADA's framework, the exigent circumstances involved in a suspected domestic violence situation render the accommodations provided reasonable under the ADA.</w:t>
      </w:r>
    </w:p>
    <w:p w14:paraId="5DC37C7D" w14:textId="77777777" w:rsidR="00D041A2" w:rsidRDefault="00000000">
      <w:pPr>
        <w:pStyle w:val="Normal20"/>
        <w:widowControl w:val="0"/>
        <w:spacing w:before="120" w:line="260" w:lineRule="atLeast"/>
      </w:pPr>
      <w:r>
        <w:rPr>
          <w:rFonts w:ascii="Arial" w:eastAsia="Arial" w:hAnsi="Arial" w:cs="Arial"/>
          <w:color w:val="000000"/>
          <w:sz w:val="20"/>
        </w:rPr>
        <w:t>A.</w:t>
      </w:r>
    </w:p>
    <w:p w14:paraId="2F8BA43F" w14:textId="77777777" w:rsidR="00D041A2" w:rsidRDefault="00000000">
      <w:pPr>
        <w:pStyle w:val="Normal20"/>
        <w:widowControl w:val="0"/>
        <w:spacing w:before="200" w:line="260" w:lineRule="atLeast"/>
        <w:jc w:val="both"/>
      </w:pPr>
      <w:bookmarkStart w:id="2481" w:name="Bookmark_para_13_14"/>
      <w:bookmarkStart w:id="2482" w:name="Bookmark_I559SNKN2N1RV20010000400"/>
      <w:bookmarkEnd w:id="2481"/>
      <w:bookmarkEnd w:id="2482"/>
      <w:r>
        <w:rPr>
          <w:rFonts w:ascii="Arial" w:eastAsia="Arial" w:hAnsi="Arial" w:cs="Arial"/>
          <w:color w:val="000000"/>
          <w:sz w:val="20"/>
        </w:rPr>
        <w:t xml:space="preserve">Critical to the resolution of whether the ADA applies to an investigation is the Fourth Circuit's decision </w:t>
      </w:r>
      <w:bookmarkStart w:id="2483" w:name="Bookmark_I559SNKN2HM5X60050000400"/>
      <w:bookmarkEnd w:id="2483"/>
      <w:r>
        <w:rPr>
          <w:rFonts w:ascii="Arial" w:eastAsia="Arial" w:hAnsi="Arial" w:cs="Arial"/>
          <w:i/>
          <w:color w:val="000000"/>
          <w:sz w:val="20"/>
        </w:rPr>
        <w:t>Rosen v. Montgomery County</w:t>
      </w:r>
      <w:r>
        <w:rPr>
          <w:rFonts w:ascii="Arial" w:eastAsia="Arial" w:hAnsi="Arial" w:cs="Arial"/>
          <w:color w:val="000000"/>
          <w:sz w:val="20"/>
        </w:rPr>
        <w:t>, 121 F.3d 154 (4th Cir. 1997). There, this Court found that there was no violation of the ADA during the arrest of a deaf individual, Jeffrey  [**8] Rosen, for driving under the influence of alcohol.</w:t>
      </w:r>
    </w:p>
    <w:p w14:paraId="1B28E0C0" w14:textId="77777777" w:rsidR="00D041A2" w:rsidRDefault="00000000">
      <w:pPr>
        <w:pStyle w:val="Normal20"/>
        <w:widowControl w:val="0"/>
        <w:spacing w:before="200" w:line="260" w:lineRule="atLeast"/>
        <w:jc w:val="both"/>
      </w:pPr>
      <w:bookmarkStart w:id="2484" w:name="Bookmark_para_14_13"/>
      <w:bookmarkStart w:id="2485" w:name="Bookmark_I4P55WX10VC000VXFRS002J6"/>
      <w:bookmarkStart w:id="2486" w:name="Bookmark_I559SNKN2N1RV20030000400"/>
      <w:bookmarkEnd w:id="2484"/>
      <w:bookmarkEnd w:id="2485"/>
      <w:bookmarkEnd w:id="2486"/>
      <w:r>
        <w:rPr>
          <w:rFonts w:ascii="Arial" w:eastAsia="Arial" w:hAnsi="Arial" w:cs="Arial"/>
          <w:color w:val="000000"/>
          <w:sz w:val="20"/>
        </w:rPr>
        <w:t xml:space="preserve">The </w:t>
      </w:r>
      <w:r>
        <w:rPr>
          <w:rFonts w:ascii="Arial" w:eastAsia="Arial" w:hAnsi="Arial" w:cs="Arial"/>
          <w:i/>
          <w:color w:val="000000"/>
          <w:sz w:val="20"/>
        </w:rPr>
        <w:t>Rosen</w:t>
      </w:r>
      <w:r>
        <w:rPr>
          <w:rFonts w:ascii="Arial" w:eastAsia="Arial" w:hAnsi="Arial" w:cs="Arial"/>
          <w:color w:val="000000"/>
          <w:sz w:val="20"/>
        </w:rPr>
        <w:t xml:space="preserve"> Court relied solely on the fact that the complainant did not establish that he was injured because of his disability. </w:t>
      </w:r>
      <w:r>
        <w:rPr>
          <w:rFonts w:ascii="Arial" w:eastAsia="Arial" w:hAnsi="Arial" w:cs="Arial"/>
          <w:i/>
          <w:color w:val="000000"/>
          <w:sz w:val="20"/>
        </w:rPr>
        <w:t xml:space="preserve">See </w:t>
      </w:r>
      <w:bookmarkStart w:id="2487" w:name="Bookmark_I559SNKN2N1RV20020000400"/>
      <w:bookmarkEnd w:id="2487"/>
      <w:r>
        <w:rPr>
          <w:rFonts w:ascii="Arial" w:eastAsia="Arial" w:hAnsi="Arial" w:cs="Arial"/>
          <w:i/>
          <w:color w:val="000000"/>
          <w:sz w:val="20"/>
        </w:rPr>
        <w:t>id</w:t>
      </w:r>
      <w:r>
        <w:rPr>
          <w:rFonts w:ascii="Arial" w:eastAsia="Arial" w:hAnsi="Arial" w:cs="Arial"/>
          <w:color w:val="000000"/>
          <w:sz w:val="20"/>
        </w:rPr>
        <w:t xml:space="preserve">. at 158 (stating that the "decision to affirm . . . is based on . . . the lack of any discernible injury"). The </w:t>
      </w:r>
      <w:r>
        <w:rPr>
          <w:rFonts w:ascii="Arial" w:eastAsia="Arial" w:hAnsi="Arial" w:cs="Arial"/>
          <w:i/>
          <w:color w:val="000000"/>
          <w:sz w:val="20"/>
        </w:rPr>
        <w:t>Rosen</w:t>
      </w:r>
      <w:r>
        <w:rPr>
          <w:rFonts w:ascii="Arial" w:eastAsia="Arial" w:hAnsi="Arial" w:cs="Arial"/>
          <w:color w:val="000000"/>
          <w:sz w:val="20"/>
        </w:rPr>
        <w:t xml:space="preserve"> Court found Rosen's allegations of injury implausible because he merely felt the "emotions experienced by almost every person stopped and arrested for drunk driving." </w:t>
      </w:r>
      <w:r>
        <w:rPr>
          <w:rFonts w:ascii="Arial" w:eastAsia="Arial" w:hAnsi="Arial" w:cs="Arial"/>
          <w:i/>
          <w:color w:val="000000"/>
          <w:sz w:val="20"/>
        </w:rPr>
        <w:t>Id</w:t>
      </w:r>
      <w:r>
        <w:rPr>
          <w:rFonts w:ascii="Arial" w:eastAsia="Arial" w:hAnsi="Arial" w:cs="Arial"/>
          <w:color w:val="000000"/>
          <w:sz w:val="20"/>
        </w:rPr>
        <w:t>. In other words, Rosen could not show that he suffered an injury distinct from the embarrassment of being subjected to a roadside DUI stop.</w:t>
      </w:r>
    </w:p>
    <w:p w14:paraId="0A42F3C1" w14:textId="77777777" w:rsidR="00D041A2" w:rsidRDefault="00000000">
      <w:pPr>
        <w:pStyle w:val="Normal20"/>
        <w:widowControl w:val="0"/>
        <w:spacing w:before="200" w:line="260" w:lineRule="atLeast"/>
        <w:jc w:val="both"/>
      </w:pPr>
      <w:bookmarkStart w:id="2488" w:name="Bookmark_para_15_13"/>
      <w:bookmarkEnd w:id="2488"/>
      <w:r>
        <w:rPr>
          <w:rFonts w:ascii="Arial" w:eastAsia="Arial" w:hAnsi="Arial" w:cs="Arial"/>
          <w:color w:val="000000"/>
          <w:sz w:val="20"/>
        </w:rPr>
        <w:t xml:space="preserve">In contrast, Seremeth has established an injury cognizable under the ADA. The communication between Seremeth and the deputies was deficient even though Seremeth wasn't arrested. The injury is the failure to make communication as effective as it would have been among deputies and persons without disabilities. </w:t>
      </w:r>
      <w:r>
        <w:rPr>
          <w:rFonts w:ascii="Arial" w:eastAsia="Arial" w:hAnsi="Arial" w:cs="Arial"/>
          <w:i/>
          <w:color w:val="000000"/>
          <w:sz w:val="20"/>
        </w:rPr>
        <w:t>See</w:t>
      </w:r>
      <w:r>
        <w:rPr>
          <w:rFonts w:ascii="Arial" w:eastAsia="Arial" w:hAnsi="Arial" w:cs="Arial"/>
          <w:color w:val="000000"/>
          <w:sz w:val="20"/>
        </w:rPr>
        <w:t xml:space="preserve"> </w:t>
      </w:r>
      <w:bookmarkStart w:id="2489" w:name="Bookmark_LNHNREFclscc6_13"/>
      <w:bookmarkEnd w:id="2489"/>
      <w:r>
        <w:rPr>
          <w:rFonts w:ascii="Arial" w:eastAsia="Arial" w:hAnsi="Arial" w:cs="Arial"/>
          <w:color w:val="000000"/>
          <w:sz w:val="20"/>
        </w:rPr>
        <w:t xml:space="preserve">28 C.F.R. § 35.160 (requiring public entities to "take appropriate steps to ensure that communications with . . . members of the public . . . with disabilities are as effective as communication with others"). </w:t>
      </w:r>
      <w:bookmarkStart w:id="2490" w:name="Bookmark_I559SNKN2N1RV20050000400"/>
      <w:bookmarkEnd w:id="2490"/>
      <w:r>
        <w:rPr>
          <w:rFonts w:ascii="Arial" w:eastAsia="Arial" w:hAnsi="Arial" w:cs="Arial"/>
          <w:color w:val="000000"/>
          <w:sz w:val="20"/>
        </w:rPr>
        <w:t xml:space="preserve">Seremeth has sought counseling to address his "emotional issues [and]  [**9] persistent anger" stemming from the confrontation. J.A. 80. Unlike Rosen, Seremeth's injuries are greater than those "emotions experienced by almost every person" interrogated by the government, </w:t>
      </w:r>
      <w:bookmarkStart w:id="2491" w:name="Bookmark_I559SNKN2N1RV20040000400"/>
      <w:bookmarkEnd w:id="2491"/>
      <w:r>
        <w:rPr>
          <w:rFonts w:ascii="Arial" w:eastAsia="Arial" w:hAnsi="Arial" w:cs="Arial"/>
          <w:i/>
          <w:color w:val="000000"/>
          <w:sz w:val="20"/>
        </w:rPr>
        <w:t>Rosen</w:t>
      </w:r>
      <w:r>
        <w:rPr>
          <w:rFonts w:ascii="Arial" w:eastAsia="Arial" w:hAnsi="Arial" w:cs="Arial"/>
          <w:color w:val="000000"/>
          <w:sz w:val="20"/>
        </w:rPr>
        <w:t>, 121 F.3d at 158, because his injuries stemmed from the very failure to communicate—an injury that would not have been inflicted on a person with full hearing capabilities.</w:t>
      </w:r>
    </w:p>
    <w:p w14:paraId="458DE9F6" w14:textId="77777777" w:rsidR="00D041A2" w:rsidRDefault="00000000">
      <w:pPr>
        <w:pStyle w:val="Normal20"/>
        <w:widowControl w:val="0"/>
        <w:spacing w:before="200" w:line="260" w:lineRule="atLeast"/>
        <w:jc w:val="both"/>
      </w:pPr>
      <w:bookmarkStart w:id="2492" w:name="Bookmark_para_16_13"/>
      <w:bookmarkStart w:id="2493" w:name="Bookmark_I559SNKN2N1RV30020000400"/>
      <w:bookmarkStart w:id="2494" w:name="Bookmark_I559SNKN2N1RV30040000400"/>
      <w:bookmarkStart w:id="2495" w:name="Bookmark_I559SNKN28T4940050000400"/>
      <w:bookmarkEnd w:id="2492"/>
      <w:bookmarkEnd w:id="2493"/>
      <w:bookmarkEnd w:id="2494"/>
      <w:bookmarkEnd w:id="2495"/>
      <w:r>
        <w:rPr>
          <w:rFonts w:ascii="Arial" w:eastAsia="Arial" w:hAnsi="Arial" w:cs="Arial"/>
          <w:color w:val="000000"/>
          <w:sz w:val="20"/>
        </w:rPr>
        <w:t xml:space="preserve">Courts across the country have called </w:t>
      </w:r>
      <w:r>
        <w:rPr>
          <w:rFonts w:ascii="Arial" w:eastAsia="Arial" w:hAnsi="Arial" w:cs="Arial"/>
          <w:i/>
          <w:color w:val="000000"/>
          <w:sz w:val="20"/>
        </w:rPr>
        <w:t>Rosen</w:t>
      </w:r>
      <w:r>
        <w:rPr>
          <w:rFonts w:ascii="Arial" w:eastAsia="Arial" w:hAnsi="Arial" w:cs="Arial"/>
          <w:color w:val="000000"/>
          <w:sz w:val="20"/>
        </w:rPr>
        <w:t xml:space="preserve">'s holding into question in light of the Supreme Court's decision in </w:t>
      </w:r>
      <w:bookmarkStart w:id="2496" w:name="Bookmark_I559SNKN2N1RV30010000400"/>
      <w:bookmarkEnd w:id="2496"/>
      <w:r>
        <w:rPr>
          <w:rFonts w:ascii="Arial" w:eastAsia="Arial" w:hAnsi="Arial" w:cs="Arial"/>
          <w:i/>
          <w:color w:val="000000"/>
          <w:sz w:val="20"/>
        </w:rPr>
        <w:t>Penn. Dep't of Corrections v. Yeskey</w:t>
      </w:r>
      <w:r>
        <w:rPr>
          <w:rFonts w:ascii="Arial" w:eastAsia="Arial" w:hAnsi="Arial" w:cs="Arial"/>
          <w:color w:val="000000"/>
          <w:sz w:val="20"/>
        </w:rPr>
        <w:t xml:space="preserve">, 524 U.S. 206, 118 S. Ct. 1952, 141 L. Ed. 2d 215 (1998), which interpreted the ADA to cover disabled state inmates who have been discriminated against in correctional programming. </w:t>
      </w:r>
      <w:r>
        <w:rPr>
          <w:rFonts w:ascii="Arial" w:eastAsia="Arial" w:hAnsi="Arial" w:cs="Arial"/>
          <w:i/>
          <w:color w:val="000000"/>
          <w:sz w:val="20"/>
        </w:rPr>
        <w:t xml:space="preserve">See, e.g., </w:t>
      </w:r>
      <w:bookmarkStart w:id="2497" w:name="Bookmark_I559SNKN2N1RV30030000400"/>
      <w:bookmarkEnd w:id="2497"/>
      <w:r>
        <w:rPr>
          <w:rFonts w:ascii="Arial" w:eastAsia="Arial" w:hAnsi="Arial" w:cs="Arial"/>
          <w:i/>
          <w:color w:val="000000"/>
          <w:sz w:val="20"/>
        </w:rPr>
        <w:t>Thompson v. Davis</w:t>
      </w:r>
      <w:r>
        <w:rPr>
          <w:rFonts w:ascii="Arial" w:eastAsia="Arial" w:hAnsi="Arial" w:cs="Arial"/>
          <w:color w:val="000000"/>
          <w:sz w:val="20"/>
        </w:rPr>
        <w:t xml:space="preserve">, 295 F.3d 890, 897 (9th Cir. 2002); </w:t>
      </w:r>
      <w:bookmarkStart w:id="2498" w:name="Bookmark_I559SNKN2N1RV30050000400"/>
      <w:bookmarkEnd w:id="2498"/>
      <w:r>
        <w:rPr>
          <w:rFonts w:ascii="Arial" w:eastAsia="Arial" w:hAnsi="Arial" w:cs="Arial"/>
          <w:i/>
          <w:color w:val="000000"/>
          <w:sz w:val="20"/>
        </w:rPr>
        <w:t>Paulone v. City of Frederick</w:t>
      </w:r>
      <w:r>
        <w:rPr>
          <w:rFonts w:ascii="Arial" w:eastAsia="Arial" w:hAnsi="Arial" w:cs="Arial"/>
          <w:color w:val="000000"/>
          <w:sz w:val="20"/>
        </w:rPr>
        <w:t xml:space="preserve">, 787 F. Supp. 2d 360, 381 (D. Md. 2011) ("[T]he weight of subsequent authority, in the Supreme Court as well the Fourth Circuit and other courts, calls into question . . . reliance on </w:t>
      </w:r>
      <w:r>
        <w:rPr>
          <w:rFonts w:ascii="Arial" w:eastAsia="Arial" w:hAnsi="Arial" w:cs="Arial"/>
          <w:i/>
          <w:color w:val="000000"/>
          <w:sz w:val="20"/>
        </w:rPr>
        <w:t>Rosen</w:t>
      </w:r>
      <w:r>
        <w:rPr>
          <w:rFonts w:ascii="Arial" w:eastAsia="Arial" w:hAnsi="Arial" w:cs="Arial"/>
          <w:color w:val="000000"/>
          <w:sz w:val="20"/>
        </w:rPr>
        <w:t xml:space="preserve">."); </w:t>
      </w:r>
      <w:bookmarkStart w:id="2499" w:name="Bookmark_I559SNKN28T4940020000400"/>
      <w:bookmarkEnd w:id="2499"/>
      <w:r>
        <w:rPr>
          <w:rFonts w:ascii="Arial" w:eastAsia="Arial" w:hAnsi="Arial" w:cs="Arial"/>
          <w:i/>
          <w:color w:val="000000"/>
          <w:sz w:val="20"/>
        </w:rPr>
        <w:t>Calloway v. Boro of Glassboro Dep't of Police</w:t>
      </w:r>
      <w:r>
        <w:rPr>
          <w:rFonts w:ascii="Arial" w:eastAsia="Arial" w:hAnsi="Arial" w:cs="Arial"/>
          <w:color w:val="000000"/>
          <w:sz w:val="20"/>
        </w:rPr>
        <w:t>, 89 F. Supp. 2d 543, 556 (D. N.J. 2000) (</w:t>
      </w:r>
      <w:r>
        <w:rPr>
          <w:rFonts w:ascii="Arial" w:eastAsia="Arial" w:hAnsi="Arial" w:cs="Arial"/>
          <w:i/>
          <w:color w:val="000000"/>
          <w:sz w:val="20"/>
        </w:rPr>
        <w:t>Rosen</w:t>
      </w:r>
      <w:r>
        <w:rPr>
          <w:rFonts w:ascii="Arial" w:eastAsia="Arial" w:hAnsi="Arial" w:cs="Arial"/>
          <w:color w:val="000000"/>
          <w:sz w:val="20"/>
        </w:rPr>
        <w:t xml:space="preserve">'s reasoning is "now discredited"). These glosses on </w:t>
      </w:r>
      <w:r>
        <w:rPr>
          <w:rFonts w:ascii="Arial" w:eastAsia="Arial" w:hAnsi="Arial" w:cs="Arial"/>
          <w:i/>
          <w:color w:val="000000"/>
          <w:sz w:val="20"/>
        </w:rPr>
        <w:t>Rosen</w:t>
      </w:r>
      <w:r>
        <w:rPr>
          <w:rFonts w:ascii="Arial" w:eastAsia="Arial" w:hAnsi="Arial" w:cs="Arial"/>
          <w:color w:val="000000"/>
          <w:sz w:val="20"/>
        </w:rPr>
        <w:t xml:space="preserve"> assume that </w:t>
      </w:r>
      <w:r>
        <w:rPr>
          <w:rFonts w:ascii="Arial" w:eastAsia="Arial" w:hAnsi="Arial" w:cs="Arial"/>
          <w:i/>
          <w:color w:val="000000"/>
          <w:sz w:val="20"/>
        </w:rPr>
        <w:t>Rosen</w:t>
      </w:r>
      <w:r>
        <w:rPr>
          <w:rFonts w:ascii="Arial" w:eastAsia="Arial" w:hAnsi="Arial" w:cs="Arial"/>
          <w:color w:val="000000"/>
          <w:sz w:val="20"/>
        </w:rPr>
        <w:t xml:space="preserve"> was decided on broader grounds than it was—perhaps aided in no small part by  [**10] </w:t>
      </w:r>
      <w:r>
        <w:rPr>
          <w:rFonts w:ascii="Arial" w:eastAsia="Arial" w:hAnsi="Arial" w:cs="Arial"/>
          <w:i/>
          <w:color w:val="000000"/>
          <w:sz w:val="20"/>
        </w:rPr>
        <w:t>Rosen</w:t>
      </w:r>
      <w:r>
        <w:rPr>
          <w:rFonts w:ascii="Arial" w:eastAsia="Arial" w:hAnsi="Arial" w:cs="Arial"/>
          <w:color w:val="000000"/>
          <w:sz w:val="20"/>
        </w:rPr>
        <w:t>'s general discussion of the ADA.</w:t>
      </w:r>
      <w:r>
        <w:rPr>
          <w:rFonts w:ascii="Arial" w:eastAsia="Arial" w:hAnsi="Arial" w:cs="Arial"/>
          <w:vertAlign w:val="superscript"/>
        </w:rPr>
        <w:footnoteReference w:customMarkFollows="1" w:id="116"/>
        <w:t>2</w:t>
      </w:r>
      <w:r>
        <w:rPr>
          <w:rFonts w:ascii="Arial" w:eastAsia="Arial" w:hAnsi="Arial" w:cs="Arial"/>
          <w:color w:val="000000"/>
          <w:sz w:val="20"/>
        </w:rPr>
        <w:t xml:space="preserve"> </w:t>
      </w:r>
      <w:r>
        <w:rPr>
          <w:rFonts w:ascii="Arial" w:eastAsia="Arial" w:hAnsi="Arial" w:cs="Arial"/>
          <w:i/>
          <w:color w:val="000000"/>
          <w:sz w:val="20"/>
        </w:rPr>
        <w:t xml:space="preserve">See </w:t>
      </w:r>
      <w:bookmarkStart w:id="2506" w:name="Bookmark_I559SNKN28T4940040000400"/>
      <w:bookmarkEnd w:id="2506"/>
      <w:r>
        <w:rPr>
          <w:rFonts w:ascii="Arial" w:eastAsia="Arial" w:hAnsi="Arial" w:cs="Arial"/>
          <w:i/>
          <w:color w:val="000000"/>
          <w:sz w:val="20"/>
        </w:rPr>
        <w:t>Rosen</w:t>
      </w:r>
      <w:r>
        <w:rPr>
          <w:rFonts w:ascii="Arial" w:eastAsia="Arial" w:hAnsi="Arial" w:cs="Arial"/>
          <w:color w:val="000000"/>
          <w:sz w:val="20"/>
        </w:rPr>
        <w:t xml:space="preserve">, 121 F.3d at 158  [*338]  ("Rosen was in no way 'denied the benefits of' his arrest." (quoting 42 U.S.C. § 12132)); </w:t>
      </w:r>
      <w:r>
        <w:rPr>
          <w:rFonts w:ascii="Arial" w:eastAsia="Arial" w:hAnsi="Arial" w:cs="Arial"/>
          <w:i/>
          <w:color w:val="000000"/>
          <w:sz w:val="20"/>
        </w:rPr>
        <w:t xml:space="preserve">compare </w:t>
      </w:r>
      <w:bookmarkStart w:id="2507" w:name="Bookmark_I559SNKN2N1RV40010000400"/>
      <w:bookmarkEnd w:id="2507"/>
      <w:r>
        <w:rPr>
          <w:rFonts w:ascii="Arial" w:eastAsia="Arial" w:hAnsi="Arial" w:cs="Arial"/>
          <w:i/>
          <w:color w:val="000000"/>
          <w:sz w:val="20"/>
        </w:rPr>
        <w:t>Gohier v. Enright</w:t>
      </w:r>
      <w:r>
        <w:rPr>
          <w:rFonts w:ascii="Arial" w:eastAsia="Arial" w:hAnsi="Arial" w:cs="Arial"/>
          <w:color w:val="000000"/>
          <w:sz w:val="20"/>
        </w:rPr>
        <w:t xml:space="preserve">, 186 F.3d 1216, 1221 (10th Cir. 1999) ("[A] broad rule categorically excluding arrests from the scope of Title II . . . is not the law."). But, as noted above, </w:t>
      </w:r>
      <w:r>
        <w:rPr>
          <w:rFonts w:ascii="Arial" w:eastAsia="Arial" w:hAnsi="Arial" w:cs="Arial"/>
          <w:i/>
          <w:color w:val="000000"/>
          <w:sz w:val="20"/>
        </w:rPr>
        <w:t>Rosen</w:t>
      </w:r>
      <w:r>
        <w:rPr>
          <w:rFonts w:ascii="Arial" w:eastAsia="Arial" w:hAnsi="Arial" w:cs="Arial"/>
          <w:color w:val="000000"/>
          <w:sz w:val="20"/>
        </w:rPr>
        <w:t>'s precedential reach is more properly cast as limited to the injury grounds necessary to reach its conclusion.</w:t>
      </w:r>
    </w:p>
    <w:p w14:paraId="70555AB4" w14:textId="77777777" w:rsidR="00D041A2" w:rsidRDefault="00000000">
      <w:pPr>
        <w:pStyle w:val="Normal20"/>
        <w:widowControl w:val="0"/>
        <w:spacing w:before="200" w:line="260" w:lineRule="atLeast"/>
        <w:jc w:val="both"/>
      </w:pPr>
      <w:bookmarkStart w:id="2508" w:name="Bookmark_para_17_13"/>
      <w:bookmarkStart w:id="2509" w:name="Bookmark_I559SNKN28T4950030000400"/>
      <w:bookmarkEnd w:id="2508"/>
      <w:bookmarkEnd w:id="2509"/>
      <w:r>
        <w:rPr>
          <w:rFonts w:ascii="Arial" w:eastAsia="Arial" w:hAnsi="Arial" w:cs="Arial"/>
          <w:color w:val="000000"/>
          <w:sz w:val="20"/>
        </w:rPr>
        <w:t xml:space="preserve">Since </w:t>
      </w:r>
      <w:r>
        <w:rPr>
          <w:rFonts w:ascii="Arial" w:eastAsia="Arial" w:hAnsi="Arial" w:cs="Arial"/>
          <w:i/>
          <w:color w:val="000000"/>
          <w:sz w:val="20"/>
        </w:rPr>
        <w:t>Yeskey</w:t>
      </w:r>
      <w:r>
        <w:rPr>
          <w:rFonts w:ascii="Arial" w:eastAsia="Arial" w:hAnsi="Arial" w:cs="Arial"/>
          <w:color w:val="000000"/>
          <w:sz w:val="20"/>
        </w:rPr>
        <w:t xml:space="preserve"> and </w:t>
      </w:r>
      <w:r>
        <w:rPr>
          <w:rFonts w:ascii="Arial" w:eastAsia="Arial" w:hAnsi="Arial" w:cs="Arial"/>
          <w:i/>
          <w:color w:val="000000"/>
          <w:sz w:val="20"/>
        </w:rPr>
        <w:t>Rosen</w:t>
      </w:r>
      <w:r>
        <w:rPr>
          <w:rFonts w:ascii="Arial" w:eastAsia="Arial" w:hAnsi="Arial" w:cs="Arial"/>
          <w:color w:val="000000"/>
          <w:sz w:val="20"/>
        </w:rPr>
        <w:t xml:space="preserve">, many of our sister circuits have determined that § 12132's words "or be subjected to discrimination by that entity" are meant to be a "catch-all phrase that prohibits all discrimination by a public entity, regardless of the context," thereby avoiding the difficult semantics of categorizing each governmental action as "services, programs, or activities" in the first part of the disjunctive. </w:t>
      </w:r>
      <w:bookmarkStart w:id="2510" w:name="Bookmark_I559SNKN28T4950020000400"/>
      <w:bookmarkEnd w:id="2510"/>
      <w:r>
        <w:rPr>
          <w:rFonts w:ascii="Arial" w:eastAsia="Arial" w:hAnsi="Arial" w:cs="Arial"/>
          <w:i/>
          <w:color w:val="000000"/>
          <w:sz w:val="20"/>
        </w:rPr>
        <w:t>Bircoll v. Miami—Dade County</w:t>
      </w:r>
      <w:r>
        <w:rPr>
          <w:rFonts w:ascii="Arial" w:eastAsia="Arial" w:hAnsi="Arial" w:cs="Arial"/>
          <w:color w:val="000000"/>
          <w:sz w:val="20"/>
        </w:rPr>
        <w:t xml:space="preserve">, 480 F.3d 1072, 1084-85 (11th Cir. 2007); </w:t>
      </w:r>
      <w:bookmarkStart w:id="2511" w:name="Bookmark_I559SNKN28T4950040000400"/>
      <w:bookmarkEnd w:id="2511"/>
      <w:r>
        <w:rPr>
          <w:rFonts w:ascii="Arial" w:eastAsia="Arial" w:hAnsi="Arial" w:cs="Arial"/>
          <w:i/>
          <w:color w:val="000000"/>
          <w:sz w:val="20"/>
        </w:rPr>
        <w:t>Barden v. City of Sacramento</w:t>
      </w:r>
      <w:r>
        <w:rPr>
          <w:rFonts w:ascii="Arial" w:eastAsia="Arial" w:hAnsi="Arial" w:cs="Arial"/>
          <w:color w:val="000000"/>
          <w:sz w:val="20"/>
        </w:rPr>
        <w:t xml:space="preserve">, 292 F.3d 1073, 1076 (9th Cir. 2002) ("Rather than determining whether each function of a city can be characterized as a service, program, or activity for purposes of Title II, . . . we have construed the ADA's broad language [as] bring[ing] within its scope anything a public entity does.") (internal quotation marks and citations omitted), </w:t>
      </w:r>
      <w:r>
        <w:rPr>
          <w:rFonts w:ascii="Arial" w:eastAsia="Arial" w:hAnsi="Arial" w:cs="Arial"/>
          <w:i/>
          <w:color w:val="000000"/>
          <w:sz w:val="20"/>
        </w:rPr>
        <w:t>cert. denied</w:t>
      </w:r>
      <w:r>
        <w:rPr>
          <w:rFonts w:ascii="Arial" w:eastAsia="Arial" w:hAnsi="Arial" w:cs="Arial"/>
          <w:color w:val="000000"/>
          <w:sz w:val="20"/>
        </w:rPr>
        <w:t xml:space="preserve">, </w:t>
      </w:r>
      <w:bookmarkStart w:id="2512" w:name="Bookmark_I559SNKN28T4960010000400"/>
      <w:bookmarkEnd w:id="2512"/>
      <w:r>
        <w:rPr>
          <w:rFonts w:ascii="Arial" w:eastAsia="Arial" w:hAnsi="Arial" w:cs="Arial"/>
          <w:color w:val="000000"/>
          <w:sz w:val="20"/>
        </w:rPr>
        <w:t xml:space="preserve">539 U.S. 958, 123 S. Ct. 2639, 156 L. Ed. 2d 656 (2003); </w:t>
      </w:r>
      <w:bookmarkStart w:id="2513" w:name="Bookmark_I559SNKN28T4960030000400"/>
      <w:bookmarkEnd w:id="2513"/>
      <w:r>
        <w:rPr>
          <w:rFonts w:ascii="Arial" w:eastAsia="Arial" w:hAnsi="Arial" w:cs="Arial"/>
          <w:i/>
          <w:color w:val="000000"/>
          <w:sz w:val="20"/>
        </w:rPr>
        <w:t>Reg'l Economic Cmty. Action Program v. City of Middletown</w:t>
      </w:r>
      <w:r>
        <w:rPr>
          <w:rFonts w:ascii="Arial" w:eastAsia="Arial" w:hAnsi="Arial" w:cs="Arial"/>
          <w:color w:val="000000"/>
          <w:sz w:val="20"/>
        </w:rPr>
        <w:t xml:space="preserve">, 294 F.3d 35, 45 (2d Cir. 2002) ("The ADA and the Rehabilitation  [**12] Act . . . prohibit all discrimination based on disability by public entities."), </w:t>
      </w:r>
      <w:r>
        <w:rPr>
          <w:rFonts w:ascii="Arial" w:eastAsia="Arial" w:hAnsi="Arial" w:cs="Arial"/>
          <w:i/>
          <w:color w:val="000000"/>
          <w:sz w:val="20"/>
        </w:rPr>
        <w:t>cert. denied</w:t>
      </w:r>
      <w:r>
        <w:rPr>
          <w:rFonts w:ascii="Arial" w:eastAsia="Arial" w:hAnsi="Arial" w:cs="Arial"/>
          <w:color w:val="000000"/>
          <w:sz w:val="20"/>
        </w:rPr>
        <w:t xml:space="preserve">, </w:t>
      </w:r>
      <w:bookmarkStart w:id="2514" w:name="Bookmark_I559SNKN28T4960050000400"/>
      <w:bookmarkEnd w:id="2514"/>
      <w:r>
        <w:rPr>
          <w:rFonts w:ascii="Arial" w:eastAsia="Arial" w:hAnsi="Arial" w:cs="Arial"/>
          <w:color w:val="000000"/>
          <w:sz w:val="20"/>
        </w:rPr>
        <w:t>537 U.S. 813, 123 S. Ct. 74, 154 L. Ed. 2d 16 (2002).</w:t>
      </w:r>
    </w:p>
    <w:p w14:paraId="1585B184" w14:textId="77777777" w:rsidR="00D041A2" w:rsidRDefault="00000000">
      <w:pPr>
        <w:pStyle w:val="Normal20"/>
        <w:widowControl w:val="0"/>
        <w:spacing w:before="200" w:line="260" w:lineRule="atLeast"/>
        <w:jc w:val="both"/>
      </w:pPr>
      <w:bookmarkStart w:id="2515" w:name="Bookmark_para_18_11"/>
      <w:bookmarkStart w:id="2516" w:name="Bookmark_I559SNKN28T4970020000400"/>
      <w:bookmarkEnd w:id="2515"/>
      <w:bookmarkEnd w:id="2516"/>
      <w:r>
        <w:rPr>
          <w:rFonts w:ascii="Arial" w:eastAsia="Arial" w:hAnsi="Arial" w:cs="Arial"/>
          <w:color w:val="000000"/>
          <w:sz w:val="20"/>
        </w:rPr>
        <w:t>This Circuit has not squarely addressed the issue.</w:t>
      </w:r>
      <w:r>
        <w:rPr>
          <w:rFonts w:ascii="Arial" w:eastAsia="Arial" w:hAnsi="Arial" w:cs="Arial"/>
          <w:vertAlign w:val="superscript"/>
        </w:rPr>
        <w:footnoteReference w:customMarkFollows="1" w:id="117"/>
        <w:t>3</w:t>
      </w:r>
      <w:r>
        <w:rPr>
          <w:rFonts w:ascii="Arial" w:eastAsia="Arial" w:hAnsi="Arial" w:cs="Arial"/>
          <w:color w:val="000000"/>
          <w:sz w:val="20"/>
        </w:rPr>
        <w:t xml:space="preserve"> The broad approach is appealing. </w:t>
      </w:r>
      <w:bookmarkStart w:id="2519" w:name="Bookmark_I559SNKN2D6NC80030000400"/>
      <w:bookmarkStart w:id="2520" w:name="Bookmark_I559SNKN28T4970020000400_2"/>
      <w:bookmarkEnd w:id="2519"/>
      <w:bookmarkEnd w:id="2520"/>
      <w:r>
        <w:rPr>
          <w:rFonts w:ascii="Arial" w:eastAsia="Arial" w:hAnsi="Arial" w:cs="Arial"/>
          <w:color w:val="000000"/>
          <w:sz w:val="20"/>
        </w:rPr>
        <w:t xml:space="preserve">The Department of Justice regulations confirm that </w:t>
      </w:r>
      <w:bookmarkStart w:id="2521" w:name="Bookmark_LNHNREFclscc8_13"/>
      <w:bookmarkEnd w:id="2521"/>
      <w:r>
        <w:rPr>
          <w:rFonts w:ascii="Arial" w:eastAsia="Arial" w:hAnsi="Arial" w:cs="Arial"/>
          <w:color w:val="000000"/>
          <w:sz w:val="20"/>
        </w:rPr>
        <w:t xml:space="preserve">"title II applies to anything a public entity does." 28 C.F.R. Pt. 35, App. B; </w:t>
      </w:r>
      <w:r>
        <w:rPr>
          <w:rFonts w:ascii="Arial" w:eastAsia="Arial" w:hAnsi="Arial" w:cs="Arial"/>
          <w:i/>
          <w:color w:val="000000"/>
          <w:sz w:val="20"/>
        </w:rPr>
        <w:t>see also</w:t>
      </w:r>
      <w:r>
        <w:rPr>
          <w:rFonts w:ascii="Arial" w:eastAsia="Arial" w:hAnsi="Arial" w:cs="Arial"/>
          <w:color w:val="000000"/>
          <w:sz w:val="20"/>
        </w:rPr>
        <w:t xml:space="preserve"> H.R. Rep. No. 485(II), 101st Cong., 2d Sess. 84 (1990) (stating that Title II is intended to apply to "all actions of state and local governments."). </w:t>
      </w:r>
      <w:bookmarkStart w:id="2522" w:name="Bookmark_LNHNREFclscc9_13"/>
      <w:bookmarkEnd w:id="2522"/>
      <w:r>
        <w:rPr>
          <w:rFonts w:ascii="Arial" w:eastAsia="Arial" w:hAnsi="Arial" w:cs="Arial"/>
          <w:color w:val="000000"/>
          <w:sz w:val="20"/>
        </w:rPr>
        <w:t xml:space="preserve">The department's regulations are the agency's interpretation of the statute, and they are therefore given "controlling weight" unless they conflict with other departmental regulations or the ADA itself. </w:t>
      </w:r>
      <w:bookmarkStart w:id="2523" w:name="Bookmark_I559SNKN2D6NC80020000400"/>
      <w:bookmarkEnd w:id="2523"/>
      <w:r>
        <w:rPr>
          <w:rFonts w:ascii="Arial" w:eastAsia="Arial" w:hAnsi="Arial" w:cs="Arial"/>
          <w:i/>
          <w:color w:val="000000"/>
          <w:sz w:val="20"/>
        </w:rPr>
        <w:t>Stinson v. United States</w:t>
      </w:r>
      <w:r>
        <w:rPr>
          <w:rFonts w:ascii="Arial" w:eastAsia="Arial" w:hAnsi="Arial" w:cs="Arial"/>
          <w:color w:val="000000"/>
          <w:sz w:val="20"/>
        </w:rPr>
        <w:t xml:space="preserve">, 508 U.S. 36, 113 S. Ct. 1913, 1919, 123 L. Ed. 2d 598 (1993); </w:t>
      </w:r>
      <w:bookmarkStart w:id="2524" w:name="Bookmark_I559SNKN2D6NC80040000400"/>
      <w:bookmarkEnd w:id="2524"/>
      <w:r>
        <w:rPr>
          <w:rFonts w:ascii="Arial" w:eastAsia="Arial" w:hAnsi="Arial" w:cs="Arial"/>
          <w:i/>
          <w:color w:val="000000"/>
          <w:sz w:val="20"/>
        </w:rPr>
        <w:t>Chevron, U.S.A., Inc. v. Natural Resources Defense Council, Inc</w:t>
      </w:r>
      <w:r>
        <w:rPr>
          <w:rFonts w:ascii="Arial" w:eastAsia="Arial" w:hAnsi="Arial" w:cs="Arial"/>
          <w:color w:val="000000"/>
          <w:sz w:val="20"/>
        </w:rPr>
        <w:t>., 467 U.S. 837, 844, 104 S. Ct. 2778, 81 L. Ed. 2d 694 (1984).</w:t>
      </w:r>
    </w:p>
    <w:p w14:paraId="44F7CDD3" w14:textId="77777777" w:rsidR="00D041A2" w:rsidRDefault="00000000">
      <w:pPr>
        <w:pStyle w:val="Normal20"/>
        <w:widowControl w:val="0"/>
        <w:spacing w:before="200" w:line="260" w:lineRule="atLeast"/>
        <w:jc w:val="both"/>
      </w:pPr>
      <w:bookmarkStart w:id="2525" w:name="Bookmark_para_19_11"/>
      <w:bookmarkStart w:id="2526" w:name="Bookmark_I559SNKN28T4970040000400"/>
      <w:bookmarkStart w:id="2527" w:name="Bookmark_I559SNKN2HM5X70020000400"/>
      <w:bookmarkEnd w:id="2525"/>
      <w:bookmarkEnd w:id="2526"/>
      <w:bookmarkEnd w:id="2527"/>
      <w:r>
        <w:rPr>
          <w:rFonts w:ascii="Arial" w:eastAsia="Arial" w:hAnsi="Arial" w:cs="Arial"/>
          <w:color w:val="000000"/>
          <w:sz w:val="20"/>
        </w:rPr>
        <w:t xml:space="preserve">We  [**13] need not pick sides in this dispute because, in light of </w:t>
      </w:r>
      <w:r>
        <w:rPr>
          <w:rFonts w:ascii="Arial" w:eastAsia="Arial" w:hAnsi="Arial" w:cs="Arial"/>
          <w:i/>
          <w:color w:val="000000"/>
          <w:sz w:val="20"/>
        </w:rPr>
        <w:t>Yeskey</w:t>
      </w:r>
      <w:r>
        <w:rPr>
          <w:rFonts w:ascii="Arial" w:eastAsia="Arial" w:hAnsi="Arial" w:cs="Arial"/>
          <w:color w:val="000000"/>
          <w:sz w:val="20"/>
        </w:rPr>
        <w:t xml:space="preserve">'s expansive interpretation, the ADA applies to police interrogations under either test. </w:t>
      </w:r>
      <w:r>
        <w:rPr>
          <w:rFonts w:ascii="Arial" w:eastAsia="Arial" w:hAnsi="Arial" w:cs="Arial"/>
          <w:i/>
          <w:color w:val="000000"/>
          <w:sz w:val="20"/>
        </w:rPr>
        <w:t xml:space="preserve">See </w:t>
      </w:r>
      <w:bookmarkStart w:id="2528" w:name="Bookmark_I559SNKN28T4970030000400"/>
      <w:bookmarkEnd w:id="2528"/>
      <w:r>
        <w:rPr>
          <w:rFonts w:ascii="Arial" w:eastAsia="Arial" w:hAnsi="Arial" w:cs="Arial"/>
          <w:i/>
          <w:color w:val="000000"/>
          <w:sz w:val="20"/>
        </w:rPr>
        <w:t>Waller v. Danville</w:t>
      </w:r>
      <w:r>
        <w:rPr>
          <w:rFonts w:ascii="Arial" w:eastAsia="Arial" w:hAnsi="Arial" w:cs="Arial"/>
          <w:color w:val="000000"/>
          <w:sz w:val="20"/>
        </w:rPr>
        <w:t xml:space="preserve">, 556 F.3d 171, 174 (4th Cir. 2009) (noting that courts recognize </w:t>
      </w:r>
      <w:bookmarkStart w:id="2529" w:name="Bookmark_LNHNREFclscc10_12"/>
      <w:bookmarkEnd w:id="2529"/>
      <w:r>
        <w:rPr>
          <w:rFonts w:ascii="Arial" w:eastAsia="Arial" w:hAnsi="Arial" w:cs="Arial"/>
          <w:color w:val="000000"/>
          <w:sz w:val="20"/>
        </w:rPr>
        <w:t xml:space="preserve">an ADA case is established when "police properly arrest a suspect but fail to reasonably accommodate his disability during the investigation or arrest, causing him to suffer greater injury or indignity than other arrestees.") (citing </w:t>
      </w:r>
      <w:bookmarkStart w:id="2530" w:name="Bookmark_I559SNKN28T4970050000400"/>
      <w:bookmarkEnd w:id="2530"/>
      <w:r>
        <w:rPr>
          <w:rFonts w:ascii="Arial" w:eastAsia="Arial" w:hAnsi="Arial" w:cs="Arial"/>
          <w:i/>
          <w:color w:val="000000"/>
          <w:sz w:val="20"/>
        </w:rPr>
        <w:t>Gohier v. Enright</w:t>
      </w:r>
      <w:r>
        <w:rPr>
          <w:rFonts w:ascii="Arial" w:eastAsia="Arial" w:hAnsi="Arial" w:cs="Arial"/>
          <w:color w:val="000000"/>
          <w:sz w:val="20"/>
        </w:rPr>
        <w:t xml:space="preserve">, 186 F.3d 1216, 1220-21 (10th Cir. 1999); </w:t>
      </w:r>
      <w:bookmarkStart w:id="2531" w:name="Bookmark_I559SNKN2D6NC90020000400"/>
      <w:bookmarkEnd w:id="2531"/>
      <w:r>
        <w:rPr>
          <w:rFonts w:ascii="Arial" w:eastAsia="Arial" w:hAnsi="Arial" w:cs="Arial"/>
          <w:i/>
          <w:color w:val="000000"/>
          <w:sz w:val="20"/>
        </w:rPr>
        <w:t>Gorman v. Bartch</w:t>
      </w:r>
      <w:r>
        <w:rPr>
          <w:rFonts w:ascii="Arial" w:eastAsia="Arial" w:hAnsi="Arial" w:cs="Arial"/>
          <w:color w:val="000000"/>
          <w:sz w:val="20"/>
        </w:rPr>
        <w:t xml:space="preserve">, 152 F.3d 907, 912-13 (8th Cir. 1998)); </w:t>
      </w:r>
      <w:r>
        <w:rPr>
          <w:rFonts w:ascii="Arial" w:eastAsia="Arial" w:hAnsi="Arial" w:cs="Arial"/>
          <w:i/>
          <w:color w:val="000000"/>
          <w:sz w:val="20"/>
        </w:rPr>
        <w:t xml:space="preserve">see also </w:t>
      </w:r>
      <w:bookmarkStart w:id="2532" w:name="Bookmark_I56FYSN62SF84W0010000400"/>
      <w:bookmarkEnd w:id="2532"/>
      <w:r>
        <w:rPr>
          <w:rFonts w:ascii="Arial" w:eastAsia="Arial" w:hAnsi="Arial" w:cs="Arial"/>
          <w:i/>
          <w:color w:val="000000"/>
          <w:sz w:val="20"/>
        </w:rPr>
        <w:t>Johnson v. City of Saline</w:t>
      </w:r>
      <w:r>
        <w:rPr>
          <w:rFonts w:ascii="Arial" w:eastAsia="Arial" w:hAnsi="Arial" w:cs="Arial"/>
          <w:color w:val="000000"/>
          <w:sz w:val="20"/>
        </w:rPr>
        <w:t xml:space="preserve">, 151 F.3d 564, 569 (6th Cir. 1998) (finding that "the phrase 'services, programs,  [*339]  or activities' encompasses virtually everything that a public entity does"). While the Supreme Court in the </w:t>
      </w:r>
      <w:r>
        <w:rPr>
          <w:rFonts w:ascii="Arial" w:eastAsia="Arial" w:hAnsi="Arial" w:cs="Arial"/>
          <w:i/>
          <w:color w:val="000000"/>
          <w:sz w:val="20"/>
        </w:rPr>
        <w:t>Miranda</w:t>
      </w:r>
      <w:r>
        <w:rPr>
          <w:rFonts w:ascii="Arial" w:eastAsia="Arial" w:hAnsi="Arial" w:cs="Arial"/>
          <w:color w:val="000000"/>
          <w:sz w:val="20"/>
        </w:rPr>
        <w:t xml:space="preserve"> context has said that the Constitution does not require "that the police supply a suspect with a flow of information," </w:t>
      </w:r>
      <w:bookmarkStart w:id="2533" w:name="Bookmark_I559SNKN2HM5X70010000400"/>
      <w:bookmarkEnd w:id="2533"/>
      <w:r>
        <w:rPr>
          <w:rFonts w:ascii="Arial" w:eastAsia="Arial" w:hAnsi="Arial" w:cs="Arial"/>
          <w:i/>
          <w:color w:val="000000"/>
          <w:sz w:val="20"/>
        </w:rPr>
        <w:t>Moran v. Burbine</w:t>
      </w:r>
      <w:r>
        <w:rPr>
          <w:rFonts w:ascii="Arial" w:eastAsia="Arial" w:hAnsi="Arial" w:cs="Arial"/>
          <w:color w:val="000000"/>
          <w:sz w:val="20"/>
        </w:rPr>
        <w:t>, 475 U.S. 412, 422, 106 S. Ct. 1135, 89 L. Ed. 2d 410 (1986), the ADA applied once the deputies attempted to question and obtain information from Seremeth.</w:t>
      </w:r>
    </w:p>
    <w:p w14:paraId="719FEC52" w14:textId="77777777" w:rsidR="00D041A2" w:rsidRDefault="00000000">
      <w:pPr>
        <w:pStyle w:val="Normal20"/>
        <w:widowControl w:val="0"/>
        <w:spacing w:before="120" w:line="260" w:lineRule="atLeast"/>
      </w:pPr>
      <w:r>
        <w:rPr>
          <w:rFonts w:ascii="Arial" w:eastAsia="Arial" w:hAnsi="Arial" w:cs="Arial"/>
          <w:color w:val="000000"/>
          <w:sz w:val="20"/>
        </w:rPr>
        <w:t>B.</w:t>
      </w:r>
    </w:p>
    <w:p w14:paraId="1F39E95F" w14:textId="77777777" w:rsidR="00D041A2" w:rsidRDefault="00000000">
      <w:pPr>
        <w:pStyle w:val="Normal20"/>
        <w:widowControl w:val="0"/>
        <w:spacing w:before="200" w:line="260" w:lineRule="atLeast"/>
        <w:jc w:val="both"/>
      </w:pPr>
      <w:bookmarkStart w:id="2534" w:name="Bookmark_para_20_11"/>
      <w:bookmarkEnd w:id="2534"/>
      <w:r>
        <w:rPr>
          <w:rFonts w:ascii="Arial" w:eastAsia="Arial" w:hAnsi="Arial" w:cs="Arial"/>
          <w:color w:val="000000"/>
          <w:sz w:val="20"/>
        </w:rPr>
        <w:t>Having concluded that the ADA applies to the investigation of criminal conduct, we next determine whether the deputies'  [**14] conduct was reasonable under the circumstances. We find that due to the exigencies inherent in responding to a domestic violence situation, no further accommodations were required than the ones made by the deputies.</w:t>
      </w:r>
    </w:p>
    <w:p w14:paraId="0BBAA46D" w14:textId="77777777" w:rsidR="00D041A2" w:rsidRDefault="00000000">
      <w:pPr>
        <w:pStyle w:val="Normal20"/>
        <w:widowControl w:val="0"/>
        <w:spacing w:before="200" w:line="260" w:lineRule="atLeast"/>
        <w:jc w:val="both"/>
      </w:pPr>
      <w:bookmarkStart w:id="2535" w:name="Bookmark_para_21_11"/>
      <w:bookmarkStart w:id="2536" w:name="Bookmark_I559SNKN2HM5X70040000400"/>
      <w:bookmarkEnd w:id="2535"/>
      <w:bookmarkEnd w:id="2536"/>
      <w:r>
        <w:rPr>
          <w:rFonts w:ascii="Arial" w:eastAsia="Arial" w:hAnsi="Arial" w:cs="Arial"/>
          <w:color w:val="000000"/>
          <w:sz w:val="20"/>
        </w:rPr>
        <w:t xml:space="preserve">This Circuit has previously avoided the issue of whether an exigent-circumstances exception to the ADA exists. </w:t>
      </w:r>
      <w:r>
        <w:rPr>
          <w:rFonts w:ascii="Arial" w:eastAsia="Arial" w:hAnsi="Arial" w:cs="Arial"/>
          <w:i/>
          <w:color w:val="000000"/>
          <w:sz w:val="20"/>
        </w:rPr>
        <w:t xml:space="preserve">See </w:t>
      </w:r>
      <w:bookmarkStart w:id="2537" w:name="Bookmark_I559SNKN2HM5X70030000400"/>
      <w:bookmarkEnd w:id="2537"/>
      <w:r>
        <w:rPr>
          <w:rFonts w:ascii="Arial" w:eastAsia="Arial" w:hAnsi="Arial" w:cs="Arial"/>
          <w:i/>
          <w:color w:val="000000"/>
          <w:sz w:val="20"/>
        </w:rPr>
        <w:t>Waller v. Danville</w:t>
      </w:r>
      <w:r>
        <w:rPr>
          <w:rFonts w:ascii="Arial" w:eastAsia="Arial" w:hAnsi="Arial" w:cs="Arial"/>
          <w:color w:val="000000"/>
          <w:sz w:val="20"/>
        </w:rPr>
        <w:t xml:space="preserve">, 556 F.3d 171, 175 (4th Cir. 2009) ("Whether or when an 'exigent circumstances' constraint upon the ADA exists, however, is a broader proposition than is needed to decide this case."). We find that while there is no separate exigent-circumstances inquiry, </w:t>
      </w:r>
      <w:bookmarkStart w:id="2538" w:name="Bookmark_LNHNREFclscc11_11"/>
      <w:bookmarkEnd w:id="2538"/>
      <w:r>
        <w:rPr>
          <w:rFonts w:ascii="Arial" w:eastAsia="Arial" w:hAnsi="Arial" w:cs="Arial"/>
          <w:color w:val="000000"/>
          <w:sz w:val="20"/>
        </w:rPr>
        <w:t>the consideration of exigent circumstances is included in the determination of the reasonableness of the accommodation. Most importantly, nothing in the text of the ADA suggests that a separate exigent-circumstances inquiry is appropriate. Furthermore, this view of the ADA has the ancillary benefit of encouraging the provision of accommodations during exigent circumstances.</w:t>
      </w:r>
    </w:p>
    <w:p w14:paraId="1242A4F2" w14:textId="77777777" w:rsidR="00D041A2" w:rsidRDefault="00000000">
      <w:pPr>
        <w:pStyle w:val="Normal20"/>
        <w:widowControl w:val="0"/>
        <w:spacing w:before="200" w:line="260" w:lineRule="atLeast"/>
        <w:jc w:val="both"/>
      </w:pPr>
      <w:bookmarkStart w:id="2539" w:name="Bookmark_para_22_11"/>
      <w:bookmarkEnd w:id="2539"/>
      <w:r>
        <w:rPr>
          <w:rFonts w:ascii="Arial" w:eastAsia="Arial" w:hAnsi="Arial" w:cs="Arial"/>
          <w:color w:val="000000"/>
          <w:sz w:val="20"/>
        </w:rPr>
        <w:t>Seremeth argues that because the deputies did not alter their protocol to allow Seremeth to be handcuffed in front of his body so he could write notes to the deputies and thereby communicate effectively, he was denied reasonable  [**15] accommodation. Seremeth also claims that because the deputies did not provide a qualified interpreter, they did not reasonably accommodate him. For the following reasons, we reject Seremeth's contentions.</w:t>
      </w:r>
    </w:p>
    <w:p w14:paraId="21BE85FF" w14:textId="77777777" w:rsidR="00D041A2" w:rsidRDefault="00000000">
      <w:pPr>
        <w:pStyle w:val="Normal20"/>
        <w:widowControl w:val="0"/>
        <w:spacing w:before="200" w:line="260" w:lineRule="atLeast"/>
        <w:jc w:val="both"/>
      </w:pPr>
      <w:bookmarkStart w:id="2540" w:name="Bookmark_para_23_11"/>
      <w:bookmarkEnd w:id="2540"/>
      <w:r>
        <w:rPr>
          <w:rFonts w:ascii="Arial" w:eastAsia="Arial" w:hAnsi="Arial" w:cs="Arial"/>
          <w:color w:val="000000"/>
          <w:sz w:val="20"/>
        </w:rPr>
        <w:t xml:space="preserve">A public entity must </w:t>
      </w:r>
      <w:bookmarkStart w:id="2541" w:name="Bookmark_LNHNREFclscc12_10"/>
      <w:bookmarkEnd w:id="2541"/>
      <w:r>
        <w:rPr>
          <w:rFonts w:ascii="Arial" w:eastAsia="Arial" w:hAnsi="Arial" w:cs="Arial"/>
          <w:color w:val="000000"/>
          <w:sz w:val="20"/>
        </w:rPr>
        <w:t xml:space="preserve">"make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 28 C.F.R. § 35.130(b)(7). </w:t>
      </w:r>
      <w:bookmarkStart w:id="2542" w:name="Bookmark_LNHNREFclscc13_9"/>
      <w:bookmarkEnd w:id="2542"/>
      <w:r>
        <w:rPr>
          <w:rFonts w:ascii="Arial" w:eastAsia="Arial" w:hAnsi="Arial" w:cs="Arial"/>
          <w:color w:val="000000"/>
          <w:sz w:val="20"/>
        </w:rPr>
        <w:t xml:space="preserve">With regard to communication-related disabilities, the regulations require public entities to "take appropriate steps to ensure that communications with . . . members of the public . . . with disabilities are as effective as communications with others," </w:t>
      </w:r>
      <w:r>
        <w:rPr>
          <w:rFonts w:ascii="Arial" w:eastAsia="Arial" w:hAnsi="Arial" w:cs="Arial"/>
          <w:i/>
          <w:color w:val="000000"/>
          <w:sz w:val="20"/>
        </w:rPr>
        <w:t>id</w:t>
      </w:r>
      <w:r>
        <w:rPr>
          <w:rFonts w:ascii="Arial" w:eastAsia="Arial" w:hAnsi="Arial" w:cs="Arial"/>
          <w:color w:val="000000"/>
          <w:sz w:val="20"/>
        </w:rPr>
        <w:t xml:space="preserve">. § 35.160(a)(1), and to "furnish appropriate auxiliary aids and services where necessary to afford individuals with disabilities . . . an equal opportunity to participate in, and enjoy the benefits of, a service, program, or activity of a public entity," </w:t>
      </w:r>
      <w:r>
        <w:rPr>
          <w:rFonts w:ascii="Arial" w:eastAsia="Arial" w:hAnsi="Arial" w:cs="Arial"/>
          <w:i/>
          <w:color w:val="000000"/>
          <w:sz w:val="20"/>
        </w:rPr>
        <w:t>id</w:t>
      </w:r>
      <w:r>
        <w:rPr>
          <w:rFonts w:ascii="Arial" w:eastAsia="Arial" w:hAnsi="Arial" w:cs="Arial"/>
          <w:color w:val="000000"/>
          <w:sz w:val="20"/>
        </w:rPr>
        <w:t>. § 35.160(b)(1). "Auxiliary aids or services" are defined by both statute and regulation. The regulation, which is more exhaustive,  [**16] provides</w:t>
      </w:r>
    </w:p>
    <w:p w14:paraId="25275650" w14:textId="77777777" w:rsidR="00D041A2" w:rsidRDefault="00000000">
      <w:pPr>
        <w:pStyle w:val="Normal20"/>
        <w:widowControl w:val="0"/>
        <w:spacing w:before="200" w:line="260" w:lineRule="atLeast"/>
        <w:jc w:val="both"/>
      </w:pPr>
      <w:bookmarkStart w:id="2543" w:name="Bookmark_para_24_10"/>
      <w:bookmarkStart w:id="2544" w:name="Bookmark_LNHNREFclscc14_8"/>
      <w:bookmarkEnd w:id="2543"/>
      <w:bookmarkEnd w:id="2544"/>
      <w:r>
        <w:rPr>
          <w:rFonts w:ascii="Arial" w:eastAsia="Arial" w:hAnsi="Arial" w:cs="Arial"/>
          <w:color w:val="000000"/>
          <w:sz w:val="20"/>
        </w:rPr>
        <w:t>Auxiliary aids and services includes—</w:t>
      </w:r>
    </w:p>
    <w:p w14:paraId="71270A42" w14:textId="77777777" w:rsidR="00D041A2" w:rsidRDefault="00000000">
      <w:pPr>
        <w:pStyle w:val="Normal20"/>
        <w:widowControl w:val="0"/>
        <w:spacing w:before="200" w:line="260" w:lineRule="atLeast"/>
        <w:ind w:left="400"/>
        <w:jc w:val="both"/>
      </w:pPr>
      <w:bookmarkStart w:id="2545" w:name="Bookmark_para_25_10"/>
      <w:bookmarkEnd w:id="2545"/>
      <w:r>
        <w:rPr>
          <w:rFonts w:ascii="Arial" w:eastAsia="Arial" w:hAnsi="Arial" w:cs="Arial"/>
          <w:color w:val="000000"/>
          <w:sz w:val="20"/>
        </w:rPr>
        <w:t>(1) Qualified interpreters on-site or through video remote interpreting (VRI) services; notetakers; real-time computer-aided transcription services; written materials; exchange of written notes; telephone handset amplifiers; assistive listening devices; assistive listening systems; telephones compatible with hearing aids; closed caption decoders; open and closed captioning, including real-time captioning; voice, text, and video-based telecommunications products and systems, including text telephones (TTYs), videophones, and captioned telephones, or equally effective telecommunications devices; videotext displays; accessible electronic and information  [*340]  technology; or other effective methods of making aurally delivered information available to individuals who are deaf or hard of hearing;</w:t>
      </w:r>
    </w:p>
    <w:p w14:paraId="01C185F5" w14:textId="77777777" w:rsidR="00D041A2" w:rsidRDefault="00000000">
      <w:pPr>
        <w:pStyle w:val="Normal20"/>
        <w:widowControl w:val="0"/>
        <w:spacing w:before="200" w:line="260" w:lineRule="atLeast"/>
        <w:ind w:left="400"/>
        <w:jc w:val="both"/>
      </w:pPr>
      <w:bookmarkStart w:id="2546" w:name="Bookmark_para_26_10"/>
      <w:bookmarkEnd w:id="2546"/>
      <w:r>
        <w:rPr>
          <w:rFonts w:ascii="Arial" w:eastAsia="Arial" w:hAnsi="Arial" w:cs="Arial"/>
          <w:color w:val="000000"/>
          <w:sz w:val="20"/>
        </w:rPr>
        <w:t>(2) Qualified readers; taped texts; audio recordings; Brailled materials and displays; screen reader software; magnification software; optical readers; secondary auditory programs (SAP); large print materials; accessible electronic and information technology; or other effective methods of making visually delivered materials available to individuals who are blind  [**17] or have low vision;</w:t>
      </w:r>
    </w:p>
    <w:p w14:paraId="783CC4C5" w14:textId="77777777" w:rsidR="00D041A2" w:rsidRDefault="00000000">
      <w:pPr>
        <w:pStyle w:val="Normal20"/>
        <w:widowControl w:val="0"/>
        <w:spacing w:line="260" w:lineRule="atLeast"/>
        <w:ind w:left="400"/>
        <w:jc w:val="both"/>
      </w:pPr>
      <w:bookmarkStart w:id="2547" w:name="Bookmark_para_27_10"/>
      <w:bookmarkEnd w:id="2547"/>
      <w:r>
        <w:rPr>
          <w:rFonts w:ascii="Arial" w:eastAsia="Arial" w:hAnsi="Arial" w:cs="Arial"/>
          <w:color w:val="000000"/>
          <w:sz w:val="20"/>
        </w:rPr>
        <w:t>(3) Acquisition or modification of equipment or devices; and</w:t>
      </w:r>
    </w:p>
    <w:p w14:paraId="4E559F52" w14:textId="77777777" w:rsidR="00D041A2" w:rsidRDefault="00000000">
      <w:pPr>
        <w:pStyle w:val="Normal20"/>
        <w:widowControl w:val="0"/>
        <w:spacing w:line="260" w:lineRule="atLeast"/>
        <w:ind w:left="400"/>
        <w:jc w:val="both"/>
      </w:pPr>
      <w:bookmarkStart w:id="2548" w:name="Bookmark_para_28_9"/>
      <w:bookmarkEnd w:id="2548"/>
      <w:r>
        <w:rPr>
          <w:rFonts w:ascii="Arial" w:eastAsia="Arial" w:hAnsi="Arial" w:cs="Arial"/>
          <w:color w:val="000000"/>
          <w:sz w:val="20"/>
        </w:rPr>
        <w:t>(4) Other similar services and actions.</w:t>
      </w:r>
    </w:p>
    <w:p w14:paraId="45CDF0F8" w14:textId="77777777" w:rsidR="00D041A2" w:rsidRDefault="00000000">
      <w:pPr>
        <w:pStyle w:val="Normal20"/>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 35.104 (interpreting 42 U.S.C. § 12103(1)).</w:t>
      </w:r>
    </w:p>
    <w:p w14:paraId="08A22E51" w14:textId="77777777" w:rsidR="00D041A2" w:rsidRDefault="00000000">
      <w:pPr>
        <w:pStyle w:val="Normal20"/>
        <w:widowControl w:val="0"/>
        <w:spacing w:before="200" w:line="260" w:lineRule="atLeast"/>
        <w:jc w:val="both"/>
      </w:pPr>
      <w:bookmarkStart w:id="2549" w:name="Bookmark_para_29_8"/>
      <w:bookmarkEnd w:id="2549"/>
      <w:r>
        <w:rPr>
          <w:rFonts w:ascii="Arial" w:eastAsia="Arial" w:hAnsi="Arial" w:cs="Arial"/>
          <w:color w:val="000000"/>
          <w:sz w:val="20"/>
        </w:rPr>
        <w:t xml:space="preserve">The ADA does not easily reduce to a cost-benefit calculation. </w:t>
      </w:r>
      <w:bookmarkStart w:id="2550" w:name="Bookmark_LNHNREFclscc15_7"/>
      <w:bookmarkEnd w:id="2550"/>
      <w:r>
        <w:rPr>
          <w:rFonts w:ascii="Arial" w:eastAsia="Arial" w:hAnsi="Arial" w:cs="Arial"/>
          <w:color w:val="000000"/>
          <w:sz w:val="20"/>
        </w:rPr>
        <w:t>The intent of the statute is to promote equal access and participation in government services unless such provision causes an "undue burden." In other words, the fact that the provision of auxiliary aids or other such equalizers costs the government money—perhaps more than it would like to spend, or more than the benefit received by the disabled individual—is not a sufficient reason to reject the provision of the aid. But nor can the provision of accommodation trump legitimate law enforcement needs when responding to an emergency situation.</w:t>
      </w:r>
    </w:p>
    <w:p w14:paraId="50D79332" w14:textId="77777777" w:rsidR="00D041A2" w:rsidRDefault="00000000">
      <w:pPr>
        <w:pStyle w:val="Normal20"/>
        <w:widowControl w:val="0"/>
        <w:spacing w:before="200" w:line="260" w:lineRule="atLeast"/>
        <w:jc w:val="both"/>
      </w:pPr>
      <w:bookmarkStart w:id="2551" w:name="Bookmark_para_30_8"/>
      <w:bookmarkStart w:id="2552" w:name="Bookmark_I559SNKN2HM5X80010000400"/>
      <w:bookmarkStart w:id="2553" w:name="Bookmark_LNHNREFclscc16_6"/>
      <w:bookmarkEnd w:id="2551"/>
      <w:bookmarkEnd w:id="2552"/>
      <w:bookmarkEnd w:id="2553"/>
      <w:r>
        <w:rPr>
          <w:rFonts w:ascii="Arial" w:eastAsia="Arial" w:hAnsi="Arial" w:cs="Arial"/>
          <w:color w:val="000000"/>
          <w:sz w:val="20"/>
        </w:rPr>
        <w:t xml:space="preserve">What constitutes reasonable accommodations during a police investigation for a domestic disturbance is a question of fact and will vary according to the circumstances. </w:t>
      </w:r>
      <w:r>
        <w:rPr>
          <w:rFonts w:ascii="Arial" w:eastAsia="Arial" w:hAnsi="Arial" w:cs="Arial"/>
          <w:i/>
          <w:color w:val="000000"/>
          <w:sz w:val="20"/>
        </w:rPr>
        <w:t xml:space="preserve">See </w:t>
      </w:r>
      <w:bookmarkStart w:id="2554" w:name="Bookmark_I559SNKN2HM5X70050000400"/>
      <w:bookmarkEnd w:id="2554"/>
      <w:r>
        <w:rPr>
          <w:rFonts w:ascii="Arial" w:eastAsia="Arial" w:hAnsi="Arial" w:cs="Arial"/>
          <w:i/>
          <w:color w:val="000000"/>
          <w:sz w:val="20"/>
        </w:rPr>
        <w:t>Pandazides v. Va. Bd. of Educ</w:t>
      </w:r>
      <w:r>
        <w:rPr>
          <w:rFonts w:ascii="Arial" w:eastAsia="Arial" w:hAnsi="Arial" w:cs="Arial"/>
          <w:color w:val="000000"/>
          <w:sz w:val="20"/>
        </w:rPr>
        <w:t>., 13 F.3d 823, 833 (4th Cir. 1994). The relevant circumstances, viewed in the light most favorable to the non-moving party, certainly include the following: the sheriff's deputies knew that they were going to a house where  [**18] deaf people live; the deputies attempted to engage in conversation with a hearing-impaired individual and that attempt to communicate failed; the sheriff's office had a contract for a qualified interpreter; the deputies could have handcuffed Seremeth in front of his body to allow him to write notes; and Seremeth lacked the ability to communicate without notes or the use of his hands to sign.</w:t>
      </w:r>
    </w:p>
    <w:p w14:paraId="7936C0B9" w14:textId="77777777" w:rsidR="00D041A2" w:rsidRDefault="00000000">
      <w:pPr>
        <w:pStyle w:val="Normal20"/>
        <w:widowControl w:val="0"/>
        <w:spacing w:before="200" w:line="260" w:lineRule="atLeast"/>
        <w:jc w:val="both"/>
      </w:pPr>
      <w:bookmarkStart w:id="2555" w:name="Bookmark_para_31_8"/>
      <w:bookmarkEnd w:id="2555"/>
      <w:r>
        <w:rPr>
          <w:rFonts w:ascii="Arial" w:eastAsia="Arial" w:hAnsi="Arial" w:cs="Arial"/>
          <w:color w:val="000000"/>
          <w:sz w:val="20"/>
        </w:rPr>
        <w:t>Nevertheless, as in the criminal procedure context, we are reluctant to question the snap judgments of law enforcement officials in situations in which a reasonable officer would fear for his safety and for the safety of those he is charged to protect. The deputies were responding to a domestic disturbance call, which Deputy Rohrer characterized as "some of the most dangerous calls that we ever go on." J.A. 115. The deputies were obligated to assure themselves that no threat existed against them, Seremeth's children, or anyone else. The deputies could not rely on a phone call claiming that there were no weapons in the house—to do so  [**19] would be a failure in their duty and training. Moreover, the exigency justified keeping Seremeth handcuffed behind his back, as is standard procedure in dangerous situations.</w:t>
      </w:r>
    </w:p>
    <w:p w14:paraId="448C7810" w14:textId="77777777" w:rsidR="00D041A2" w:rsidRDefault="00000000">
      <w:pPr>
        <w:pStyle w:val="Normal20"/>
        <w:widowControl w:val="0"/>
        <w:spacing w:before="200" w:line="260" w:lineRule="atLeast"/>
        <w:jc w:val="both"/>
      </w:pPr>
      <w:bookmarkStart w:id="2556" w:name="Bookmark_para_32_8"/>
      <w:bookmarkEnd w:id="2556"/>
      <w:r>
        <w:rPr>
          <w:rFonts w:ascii="Arial" w:eastAsia="Arial" w:hAnsi="Arial" w:cs="Arial"/>
          <w:color w:val="000000"/>
          <w:sz w:val="20"/>
        </w:rPr>
        <w:t>The entire encounter took an hour and fifteen minutes before the deputies concluded that there was not probable cause to arrest Seremeth or remove him from his home to protect his children. WeInterpret could have taken up to an hour to provide an interpreter. The deputies were not required to wait until an interpreter arrived in order to perform their duty and attempt to question Seremeth.</w:t>
      </w:r>
    </w:p>
    <w:p w14:paraId="5BE6C538" w14:textId="77777777" w:rsidR="00D041A2" w:rsidRDefault="00000000">
      <w:pPr>
        <w:pStyle w:val="Normal20"/>
        <w:widowControl w:val="0"/>
        <w:spacing w:before="200" w:line="260" w:lineRule="atLeast"/>
        <w:jc w:val="both"/>
      </w:pPr>
      <w:bookmarkStart w:id="2557" w:name="Bookmark_para_33_8"/>
      <w:bookmarkEnd w:id="2557"/>
      <w:r>
        <w:rPr>
          <w:rFonts w:ascii="Arial" w:eastAsia="Arial" w:hAnsi="Arial" w:cs="Arial"/>
          <w:color w:val="000000"/>
          <w:sz w:val="20"/>
        </w:rPr>
        <w:t>Under the circumstances, it was reasonable for the deputies to attempt to accommodate Seremeth's disability by calling Ryan, an ASL trainee, to assist in communication, and by attempting to use Seremeth's father as an interpreter. It was reasonable even though these accommodations were not best practices—practices that in other circumstances could be evidence of a failure to reasonably accommodate.</w:t>
      </w:r>
      <w:r>
        <w:rPr>
          <w:rFonts w:ascii="Arial" w:eastAsia="Arial" w:hAnsi="Arial" w:cs="Arial"/>
          <w:vertAlign w:val="superscript"/>
        </w:rPr>
        <w:footnoteReference w:customMarkFollows="1" w:id="118"/>
        <w:t>4</w:t>
      </w:r>
      <w:r>
        <w:rPr>
          <w:rFonts w:ascii="Arial" w:eastAsia="Arial" w:hAnsi="Arial" w:cs="Arial"/>
          <w:color w:val="000000"/>
          <w:sz w:val="20"/>
        </w:rPr>
        <w:t xml:space="preserve">  [*341]  The accommodations afforded to Seremeth by the deputies were reasonable given their overwhelming need to obtain information quickly to protect themselves and others from possible violence. The further accommodations requested by the  [**20] Appellant in his suit would have been unreasonable under the circumstances.</w:t>
      </w:r>
    </w:p>
    <w:p w14:paraId="3F28D328" w14:textId="77777777" w:rsidR="00D041A2" w:rsidRDefault="00000000">
      <w:pPr>
        <w:pStyle w:val="Normal20"/>
        <w:widowControl w:val="0"/>
        <w:spacing w:before="120" w:line="260" w:lineRule="atLeast"/>
      </w:pPr>
      <w:r>
        <w:rPr>
          <w:rFonts w:ascii="Arial" w:eastAsia="Arial" w:hAnsi="Arial" w:cs="Arial"/>
          <w:color w:val="000000"/>
          <w:sz w:val="20"/>
        </w:rPr>
        <w:t>III.</w:t>
      </w:r>
    </w:p>
    <w:p w14:paraId="1C3968E5" w14:textId="77777777" w:rsidR="00D041A2" w:rsidRDefault="00000000">
      <w:pPr>
        <w:pStyle w:val="Normal20"/>
        <w:widowControl w:val="0"/>
        <w:spacing w:before="200" w:line="260" w:lineRule="atLeast"/>
        <w:jc w:val="both"/>
      </w:pPr>
      <w:bookmarkStart w:id="2561" w:name="Bookmark_para_35_8"/>
      <w:bookmarkEnd w:id="2561"/>
      <w:r>
        <w:rPr>
          <w:rFonts w:ascii="Arial" w:eastAsia="Arial" w:hAnsi="Arial" w:cs="Arial"/>
          <w:color w:val="000000"/>
          <w:sz w:val="20"/>
        </w:rPr>
        <w:t>For the foregoing reasons, the district court's order of summary judgment for the Appellees is</w:t>
      </w:r>
    </w:p>
    <w:p w14:paraId="6179D7FB" w14:textId="77777777" w:rsidR="00D041A2" w:rsidRDefault="00000000">
      <w:pPr>
        <w:pStyle w:val="Normal20"/>
        <w:widowControl w:val="0"/>
        <w:spacing w:before="200" w:line="260" w:lineRule="atLeast"/>
        <w:jc w:val="both"/>
      </w:pPr>
      <w:bookmarkStart w:id="2562" w:name="Bookmark_para_36_8"/>
      <w:bookmarkEnd w:id="2562"/>
      <w:r>
        <w:rPr>
          <w:rFonts w:ascii="Arial" w:eastAsia="Arial" w:hAnsi="Arial" w:cs="Arial"/>
          <w:i/>
          <w:color w:val="000000"/>
          <w:sz w:val="20"/>
        </w:rPr>
        <w:t>AFFIRMED</w:t>
      </w:r>
      <w:r>
        <w:rPr>
          <w:rFonts w:ascii="Arial" w:eastAsia="Arial" w:hAnsi="Arial" w:cs="Arial"/>
          <w:color w:val="000000"/>
          <w:sz w:val="20"/>
        </w:rPr>
        <w:t>.</w:t>
      </w:r>
    </w:p>
    <w:p w14:paraId="1A5F9A44" w14:textId="77777777" w:rsidR="00D041A2" w:rsidRDefault="00D041A2">
      <w:pPr>
        <w:pStyle w:val="Normal20"/>
      </w:pPr>
    </w:p>
    <w:p w14:paraId="60ADF3A0" w14:textId="0A27941D" w:rsidR="00D041A2" w:rsidRDefault="00000000">
      <w:pPr>
        <w:pStyle w:val="Normal20"/>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03296" behindDoc="0" locked="0" layoutInCell="1" allowOverlap="1" wp14:anchorId="4DC82FBE" wp14:editId="014689F8">
                <wp:simplePos x="0" y="0"/>
                <wp:positionH relativeFrom="column">
                  <wp:posOffset>0</wp:posOffset>
                </wp:positionH>
                <wp:positionV relativeFrom="paragraph">
                  <wp:posOffset>127000</wp:posOffset>
                </wp:positionV>
                <wp:extent cx="6502400" cy="0"/>
                <wp:effectExtent l="9525" t="12700" r="12700" b="6350"/>
                <wp:wrapNone/>
                <wp:docPr id="439582619"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EB3E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C682190" w14:textId="77777777" w:rsidR="00D041A2" w:rsidRDefault="00D041A2">
      <w:pPr>
        <w:pStyle w:val="Normal21"/>
        <w:sectPr w:rsidR="00D041A2">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gutter="0"/>
          <w:cols w:space="720"/>
          <w:titlePg/>
        </w:sectPr>
      </w:pPr>
    </w:p>
    <w:p w14:paraId="11DC3C06" w14:textId="77777777" w:rsidR="00D041A2" w:rsidRDefault="00D041A2">
      <w:pPr>
        <w:pStyle w:val="Normal21"/>
      </w:pPr>
    </w:p>
    <w:p w14:paraId="48F77A30" w14:textId="77777777" w:rsidR="00D041A2" w:rsidRDefault="00000000">
      <w:pPr>
        <w:pStyle w:val="Heading120"/>
        <w:keepNext w:val="0"/>
        <w:widowControl w:val="0"/>
        <w:spacing w:after="200" w:line="340" w:lineRule="atLeast"/>
        <w:jc w:val="center"/>
      </w:pPr>
      <w:r>
        <w:rPr>
          <w:rFonts w:eastAsia="Arial"/>
          <w:color w:val="000000"/>
          <w:sz w:val="28"/>
        </w:rPr>
        <w:t>EEOC v. United Airlines, Inc.</w:t>
      </w:r>
    </w:p>
    <w:p w14:paraId="59174C44" w14:textId="77777777" w:rsidR="00D041A2" w:rsidRDefault="00000000">
      <w:pPr>
        <w:pStyle w:val="Normal21"/>
        <w:widowControl w:val="0"/>
        <w:spacing w:before="120" w:line="260" w:lineRule="atLeast"/>
        <w:jc w:val="center"/>
      </w:pPr>
      <w:r>
        <w:rPr>
          <w:rFonts w:ascii="Arial" w:eastAsia="Arial" w:hAnsi="Arial" w:cs="Arial"/>
          <w:color w:val="000000"/>
          <w:sz w:val="20"/>
        </w:rPr>
        <w:t>United States Court of Appeals for the Seventh Circuit</w:t>
      </w:r>
    </w:p>
    <w:p w14:paraId="6DD5BBD2" w14:textId="77777777" w:rsidR="00D041A2" w:rsidRDefault="00000000">
      <w:pPr>
        <w:pStyle w:val="Normal21"/>
        <w:widowControl w:val="0"/>
        <w:spacing w:before="120" w:line="260" w:lineRule="atLeast"/>
        <w:jc w:val="center"/>
      </w:pPr>
      <w:r>
        <w:rPr>
          <w:rFonts w:ascii="Arial" w:eastAsia="Arial" w:hAnsi="Arial" w:cs="Arial"/>
          <w:color w:val="000000"/>
          <w:sz w:val="20"/>
        </w:rPr>
        <w:t>October 20, 2011, Argued; March 7, 2012, Decided</w:t>
      </w:r>
    </w:p>
    <w:p w14:paraId="3B934F71" w14:textId="77777777" w:rsidR="00D041A2" w:rsidRDefault="00000000">
      <w:pPr>
        <w:pStyle w:val="Normal21"/>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11-1774</w:t>
      </w:r>
    </w:p>
    <w:p w14:paraId="1D5B681C" w14:textId="77777777" w:rsidR="00D041A2" w:rsidRDefault="00D041A2">
      <w:pPr>
        <w:pStyle w:val="Normal21"/>
        <w:widowControl w:val="0"/>
        <w:spacing w:line="240" w:lineRule="atLeast"/>
        <w:jc w:val="both"/>
      </w:pPr>
      <w:bookmarkStart w:id="2563" w:name="Bookmark_22"/>
      <w:bookmarkEnd w:id="2563"/>
    </w:p>
    <w:p w14:paraId="56B5CDA4" w14:textId="77777777" w:rsidR="00D041A2" w:rsidRDefault="00000000">
      <w:pPr>
        <w:pStyle w:val="Normal21"/>
        <w:widowControl w:val="0"/>
        <w:spacing w:before="200" w:line="240" w:lineRule="atLeast"/>
      </w:pPr>
      <w:bookmarkStart w:id="2564" w:name="Reporter_20"/>
      <w:bookmarkEnd w:id="2564"/>
      <w:r>
        <w:rPr>
          <w:rFonts w:ascii="Arial" w:eastAsia="Arial" w:hAnsi="Arial" w:cs="Arial"/>
          <w:b/>
          <w:color w:val="000000"/>
          <w:sz w:val="18"/>
        </w:rPr>
        <w:t>Reporter</w:t>
      </w:r>
    </w:p>
    <w:p w14:paraId="179EF3C2" w14:textId="77777777" w:rsidR="00D041A2" w:rsidRDefault="00000000">
      <w:pPr>
        <w:pStyle w:val="Normal21"/>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673 F.3d 543 *; 2012 U.S. App. LEXIS 4713 **; 25 Am. Disabilities Cas. (BNA) 1569; 15 Accom. Disabilities Dec. (CCH) P15-035; 2012 WL 718503</w:t>
      </w:r>
    </w:p>
    <w:p w14:paraId="47FA1186" w14:textId="77777777" w:rsidR="00D041A2" w:rsidRDefault="00000000">
      <w:pPr>
        <w:pStyle w:val="Normal21"/>
        <w:widowControl w:val="0"/>
        <w:spacing w:before="120" w:line="260" w:lineRule="atLeast"/>
      </w:pPr>
      <w:r>
        <w:rPr>
          <w:rFonts w:ascii="Arial" w:eastAsia="Arial" w:hAnsi="Arial" w:cs="Arial"/>
          <w:color w:val="000000"/>
          <w:sz w:val="20"/>
        </w:rPr>
        <w:t>EQUAL EMPLOYMENT OPPORTUNITY COMMISSION, Plaintiff-Appellant, v. UNITED AIRLINES, INC., Defendant-Appellee.</w:t>
      </w:r>
    </w:p>
    <w:p w14:paraId="5F7F166C" w14:textId="77777777" w:rsidR="00D041A2" w:rsidRDefault="00000000">
      <w:pPr>
        <w:pStyle w:val="Normal21"/>
        <w:widowControl w:val="0"/>
        <w:spacing w:before="240" w:line="260" w:lineRule="atLeast"/>
      </w:pPr>
      <w:bookmarkStart w:id="2565" w:name="Subsequent_History_3"/>
      <w:bookmarkEnd w:id="2565"/>
      <w:r>
        <w:rPr>
          <w:rFonts w:ascii="Arial" w:eastAsia="Arial" w:hAnsi="Arial" w:cs="Arial"/>
          <w:b/>
          <w:color w:val="000000"/>
          <w:sz w:val="20"/>
        </w:rPr>
        <w:t>Subsequent History:</w:t>
      </w:r>
      <w:r>
        <w:rPr>
          <w:rFonts w:ascii="Arial" w:eastAsia="Arial" w:hAnsi="Arial" w:cs="Arial"/>
          <w:color w:val="000000"/>
          <w:sz w:val="20"/>
        </w:rPr>
        <w:t> Reversed by, Remanded by EEOC v. United Airlines, Inc., 2012 U.S. App. LEXIS 18804 (7th Cir. Ill., Sept. 7, 2012)</w:t>
      </w:r>
    </w:p>
    <w:p w14:paraId="298C17C9" w14:textId="77777777" w:rsidR="00D041A2" w:rsidRDefault="00000000">
      <w:pPr>
        <w:pStyle w:val="Normal21"/>
        <w:widowControl w:val="0"/>
        <w:spacing w:before="240" w:line="260" w:lineRule="atLeast"/>
        <w:jc w:val="both"/>
      </w:pPr>
      <w:bookmarkStart w:id="2566" w:name="Prior_History_20"/>
      <w:bookmarkEnd w:id="2566"/>
      <w:r>
        <w:rPr>
          <w:rFonts w:ascii="Arial" w:eastAsia="Arial" w:hAnsi="Arial" w:cs="Arial"/>
          <w:b/>
          <w:color w:val="000000"/>
          <w:sz w:val="20"/>
        </w:rPr>
        <w:t>Prior History:</w:t>
      </w:r>
      <w:r>
        <w:rPr>
          <w:rFonts w:ascii="Arial" w:eastAsia="Arial" w:hAnsi="Arial" w:cs="Arial"/>
          <w:color w:val="000000"/>
          <w:sz w:val="20"/>
        </w:rPr>
        <w:t>  [**1] </w:t>
      </w:r>
      <w:bookmarkStart w:id="2567" w:name="Bookmark_para_1_20"/>
      <w:bookmarkEnd w:id="2567"/>
      <w:r>
        <w:rPr>
          <w:rFonts w:ascii="Arial" w:eastAsia="Arial" w:hAnsi="Arial" w:cs="Arial"/>
          <w:color w:val="000000"/>
          <w:sz w:val="20"/>
        </w:rPr>
        <w:t>Appeal from the United States District Court for the Northern District of Illinois, Eastern Division. No. 10-cv-01699—Harry D. Leinenweber, Judge.</w:t>
      </w:r>
    </w:p>
    <w:p w14:paraId="7E7938BB" w14:textId="77777777" w:rsidR="00D041A2" w:rsidRDefault="00000000">
      <w:pPr>
        <w:pStyle w:val="Normal21"/>
        <w:widowControl w:val="0"/>
        <w:spacing w:before="240" w:line="260" w:lineRule="atLeast"/>
      </w:pPr>
      <w:bookmarkStart w:id="2568" w:name="Counsel_20"/>
      <w:bookmarkEnd w:id="2568"/>
      <w:r>
        <w:rPr>
          <w:rFonts w:ascii="Arial" w:eastAsia="Arial" w:hAnsi="Arial" w:cs="Arial"/>
          <w:b/>
          <w:color w:val="000000"/>
          <w:sz w:val="20"/>
        </w:rPr>
        <w:t>Counsel:</w:t>
      </w:r>
      <w:r>
        <w:rPr>
          <w:rFonts w:ascii="Arial" w:eastAsia="Arial" w:hAnsi="Arial" w:cs="Arial"/>
          <w:color w:val="000000"/>
          <w:sz w:val="20"/>
        </w:rPr>
        <w:t> For EQUAL EMPLOYMENT OPPORTUNITY COMMISSION, Plaintiff - Appellant: Barbara L. Sloan, Attorney, EQUAL EMPLOYMENT OPPORTUNITY COMMISSION, Washington, DC.</w:t>
      </w:r>
    </w:p>
    <w:p w14:paraId="0B825F6A" w14:textId="77777777" w:rsidR="00D041A2" w:rsidRDefault="00000000">
      <w:pPr>
        <w:pStyle w:val="Normal21"/>
        <w:widowControl w:val="0"/>
        <w:spacing w:before="120" w:line="260" w:lineRule="atLeast"/>
      </w:pPr>
      <w:r>
        <w:rPr>
          <w:rFonts w:ascii="Arial" w:eastAsia="Arial" w:hAnsi="Arial" w:cs="Arial"/>
          <w:color w:val="000000"/>
          <w:sz w:val="20"/>
        </w:rPr>
        <w:t>For UNITED AIR LINES, INCORPORATED, Defendant - Appellee: Nina Gidden Stillman, Attorney, MORGAN, LEWIS &amp; BOCKIUS LLP, Chicago, IL.</w:t>
      </w:r>
    </w:p>
    <w:p w14:paraId="23931431" w14:textId="77777777" w:rsidR="00D041A2" w:rsidRDefault="00000000">
      <w:pPr>
        <w:pStyle w:val="Normal21"/>
        <w:widowControl w:val="0"/>
        <w:spacing w:before="240" w:line="260" w:lineRule="atLeast"/>
      </w:pPr>
      <w:bookmarkStart w:id="2569" w:name="Judges_20"/>
      <w:bookmarkEnd w:id="2569"/>
      <w:r>
        <w:rPr>
          <w:rFonts w:ascii="Arial" w:eastAsia="Arial" w:hAnsi="Arial" w:cs="Arial"/>
          <w:b/>
          <w:color w:val="000000"/>
          <w:sz w:val="20"/>
        </w:rPr>
        <w:t>Judges:</w:t>
      </w:r>
      <w:r>
        <w:rPr>
          <w:rFonts w:ascii="Arial" w:eastAsia="Arial" w:hAnsi="Arial" w:cs="Arial"/>
          <w:color w:val="000000"/>
          <w:sz w:val="20"/>
        </w:rPr>
        <w:t> Before CUDAHY, KANNE, and SYKES, Circuit Judges.</w:t>
      </w:r>
    </w:p>
    <w:p w14:paraId="5C7A557F" w14:textId="77777777" w:rsidR="00D041A2" w:rsidRDefault="00000000">
      <w:pPr>
        <w:pStyle w:val="Normal21"/>
        <w:widowControl w:val="0"/>
        <w:spacing w:before="240" w:line="260" w:lineRule="atLeast"/>
      </w:pPr>
      <w:bookmarkStart w:id="2570" w:name="Opinion_by_14"/>
      <w:bookmarkEnd w:id="2570"/>
      <w:r>
        <w:rPr>
          <w:rFonts w:ascii="Arial" w:eastAsia="Arial" w:hAnsi="Arial" w:cs="Arial"/>
          <w:b/>
          <w:color w:val="000000"/>
          <w:sz w:val="20"/>
        </w:rPr>
        <w:t>Opinion by:</w:t>
      </w:r>
      <w:r>
        <w:rPr>
          <w:rFonts w:ascii="Arial" w:eastAsia="Arial" w:hAnsi="Arial" w:cs="Arial"/>
          <w:color w:val="000000"/>
          <w:sz w:val="20"/>
        </w:rPr>
        <w:t> CUDAHY</w:t>
      </w:r>
    </w:p>
    <w:p w14:paraId="5C2EBDBB" w14:textId="77777777" w:rsidR="00D041A2" w:rsidRDefault="00000000">
      <w:pPr>
        <w:pStyle w:val="Normal21"/>
        <w:keepNext/>
        <w:widowControl w:val="0"/>
        <w:spacing w:before="240" w:line="340" w:lineRule="atLeast"/>
      </w:pPr>
      <w:bookmarkStart w:id="2571" w:name="Opinion_20"/>
      <w:bookmarkEnd w:id="2571"/>
      <w:r>
        <w:rPr>
          <w:rFonts w:ascii="Arial" w:eastAsia="Arial" w:hAnsi="Arial" w:cs="Arial"/>
          <w:b/>
          <w:color w:val="000000"/>
          <w:sz w:val="28"/>
        </w:rPr>
        <w:t>Opinion</w:t>
      </w:r>
    </w:p>
    <w:p w14:paraId="08318B8C" w14:textId="44E5CEBF" w:rsidR="00D041A2" w:rsidRDefault="004D4403">
      <w:pPr>
        <w:pStyle w:val="Normal21"/>
        <w:spacing w:line="60" w:lineRule="exact"/>
      </w:pPr>
      <w:r>
        <w:rPr>
          <w:noProof/>
        </w:rPr>
        <mc:AlternateContent>
          <mc:Choice Requires="wps">
            <w:drawing>
              <wp:anchor distT="0" distB="0" distL="114300" distR="114300" simplePos="0" relativeHeight="251704320" behindDoc="0" locked="0" layoutInCell="1" allowOverlap="1" wp14:anchorId="13DC65CB" wp14:editId="2053AB78">
                <wp:simplePos x="0" y="0"/>
                <wp:positionH relativeFrom="column">
                  <wp:posOffset>0</wp:posOffset>
                </wp:positionH>
                <wp:positionV relativeFrom="paragraph">
                  <wp:posOffset>25400</wp:posOffset>
                </wp:positionV>
                <wp:extent cx="3187700" cy="0"/>
                <wp:effectExtent l="19050" t="15875" r="12700" b="12700"/>
                <wp:wrapTopAndBottom/>
                <wp:docPr id="1720963218"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B8532" id="Line 4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FC340D0" w14:textId="77777777" w:rsidR="00D041A2" w:rsidRDefault="00D041A2">
      <w:pPr>
        <w:pStyle w:val="Normal21"/>
      </w:pPr>
    </w:p>
    <w:p w14:paraId="309A6C4A" w14:textId="77777777" w:rsidR="00D041A2" w:rsidRDefault="00000000">
      <w:pPr>
        <w:pStyle w:val="Normal21"/>
        <w:widowControl w:val="0"/>
        <w:spacing w:before="200" w:line="260" w:lineRule="atLeast"/>
        <w:jc w:val="both"/>
      </w:pPr>
      <w:bookmarkStart w:id="2572" w:name="Bookmark_para_2_20"/>
      <w:bookmarkEnd w:id="2572"/>
      <w:r>
        <w:rPr>
          <w:rFonts w:ascii="Arial" w:eastAsia="Arial" w:hAnsi="Arial" w:cs="Arial"/>
          <w:color w:val="000000"/>
          <w:sz w:val="20"/>
        </w:rPr>
        <w:t xml:space="preserve"> [*543]  </w:t>
      </w:r>
      <w:r>
        <w:rPr>
          <w:rFonts w:ascii="Arial" w:eastAsia="Arial" w:hAnsi="Arial" w:cs="Arial"/>
          <w:smallCaps/>
          <w:color w:val="000000"/>
          <w:sz w:val="20"/>
        </w:rPr>
        <w:t>Cudahy</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xml:space="preserve">. </w:t>
      </w:r>
      <w:bookmarkStart w:id="2573" w:name="Bookmark_I0BF1PD348P000RGTG3001W6"/>
      <w:bookmarkStart w:id="2574" w:name="Bookmark_I5594S0N28T3X00020000400"/>
      <w:bookmarkEnd w:id="2573"/>
      <w:bookmarkEnd w:id="2574"/>
      <w:r>
        <w:rPr>
          <w:rFonts w:ascii="Arial" w:eastAsia="Arial" w:hAnsi="Arial" w:cs="Arial"/>
          <w:color w:val="000000"/>
          <w:sz w:val="20"/>
        </w:rPr>
        <w:t xml:space="preserve">In this case, the Equal Employment Opportunity Commission (EEOC) asks this court to change its interpretation of the Americans with Disabilities Act, 42 U.S.C. §§ 12101 </w:t>
      </w:r>
      <w:r>
        <w:rPr>
          <w:rFonts w:ascii="Arial" w:eastAsia="Arial" w:hAnsi="Arial" w:cs="Arial"/>
          <w:i/>
          <w:color w:val="000000"/>
          <w:sz w:val="20"/>
        </w:rPr>
        <w:t>et seq</w:t>
      </w:r>
      <w:r>
        <w:rPr>
          <w:rFonts w:ascii="Arial" w:eastAsia="Arial" w:hAnsi="Arial" w:cs="Arial"/>
          <w:color w:val="000000"/>
          <w:sz w:val="20"/>
        </w:rPr>
        <w:t xml:space="preserve">. (ADA). </w:t>
      </w:r>
      <w:bookmarkStart w:id="2575" w:name="Bookmark_I5594S0N28T3X00040000400"/>
      <w:bookmarkEnd w:id="2575"/>
      <w:r>
        <w:rPr>
          <w:rFonts w:ascii="Arial" w:eastAsia="Arial" w:hAnsi="Arial" w:cs="Arial"/>
          <w:color w:val="000000"/>
          <w:sz w:val="20"/>
        </w:rPr>
        <w:t xml:space="preserve">The EEOC contends that the ADA requires employers to reassign employees, who will lose their current positions due to disability, to a vacant position for which they are qualified. However, this court has already held, in </w:t>
      </w:r>
      <w:bookmarkStart w:id="2576" w:name="Bookmark_I5594S0N28T3X00010000400"/>
      <w:bookmarkEnd w:id="2576"/>
      <w:r>
        <w:rPr>
          <w:rFonts w:ascii="Arial" w:eastAsia="Arial" w:hAnsi="Arial" w:cs="Arial"/>
          <w:i/>
          <w:color w:val="000000"/>
          <w:sz w:val="20"/>
        </w:rPr>
        <w:t>EEOC v. Humiston-Keeling</w:t>
      </w:r>
      <w:r>
        <w:rPr>
          <w:rFonts w:ascii="Arial" w:eastAsia="Arial" w:hAnsi="Arial" w:cs="Arial"/>
          <w:color w:val="000000"/>
          <w:sz w:val="20"/>
        </w:rPr>
        <w:t xml:space="preserve">, 227 F.3d 1024, 1029 (7th Cir. 2000), that the ADA has no such requirement. </w:t>
      </w:r>
      <w:bookmarkStart w:id="2577" w:name="Bookmark_I5594S0N28T3X00040000400_2"/>
      <w:bookmarkEnd w:id="2577"/>
      <w:r>
        <w:rPr>
          <w:rFonts w:ascii="Arial" w:eastAsia="Arial" w:hAnsi="Arial" w:cs="Arial"/>
          <w:color w:val="000000"/>
          <w:sz w:val="20"/>
        </w:rPr>
        <w:t xml:space="preserve">The EEOC argues that the Supreme Court's ruling in </w:t>
      </w:r>
      <w:bookmarkStart w:id="2578" w:name="Bookmark_I5594S0N28T3X00030000400"/>
      <w:bookmarkEnd w:id="2578"/>
      <w:r>
        <w:rPr>
          <w:rFonts w:ascii="Arial" w:eastAsia="Arial" w:hAnsi="Arial" w:cs="Arial"/>
          <w:i/>
          <w:color w:val="000000"/>
          <w:sz w:val="20"/>
        </w:rPr>
        <w:t>US Airways, Inc. v. Barnett</w:t>
      </w:r>
      <w:r>
        <w:rPr>
          <w:rFonts w:ascii="Arial" w:eastAsia="Arial" w:hAnsi="Arial" w:cs="Arial"/>
          <w:color w:val="000000"/>
          <w:sz w:val="20"/>
        </w:rPr>
        <w:t xml:space="preserve">, 535 U.S. 391, 122 S. Ct. 1516, 152 L. Ed. 2d 589 (2002), undermines </w:t>
      </w:r>
      <w:r>
        <w:rPr>
          <w:rFonts w:ascii="Arial" w:eastAsia="Arial" w:hAnsi="Arial" w:cs="Arial"/>
          <w:i/>
          <w:color w:val="000000"/>
          <w:sz w:val="20"/>
        </w:rPr>
        <w:t>Humiston-Keeling</w:t>
      </w:r>
      <w:r>
        <w:rPr>
          <w:rFonts w:ascii="Arial" w:eastAsia="Arial" w:hAnsi="Arial" w:cs="Arial"/>
          <w:color w:val="000000"/>
          <w:sz w:val="20"/>
        </w:rPr>
        <w:t xml:space="preserve">. Several courts in this circuit have relied on </w:t>
      </w:r>
      <w:r>
        <w:rPr>
          <w:rFonts w:ascii="Arial" w:eastAsia="Arial" w:hAnsi="Arial" w:cs="Arial"/>
          <w:i/>
          <w:color w:val="000000"/>
          <w:sz w:val="20"/>
        </w:rPr>
        <w:t>Humiston-Keeling</w:t>
      </w:r>
      <w:r>
        <w:rPr>
          <w:rFonts w:ascii="Arial" w:eastAsia="Arial" w:hAnsi="Arial" w:cs="Arial"/>
          <w:color w:val="000000"/>
          <w:sz w:val="20"/>
        </w:rPr>
        <w:t xml:space="preserve">  [**2] in post-</w:t>
      </w:r>
      <w:r>
        <w:rPr>
          <w:rFonts w:ascii="Arial" w:eastAsia="Arial" w:hAnsi="Arial" w:cs="Arial"/>
          <w:i/>
          <w:color w:val="000000"/>
          <w:sz w:val="20"/>
        </w:rPr>
        <w:t>Barnett</w:t>
      </w:r>
      <w:r>
        <w:rPr>
          <w:rFonts w:ascii="Arial" w:eastAsia="Arial" w:hAnsi="Arial" w:cs="Arial"/>
          <w:color w:val="000000"/>
          <w:sz w:val="20"/>
        </w:rPr>
        <w:t xml:space="preserve"> opinions, though it appears that these courts did not conduct a detailed analysis of </w:t>
      </w:r>
      <w:r>
        <w:rPr>
          <w:rFonts w:ascii="Arial" w:eastAsia="Arial" w:hAnsi="Arial" w:cs="Arial"/>
          <w:i/>
          <w:color w:val="000000"/>
          <w:sz w:val="20"/>
        </w:rPr>
        <w:t>Humiston-Keeling's</w:t>
      </w:r>
      <w:r>
        <w:rPr>
          <w:rFonts w:ascii="Arial" w:eastAsia="Arial" w:hAnsi="Arial" w:cs="Arial"/>
          <w:color w:val="000000"/>
          <w:sz w:val="20"/>
        </w:rPr>
        <w:t xml:space="preserve"> continued vitality. In accordance with this circuit's case law, we affirm the district court's holding that the ADA does not mandate reassignment. However, this circuit might reconsider the impact of </w:t>
      </w:r>
      <w:r>
        <w:rPr>
          <w:rFonts w:ascii="Arial" w:eastAsia="Arial" w:hAnsi="Arial" w:cs="Arial"/>
          <w:i/>
          <w:color w:val="000000"/>
          <w:sz w:val="20"/>
        </w:rPr>
        <w:t>Barnett</w:t>
      </w:r>
      <w:r>
        <w:rPr>
          <w:rFonts w:ascii="Arial" w:eastAsia="Arial" w:hAnsi="Arial" w:cs="Arial"/>
          <w:color w:val="000000"/>
          <w:sz w:val="20"/>
        </w:rPr>
        <w:t xml:space="preserve"> on </w:t>
      </w:r>
      <w:r>
        <w:rPr>
          <w:rFonts w:ascii="Arial" w:eastAsia="Arial" w:hAnsi="Arial" w:cs="Arial"/>
          <w:i/>
          <w:color w:val="000000"/>
          <w:sz w:val="20"/>
        </w:rPr>
        <w:t>Humiston-Keeling</w:t>
      </w:r>
      <w:r>
        <w:rPr>
          <w:rFonts w:ascii="Arial" w:eastAsia="Arial" w:hAnsi="Arial" w:cs="Arial"/>
          <w:color w:val="000000"/>
          <w:sz w:val="20"/>
        </w:rPr>
        <w:t>.</w:t>
      </w:r>
    </w:p>
    <w:p w14:paraId="2F392F1F" w14:textId="77777777" w:rsidR="00D041A2" w:rsidRDefault="00000000">
      <w:pPr>
        <w:pStyle w:val="Normal21"/>
        <w:widowControl w:val="0"/>
        <w:spacing w:before="200" w:line="260" w:lineRule="atLeast"/>
        <w:jc w:val="both"/>
      </w:pPr>
      <w:bookmarkStart w:id="2579" w:name="Bookmark_para_3_20"/>
      <w:bookmarkEnd w:id="2579"/>
      <w:r>
        <w:rPr>
          <w:rFonts w:ascii="Arial" w:eastAsia="Arial" w:hAnsi="Arial" w:cs="Arial"/>
          <w:color w:val="000000"/>
          <w:sz w:val="20"/>
        </w:rPr>
        <w:t>In 2003, United Airlines set out Reasonable Accommodation Guidelines that address  [*544]  accommodating employees who, because of disability, can no longer do the essential functions of their current jobs even with reasonable accommodation. While the guidelines note that "transfer . . . [to] an equivalent or lower-level vacant position" may be a reasonable accommodation, the guidelines specify that the transfer process is competitive. Accordingly, an employee will not be automatically placed into a vacant position. Instead, employees needing accommodation will be given preference, meaning they can submit an unlimited number of transfer applications, they are guaranteed an interview and they will receive priority consideration over a similarly qualified applicant.</w:t>
      </w:r>
    </w:p>
    <w:p w14:paraId="3FD182BE" w14:textId="77777777" w:rsidR="00D041A2" w:rsidRDefault="00000000">
      <w:pPr>
        <w:pStyle w:val="Normal21"/>
        <w:widowControl w:val="0"/>
        <w:spacing w:before="200" w:line="260" w:lineRule="atLeast"/>
        <w:jc w:val="both"/>
      </w:pPr>
      <w:bookmarkStart w:id="2580" w:name="Bookmark_para_4_20"/>
      <w:bookmarkStart w:id="2581" w:name="Bookmark_I5594S0N2N1RVW0010000400"/>
      <w:bookmarkEnd w:id="2580"/>
      <w:bookmarkEnd w:id="2581"/>
      <w:r>
        <w:rPr>
          <w:rFonts w:ascii="Arial" w:eastAsia="Arial" w:hAnsi="Arial" w:cs="Arial"/>
          <w:color w:val="000000"/>
          <w:sz w:val="20"/>
        </w:rPr>
        <w:t xml:space="preserve">The EEOC filed suit in San Francisco, alleging that United's policy violates the ADA. The  [**3] district court granted United's motion to transfer the case to Illinois. The district court granted United's motion to dismiss the suit under Rule 12(b)(6). The district court noted that binding precedent, </w:t>
      </w:r>
      <w:bookmarkStart w:id="2582" w:name="Bookmark_I5594S0N28T3X00050000400"/>
      <w:bookmarkEnd w:id="2582"/>
      <w:r>
        <w:rPr>
          <w:rFonts w:ascii="Arial" w:eastAsia="Arial" w:hAnsi="Arial" w:cs="Arial"/>
          <w:i/>
          <w:color w:val="000000"/>
          <w:sz w:val="20"/>
        </w:rPr>
        <w:t>EEOC v. Humiston-Keeling</w:t>
      </w:r>
      <w:r>
        <w:rPr>
          <w:rFonts w:ascii="Arial" w:eastAsia="Arial" w:hAnsi="Arial" w:cs="Arial"/>
          <w:color w:val="000000"/>
          <w:sz w:val="20"/>
        </w:rPr>
        <w:t xml:space="preserve">, 227 F.3d 1024, 1028-29 (7th Cir. 2000) held that a competitive transfer policy does not violate the ADA. The court also rejected the EEOC's contention that the Supreme Court's decision in </w:t>
      </w:r>
      <w:bookmarkStart w:id="2583" w:name="Bookmark_I5594S0N2N1RVW0020000400"/>
      <w:bookmarkEnd w:id="2583"/>
      <w:r>
        <w:rPr>
          <w:rFonts w:ascii="Arial" w:eastAsia="Arial" w:hAnsi="Arial" w:cs="Arial"/>
          <w:i/>
          <w:color w:val="000000"/>
          <w:sz w:val="20"/>
        </w:rPr>
        <w:t>US Airways, Inc. v. Barnett</w:t>
      </w:r>
      <w:r>
        <w:rPr>
          <w:rFonts w:ascii="Arial" w:eastAsia="Arial" w:hAnsi="Arial" w:cs="Arial"/>
          <w:color w:val="000000"/>
          <w:sz w:val="20"/>
        </w:rPr>
        <w:t xml:space="preserve">, 535 U.S. 391, 122 S. Ct. 1516, 152 L. Ed. 2d 589 (2002) undermined </w:t>
      </w:r>
      <w:r>
        <w:rPr>
          <w:rFonts w:ascii="Arial" w:eastAsia="Arial" w:hAnsi="Arial" w:cs="Arial"/>
          <w:i/>
          <w:color w:val="000000"/>
          <w:sz w:val="20"/>
        </w:rPr>
        <w:t>Humiston-Keeling</w:t>
      </w:r>
      <w:r>
        <w:rPr>
          <w:rFonts w:ascii="Arial" w:eastAsia="Arial" w:hAnsi="Arial" w:cs="Arial"/>
          <w:color w:val="000000"/>
          <w:sz w:val="20"/>
        </w:rPr>
        <w:t>.</w:t>
      </w:r>
    </w:p>
    <w:p w14:paraId="63917BA1" w14:textId="77777777" w:rsidR="00D041A2" w:rsidRDefault="00000000">
      <w:pPr>
        <w:pStyle w:val="Normal21"/>
        <w:widowControl w:val="0"/>
        <w:spacing w:before="200" w:line="260" w:lineRule="atLeast"/>
        <w:jc w:val="both"/>
      </w:pPr>
      <w:bookmarkStart w:id="2584" w:name="Bookmark_para_5_20"/>
      <w:bookmarkStart w:id="2585" w:name="Bookmark_I5594S0N2N1RVW0050000400"/>
      <w:bookmarkStart w:id="2586" w:name="Bookmark_I5594S0N2D6MYY0020000400"/>
      <w:bookmarkStart w:id="2587" w:name="Bookmark_I5594S0N2D6N000010000400"/>
      <w:bookmarkEnd w:id="2584"/>
      <w:bookmarkEnd w:id="2585"/>
      <w:bookmarkEnd w:id="2586"/>
      <w:bookmarkEnd w:id="2587"/>
      <w:r>
        <w:rPr>
          <w:rFonts w:ascii="Arial" w:eastAsia="Arial" w:hAnsi="Arial" w:cs="Arial"/>
          <w:color w:val="000000"/>
          <w:sz w:val="20"/>
        </w:rPr>
        <w:t xml:space="preserve">This court reviews a dismissal under Rule 12(b)(6) </w:t>
      </w:r>
      <w:r>
        <w:rPr>
          <w:rFonts w:ascii="Arial" w:eastAsia="Arial" w:hAnsi="Arial" w:cs="Arial"/>
          <w:i/>
          <w:color w:val="000000"/>
          <w:sz w:val="20"/>
        </w:rPr>
        <w:t xml:space="preserve">de novo. </w:t>
      </w:r>
      <w:bookmarkStart w:id="2588" w:name="Bookmark_I5594S0N2N1RVW0040000400"/>
      <w:bookmarkEnd w:id="2588"/>
      <w:r>
        <w:rPr>
          <w:rFonts w:ascii="Arial" w:eastAsia="Arial" w:hAnsi="Arial" w:cs="Arial"/>
          <w:i/>
          <w:color w:val="000000"/>
          <w:sz w:val="20"/>
        </w:rPr>
        <w:t>Tamayo v. Blagojevich</w:t>
      </w:r>
      <w:r>
        <w:rPr>
          <w:rFonts w:ascii="Arial" w:eastAsia="Arial" w:hAnsi="Arial" w:cs="Arial"/>
          <w:color w:val="000000"/>
          <w:sz w:val="20"/>
        </w:rPr>
        <w:t xml:space="preserve">, 526 F.3d 1074, 1081 (7th Cir. 2008). A complaint must provide "sufficient factual matter, accepted as true, to 'state a claim to relief that is plausible on its face.'" </w:t>
      </w:r>
      <w:bookmarkStart w:id="2589" w:name="Bookmark_I5594S0N2D6MYY0010000400"/>
      <w:bookmarkEnd w:id="2589"/>
      <w:r>
        <w:rPr>
          <w:rFonts w:ascii="Arial" w:eastAsia="Arial" w:hAnsi="Arial" w:cs="Arial"/>
          <w:i/>
          <w:color w:val="000000"/>
          <w:sz w:val="20"/>
        </w:rPr>
        <w:t>Ashcroft v. Iqbal</w:t>
      </w:r>
      <w:r>
        <w:rPr>
          <w:rFonts w:ascii="Arial" w:eastAsia="Arial" w:hAnsi="Arial" w:cs="Arial"/>
          <w:color w:val="000000"/>
          <w:sz w:val="20"/>
        </w:rPr>
        <w:t xml:space="preserve">, 556 U.S. 662, 129 S. Ct. 1937, 1949, 173 L. Ed. 2d 868 (2002) (quoting </w:t>
      </w:r>
      <w:bookmarkStart w:id="2590" w:name="Bookmark_I5594S0N2D6MYY0030000400"/>
      <w:bookmarkEnd w:id="2590"/>
      <w:r>
        <w:rPr>
          <w:rFonts w:ascii="Arial" w:eastAsia="Arial" w:hAnsi="Arial" w:cs="Arial"/>
          <w:i/>
          <w:color w:val="000000"/>
          <w:sz w:val="20"/>
        </w:rPr>
        <w:t>Bell Atlantic Corp. v. Twombly</w:t>
      </w:r>
      <w:r>
        <w:rPr>
          <w:rFonts w:ascii="Arial" w:eastAsia="Arial" w:hAnsi="Arial" w:cs="Arial"/>
          <w:color w:val="000000"/>
          <w:sz w:val="20"/>
        </w:rPr>
        <w:t xml:space="preserve">, 550 U.S. 544, 570, 127 S. Ct. 1955, 167 L. Ed. 2d 929 (2007)). This court construes the complaint "in the light most favorable to the plaintiff, accepting as true all well-pleaded facts alleged, and drawing all possible inferences in [the EEOC's] favor." </w:t>
      </w:r>
      <w:bookmarkStart w:id="2591" w:name="Bookmark_I5594S0N2D6MYY0050000400"/>
      <w:bookmarkEnd w:id="2591"/>
      <w:r>
        <w:rPr>
          <w:rFonts w:ascii="Arial" w:eastAsia="Arial" w:hAnsi="Arial" w:cs="Arial"/>
          <w:i/>
          <w:color w:val="000000"/>
          <w:sz w:val="20"/>
        </w:rPr>
        <w:t>Tamayo</w:t>
      </w:r>
      <w:r>
        <w:rPr>
          <w:rFonts w:ascii="Arial" w:eastAsia="Arial" w:hAnsi="Arial" w:cs="Arial"/>
          <w:color w:val="000000"/>
          <w:sz w:val="20"/>
        </w:rPr>
        <w:t xml:space="preserve">, 526 F.3d at 1081 (citing </w:t>
      </w:r>
      <w:bookmarkStart w:id="2592" w:name="Bookmark_I5594S0N2D6N000020000400"/>
      <w:bookmarkEnd w:id="2592"/>
      <w:r>
        <w:rPr>
          <w:rFonts w:ascii="Arial" w:eastAsia="Arial" w:hAnsi="Arial" w:cs="Arial"/>
          <w:i/>
          <w:color w:val="000000"/>
          <w:sz w:val="20"/>
        </w:rPr>
        <w:t>Killingsworth v. HSBC Bank Nev</w:t>
      </w:r>
      <w:r>
        <w:rPr>
          <w:rFonts w:ascii="Arial" w:eastAsia="Arial" w:hAnsi="Arial" w:cs="Arial"/>
          <w:color w:val="000000"/>
          <w:sz w:val="20"/>
        </w:rPr>
        <w:t>., 507 F.3d 614, 618 (7th Cir. 2007)). We have jurisdiction to hear EEOC's appeal  [**4] under 28 U.S.C. § 1291.</w:t>
      </w:r>
    </w:p>
    <w:p w14:paraId="5F40A9B3" w14:textId="77777777" w:rsidR="00D041A2" w:rsidRDefault="00000000">
      <w:pPr>
        <w:pStyle w:val="Normal21"/>
        <w:widowControl w:val="0"/>
        <w:spacing w:before="200" w:line="260" w:lineRule="atLeast"/>
        <w:jc w:val="both"/>
      </w:pPr>
      <w:bookmarkStart w:id="2593" w:name="Bookmark_para_6_20"/>
      <w:bookmarkStart w:id="2594" w:name="Bookmark_I5594S0N2D6N000050000400"/>
      <w:bookmarkEnd w:id="2593"/>
      <w:bookmarkEnd w:id="2594"/>
      <w:r>
        <w:rPr>
          <w:rFonts w:ascii="Arial" w:eastAsia="Arial" w:hAnsi="Arial" w:cs="Arial"/>
          <w:color w:val="000000"/>
          <w:sz w:val="20"/>
        </w:rPr>
        <w:t xml:space="preserve">The district court noted that </w:t>
      </w:r>
      <w:r>
        <w:rPr>
          <w:rFonts w:ascii="Arial" w:eastAsia="Arial" w:hAnsi="Arial" w:cs="Arial"/>
          <w:i/>
          <w:color w:val="000000"/>
          <w:sz w:val="20"/>
        </w:rPr>
        <w:t>Humiston-Keeling</w:t>
      </w:r>
      <w:r>
        <w:rPr>
          <w:rFonts w:ascii="Arial" w:eastAsia="Arial" w:hAnsi="Arial" w:cs="Arial"/>
          <w:color w:val="000000"/>
          <w:sz w:val="20"/>
        </w:rPr>
        <w:t xml:space="preserve"> is directly on point and has not been overruled by the Seventh Circuit. The district court is correct on both points. </w:t>
      </w:r>
      <w:bookmarkStart w:id="2595" w:name="Bookmark_I5594S0N28T3X10020000400"/>
      <w:bookmarkEnd w:id="2595"/>
      <w:r>
        <w:rPr>
          <w:rFonts w:ascii="Arial" w:eastAsia="Arial" w:hAnsi="Arial" w:cs="Arial"/>
          <w:i/>
          <w:color w:val="000000"/>
          <w:sz w:val="20"/>
        </w:rPr>
        <w:t>Humiston-Keeling</w:t>
      </w:r>
      <w:r>
        <w:rPr>
          <w:rFonts w:ascii="Arial" w:eastAsia="Arial" w:hAnsi="Arial" w:cs="Arial"/>
          <w:color w:val="000000"/>
          <w:sz w:val="20"/>
        </w:rPr>
        <w:t xml:space="preserve"> involved a worker, Houser, who could no longer perform her conveyor job due to an injured arm. </w:t>
      </w:r>
      <w:bookmarkStart w:id="2596" w:name="Bookmark_I5594S0N2D6N000040000400"/>
      <w:bookmarkEnd w:id="2596"/>
      <w:r>
        <w:rPr>
          <w:rFonts w:ascii="Arial" w:eastAsia="Arial" w:hAnsi="Arial" w:cs="Arial"/>
          <w:color w:val="000000"/>
          <w:sz w:val="20"/>
        </w:rPr>
        <w:t xml:space="preserve">227 F.3d at 1026. </w:t>
      </w:r>
      <w:bookmarkStart w:id="2597" w:name="Bookmark_I5594S0N28T3X10020000400_2"/>
      <w:bookmarkStart w:id="2598" w:name="Bookmark_I0BF1PD383V000RGTG3001W7"/>
      <w:bookmarkStart w:id="2599" w:name="Bookmark_I5594S0N28T3X10040000400"/>
      <w:bookmarkEnd w:id="2597"/>
      <w:bookmarkEnd w:id="2598"/>
      <w:bookmarkEnd w:id="2599"/>
      <w:r>
        <w:rPr>
          <w:rFonts w:ascii="Arial" w:eastAsia="Arial" w:hAnsi="Arial" w:cs="Arial"/>
          <w:color w:val="000000"/>
          <w:sz w:val="20"/>
        </w:rPr>
        <w:t xml:space="preserve">After taking a temporary greeter position, Houser applied for vacant clerical positions within the company. However she did not get any of these jobs. </w:t>
      </w:r>
      <w:r>
        <w:rPr>
          <w:rFonts w:ascii="Arial" w:eastAsia="Arial" w:hAnsi="Arial" w:cs="Arial"/>
          <w:i/>
          <w:color w:val="000000"/>
          <w:sz w:val="20"/>
        </w:rPr>
        <w:t>Id</w:t>
      </w:r>
      <w:r>
        <w:rPr>
          <w:rFonts w:ascii="Arial" w:eastAsia="Arial" w:hAnsi="Arial" w:cs="Arial"/>
          <w:color w:val="000000"/>
          <w:sz w:val="20"/>
        </w:rPr>
        <w:t xml:space="preserve">. The EEOC brought suit, arguing the "reassignment form of reasonable accommodation . . . require[s] that the disabled person be advanced over a more qualified nondisabled person, provided only that the disabled person is at least minimally qualified to do the job, unless the employer can show undue hardship." </w:t>
      </w:r>
      <w:bookmarkStart w:id="2600" w:name="Bookmark_I5594S0N28T3X10010000400"/>
      <w:bookmarkEnd w:id="2600"/>
      <w:r>
        <w:rPr>
          <w:rFonts w:ascii="Arial" w:eastAsia="Arial" w:hAnsi="Arial" w:cs="Arial"/>
          <w:i/>
          <w:color w:val="000000"/>
          <w:sz w:val="20"/>
        </w:rPr>
        <w:t>Id</w:t>
      </w:r>
      <w:r>
        <w:rPr>
          <w:rFonts w:ascii="Arial" w:eastAsia="Arial" w:hAnsi="Arial" w:cs="Arial"/>
          <w:color w:val="000000"/>
          <w:sz w:val="20"/>
        </w:rPr>
        <w:t xml:space="preserve">. at 1027 (internal quotation marks omitted). </w:t>
      </w:r>
      <w:bookmarkStart w:id="2601" w:name="Bookmark_I5594S0N28T3X10040000400_2"/>
      <w:bookmarkEnd w:id="2601"/>
      <w:r>
        <w:rPr>
          <w:rFonts w:ascii="Arial" w:eastAsia="Arial" w:hAnsi="Arial" w:cs="Arial"/>
          <w:color w:val="000000"/>
          <w:sz w:val="20"/>
        </w:rPr>
        <w:t xml:space="preserve">This court rejected that assertion, holding the "ADA does not require an employer to reassign a disabled employee to a job for which there is a better applicant, provided it's the employer's consistent and honest policy to hire the best applicant for the particular job in question." </w:t>
      </w:r>
      <w:bookmarkStart w:id="2602" w:name="Bookmark_I5594S0N28T3X10030000400"/>
      <w:bookmarkEnd w:id="2602"/>
      <w:r>
        <w:rPr>
          <w:rFonts w:ascii="Arial" w:eastAsia="Arial" w:hAnsi="Arial" w:cs="Arial"/>
          <w:i/>
          <w:color w:val="000000"/>
          <w:sz w:val="20"/>
        </w:rPr>
        <w:t>Id</w:t>
      </w:r>
      <w:r>
        <w:rPr>
          <w:rFonts w:ascii="Arial" w:eastAsia="Arial" w:hAnsi="Arial" w:cs="Arial"/>
          <w:color w:val="000000"/>
          <w:sz w:val="20"/>
        </w:rPr>
        <w:t>. at 1029.</w:t>
      </w:r>
    </w:p>
    <w:p w14:paraId="4EBB2C8A" w14:textId="77777777" w:rsidR="00D041A2" w:rsidRDefault="00000000">
      <w:pPr>
        <w:pStyle w:val="Normal21"/>
        <w:widowControl w:val="0"/>
        <w:spacing w:before="200" w:line="260" w:lineRule="atLeast"/>
        <w:jc w:val="both"/>
      </w:pPr>
      <w:bookmarkStart w:id="2603" w:name="Bookmark_para_7_20"/>
      <w:bookmarkStart w:id="2604" w:name="Bookmark_I5594S0N2HM6V60010000400"/>
      <w:bookmarkEnd w:id="2603"/>
      <w:bookmarkEnd w:id="2604"/>
      <w:r>
        <w:rPr>
          <w:rFonts w:ascii="Arial" w:eastAsia="Arial" w:hAnsi="Arial" w:cs="Arial"/>
          <w:color w:val="000000"/>
          <w:sz w:val="20"/>
        </w:rPr>
        <w:t xml:space="preserve">As there is a controlling case directly on point, the EEOC must convince  [**5] this court to overrule its prior decision. This is no easy task. The doctrine of </w:t>
      </w:r>
      <w:r>
        <w:rPr>
          <w:rFonts w:ascii="Arial" w:eastAsia="Arial" w:hAnsi="Arial" w:cs="Arial"/>
          <w:i/>
          <w:color w:val="000000"/>
          <w:sz w:val="20"/>
        </w:rPr>
        <w:t>stare decisis</w:t>
      </w:r>
      <w:r>
        <w:rPr>
          <w:rFonts w:ascii="Arial" w:eastAsia="Arial" w:hAnsi="Arial" w:cs="Arial"/>
          <w:color w:val="000000"/>
          <w:sz w:val="20"/>
        </w:rPr>
        <w:t xml:space="preserve"> holds that "the mere existence of certain decisions becomes a reason for adhering to their holdings in subsequent cases." </w:t>
      </w:r>
      <w:bookmarkStart w:id="2605" w:name="Bookmark_I5594S0N28T3X10050000400"/>
      <w:bookmarkEnd w:id="2605"/>
      <w:r>
        <w:rPr>
          <w:rFonts w:ascii="Arial" w:eastAsia="Arial" w:hAnsi="Arial" w:cs="Arial"/>
          <w:i/>
          <w:color w:val="000000"/>
          <w:sz w:val="20"/>
        </w:rPr>
        <w:t>Tate v. Showboat Marina Casino P'ship</w:t>
      </w:r>
      <w:r>
        <w:rPr>
          <w:rFonts w:ascii="Arial" w:eastAsia="Arial" w:hAnsi="Arial" w:cs="Arial"/>
          <w:color w:val="000000"/>
          <w:sz w:val="20"/>
        </w:rPr>
        <w:t xml:space="preserve">, 431 F.3d 580, 583 (7th Cir. 2005). The EEOC's interpretation may in fact be a more supportable interpretation of the ADA, and here we think that this is likely.  [*545]  However, the EEOC must do more to force an abandonment of </w:t>
      </w:r>
      <w:r>
        <w:rPr>
          <w:rFonts w:ascii="Arial" w:eastAsia="Arial" w:hAnsi="Arial" w:cs="Arial"/>
          <w:i/>
          <w:color w:val="000000"/>
          <w:sz w:val="20"/>
        </w:rPr>
        <w:t>stare decisis</w:t>
      </w:r>
      <w:r>
        <w:rPr>
          <w:rFonts w:ascii="Arial" w:eastAsia="Arial" w:hAnsi="Arial" w:cs="Arial"/>
          <w:color w:val="000000"/>
          <w:sz w:val="20"/>
        </w:rPr>
        <w:t xml:space="preserve">. In order to provide this court with a compelling reason to deviate from precedent, the EEOC must show that </w:t>
      </w:r>
      <w:r>
        <w:rPr>
          <w:rFonts w:ascii="Arial" w:eastAsia="Arial" w:hAnsi="Arial" w:cs="Arial"/>
          <w:i/>
          <w:color w:val="000000"/>
          <w:sz w:val="20"/>
        </w:rPr>
        <w:t>Humiston-Keeling</w:t>
      </w:r>
      <w:r>
        <w:rPr>
          <w:rFonts w:ascii="Arial" w:eastAsia="Arial" w:hAnsi="Arial" w:cs="Arial"/>
          <w:color w:val="000000"/>
          <w:sz w:val="20"/>
        </w:rPr>
        <w:t xml:space="preserve"> is inconsistent with an onpoint Supreme Court decision or is otherwise incompatible with a change in statutory law.</w:t>
      </w:r>
    </w:p>
    <w:p w14:paraId="7DA89547" w14:textId="77777777" w:rsidR="00D041A2" w:rsidRDefault="00000000">
      <w:pPr>
        <w:pStyle w:val="Normal21"/>
        <w:widowControl w:val="0"/>
        <w:spacing w:before="200" w:line="260" w:lineRule="atLeast"/>
        <w:jc w:val="both"/>
      </w:pPr>
      <w:bookmarkStart w:id="2606" w:name="Bookmark_para_8_19"/>
      <w:bookmarkStart w:id="2607" w:name="Bookmark_I5594S0N2HM6V60030000400"/>
      <w:bookmarkEnd w:id="2606"/>
      <w:bookmarkEnd w:id="2607"/>
      <w:r>
        <w:rPr>
          <w:rFonts w:ascii="Arial" w:eastAsia="Arial" w:hAnsi="Arial" w:cs="Arial"/>
          <w:color w:val="000000"/>
          <w:sz w:val="20"/>
        </w:rPr>
        <w:t xml:space="preserve">The EEOC invites this court to overturn </w:t>
      </w:r>
      <w:r>
        <w:rPr>
          <w:rFonts w:ascii="Arial" w:eastAsia="Arial" w:hAnsi="Arial" w:cs="Arial"/>
          <w:i/>
          <w:color w:val="000000"/>
          <w:sz w:val="20"/>
        </w:rPr>
        <w:t>Humiston-Keeling</w:t>
      </w:r>
      <w:r>
        <w:rPr>
          <w:rFonts w:ascii="Arial" w:eastAsia="Arial" w:hAnsi="Arial" w:cs="Arial"/>
          <w:color w:val="000000"/>
          <w:sz w:val="20"/>
        </w:rPr>
        <w:t xml:space="preserve">, arguing that </w:t>
      </w:r>
      <w:r>
        <w:rPr>
          <w:rFonts w:ascii="Arial" w:eastAsia="Arial" w:hAnsi="Arial" w:cs="Arial"/>
          <w:i/>
          <w:color w:val="000000"/>
          <w:sz w:val="20"/>
        </w:rPr>
        <w:t>Barnett</w:t>
      </w:r>
      <w:r>
        <w:rPr>
          <w:rFonts w:ascii="Arial" w:eastAsia="Arial" w:hAnsi="Arial" w:cs="Arial"/>
          <w:color w:val="000000"/>
          <w:sz w:val="20"/>
        </w:rPr>
        <w:t xml:space="preserve"> undercuts the reasoning of </w:t>
      </w:r>
      <w:r>
        <w:rPr>
          <w:rFonts w:ascii="Arial" w:eastAsia="Arial" w:hAnsi="Arial" w:cs="Arial"/>
          <w:i/>
          <w:color w:val="000000"/>
          <w:sz w:val="20"/>
        </w:rPr>
        <w:t>Humiston-Keeling</w:t>
      </w:r>
      <w:r>
        <w:rPr>
          <w:rFonts w:ascii="Arial" w:eastAsia="Arial" w:hAnsi="Arial" w:cs="Arial"/>
          <w:color w:val="000000"/>
          <w:sz w:val="20"/>
        </w:rPr>
        <w:t xml:space="preserve">. In </w:t>
      </w:r>
      <w:r>
        <w:rPr>
          <w:rFonts w:ascii="Arial" w:eastAsia="Arial" w:hAnsi="Arial" w:cs="Arial"/>
          <w:i/>
          <w:color w:val="000000"/>
          <w:sz w:val="20"/>
        </w:rPr>
        <w:t>Barnett</w:t>
      </w:r>
      <w:r>
        <w:rPr>
          <w:rFonts w:ascii="Arial" w:eastAsia="Arial" w:hAnsi="Arial" w:cs="Arial"/>
          <w:color w:val="000000"/>
          <w:sz w:val="20"/>
        </w:rPr>
        <w:t xml:space="preserve">, the Supreme Court considered reassignment under the ADA in the context of a seniority system. </w:t>
      </w:r>
      <w:bookmarkStart w:id="2608" w:name="Bookmark_I5594S0N2HM6V60020000400"/>
      <w:bookmarkEnd w:id="2608"/>
      <w:r>
        <w:rPr>
          <w:rFonts w:ascii="Arial" w:eastAsia="Arial" w:hAnsi="Arial" w:cs="Arial"/>
          <w:color w:val="000000"/>
          <w:sz w:val="20"/>
        </w:rPr>
        <w:t xml:space="preserve">535 U.S. at 393-95. </w:t>
      </w:r>
      <w:bookmarkStart w:id="2609" w:name="Bookmark_I5594S0N2HM6V60050000400"/>
      <w:bookmarkEnd w:id="2609"/>
      <w:r>
        <w:rPr>
          <w:rFonts w:ascii="Arial" w:eastAsia="Arial" w:hAnsi="Arial" w:cs="Arial"/>
          <w:color w:val="000000"/>
          <w:sz w:val="20"/>
        </w:rPr>
        <w:t xml:space="preserve">Robert Barnett injured his back while a cargo-handler for U.S. Airways. </w:t>
      </w:r>
      <w:bookmarkStart w:id="2610" w:name="Bookmark_I5594S0N2HM6V60050000400_2"/>
      <w:bookmarkEnd w:id="2610"/>
      <w:r>
        <w:rPr>
          <w:rFonts w:ascii="Arial" w:eastAsia="Arial" w:hAnsi="Arial" w:cs="Arial"/>
          <w:color w:val="000000"/>
          <w:sz w:val="20"/>
        </w:rPr>
        <w:t xml:space="preserve">He invoked seniority and transferred to a mailroom position. </w:t>
      </w:r>
      <w:bookmarkStart w:id="2611" w:name="Bookmark_I5594S0N28T3X20020000400"/>
      <w:bookmarkStart w:id="2612" w:name="Bookmark_I5594S0N2HM6V60040000400"/>
      <w:bookmarkEnd w:id="2611"/>
      <w:bookmarkEnd w:id="2612"/>
      <w:r>
        <w:rPr>
          <w:rFonts w:ascii="Arial" w:eastAsia="Arial" w:hAnsi="Arial" w:cs="Arial"/>
          <w:i/>
          <w:color w:val="000000"/>
          <w:sz w:val="20"/>
        </w:rPr>
        <w:t>Id</w:t>
      </w:r>
      <w:r>
        <w:rPr>
          <w:rFonts w:ascii="Arial" w:eastAsia="Arial" w:hAnsi="Arial" w:cs="Arial"/>
          <w:color w:val="000000"/>
          <w:sz w:val="20"/>
        </w:rPr>
        <w:t xml:space="preserve">. at 394. </w:t>
      </w:r>
      <w:bookmarkStart w:id="2613" w:name="Bookmark_I5594S0N28T3X20020000400_2"/>
      <w:bookmarkEnd w:id="2613"/>
      <w:r>
        <w:rPr>
          <w:rFonts w:ascii="Arial" w:eastAsia="Arial" w:hAnsi="Arial" w:cs="Arial"/>
          <w:color w:val="000000"/>
          <w:sz w:val="20"/>
        </w:rPr>
        <w:t xml:space="preserve">Later, at least two employees senior to Barnett intended to bid for the mailroom  [**6] position. </w:t>
      </w:r>
      <w:r>
        <w:rPr>
          <w:rFonts w:ascii="Arial" w:eastAsia="Arial" w:hAnsi="Arial" w:cs="Arial"/>
          <w:i/>
          <w:color w:val="000000"/>
          <w:sz w:val="20"/>
        </w:rPr>
        <w:t>Id</w:t>
      </w:r>
      <w:r>
        <w:rPr>
          <w:rFonts w:ascii="Arial" w:eastAsia="Arial" w:hAnsi="Arial" w:cs="Arial"/>
          <w:color w:val="000000"/>
          <w:sz w:val="20"/>
        </w:rPr>
        <w:t xml:space="preserve">. Barnett claimed that because he was an individual with a disability capable of performing the essential functions of the mailroom job, the mailroom job was a reasonable accommodation mandated by the ADA. </w:t>
      </w:r>
      <w:bookmarkStart w:id="2614" w:name="Bookmark_I5594S0N28T3X20010000400"/>
      <w:bookmarkEnd w:id="2614"/>
      <w:r>
        <w:rPr>
          <w:rFonts w:ascii="Arial" w:eastAsia="Arial" w:hAnsi="Arial" w:cs="Arial"/>
          <w:i/>
          <w:color w:val="000000"/>
          <w:sz w:val="20"/>
        </w:rPr>
        <w:t>Id</w:t>
      </w:r>
      <w:r>
        <w:rPr>
          <w:rFonts w:ascii="Arial" w:eastAsia="Arial" w:hAnsi="Arial" w:cs="Arial"/>
          <w:color w:val="000000"/>
          <w:sz w:val="20"/>
        </w:rPr>
        <w:t>. at 394-95.</w:t>
      </w:r>
    </w:p>
    <w:p w14:paraId="4773BB41" w14:textId="77777777" w:rsidR="00D041A2" w:rsidRDefault="00000000">
      <w:pPr>
        <w:pStyle w:val="Normal21"/>
        <w:widowControl w:val="0"/>
        <w:spacing w:before="200" w:line="260" w:lineRule="atLeast"/>
        <w:jc w:val="both"/>
      </w:pPr>
      <w:bookmarkStart w:id="2615" w:name="Bookmark_para_9_18"/>
      <w:bookmarkStart w:id="2616" w:name="Bookmark_I5594S0N28T3X20040000400"/>
      <w:bookmarkStart w:id="2617" w:name="Bookmark_I5594S0N2HM6V70010000400"/>
      <w:bookmarkEnd w:id="2615"/>
      <w:bookmarkEnd w:id="2616"/>
      <w:bookmarkEnd w:id="2617"/>
      <w:r>
        <w:rPr>
          <w:rFonts w:ascii="Arial" w:eastAsia="Arial" w:hAnsi="Arial" w:cs="Arial"/>
          <w:color w:val="000000"/>
          <w:sz w:val="20"/>
        </w:rPr>
        <w:t xml:space="preserve">The Supreme Court first noted that "[t]he simple fact that an accommodation would provide a 'preference'— in the sense that it would permit the worker with a disability to violate a rule that others must obey—cannot, </w:t>
      </w:r>
      <w:r>
        <w:rPr>
          <w:rFonts w:ascii="Arial" w:eastAsia="Arial" w:hAnsi="Arial" w:cs="Arial"/>
          <w:i/>
          <w:color w:val="000000"/>
          <w:sz w:val="20"/>
        </w:rPr>
        <w:t>in and of itself</w:t>
      </w:r>
      <w:r>
        <w:rPr>
          <w:rFonts w:ascii="Arial" w:eastAsia="Arial" w:hAnsi="Arial" w:cs="Arial"/>
          <w:color w:val="000000"/>
          <w:sz w:val="20"/>
        </w:rPr>
        <w:t xml:space="preserve">, automatically show that the accommodation is not 'reasonable.'" </w:t>
      </w:r>
      <w:bookmarkStart w:id="2618" w:name="Bookmark_I5594S0N28T3X20030000400"/>
      <w:bookmarkEnd w:id="2618"/>
      <w:r>
        <w:rPr>
          <w:rFonts w:ascii="Arial" w:eastAsia="Arial" w:hAnsi="Arial" w:cs="Arial"/>
          <w:i/>
          <w:color w:val="000000"/>
          <w:sz w:val="20"/>
        </w:rPr>
        <w:t>Id</w:t>
      </w:r>
      <w:r>
        <w:rPr>
          <w:rFonts w:ascii="Arial" w:eastAsia="Arial" w:hAnsi="Arial" w:cs="Arial"/>
          <w:color w:val="000000"/>
          <w:sz w:val="20"/>
        </w:rPr>
        <w:t xml:space="preserve">. at 398 (emphasis in original). </w:t>
      </w:r>
      <w:bookmarkStart w:id="2619" w:name="Bookmark_I5594S0N2HM6V70030000400"/>
      <w:bookmarkEnd w:id="2619"/>
      <w:r>
        <w:rPr>
          <w:rFonts w:ascii="Arial" w:eastAsia="Arial" w:hAnsi="Arial" w:cs="Arial"/>
          <w:color w:val="000000"/>
          <w:sz w:val="20"/>
        </w:rPr>
        <w:t xml:space="preserve">Instead, the Court outlined a case-specific approach: Once the plaintiff has shown he seeks a reasonable method of accommodation, "the defendant/employer then must show special (typically case-specific) circumstances that demonstrate undue hardship in the particular circumstances." </w:t>
      </w:r>
      <w:bookmarkStart w:id="2620" w:name="Bookmark_I5594S0N28T3X20050000400"/>
      <w:bookmarkEnd w:id="2620"/>
      <w:r>
        <w:rPr>
          <w:rFonts w:ascii="Arial" w:eastAsia="Arial" w:hAnsi="Arial" w:cs="Arial"/>
          <w:i/>
          <w:color w:val="000000"/>
          <w:sz w:val="20"/>
        </w:rPr>
        <w:t>Id</w:t>
      </w:r>
      <w:r>
        <w:rPr>
          <w:rFonts w:ascii="Arial" w:eastAsia="Arial" w:hAnsi="Arial" w:cs="Arial"/>
          <w:color w:val="000000"/>
          <w:sz w:val="20"/>
        </w:rPr>
        <w:t xml:space="preserve">. at 403. While Barnett's request for assignment to the mailroom was a "reasonable accommodation" within the meaning of the statute, the violation of a seniority system would present an undue hardship to any employer. </w:t>
      </w:r>
      <w:bookmarkStart w:id="2621" w:name="Bookmark_I5594S0N2HM6V70030000400_2"/>
      <w:bookmarkStart w:id="2622" w:name="Bookmark_I5594S0N2HM6V70020000400"/>
      <w:bookmarkEnd w:id="2621"/>
      <w:bookmarkEnd w:id="2622"/>
      <w:r>
        <w:rPr>
          <w:rFonts w:ascii="Arial" w:eastAsia="Arial" w:hAnsi="Arial" w:cs="Arial"/>
          <w:i/>
          <w:color w:val="000000"/>
          <w:sz w:val="20"/>
        </w:rPr>
        <w:t>Id</w:t>
      </w:r>
      <w:r>
        <w:rPr>
          <w:rFonts w:ascii="Arial" w:eastAsia="Arial" w:hAnsi="Arial" w:cs="Arial"/>
          <w:color w:val="000000"/>
          <w:sz w:val="20"/>
        </w:rPr>
        <w:t>. at 403.</w:t>
      </w:r>
    </w:p>
    <w:p w14:paraId="3DE38D32" w14:textId="77777777" w:rsidR="00D041A2" w:rsidRDefault="00000000">
      <w:pPr>
        <w:pStyle w:val="Normal21"/>
        <w:widowControl w:val="0"/>
        <w:spacing w:before="200" w:line="260" w:lineRule="atLeast"/>
        <w:jc w:val="both"/>
      </w:pPr>
      <w:bookmarkStart w:id="2623" w:name="Bookmark_para_10_18"/>
      <w:bookmarkStart w:id="2624" w:name="Bookmark_I5594S0N2HM6V70050000400"/>
      <w:bookmarkEnd w:id="2623"/>
      <w:bookmarkEnd w:id="2624"/>
      <w:r>
        <w:rPr>
          <w:rFonts w:ascii="Arial" w:eastAsia="Arial" w:hAnsi="Arial" w:cs="Arial"/>
          <w:color w:val="000000"/>
          <w:sz w:val="20"/>
        </w:rPr>
        <w:t xml:space="preserve">The EEOC points out that US Airways relied heavily on </w:t>
      </w:r>
      <w:r>
        <w:rPr>
          <w:rFonts w:ascii="Arial" w:eastAsia="Arial" w:hAnsi="Arial" w:cs="Arial"/>
          <w:i/>
          <w:color w:val="000000"/>
          <w:sz w:val="20"/>
        </w:rPr>
        <w:t>Humiston-Keeling</w:t>
      </w:r>
      <w:r>
        <w:rPr>
          <w:rFonts w:ascii="Arial" w:eastAsia="Arial" w:hAnsi="Arial" w:cs="Arial"/>
          <w:color w:val="000000"/>
          <w:sz w:val="20"/>
        </w:rPr>
        <w:t xml:space="preserve"> and, more importantly, that the Court flatly contradicted  [**7] much of the language of </w:t>
      </w:r>
      <w:r>
        <w:rPr>
          <w:rFonts w:ascii="Arial" w:eastAsia="Arial" w:hAnsi="Arial" w:cs="Arial"/>
          <w:i/>
          <w:color w:val="000000"/>
          <w:sz w:val="20"/>
        </w:rPr>
        <w:t>Humiston-Keeling</w:t>
      </w:r>
      <w:r>
        <w:rPr>
          <w:rFonts w:ascii="Arial" w:eastAsia="Arial" w:hAnsi="Arial" w:cs="Arial"/>
          <w:color w:val="000000"/>
          <w:sz w:val="20"/>
        </w:rPr>
        <w:t xml:space="preserve"> in </w:t>
      </w:r>
      <w:r>
        <w:rPr>
          <w:rFonts w:ascii="Arial" w:eastAsia="Arial" w:hAnsi="Arial" w:cs="Arial"/>
          <w:i/>
          <w:color w:val="000000"/>
          <w:sz w:val="20"/>
        </w:rPr>
        <w:t>Barnett</w:t>
      </w:r>
      <w:r>
        <w:rPr>
          <w:rFonts w:ascii="Arial" w:eastAsia="Arial" w:hAnsi="Arial" w:cs="Arial"/>
          <w:color w:val="000000"/>
          <w:sz w:val="20"/>
        </w:rPr>
        <w:t xml:space="preserve">. US Airways argued that it was not required to grant a requested accommodation that would violate a disability-neutral rule, picking up the argument from </w:t>
      </w:r>
      <w:r>
        <w:rPr>
          <w:rFonts w:ascii="Arial" w:eastAsia="Arial" w:hAnsi="Arial" w:cs="Arial"/>
          <w:i/>
          <w:color w:val="000000"/>
          <w:sz w:val="20"/>
        </w:rPr>
        <w:t>Humiston-Keeling</w:t>
      </w:r>
      <w:r>
        <w:rPr>
          <w:rFonts w:ascii="Arial" w:eastAsia="Arial" w:hAnsi="Arial" w:cs="Arial"/>
          <w:color w:val="000000"/>
          <w:sz w:val="20"/>
        </w:rPr>
        <w:t xml:space="preserve"> that the ADA is "not a mandatory preference act" but only a "non-discrimination statute." The Court rejected this anti-preference interpretation of the ADA, noting that this argument "fails to recognize what the Act specifies, namely, that preferences will sometimes prove necessary to achieve the Act's basic equal opportunity goal." </w:t>
      </w:r>
      <w:bookmarkStart w:id="2625" w:name="Bookmark_I5594S0N2HM6V70040000400"/>
      <w:bookmarkEnd w:id="2625"/>
      <w:r>
        <w:rPr>
          <w:rFonts w:ascii="Arial" w:eastAsia="Arial" w:hAnsi="Arial" w:cs="Arial"/>
          <w:color w:val="000000"/>
          <w:sz w:val="20"/>
        </w:rPr>
        <w:t xml:space="preserve">535 U.S. at 397. Merely following a "neutral rule" did not allow US Airways to claim an "automatic exemption" from the accommodation requirement of the Act. </w:t>
      </w:r>
      <w:r>
        <w:rPr>
          <w:rFonts w:ascii="Arial" w:eastAsia="Arial" w:hAnsi="Arial" w:cs="Arial"/>
          <w:i/>
          <w:color w:val="000000"/>
          <w:sz w:val="20"/>
        </w:rPr>
        <w:t>Id</w:t>
      </w:r>
      <w:r>
        <w:rPr>
          <w:rFonts w:ascii="Arial" w:eastAsia="Arial" w:hAnsi="Arial" w:cs="Arial"/>
          <w:color w:val="000000"/>
          <w:sz w:val="20"/>
        </w:rPr>
        <w:t>. Instead, US Airways prevailed because its situation satisfied a much narrower exception based on the hardship that would be imposed on an employer utilizing a seniority system.</w:t>
      </w:r>
    </w:p>
    <w:p w14:paraId="5DAC962C" w14:textId="77777777" w:rsidR="00D041A2" w:rsidRDefault="00000000">
      <w:pPr>
        <w:pStyle w:val="Normal21"/>
        <w:widowControl w:val="0"/>
        <w:spacing w:before="200" w:line="260" w:lineRule="atLeast"/>
        <w:jc w:val="both"/>
      </w:pPr>
      <w:bookmarkStart w:id="2626" w:name="Bookmark_para_11_17"/>
      <w:bookmarkStart w:id="2627" w:name="Bookmark_I5594S0N2D6N010020000400"/>
      <w:bookmarkEnd w:id="2626"/>
      <w:bookmarkEnd w:id="2627"/>
      <w:r>
        <w:rPr>
          <w:rFonts w:ascii="Arial" w:eastAsia="Arial" w:hAnsi="Arial" w:cs="Arial"/>
          <w:color w:val="000000"/>
          <w:sz w:val="20"/>
        </w:rPr>
        <w:t xml:space="preserve">While EEOC's argument may be persuasive, the analysis of </w:t>
      </w:r>
      <w:r>
        <w:rPr>
          <w:rFonts w:ascii="Arial" w:eastAsia="Arial" w:hAnsi="Arial" w:cs="Arial"/>
          <w:i/>
          <w:color w:val="000000"/>
          <w:sz w:val="20"/>
        </w:rPr>
        <w:t>Barnett's</w:t>
      </w:r>
      <w:r>
        <w:rPr>
          <w:rFonts w:ascii="Arial" w:eastAsia="Arial" w:hAnsi="Arial" w:cs="Arial"/>
          <w:color w:val="000000"/>
          <w:sz w:val="20"/>
        </w:rPr>
        <w:t xml:space="preserve"> impact on </w:t>
      </w:r>
      <w:r>
        <w:rPr>
          <w:rFonts w:ascii="Arial" w:eastAsia="Arial" w:hAnsi="Arial" w:cs="Arial"/>
          <w:i/>
          <w:color w:val="000000"/>
          <w:sz w:val="20"/>
        </w:rPr>
        <w:t>Humiston-Keeling</w:t>
      </w:r>
      <w:r>
        <w:rPr>
          <w:rFonts w:ascii="Arial" w:eastAsia="Arial" w:hAnsi="Arial" w:cs="Arial"/>
          <w:color w:val="000000"/>
          <w:sz w:val="20"/>
        </w:rPr>
        <w:t xml:space="preserve"> is further complicated by the fact that we are not the first panel to consider this issue. This court has previously considered </w:t>
      </w:r>
      <w:r>
        <w:rPr>
          <w:rFonts w:ascii="Arial" w:eastAsia="Arial" w:hAnsi="Arial" w:cs="Arial"/>
          <w:i/>
          <w:color w:val="000000"/>
          <w:sz w:val="20"/>
        </w:rPr>
        <w:t>Barnett's</w:t>
      </w:r>
      <w:r>
        <w:rPr>
          <w:rFonts w:ascii="Arial" w:eastAsia="Arial" w:hAnsi="Arial" w:cs="Arial"/>
          <w:color w:val="000000"/>
          <w:sz w:val="20"/>
        </w:rPr>
        <w:t xml:space="preserve"> relationship to </w:t>
      </w:r>
      <w:r>
        <w:rPr>
          <w:rFonts w:ascii="Arial" w:eastAsia="Arial" w:hAnsi="Arial" w:cs="Arial"/>
          <w:i/>
          <w:color w:val="000000"/>
          <w:sz w:val="20"/>
        </w:rPr>
        <w:t>Humiston-Keeling</w:t>
      </w:r>
      <w:r>
        <w:rPr>
          <w:rFonts w:ascii="Arial" w:eastAsia="Arial" w:hAnsi="Arial" w:cs="Arial"/>
          <w:color w:val="000000"/>
          <w:sz w:val="20"/>
        </w:rPr>
        <w:t xml:space="preserve">, albeit in an abbreviated fashion without  [**8] the benefit of briefing. In </w:t>
      </w:r>
      <w:bookmarkStart w:id="2628" w:name="Bookmark_I5594S0N2D6N010010000400"/>
      <w:bookmarkEnd w:id="2628"/>
      <w:r>
        <w:rPr>
          <w:rFonts w:ascii="Arial" w:eastAsia="Arial" w:hAnsi="Arial" w:cs="Arial"/>
          <w:i/>
          <w:color w:val="000000"/>
          <w:sz w:val="20"/>
        </w:rPr>
        <w:t>Mays v. Principi</w:t>
      </w:r>
      <w:r>
        <w:rPr>
          <w:rFonts w:ascii="Arial" w:eastAsia="Arial" w:hAnsi="Arial" w:cs="Arial"/>
          <w:color w:val="000000"/>
          <w:sz w:val="20"/>
        </w:rPr>
        <w:t xml:space="preserve">, 301 F.3d 866 (7th Cir. 2002), this court relied on </w:t>
      </w:r>
      <w:r>
        <w:rPr>
          <w:rFonts w:ascii="Arial" w:eastAsia="Arial" w:hAnsi="Arial" w:cs="Arial"/>
          <w:i/>
          <w:color w:val="000000"/>
          <w:sz w:val="20"/>
        </w:rPr>
        <w:t>Humiston-Keeling</w:t>
      </w:r>
      <w:r>
        <w:rPr>
          <w:rFonts w:ascii="Arial" w:eastAsia="Arial" w:hAnsi="Arial" w:cs="Arial"/>
          <w:color w:val="000000"/>
          <w:sz w:val="20"/>
        </w:rPr>
        <w:t xml:space="preserve"> in finding that an employer did not violate the duty of reasonable accommodation in the Rehabilitation Act of 1973, 29 U.S.C. §§ 701 </w:t>
      </w:r>
      <w:r>
        <w:rPr>
          <w:rFonts w:ascii="Arial" w:eastAsia="Arial" w:hAnsi="Arial" w:cs="Arial"/>
          <w:i/>
          <w:color w:val="000000"/>
          <w:sz w:val="20"/>
        </w:rPr>
        <w:t>et seq</w:t>
      </w:r>
      <w:r>
        <w:rPr>
          <w:rFonts w:ascii="Arial" w:eastAsia="Arial" w:hAnsi="Arial" w:cs="Arial"/>
          <w:color w:val="000000"/>
          <w:sz w:val="20"/>
        </w:rPr>
        <w:t>., by giving an administrative nursing position to a better qualified applicant, rather than to a disabled  [*546]  employee needing reassignment.</w:t>
      </w:r>
      <w:r>
        <w:rPr>
          <w:rFonts w:ascii="Arial" w:eastAsia="Arial" w:hAnsi="Arial" w:cs="Arial"/>
          <w:vertAlign w:val="superscript"/>
        </w:rPr>
        <w:footnoteReference w:customMarkFollows="1" w:id="119"/>
        <w:t>1</w:t>
      </w:r>
      <w:r>
        <w:rPr>
          <w:rFonts w:ascii="Arial" w:eastAsia="Arial" w:hAnsi="Arial" w:cs="Arial"/>
          <w:color w:val="000000"/>
          <w:sz w:val="20"/>
        </w:rPr>
        <w:t xml:space="preserve"> </w:t>
      </w:r>
      <w:bookmarkStart w:id="2630" w:name="Bookmark_I5594S0N2D6N010030000400"/>
      <w:bookmarkEnd w:id="2630"/>
      <w:r>
        <w:rPr>
          <w:rFonts w:ascii="Arial" w:eastAsia="Arial" w:hAnsi="Arial" w:cs="Arial"/>
          <w:i/>
          <w:color w:val="000000"/>
          <w:sz w:val="20"/>
        </w:rPr>
        <w:t>Mays</w:t>
      </w:r>
      <w:r>
        <w:rPr>
          <w:rFonts w:ascii="Arial" w:eastAsia="Arial" w:hAnsi="Arial" w:cs="Arial"/>
          <w:color w:val="000000"/>
          <w:sz w:val="20"/>
        </w:rPr>
        <w:t xml:space="preserve">, 301 F.3d at 871-72. The </w:t>
      </w:r>
      <w:r>
        <w:rPr>
          <w:rFonts w:ascii="Arial" w:eastAsia="Arial" w:hAnsi="Arial" w:cs="Arial"/>
          <w:i/>
          <w:color w:val="000000"/>
          <w:sz w:val="20"/>
        </w:rPr>
        <w:t>Mays</w:t>
      </w:r>
      <w:r>
        <w:rPr>
          <w:rFonts w:ascii="Arial" w:eastAsia="Arial" w:hAnsi="Arial" w:cs="Arial"/>
          <w:color w:val="000000"/>
          <w:sz w:val="20"/>
        </w:rPr>
        <w:t xml:space="preserve"> Court noted that the recently handed down </w:t>
      </w:r>
      <w:r>
        <w:rPr>
          <w:rFonts w:ascii="Arial" w:eastAsia="Arial" w:hAnsi="Arial" w:cs="Arial"/>
          <w:i/>
          <w:color w:val="000000"/>
          <w:sz w:val="20"/>
        </w:rPr>
        <w:t>Barnett</w:t>
      </w:r>
      <w:r>
        <w:rPr>
          <w:rFonts w:ascii="Arial" w:eastAsia="Arial" w:hAnsi="Arial" w:cs="Arial"/>
          <w:color w:val="000000"/>
          <w:sz w:val="20"/>
        </w:rPr>
        <w:t xml:space="preserve"> decision actually bolstered </w:t>
      </w:r>
      <w:r>
        <w:rPr>
          <w:rFonts w:ascii="Arial" w:eastAsia="Arial" w:hAnsi="Arial" w:cs="Arial"/>
          <w:i/>
          <w:color w:val="000000"/>
          <w:sz w:val="20"/>
        </w:rPr>
        <w:t>Humiston-Keeling</w:t>
      </w:r>
      <w:r>
        <w:rPr>
          <w:rFonts w:ascii="Arial" w:eastAsia="Arial" w:hAnsi="Arial" w:cs="Arial"/>
          <w:color w:val="000000"/>
          <w:sz w:val="20"/>
        </w:rPr>
        <w:t xml:space="preserve">. </w:t>
      </w:r>
      <w:bookmarkStart w:id="2631" w:name="Bookmark_I5594S0N2N1RVX0010000400"/>
      <w:bookmarkEnd w:id="2631"/>
      <w:r>
        <w:rPr>
          <w:rFonts w:ascii="Arial" w:eastAsia="Arial" w:hAnsi="Arial" w:cs="Arial"/>
          <w:color w:val="000000"/>
          <w:sz w:val="20"/>
        </w:rPr>
        <w:t xml:space="preserve">In so doing, the </w:t>
      </w:r>
      <w:r>
        <w:rPr>
          <w:rFonts w:ascii="Arial" w:eastAsia="Arial" w:hAnsi="Arial" w:cs="Arial"/>
          <w:i/>
          <w:color w:val="000000"/>
          <w:sz w:val="20"/>
        </w:rPr>
        <w:t>Mays</w:t>
      </w:r>
      <w:r>
        <w:rPr>
          <w:rFonts w:ascii="Arial" w:eastAsia="Arial" w:hAnsi="Arial" w:cs="Arial"/>
          <w:color w:val="000000"/>
          <w:sz w:val="20"/>
        </w:rPr>
        <w:t xml:space="preserve"> Court equated seniority systems with any normal method of filling vacancies. "[</w:t>
      </w:r>
      <w:r>
        <w:rPr>
          <w:rFonts w:ascii="Arial" w:eastAsia="Arial" w:hAnsi="Arial" w:cs="Arial"/>
          <w:i/>
          <w:color w:val="000000"/>
          <w:sz w:val="20"/>
        </w:rPr>
        <w:t>Barnett</w:t>
      </w:r>
      <w:r>
        <w:rPr>
          <w:rFonts w:ascii="Arial" w:eastAsia="Arial" w:hAnsi="Arial" w:cs="Arial"/>
          <w:color w:val="000000"/>
          <w:sz w:val="20"/>
        </w:rPr>
        <w:t xml:space="preserve">] holds that an employer is not required to give a disabled employee superseniority to enable him to retain his job when a more senior employee invokes an entitlement to it conferred by the employer's seniority system. If for 'more senior' we read 'better qualified,' for 'seniority system' we read 'the employer's normal method of filling vacancies,' and for 'superseniority' we read 'a break,' </w:t>
      </w:r>
      <w:r>
        <w:rPr>
          <w:rFonts w:ascii="Arial" w:eastAsia="Arial" w:hAnsi="Arial" w:cs="Arial"/>
          <w:i/>
          <w:color w:val="000000"/>
          <w:sz w:val="20"/>
        </w:rPr>
        <w:t>U.S. Airways</w:t>
      </w:r>
      <w:r>
        <w:rPr>
          <w:rFonts w:ascii="Arial" w:eastAsia="Arial" w:hAnsi="Arial" w:cs="Arial"/>
          <w:color w:val="000000"/>
          <w:sz w:val="20"/>
        </w:rPr>
        <w:t xml:space="preserve"> becomes our case." </w:t>
      </w:r>
      <w:bookmarkStart w:id="2632" w:name="Bookmark_I5594S0N2D6N010050000400"/>
      <w:bookmarkEnd w:id="2632"/>
      <w:r>
        <w:rPr>
          <w:rFonts w:ascii="Arial" w:eastAsia="Arial" w:hAnsi="Arial" w:cs="Arial"/>
          <w:i/>
          <w:color w:val="000000"/>
          <w:sz w:val="20"/>
        </w:rPr>
        <w:t>Id</w:t>
      </w:r>
      <w:r>
        <w:rPr>
          <w:rFonts w:ascii="Arial" w:eastAsia="Arial" w:hAnsi="Arial" w:cs="Arial"/>
          <w:color w:val="000000"/>
          <w:sz w:val="20"/>
        </w:rPr>
        <w:t>. at 872 (internal citation omitted).</w:t>
      </w:r>
    </w:p>
    <w:p w14:paraId="4109FC1D" w14:textId="77777777" w:rsidR="00D041A2" w:rsidRDefault="00000000">
      <w:pPr>
        <w:pStyle w:val="Normal21"/>
        <w:widowControl w:val="0"/>
        <w:spacing w:before="200" w:line="260" w:lineRule="atLeast"/>
        <w:jc w:val="both"/>
      </w:pPr>
      <w:bookmarkStart w:id="2633" w:name="Bookmark_para_12_16"/>
      <w:bookmarkEnd w:id="2633"/>
      <w:r>
        <w:rPr>
          <w:rFonts w:ascii="Arial" w:eastAsia="Arial" w:hAnsi="Arial" w:cs="Arial"/>
          <w:color w:val="000000"/>
          <w:sz w:val="20"/>
        </w:rPr>
        <w:t xml:space="preserve">The EEOC argues that the </w:t>
      </w:r>
      <w:r>
        <w:rPr>
          <w:rFonts w:ascii="Arial" w:eastAsia="Arial" w:hAnsi="Arial" w:cs="Arial"/>
          <w:i/>
          <w:color w:val="000000"/>
          <w:sz w:val="20"/>
        </w:rPr>
        <w:t>Mays</w:t>
      </w:r>
      <w:r>
        <w:rPr>
          <w:rFonts w:ascii="Arial" w:eastAsia="Arial" w:hAnsi="Arial" w:cs="Arial"/>
          <w:color w:val="000000"/>
          <w:sz w:val="20"/>
        </w:rPr>
        <w:t xml:space="preserve">  [**9] Court's assertion that a best-qualified selection policy is essentially the same as a seniority system is simply wrong. In equating the two, the </w:t>
      </w:r>
      <w:r>
        <w:rPr>
          <w:rFonts w:ascii="Arial" w:eastAsia="Arial" w:hAnsi="Arial" w:cs="Arial"/>
          <w:i/>
          <w:color w:val="000000"/>
          <w:sz w:val="20"/>
        </w:rPr>
        <w:t>Mays</w:t>
      </w:r>
      <w:r>
        <w:rPr>
          <w:rFonts w:ascii="Arial" w:eastAsia="Arial" w:hAnsi="Arial" w:cs="Arial"/>
          <w:color w:val="000000"/>
          <w:sz w:val="20"/>
        </w:rPr>
        <w:t xml:space="preserve"> Court so enlarges the narrow exception set out in </w:t>
      </w:r>
      <w:r>
        <w:rPr>
          <w:rFonts w:ascii="Arial" w:eastAsia="Arial" w:hAnsi="Arial" w:cs="Arial"/>
          <w:i/>
          <w:color w:val="000000"/>
          <w:sz w:val="20"/>
        </w:rPr>
        <w:t>Barnett</w:t>
      </w:r>
      <w:r>
        <w:rPr>
          <w:rFonts w:ascii="Arial" w:eastAsia="Arial" w:hAnsi="Arial" w:cs="Arial"/>
          <w:color w:val="000000"/>
          <w:sz w:val="20"/>
        </w:rPr>
        <w:t xml:space="preserve"> as to swallow the rule. To bolster this critique, the EEOC points out the relative rarity of seniority systems and the distinct challenges of mandating reassignment in a system where employees are already entitled to particular positions based on years of employment.</w:t>
      </w:r>
    </w:p>
    <w:p w14:paraId="3719AE1E" w14:textId="77777777" w:rsidR="00D041A2" w:rsidRDefault="00000000">
      <w:pPr>
        <w:pStyle w:val="Normal21"/>
        <w:widowControl w:val="0"/>
        <w:spacing w:before="200" w:line="260" w:lineRule="atLeast"/>
        <w:jc w:val="both"/>
      </w:pPr>
      <w:bookmarkStart w:id="2634" w:name="Bookmark_para_13_15"/>
      <w:bookmarkStart w:id="2635" w:name="Bookmark_I0BF1PD3HS4000RGTG3002YV"/>
      <w:bookmarkStart w:id="2636" w:name="Bookmark_I0BF1PD4PXP000RGTG30042M"/>
      <w:bookmarkStart w:id="2637" w:name="Bookmark_I0BF1PD4D0P000RGTG300301"/>
      <w:bookmarkStart w:id="2638" w:name="Bookmark_I5594S0N2N1RVX0030000400"/>
      <w:bookmarkStart w:id="2639" w:name="Bookmark_I0BF1PD44BD000RGTG3002YY"/>
      <w:bookmarkStart w:id="2640" w:name="Bookmark_I5594S0N2N1RVY0040000400"/>
      <w:bookmarkEnd w:id="2634"/>
      <w:bookmarkEnd w:id="2635"/>
      <w:bookmarkEnd w:id="2636"/>
      <w:bookmarkEnd w:id="2637"/>
      <w:bookmarkEnd w:id="2638"/>
      <w:bookmarkEnd w:id="2639"/>
      <w:bookmarkEnd w:id="2640"/>
      <w:r>
        <w:rPr>
          <w:rFonts w:ascii="Arial" w:eastAsia="Arial" w:hAnsi="Arial" w:cs="Arial"/>
          <w:color w:val="000000"/>
          <w:sz w:val="20"/>
        </w:rPr>
        <w:t xml:space="preserve">But the </w:t>
      </w:r>
      <w:bookmarkStart w:id="2641" w:name="Bookmark_I5594S0N2N1RVX0020000400"/>
      <w:bookmarkEnd w:id="2641"/>
      <w:r>
        <w:rPr>
          <w:rFonts w:ascii="Arial" w:eastAsia="Arial" w:hAnsi="Arial" w:cs="Arial"/>
          <w:i/>
          <w:color w:val="000000"/>
          <w:sz w:val="20"/>
        </w:rPr>
        <w:t>Mays</w:t>
      </w:r>
      <w:r>
        <w:rPr>
          <w:rFonts w:ascii="Arial" w:eastAsia="Arial" w:hAnsi="Arial" w:cs="Arial"/>
          <w:color w:val="000000"/>
          <w:sz w:val="20"/>
        </w:rPr>
        <w:t xml:space="preserve"> Court is not the only court to treat </w:t>
      </w:r>
      <w:r>
        <w:rPr>
          <w:rFonts w:ascii="Arial" w:eastAsia="Arial" w:hAnsi="Arial" w:cs="Arial"/>
          <w:i/>
          <w:color w:val="000000"/>
          <w:sz w:val="20"/>
        </w:rPr>
        <w:t>Humiston-Keeling</w:t>
      </w:r>
      <w:r>
        <w:rPr>
          <w:rFonts w:ascii="Arial" w:eastAsia="Arial" w:hAnsi="Arial" w:cs="Arial"/>
          <w:color w:val="000000"/>
          <w:sz w:val="20"/>
        </w:rPr>
        <w:t xml:space="preserve"> as good law. On two other occasions after the Supreme Court's ruling in </w:t>
      </w:r>
      <w:r>
        <w:rPr>
          <w:rFonts w:ascii="Arial" w:eastAsia="Arial" w:hAnsi="Arial" w:cs="Arial"/>
          <w:i/>
          <w:color w:val="000000"/>
          <w:sz w:val="20"/>
        </w:rPr>
        <w:t>Barnett</w:t>
      </w:r>
      <w:r>
        <w:rPr>
          <w:rFonts w:ascii="Arial" w:eastAsia="Arial" w:hAnsi="Arial" w:cs="Arial"/>
          <w:color w:val="000000"/>
          <w:sz w:val="20"/>
        </w:rPr>
        <w:t xml:space="preserve">, this court has relied on </w:t>
      </w:r>
      <w:r>
        <w:rPr>
          <w:rFonts w:ascii="Arial" w:eastAsia="Arial" w:hAnsi="Arial" w:cs="Arial"/>
          <w:i/>
          <w:color w:val="000000"/>
          <w:sz w:val="20"/>
        </w:rPr>
        <w:t>Humiston-Keeling</w:t>
      </w:r>
      <w:r>
        <w:rPr>
          <w:rFonts w:ascii="Arial" w:eastAsia="Arial" w:hAnsi="Arial" w:cs="Arial"/>
          <w:color w:val="000000"/>
          <w:sz w:val="20"/>
        </w:rPr>
        <w:t xml:space="preserve">: </w:t>
      </w:r>
      <w:bookmarkStart w:id="2642" w:name="Bookmark_I5594S0N2N1RVX0040000400"/>
      <w:bookmarkEnd w:id="2642"/>
      <w:r>
        <w:rPr>
          <w:rFonts w:ascii="Arial" w:eastAsia="Arial" w:hAnsi="Arial" w:cs="Arial"/>
          <w:i/>
          <w:color w:val="000000"/>
          <w:sz w:val="20"/>
        </w:rPr>
        <w:t xml:space="preserve"> Craig v. Potter</w:t>
      </w:r>
      <w:r>
        <w:rPr>
          <w:rFonts w:ascii="Arial" w:eastAsia="Arial" w:hAnsi="Arial" w:cs="Arial"/>
          <w:color w:val="000000"/>
          <w:sz w:val="20"/>
        </w:rPr>
        <w:t xml:space="preserve">, 90 F. App'x 160 (7th Cir. Feb. 20, 2004), and </w:t>
      </w:r>
      <w:bookmarkStart w:id="2643" w:name="Bookmark_I5594S0N2N1RVY0010000400"/>
      <w:bookmarkEnd w:id="2643"/>
      <w:r>
        <w:rPr>
          <w:rFonts w:ascii="Arial" w:eastAsia="Arial" w:hAnsi="Arial" w:cs="Arial"/>
          <w:i/>
          <w:color w:val="000000"/>
          <w:sz w:val="20"/>
        </w:rPr>
        <w:t>King v. City of Madison</w:t>
      </w:r>
      <w:r>
        <w:rPr>
          <w:rFonts w:ascii="Arial" w:eastAsia="Arial" w:hAnsi="Arial" w:cs="Arial"/>
          <w:color w:val="000000"/>
          <w:sz w:val="20"/>
        </w:rPr>
        <w:t>, 550 F.3d 598 (7th Cir. 2008).</w:t>
      </w:r>
      <w:r>
        <w:rPr>
          <w:rFonts w:ascii="Arial" w:eastAsia="Arial" w:hAnsi="Arial" w:cs="Arial"/>
          <w:vertAlign w:val="superscript"/>
        </w:rPr>
        <w:footnoteReference w:customMarkFollows="1" w:id="120"/>
        <w:t>2</w:t>
      </w:r>
      <w:r>
        <w:rPr>
          <w:rFonts w:ascii="Arial" w:eastAsia="Arial" w:hAnsi="Arial" w:cs="Arial"/>
          <w:color w:val="000000"/>
          <w:sz w:val="20"/>
        </w:rPr>
        <w:t xml:space="preserve"> In short, this court has made no move to abandon </w:t>
      </w:r>
      <w:r>
        <w:rPr>
          <w:rFonts w:ascii="Arial" w:eastAsia="Arial" w:hAnsi="Arial" w:cs="Arial"/>
          <w:i/>
          <w:color w:val="000000"/>
          <w:sz w:val="20"/>
        </w:rPr>
        <w:t>Humiston-Keeling</w:t>
      </w:r>
      <w:r>
        <w:rPr>
          <w:rFonts w:ascii="Arial" w:eastAsia="Arial" w:hAnsi="Arial" w:cs="Arial"/>
          <w:color w:val="000000"/>
          <w:sz w:val="20"/>
        </w:rPr>
        <w:t xml:space="preserve"> after </w:t>
      </w:r>
      <w:r>
        <w:rPr>
          <w:rFonts w:ascii="Arial" w:eastAsia="Arial" w:hAnsi="Arial" w:cs="Arial"/>
          <w:i/>
          <w:color w:val="000000"/>
          <w:sz w:val="20"/>
        </w:rPr>
        <w:t>Barnett</w:t>
      </w:r>
      <w:r>
        <w:rPr>
          <w:rFonts w:ascii="Arial" w:eastAsia="Arial" w:hAnsi="Arial" w:cs="Arial"/>
          <w:color w:val="000000"/>
          <w:sz w:val="20"/>
        </w:rPr>
        <w:t xml:space="preserve">, bolstering the district court's conclusion that </w:t>
      </w:r>
      <w:r>
        <w:rPr>
          <w:rFonts w:ascii="Arial" w:eastAsia="Arial" w:hAnsi="Arial" w:cs="Arial"/>
          <w:i/>
          <w:color w:val="000000"/>
          <w:sz w:val="20"/>
        </w:rPr>
        <w:t>Barnett</w:t>
      </w:r>
      <w:r>
        <w:rPr>
          <w:rFonts w:ascii="Arial" w:eastAsia="Arial" w:hAnsi="Arial" w:cs="Arial"/>
          <w:color w:val="000000"/>
          <w:sz w:val="20"/>
        </w:rPr>
        <w:t xml:space="preserve"> does not overrule or undermine </w:t>
      </w:r>
      <w:r>
        <w:rPr>
          <w:rFonts w:ascii="Arial" w:eastAsia="Arial" w:hAnsi="Arial" w:cs="Arial"/>
          <w:i/>
          <w:color w:val="000000"/>
          <w:sz w:val="20"/>
        </w:rPr>
        <w:t>Humiston-Keeling</w:t>
      </w:r>
      <w:r>
        <w:rPr>
          <w:rFonts w:ascii="Arial" w:eastAsia="Arial" w:hAnsi="Arial" w:cs="Arial"/>
          <w:color w:val="000000"/>
          <w:sz w:val="20"/>
        </w:rPr>
        <w:t xml:space="preserve">. While these decisions have not provided detailed analysis, their mere existence and consistent interpretations compel this court to find that </w:t>
      </w:r>
      <w:bookmarkStart w:id="2645" w:name="Bookmark_I5594S0N2N1RVY0040000400_2"/>
      <w:bookmarkStart w:id="2646" w:name="Bookmark_I5594S0N2N1RVX0030000400_2"/>
      <w:bookmarkStart w:id="2647" w:name="Bookmark_I5594S0N2N1RVY0030000400"/>
      <w:bookmarkEnd w:id="2645"/>
      <w:bookmarkEnd w:id="2646"/>
      <w:bookmarkEnd w:id="2647"/>
      <w:r>
        <w:rPr>
          <w:rFonts w:ascii="Arial" w:eastAsia="Arial" w:hAnsi="Arial" w:cs="Arial"/>
          <w:i/>
          <w:color w:val="000000"/>
          <w:sz w:val="20"/>
        </w:rPr>
        <w:t>Humiston-Keeling</w:t>
      </w:r>
      <w:r>
        <w:rPr>
          <w:rFonts w:ascii="Arial" w:eastAsia="Arial" w:hAnsi="Arial" w:cs="Arial"/>
          <w:color w:val="000000"/>
          <w:sz w:val="20"/>
        </w:rPr>
        <w:t xml:space="preserve"> remains good law.</w:t>
      </w:r>
    </w:p>
    <w:p w14:paraId="6F39769C" w14:textId="77777777" w:rsidR="00D041A2" w:rsidRDefault="00000000">
      <w:pPr>
        <w:pStyle w:val="Normal21"/>
        <w:widowControl w:val="0"/>
        <w:spacing w:before="200" w:line="260" w:lineRule="atLeast"/>
        <w:jc w:val="both"/>
      </w:pPr>
      <w:bookmarkStart w:id="2648" w:name="Bookmark_para_14_14"/>
      <w:bookmarkStart w:id="2649" w:name="Bookmark_I0BF1PD3VP4000RGTG30042G"/>
      <w:bookmarkStart w:id="2650" w:name="Bookmark_I0BF1PD40H8000RGTG3002YX"/>
      <w:bookmarkStart w:id="2651" w:name="Bookmark_I5594S0N2HM6V80010000400"/>
      <w:bookmarkEnd w:id="2648"/>
      <w:bookmarkEnd w:id="2649"/>
      <w:bookmarkEnd w:id="2650"/>
      <w:bookmarkEnd w:id="2651"/>
      <w:r>
        <w:rPr>
          <w:rFonts w:ascii="Arial" w:eastAsia="Arial" w:hAnsi="Arial" w:cs="Arial"/>
          <w:color w:val="000000"/>
          <w:sz w:val="20"/>
        </w:rPr>
        <w:t xml:space="preserve">The  [**10] EEOC asks us to adopt the position of our sister Circuits, the Tenth in </w:t>
      </w:r>
      <w:bookmarkStart w:id="2652" w:name="Bookmark_I5594S0N2N1RVY0050000400"/>
      <w:bookmarkEnd w:id="2652"/>
      <w:r>
        <w:rPr>
          <w:rFonts w:ascii="Arial" w:eastAsia="Arial" w:hAnsi="Arial" w:cs="Arial"/>
          <w:i/>
          <w:color w:val="000000"/>
          <w:sz w:val="20"/>
        </w:rPr>
        <w:t>Smith v. Midland Brake, Inc</w:t>
      </w:r>
      <w:r>
        <w:rPr>
          <w:rFonts w:ascii="Arial" w:eastAsia="Arial" w:hAnsi="Arial" w:cs="Arial"/>
          <w:color w:val="000000"/>
          <w:sz w:val="20"/>
        </w:rPr>
        <w:t>., 180 F.3d 1154 (10th Cir. 1999) (</w:t>
      </w:r>
      <w:r>
        <w:rPr>
          <w:rFonts w:ascii="Arial" w:eastAsia="Arial" w:hAnsi="Arial" w:cs="Arial"/>
          <w:i/>
          <w:color w:val="000000"/>
          <w:sz w:val="20"/>
        </w:rPr>
        <w:t>en banc</w:t>
      </w:r>
      <w:r>
        <w:rPr>
          <w:rFonts w:ascii="Arial" w:eastAsia="Arial" w:hAnsi="Arial" w:cs="Arial"/>
          <w:color w:val="000000"/>
          <w:sz w:val="20"/>
        </w:rPr>
        <w:t xml:space="preserve">) and the D.C. in </w:t>
      </w:r>
      <w:bookmarkStart w:id="2653" w:name="Bookmark_I5594S0N2HM6V80020000400"/>
      <w:bookmarkEnd w:id="2653"/>
      <w:r>
        <w:rPr>
          <w:rFonts w:ascii="Arial" w:eastAsia="Arial" w:hAnsi="Arial" w:cs="Arial"/>
          <w:i/>
          <w:color w:val="000000"/>
          <w:sz w:val="20"/>
        </w:rPr>
        <w:t>Aka v. Washington Hosp. Ctr</w:t>
      </w:r>
      <w:r>
        <w:rPr>
          <w:rFonts w:ascii="Arial" w:eastAsia="Arial" w:hAnsi="Arial" w:cs="Arial"/>
          <w:color w:val="000000"/>
          <w:sz w:val="20"/>
        </w:rPr>
        <w:t>., 156 F.3d 1284, 332 U.S. App. D.C. 256 (D.C. Cir. 1998) (</w:t>
      </w:r>
      <w:r>
        <w:rPr>
          <w:rFonts w:ascii="Arial" w:eastAsia="Arial" w:hAnsi="Arial" w:cs="Arial"/>
          <w:i/>
          <w:color w:val="000000"/>
          <w:sz w:val="20"/>
        </w:rPr>
        <w:t>en banc</w:t>
      </w:r>
      <w:r>
        <w:rPr>
          <w:rFonts w:ascii="Arial" w:eastAsia="Arial" w:hAnsi="Arial" w:cs="Arial"/>
          <w:color w:val="000000"/>
          <w:sz w:val="20"/>
        </w:rPr>
        <w:t xml:space="preserve">), holding that the ADA requires reassignment to vacant positions. The EEOC argues that both decisions conduct a more thorough analysis of the statutory language and legislative history of the ADA than this court did in </w:t>
      </w:r>
      <w:r>
        <w:rPr>
          <w:rFonts w:ascii="Arial" w:eastAsia="Arial" w:hAnsi="Arial" w:cs="Arial"/>
          <w:i/>
          <w:color w:val="000000"/>
          <w:sz w:val="20"/>
        </w:rPr>
        <w:t>Humiston-Keeling</w:t>
      </w:r>
      <w:r>
        <w:rPr>
          <w:rFonts w:ascii="Arial" w:eastAsia="Arial" w:hAnsi="Arial" w:cs="Arial"/>
          <w:color w:val="000000"/>
          <w:sz w:val="20"/>
        </w:rPr>
        <w:t xml:space="preserve">. But this argument cannot do much work, for the EEOC is merely returning to its position that this court in </w:t>
      </w:r>
      <w:r>
        <w:rPr>
          <w:rFonts w:ascii="Arial" w:eastAsia="Arial" w:hAnsi="Arial" w:cs="Arial"/>
          <w:i/>
          <w:color w:val="000000"/>
          <w:sz w:val="20"/>
        </w:rPr>
        <w:t>Humiston-Keeling</w:t>
      </w:r>
      <w:r>
        <w:rPr>
          <w:rFonts w:ascii="Arial" w:eastAsia="Arial" w:hAnsi="Arial" w:cs="Arial"/>
          <w:color w:val="000000"/>
          <w:sz w:val="20"/>
        </w:rPr>
        <w:t xml:space="preserve"> misinterpreted the ADA. Instead, the EEOC must show that this court's established interpretation of the ADA in </w:t>
      </w:r>
      <w:r>
        <w:rPr>
          <w:rFonts w:ascii="Arial" w:eastAsia="Arial" w:hAnsi="Arial" w:cs="Arial"/>
          <w:i/>
          <w:color w:val="000000"/>
          <w:sz w:val="20"/>
        </w:rPr>
        <w:t>Humiston-Keeling</w:t>
      </w:r>
      <w:r>
        <w:rPr>
          <w:rFonts w:ascii="Arial" w:eastAsia="Arial" w:hAnsi="Arial" w:cs="Arial"/>
          <w:color w:val="000000"/>
          <w:sz w:val="20"/>
        </w:rPr>
        <w:t xml:space="preserve"> is no longer viable after </w:t>
      </w:r>
      <w:r>
        <w:rPr>
          <w:rFonts w:ascii="Arial" w:eastAsia="Arial" w:hAnsi="Arial" w:cs="Arial"/>
          <w:i/>
          <w:color w:val="000000"/>
          <w:sz w:val="20"/>
        </w:rPr>
        <w:t>Barnett</w:t>
      </w:r>
      <w:r>
        <w:rPr>
          <w:rFonts w:ascii="Arial" w:eastAsia="Arial" w:hAnsi="Arial" w:cs="Arial"/>
          <w:color w:val="000000"/>
          <w:sz w:val="20"/>
        </w:rPr>
        <w:t>.</w:t>
      </w:r>
    </w:p>
    <w:p w14:paraId="0A8823FA" w14:textId="77777777" w:rsidR="00D041A2" w:rsidRDefault="00000000">
      <w:pPr>
        <w:pStyle w:val="Normal21"/>
        <w:widowControl w:val="0"/>
        <w:spacing w:before="200" w:line="260" w:lineRule="atLeast"/>
        <w:jc w:val="both"/>
      </w:pPr>
      <w:bookmarkStart w:id="2654" w:name="Bookmark_para_15_14"/>
      <w:bookmarkStart w:id="2655" w:name="Bookmark_I0BF1PD5K58000RGTG300309"/>
      <w:bookmarkStart w:id="2656" w:name="Bookmark_I5594S0N2HM6V80050000400"/>
      <w:bookmarkEnd w:id="2654"/>
      <w:bookmarkEnd w:id="2655"/>
      <w:bookmarkEnd w:id="2656"/>
      <w:r>
        <w:rPr>
          <w:rFonts w:ascii="Arial" w:eastAsia="Arial" w:hAnsi="Arial" w:cs="Arial"/>
          <w:color w:val="000000"/>
          <w:sz w:val="20"/>
        </w:rPr>
        <w:t xml:space="preserve">For its part, United argues that this court should not abandon </w:t>
      </w:r>
      <w:r>
        <w:rPr>
          <w:rFonts w:ascii="Arial" w:eastAsia="Arial" w:hAnsi="Arial" w:cs="Arial"/>
          <w:i/>
          <w:color w:val="000000"/>
          <w:sz w:val="20"/>
        </w:rPr>
        <w:t>Humiston-Keeling</w:t>
      </w:r>
      <w:r>
        <w:rPr>
          <w:rFonts w:ascii="Arial" w:eastAsia="Arial" w:hAnsi="Arial" w:cs="Arial"/>
          <w:color w:val="000000"/>
          <w:sz w:val="20"/>
        </w:rPr>
        <w:t xml:space="preserve">, in part because the Eighth Circuit explicitly adopted the reasoning of </w:t>
      </w:r>
      <w:r>
        <w:rPr>
          <w:rFonts w:ascii="Arial" w:eastAsia="Arial" w:hAnsi="Arial" w:cs="Arial"/>
          <w:i/>
          <w:color w:val="000000"/>
          <w:sz w:val="20"/>
        </w:rPr>
        <w:t>Humiston-Keeling</w:t>
      </w:r>
      <w:r>
        <w:rPr>
          <w:rFonts w:ascii="Arial" w:eastAsia="Arial" w:hAnsi="Arial" w:cs="Arial"/>
          <w:color w:val="000000"/>
          <w:sz w:val="20"/>
        </w:rPr>
        <w:t xml:space="preserve"> in </w:t>
      </w:r>
      <w:bookmarkStart w:id="2657" w:name="Bookmark_I5594S0N2HM6V80040000400"/>
      <w:bookmarkEnd w:id="2657"/>
      <w:r>
        <w:rPr>
          <w:rFonts w:ascii="Arial" w:eastAsia="Arial" w:hAnsi="Arial" w:cs="Arial"/>
          <w:i/>
          <w:color w:val="000000"/>
          <w:sz w:val="20"/>
        </w:rPr>
        <w:t>Huber v. Wal-Mart Stores</w:t>
      </w:r>
      <w:r>
        <w:rPr>
          <w:rFonts w:ascii="Arial" w:eastAsia="Arial" w:hAnsi="Arial" w:cs="Arial"/>
          <w:color w:val="000000"/>
          <w:sz w:val="20"/>
        </w:rPr>
        <w:t xml:space="preserve">, 486 F.3d 480, 483-84 (8th Cir. 2007). The Eighth Circuit's wholesale adoption of </w:t>
      </w:r>
      <w:r>
        <w:rPr>
          <w:rFonts w:ascii="Arial" w:eastAsia="Arial" w:hAnsi="Arial" w:cs="Arial"/>
          <w:i/>
          <w:color w:val="000000"/>
          <w:sz w:val="20"/>
        </w:rPr>
        <w:t>Humiston-Keeling</w:t>
      </w:r>
      <w:r>
        <w:rPr>
          <w:rFonts w:ascii="Arial" w:eastAsia="Arial" w:hAnsi="Arial" w:cs="Arial"/>
          <w:color w:val="000000"/>
          <w:sz w:val="20"/>
        </w:rPr>
        <w:t xml:space="preserve"> has little import. The opinion adopts </w:t>
      </w:r>
      <w:r>
        <w:rPr>
          <w:rFonts w:ascii="Arial" w:eastAsia="Arial" w:hAnsi="Arial" w:cs="Arial"/>
          <w:i/>
          <w:color w:val="000000"/>
          <w:sz w:val="20"/>
        </w:rPr>
        <w:t>Humiston-Keeling</w:t>
      </w:r>
      <w:r>
        <w:rPr>
          <w:rFonts w:ascii="Arial" w:eastAsia="Arial" w:hAnsi="Arial" w:cs="Arial"/>
          <w:color w:val="000000"/>
          <w:sz w:val="20"/>
        </w:rPr>
        <w:t xml:space="preserve"> without analysis, much less an analysis of </w:t>
      </w:r>
      <w:r>
        <w:rPr>
          <w:rFonts w:ascii="Arial" w:eastAsia="Arial" w:hAnsi="Arial" w:cs="Arial"/>
          <w:i/>
          <w:color w:val="000000"/>
          <w:sz w:val="20"/>
        </w:rPr>
        <w:t>Humiston-Keeling</w:t>
      </w:r>
      <w:r>
        <w:rPr>
          <w:rFonts w:ascii="Arial" w:eastAsia="Arial" w:hAnsi="Arial" w:cs="Arial"/>
          <w:color w:val="000000"/>
          <w:sz w:val="20"/>
        </w:rPr>
        <w:t xml:space="preserve"> in the context of </w:t>
      </w:r>
      <w:r>
        <w:rPr>
          <w:rFonts w:ascii="Arial" w:eastAsia="Arial" w:hAnsi="Arial" w:cs="Arial"/>
          <w:i/>
          <w:color w:val="000000"/>
          <w:sz w:val="20"/>
        </w:rPr>
        <w:t>Barnett</w:t>
      </w:r>
      <w:r>
        <w:rPr>
          <w:rFonts w:ascii="Arial" w:eastAsia="Arial" w:hAnsi="Arial" w:cs="Arial"/>
          <w:color w:val="000000"/>
          <w:sz w:val="20"/>
        </w:rPr>
        <w:t xml:space="preserve">. A circuit  [**11] split will remain even if this court adopts the position of the Tenth and D.C. Circuits. However, there is no harm in lessening this split if, in fact, </w:t>
      </w:r>
      <w:r>
        <w:rPr>
          <w:rFonts w:ascii="Arial" w:eastAsia="Arial" w:hAnsi="Arial" w:cs="Arial"/>
          <w:i/>
          <w:color w:val="000000"/>
          <w:sz w:val="20"/>
        </w:rPr>
        <w:t>Barnett</w:t>
      </w:r>
      <w:r>
        <w:rPr>
          <w:rFonts w:ascii="Arial" w:eastAsia="Arial" w:hAnsi="Arial" w:cs="Arial"/>
          <w:color w:val="000000"/>
          <w:sz w:val="20"/>
        </w:rPr>
        <w:t xml:space="preserve"> undermines </w:t>
      </w:r>
      <w:r>
        <w:rPr>
          <w:rFonts w:ascii="Arial" w:eastAsia="Arial" w:hAnsi="Arial" w:cs="Arial"/>
          <w:i/>
          <w:color w:val="000000"/>
          <w:sz w:val="20"/>
        </w:rPr>
        <w:t>Humiston-Keeling</w:t>
      </w:r>
      <w:r>
        <w:rPr>
          <w:rFonts w:ascii="Arial" w:eastAsia="Arial" w:hAnsi="Arial" w:cs="Arial"/>
          <w:color w:val="000000"/>
          <w:sz w:val="20"/>
        </w:rPr>
        <w:t xml:space="preserve">. In that respect, the present panel of judges strongly recommends </w:t>
      </w:r>
      <w:r>
        <w:rPr>
          <w:rFonts w:ascii="Arial" w:eastAsia="Arial" w:hAnsi="Arial" w:cs="Arial"/>
          <w:i/>
          <w:color w:val="000000"/>
          <w:sz w:val="20"/>
        </w:rPr>
        <w:t>en banc</w:t>
      </w:r>
      <w:r>
        <w:rPr>
          <w:rFonts w:ascii="Arial" w:eastAsia="Arial" w:hAnsi="Arial" w:cs="Arial"/>
          <w:color w:val="000000"/>
          <w:sz w:val="20"/>
        </w:rPr>
        <w:t xml:space="preserve"> consideration of the  [*547]  present case since the logic of EEOC's position on the merits, although insufficient to justify departure by this panel from the principles of </w:t>
      </w:r>
      <w:r>
        <w:rPr>
          <w:rFonts w:ascii="Arial" w:eastAsia="Arial" w:hAnsi="Arial" w:cs="Arial"/>
          <w:i/>
          <w:color w:val="000000"/>
          <w:sz w:val="20"/>
        </w:rPr>
        <w:t>stare decisis</w:t>
      </w:r>
      <w:r>
        <w:rPr>
          <w:rFonts w:ascii="Arial" w:eastAsia="Arial" w:hAnsi="Arial" w:cs="Arial"/>
          <w:color w:val="000000"/>
          <w:sz w:val="20"/>
        </w:rPr>
        <w:t xml:space="preserve">, is persuasive with or without consideration of </w:t>
      </w:r>
      <w:r>
        <w:rPr>
          <w:rFonts w:ascii="Arial" w:eastAsia="Arial" w:hAnsi="Arial" w:cs="Arial"/>
          <w:i/>
          <w:color w:val="000000"/>
          <w:sz w:val="20"/>
        </w:rPr>
        <w:t>Barnett</w:t>
      </w:r>
      <w:r>
        <w:rPr>
          <w:rFonts w:ascii="Arial" w:eastAsia="Arial" w:hAnsi="Arial" w:cs="Arial"/>
          <w:color w:val="000000"/>
          <w:sz w:val="20"/>
        </w:rPr>
        <w:t>.</w:t>
      </w:r>
    </w:p>
    <w:p w14:paraId="23D8F77A" w14:textId="77777777" w:rsidR="00D041A2" w:rsidRDefault="00000000">
      <w:pPr>
        <w:pStyle w:val="Normal21"/>
        <w:widowControl w:val="0"/>
        <w:spacing w:before="200" w:line="260" w:lineRule="atLeast"/>
        <w:jc w:val="both"/>
      </w:pPr>
      <w:bookmarkStart w:id="2658" w:name="Bookmark_para_16_14"/>
      <w:bookmarkStart w:id="2659" w:name="Bookmark_I0BF1PD50K0000RGTG30042N"/>
      <w:bookmarkStart w:id="2660" w:name="Bookmark_I5594S0N28T3X40020000400"/>
      <w:bookmarkStart w:id="2661" w:name="Bookmark_I0BF1PD5878000RGTG300307"/>
      <w:bookmarkStart w:id="2662" w:name="Bookmark_I5594S0N28T3X40040000400"/>
      <w:bookmarkEnd w:id="2658"/>
      <w:bookmarkEnd w:id="2659"/>
      <w:bookmarkEnd w:id="2660"/>
      <w:bookmarkEnd w:id="2661"/>
      <w:bookmarkEnd w:id="2662"/>
      <w:r>
        <w:rPr>
          <w:rFonts w:ascii="Arial" w:eastAsia="Arial" w:hAnsi="Arial" w:cs="Arial"/>
          <w:color w:val="000000"/>
          <w:sz w:val="20"/>
        </w:rPr>
        <w:t xml:space="preserve">This court has previously determined that </w:t>
      </w:r>
      <w:bookmarkStart w:id="2663" w:name="Bookmark_I5594S0N28T3X40010000400"/>
      <w:bookmarkEnd w:id="2663"/>
      <w:r>
        <w:rPr>
          <w:rFonts w:ascii="Arial" w:eastAsia="Arial" w:hAnsi="Arial" w:cs="Arial"/>
          <w:i/>
          <w:color w:val="000000"/>
          <w:sz w:val="20"/>
        </w:rPr>
        <w:t>Barnett</w:t>
      </w:r>
      <w:r>
        <w:rPr>
          <w:rFonts w:ascii="Arial" w:eastAsia="Arial" w:hAnsi="Arial" w:cs="Arial"/>
          <w:color w:val="000000"/>
          <w:sz w:val="20"/>
        </w:rPr>
        <w:t xml:space="preserve"> does not conflict with </w:t>
      </w:r>
      <w:r>
        <w:rPr>
          <w:rFonts w:ascii="Arial" w:eastAsia="Arial" w:hAnsi="Arial" w:cs="Arial"/>
          <w:i/>
          <w:color w:val="000000"/>
          <w:sz w:val="20"/>
        </w:rPr>
        <w:t>Humiston-Keeling</w:t>
      </w:r>
      <w:r>
        <w:rPr>
          <w:rFonts w:ascii="Arial" w:eastAsia="Arial" w:hAnsi="Arial" w:cs="Arial"/>
          <w:color w:val="000000"/>
          <w:sz w:val="20"/>
        </w:rPr>
        <w:t xml:space="preserve">. Courts within this circuit have continued to cite </w:t>
      </w:r>
      <w:r>
        <w:rPr>
          <w:rFonts w:ascii="Arial" w:eastAsia="Arial" w:hAnsi="Arial" w:cs="Arial"/>
          <w:i/>
          <w:color w:val="000000"/>
          <w:sz w:val="20"/>
        </w:rPr>
        <w:t>Humiston-Keeling</w:t>
      </w:r>
      <w:r>
        <w:rPr>
          <w:rFonts w:ascii="Arial" w:eastAsia="Arial" w:hAnsi="Arial" w:cs="Arial"/>
          <w:color w:val="000000"/>
          <w:sz w:val="20"/>
        </w:rPr>
        <w:t xml:space="preserve"> favorably. As </w:t>
      </w:r>
      <w:bookmarkStart w:id="2664" w:name="Bookmark_I5594S0N28T3X40040000400_2"/>
      <w:bookmarkStart w:id="2665" w:name="Bookmark_I5594S0N28T3X40020000400_2"/>
      <w:bookmarkStart w:id="2666" w:name="Bookmark_I5594S0N28T3X40030000400"/>
      <w:bookmarkEnd w:id="2664"/>
      <w:bookmarkEnd w:id="2665"/>
      <w:bookmarkEnd w:id="2666"/>
      <w:r>
        <w:rPr>
          <w:rFonts w:ascii="Arial" w:eastAsia="Arial" w:hAnsi="Arial" w:cs="Arial"/>
          <w:i/>
          <w:color w:val="000000"/>
          <w:sz w:val="20"/>
        </w:rPr>
        <w:t>Humiston-Keeling</w:t>
      </w:r>
      <w:r>
        <w:rPr>
          <w:rFonts w:ascii="Arial" w:eastAsia="Arial" w:hAnsi="Arial" w:cs="Arial"/>
          <w:color w:val="000000"/>
          <w:sz w:val="20"/>
        </w:rPr>
        <w:t xml:space="preserve"> is still good law and directly on point, the district court rightly concluded that the ADA does not require employers to reassign employees, who will lose their current positions due to disability, to a vacant position for which they are qualified. For this reason, the judgment of the district court is </w:t>
      </w:r>
      <w:r>
        <w:rPr>
          <w:rFonts w:ascii="Arial" w:eastAsia="Arial" w:hAnsi="Arial" w:cs="Arial"/>
          <w:smallCaps/>
          <w:color w:val="000000"/>
          <w:sz w:val="20"/>
        </w:rPr>
        <w:t>Affirmed.</w:t>
      </w:r>
    </w:p>
    <w:p w14:paraId="559ACC00" w14:textId="77777777" w:rsidR="00D041A2" w:rsidRDefault="00D041A2">
      <w:pPr>
        <w:pStyle w:val="Normal21"/>
      </w:pPr>
    </w:p>
    <w:p w14:paraId="2E90FD2F" w14:textId="0140A472" w:rsidR="00D041A2" w:rsidRDefault="00000000">
      <w:pPr>
        <w:pStyle w:val="Normal21"/>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05344" behindDoc="0" locked="0" layoutInCell="1" allowOverlap="1" wp14:anchorId="0939CC8E" wp14:editId="565B2253">
                <wp:simplePos x="0" y="0"/>
                <wp:positionH relativeFrom="column">
                  <wp:posOffset>0</wp:posOffset>
                </wp:positionH>
                <wp:positionV relativeFrom="paragraph">
                  <wp:posOffset>127000</wp:posOffset>
                </wp:positionV>
                <wp:extent cx="6502400" cy="0"/>
                <wp:effectExtent l="9525" t="12700" r="12700" b="6350"/>
                <wp:wrapNone/>
                <wp:docPr id="92433750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E64A5" id="Line 4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B4DBE1B" w14:textId="77777777" w:rsidR="00D041A2" w:rsidRDefault="00D041A2">
      <w:pPr>
        <w:pStyle w:val="Normal22"/>
        <w:sectPr w:rsidR="00D041A2">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gutter="0"/>
          <w:cols w:space="720"/>
          <w:titlePg/>
        </w:sectPr>
      </w:pPr>
    </w:p>
    <w:p w14:paraId="4082D6F8" w14:textId="77777777" w:rsidR="00D041A2" w:rsidRDefault="00D041A2">
      <w:pPr>
        <w:pStyle w:val="Normal22"/>
      </w:pPr>
    </w:p>
    <w:p w14:paraId="767DB4AB" w14:textId="77777777" w:rsidR="00D041A2" w:rsidRDefault="00000000">
      <w:pPr>
        <w:pStyle w:val="Heading121"/>
        <w:keepNext w:val="0"/>
        <w:widowControl w:val="0"/>
        <w:spacing w:after="200" w:line="340" w:lineRule="atLeast"/>
        <w:jc w:val="center"/>
      </w:pPr>
      <w:r>
        <w:rPr>
          <w:rFonts w:eastAsia="Arial"/>
          <w:color w:val="000000"/>
          <w:sz w:val="28"/>
        </w:rPr>
        <w:t>Aubrey v. City of Bethlehem</w:t>
      </w:r>
    </w:p>
    <w:p w14:paraId="4F88F663" w14:textId="77777777" w:rsidR="00D041A2" w:rsidRDefault="00000000">
      <w:pPr>
        <w:pStyle w:val="Normal22"/>
        <w:widowControl w:val="0"/>
        <w:spacing w:before="120" w:line="260" w:lineRule="atLeast"/>
        <w:jc w:val="center"/>
      </w:pPr>
      <w:r>
        <w:rPr>
          <w:rFonts w:ascii="Arial" w:eastAsia="Arial" w:hAnsi="Arial" w:cs="Arial"/>
          <w:color w:val="000000"/>
          <w:sz w:val="20"/>
        </w:rPr>
        <w:t>United States Court of Appeals for the Third Circuit</w:t>
      </w:r>
    </w:p>
    <w:p w14:paraId="54610DF4" w14:textId="77777777" w:rsidR="00D041A2" w:rsidRDefault="00000000">
      <w:pPr>
        <w:pStyle w:val="Normal22"/>
        <w:widowControl w:val="0"/>
        <w:spacing w:before="120" w:line="260" w:lineRule="atLeast"/>
        <w:jc w:val="center"/>
      </w:pPr>
      <w:r>
        <w:rPr>
          <w:rFonts w:ascii="Arial" w:eastAsia="Arial" w:hAnsi="Arial" w:cs="Arial"/>
          <w:color w:val="000000"/>
          <w:sz w:val="20"/>
        </w:rPr>
        <w:t>October 28, 2011, Submitted Under Third Circuit LAR 34.1(a); March 6, 2012, Opinion Filed</w:t>
      </w:r>
    </w:p>
    <w:p w14:paraId="2A612940" w14:textId="77777777" w:rsidR="00D041A2" w:rsidRDefault="00000000">
      <w:pPr>
        <w:pStyle w:val="Normal22"/>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11-1767</w:t>
      </w:r>
    </w:p>
    <w:p w14:paraId="6C784D65" w14:textId="77777777" w:rsidR="00D041A2" w:rsidRDefault="00D041A2">
      <w:pPr>
        <w:pStyle w:val="Normal22"/>
        <w:widowControl w:val="0"/>
        <w:spacing w:line="240" w:lineRule="atLeast"/>
        <w:jc w:val="both"/>
      </w:pPr>
      <w:bookmarkStart w:id="2667" w:name="Bookmark_23"/>
      <w:bookmarkEnd w:id="2667"/>
    </w:p>
    <w:p w14:paraId="5E3E1107" w14:textId="77777777" w:rsidR="00D041A2" w:rsidRDefault="00000000">
      <w:pPr>
        <w:pStyle w:val="Normal22"/>
        <w:widowControl w:val="0"/>
        <w:spacing w:before="200" w:line="240" w:lineRule="atLeast"/>
      </w:pPr>
      <w:bookmarkStart w:id="2668" w:name="Reporter_21"/>
      <w:bookmarkEnd w:id="2668"/>
      <w:r>
        <w:rPr>
          <w:rFonts w:ascii="Arial" w:eastAsia="Arial" w:hAnsi="Arial" w:cs="Arial"/>
          <w:b/>
          <w:color w:val="000000"/>
          <w:sz w:val="18"/>
        </w:rPr>
        <w:t>Reporter</w:t>
      </w:r>
    </w:p>
    <w:p w14:paraId="0E2024C5" w14:textId="77777777" w:rsidR="00D041A2" w:rsidRDefault="00000000">
      <w:pPr>
        <w:pStyle w:val="Normal22"/>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466 Fed. Appx. 88 *; 2012 U.S. App. LEXIS 4587 **; 2012 WL 699057</w:t>
      </w:r>
    </w:p>
    <w:p w14:paraId="022F4A46" w14:textId="77777777" w:rsidR="00D041A2" w:rsidRDefault="00000000">
      <w:pPr>
        <w:pStyle w:val="Normal22"/>
        <w:widowControl w:val="0"/>
        <w:spacing w:before="120" w:line="260" w:lineRule="atLeast"/>
      </w:pPr>
      <w:r>
        <w:rPr>
          <w:rFonts w:ascii="Arial" w:eastAsia="Arial" w:hAnsi="Arial" w:cs="Arial"/>
          <w:color w:val="000000"/>
          <w:sz w:val="20"/>
        </w:rPr>
        <w:t>HOWARD AUBREY, Appellant v. CITY OF BETHLEHEM, FIRE DEPARTMENT,</w:t>
      </w:r>
    </w:p>
    <w:p w14:paraId="6B411573" w14:textId="77777777" w:rsidR="00D041A2" w:rsidRDefault="00000000">
      <w:pPr>
        <w:pStyle w:val="Normal22"/>
        <w:widowControl w:val="0"/>
        <w:spacing w:before="240" w:line="260" w:lineRule="atLeast"/>
        <w:jc w:val="both"/>
      </w:pPr>
      <w:bookmarkStart w:id="2669" w:name="Notice_11"/>
      <w:bookmarkEnd w:id="2669"/>
      <w:r>
        <w:rPr>
          <w:rFonts w:ascii="Arial" w:eastAsia="Arial" w:hAnsi="Arial" w:cs="Arial"/>
          <w:b/>
          <w:color w:val="000000"/>
          <w:sz w:val="20"/>
        </w:rPr>
        <w:t>Notice:</w:t>
      </w:r>
      <w:r>
        <w:rPr>
          <w:rFonts w:ascii="Arial" w:eastAsia="Arial" w:hAnsi="Arial" w:cs="Arial"/>
          <w:color w:val="000000"/>
          <w:sz w:val="20"/>
        </w:rPr>
        <w:t> </w:t>
      </w:r>
      <w:bookmarkStart w:id="2670" w:name="Bookmark_para_1_21"/>
      <w:bookmarkEnd w:id="2670"/>
      <w:r>
        <w:rPr>
          <w:rFonts w:ascii="Arial" w:eastAsia="Arial" w:hAnsi="Arial" w:cs="Arial"/>
          <w:color w:val="000000"/>
          <w:sz w:val="20"/>
        </w:rPr>
        <w:t>NOT PRECEDENTIAL OPINION UNDER THIRD CIRCUIT INTERNAL OPERATING PROCEDURE RULE 5.7. SUCH OPINIONS ARE NOT REGARDED AS PRECEDENTS WHICH BIND THE COURT.</w:t>
      </w:r>
    </w:p>
    <w:p w14:paraId="3AE0DB8F" w14:textId="77777777" w:rsidR="00D041A2" w:rsidRDefault="00000000">
      <w:pPr>
        <w:pStyle w:val="Normal22"/>
        <w:widowControl w:val="0"/>
        <w:spacing w:before="200" w:line="260" w:lineRule="atLeast"/>
        <w:jc w:val="both"/>
      </w:pPr>
      <w:bookmarkStart w:id="2671" w:name="Bookmark_para_2_21"/>
      <w:bookmarkEnd w:id="2671"/>
      <w:r>
        <w:rPr>
          <w:rFonts w:ascii="Arial" w:eastAsia="Arial" w:hAnsi="Arial" w:cs="Arial"/>
          <w:color w:val="000000"/>
          <w:sz w:val="20"/>
        </w:rPr>
        <w:t>PLEASE REFER TO FEDERAL RULES OF APPELLATE PROCEDURE RULE 32.1 GOVERNING THE CITATION TO UNPUBLISHED OPINIONS.</w:t>
      </w:r>
    </w:p>
    <w:p w14:paraId="5F53D464" w14:textId="77777777" w:rsidR="00D041A2" w:rsidRDefault="00000000">
      <w:pPr>
        <w:pStyle w:val="Normal22"/>
        <w:widowControl w:val="0"/>
        <w:spacing w:before="240" w:line="260" w:lineRule="atLeast"/>
        <w:jc w:val="both"/>
      </w:pPr>
      <w:bookmarkStart w:id="2672" w:name="Prior_History_21"/>
      <w:bookmarkEnd w:id="2672"/>
      <w:r>
        <w:rPr>
          <w:rFonts w:ascii="Arial" w:eastAsia="Arial" w:hAnsi="Arial" w:cs="Arial"/>
          <w:b/>
          <w:color w:val="000000"/>
          <w:sz w:val="20"/>
        </w:rPr>
        <w:t>Prior History:</w:t>
      </w:r>
      <w:r>
        <w:rPr>
          <w:rFonts w:ascii="Arial" w:eastAsia="Arial" w:hAnsi="Arial" w:cs="Arial"/>
          <w:color w:val="000000"/>
          <w:sz w:val="20"/>
        </w:rPr>
        <w:t>  [**1] </w:t>
      </w:r>
      <w:bookmarkStart w:id="2673" w:name="Bookmark_para_3_21"/>
      <w:bookmarkEnd w:id="2673"/>
      <w:r>
        <w:rPr>
          <w:rFonts w:ascii="Arial" w:eastAsia="Arial" w:hAnsi="Arial" w:cs="Arial"/>
          <w:color w:val="000000"/>
          <w:sz w:val="20"/>
        </w:rPr>
        <w:t>APPEAL FROM THE UNITED STATES DISTRICT COURT FOR THE EASTERN DISTRICT OF PENNSYLVANIA. (D.C. Civ. No. 5:10-cv-1604). District Judge: Honorable Lawrence F. Stengel.</w:t>
      </w:r>
    </w:p>
    <w:p w14:paraId="2E07D932" w14:textId="77777777" w:rsidR="00D041A2" w:rsidRDefault="00000000">
      <w:pPr>
        <w:pStyle w:val="Normal22"/>
        <w:widowControl w:val="0"/>
        <w:spacing w:before="120" w:line="260" w:lineRule="atLeast"/>
      </w:pPr>
      <w:r>
        <w:rPr>
          <w:rFonts w:ascii="Arial" w:eastAsia="Arial" w:hAnsi="Arial" w:cs="Arial"/>
          <w:color w:val="000000"/>
          <w:sz w:val="20"/>
        </w:rPr>
        <w:t>Aubrey v. City of Bethlehem, 2011 U.S. Dist. LEXIS 18406 (E.D. Pa., Feb. 22, 2011)</w:t>
      </w:r>
    </w:p>
    <w:p w14:paraId="7E2416F8" w14:textId="77777777" w:rsidR="00D041A2" w:rsidRDefault="00000000">
      <w:pPr>
        <w:pStyle w:val="Normal22"/>
        <w:widowControl w:val="0"/>
        <w:spacing w:before="240" w:line="260" w:lineRule="atLeast"/>
      </w:pPr>
      <w:bookmarkStart w:id="2674" w:name="Counsel_21"/>
      <w:bookmarkEnd w:id="2674"/>
      <w:r>
        <w:rPr>
          <w:rFonts w:ascii="Arial" w:eastAsia="Arial" w:hAnsi="Arial" w:cs="Arial"/>
          <w:b/>
          <w:color w:val="000000"/>
          <w:sz w:val="20"/>
        </w:rPr>
        <w:t>Counsel:</w:t>
      </w:r>
      <w:r>
        <w:rPr>
          <w:rFonts w:ascii="Arial" w:eastAsia="Arial" w:hAnsi="Arial" w:cs="Arial"/>
          <w:color w:val="000000"/>
          <w:sz w:val="20"/>
        </w:rPr>
        <w:t> For HOWARD AUBREY, Plaintiff - Appellant: Donald P. Russo, Esq., Bethlehem, PA.</w:t>
      </w:r>
    </w:p>
    <w:p w14:paraId="4992370F" w14:textId="77777777" w:rsidR="00D041A2" w:rsidRDefault="00000000">
      <w:pPr>
        <w:pStyle w:val="Normal22"/>
        <w:widowControl w:val="0"/>
        <w:spacing w:before="120" w:line="260" w:lineRule="atLeast"/>
      </w:pPr>
      <w:r>
        <w:rPr>
          <w:rFonts w:ascii="Arial" w:eastAsia="Arial" w:hAnsi="Arial" w:cs="Arial"/>
          <w:color w:val="000000"/>
          <w:sz w:val="20"/>
        </w:rPr>
        <w:t>For BETHLEHEM FIRE DEPARTMENT, Defendant - Appellee: Suzanne McDonough, Esq., Holsten &amp; Associates, Media, PA.</w:t>
      </w:r>
    </w:p>
    <w:p w14:paraId="095703CF" w14:textId="77777777" w:rsidR="00D041A2" w:rsidRDefault="00000000">
      <w:pPr>
        <w:pStyle w:val="Normal22"/>
        <w:widowControl w:val="0"/>
        <w:spacing w:before="240" w:line="260" w:lineRule="atLeast"/>
      </w:pPr>
      <w:bookmarkStart w:id="2675" w:name="Judges_21"/>
      <w:bookmarkEnd w:id="2675"/>
      <w:r>
        <w:rPr>
          <w:rFonts w:ascii="Arial" w:eastAsia="Arial" w:hAnsi="Arial" w:cs="Arial"/>
          <w:b/>
          <w:color w:val="000000"/>
          <w:sz w:val="20"/>
        </w:rPr>
        <w:t>Judges:</w:t>
      </w:r>
      <w:r>
        <w:rPr>
          <w:rFonts w:ascii="Arial" w:eastAsia="Arial" w:hAnsi="Arial" w:cs="Arial"/>
          <w:color w:val="000000"/>
          <w:sz w:val="20"/>
        </w:rPr>
        <w:t> Before: SLOVITER, GREENAWAY, JR., and ALDISERT, Circuit Judges.</w:t>
      </w:r>
    </w:p>
    <w:p w14:paraId="6A39C901" w14:textId="77777777" w:rsidR="00D041A2" w:rsidRDefault="00000000">
      <w:pPr>
        <w:pStyle w:val="Normal22"/>
        <w:widowControl w:val="0"/>
        <w:spacing w:before="240" w:line="260" w:lineRule="atLeast"/>
      </w:pPr>
      <w:bookmarkStart w:id="2676" w:name="Opinion_by_15"/>
      <w:bookmarkEnd w:id="2676"/>
      <w:r>
        <w:rPr>
          <w:rFonts w:ascii="Arial" w:eastAsia="Arial" w:hAnsi="Arial" w:cs="Arial"/>
          <w:b/>
          <w:color w:val="000000"/>
          <w:sz w:val="20"/>
        </w:rPr>
        <w:t>Opinion by:</w:t>
      </w:r>
      <w:r>
        <w:rPr>
          <w:rFonts w:ascii="Arial" w:eastAsia="Arial" w:hAnsi="Arial" w:cs="Arial"/>
          <w:color w:val="000000"/>
          <w:sz w:val="20"/>
        </w:rPr>
        <w:t> GREENAWAY, JR.</w:t>
      </w:r>
    </w:p>
    <w:p w14:paraId="45E11D08" w14:textId="77777777" w:rsidR="00D041A2" w:rsidRDefault="00000000">
      <w:pPr>
        <w:pStyle w:val="Normal22"/>
        <w:keepNext/>
        <w:widowControl w:val="0"/>
        <w:spacing w:before="240" w:line="340" w:lineRule="atLeast"/>
      </w:pPr>
      <w:bookmarkStart w:id="2677" w:name="Opinion_21"/>
      <w:bookmarkEnd w:id="2677"/>
      <w:r>
        <w:rPr>
          <w:rFonts w:ascii="Arial" w:eastAsia="Arial" w:hAnsi="Arial" w:cs="Arial"/>
          <w:b/>
          <w:color w:val="000000"/>
          <w:sz w:val="28"/>
        </w:rPr>
        <w:t>Opinion</w:t>
      </w:r>
    </w:p>
    <w:p w14:paraId="6823846F" w14:textId="0F04DE6A" w:rsidR="00D041A2" w:rsidRDefault="004D4403">
      <w:pPr>
        <w:pStyle w:val="Normal22"/>
        <w:spacing w:line="60" w:lineRule="exact"/>
      </w:pPr>
      <w:r>
        <w:rPr>
          <w:noProof/>
        </w:rPr>
        <mc:AlternateContent>
          <mc:Choice Requires="wps">
            <w:drawing>
              <wp:anchor distT="0" distB="0" distL="114300" distR="114300" simplePos="0" relativeHeight="251706368" behindDoc="0" locked="0" layoutInCell="1" allowOverlap="1" wp14:anchorId="096912B8" wp14:editId="40FEEE32">
                <wp:simplePos x="0" y="0"/>
                <wp:positionH relativeFrom="column">
                  <wp:posOffset>0</wp:posOffset>
                </wp:positionH>
                <wp:positionV relativeFrom="paragraph">
                  <wp:posOffset>25400</wp:posOffset>
                </wp:positionV>
                <wp:extent cx="3187700" cy="0"/>
                <wp:effectExtent l="19050" t="15875" r="12700" b="12700"/>
                <wp:wrapTopAndBottom/>
                <wp:docPr id="948815106"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AC86F" id="Line 48"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59C8FEF" w14:textId="77777777" w:rsidR="00D041A2" w:rsidRDefault="00D041A2">
      <w:pPr>
        <w:pStyle w:val="Normal22"/>
      </w:pPr>
    </w:p>
    <w:p w14:paraId="524A9618" w14:textId="77777777" w:rsidR="00D041A2" w:rsidRDefault="00000000">
      <w:pPr>
        <w:pStyle w:val="Normal22"/>
        <w:widowControl w:val="0"/>
        <w:spacing w:before="200" w:line="260" w:lineRule="atLeast"/>
        <w:jc w:val="both"/>
      </w:pPr>
      <w:bookmarkStart w:id="2678" w:name="Bookmark_para_4_21"/>
      <w:bookmarkEnd w:id="2678"/>
      <w:r>
        <w:rPr>
          <w:rFonts w:ascii="Arial" w:eastAsia="Arial" w:hAnsi="Arial" w:cs="Arial"/>
          <w:color w:val="000000"/>
          <w:sz w:val="20"/>
        </w:rPr>
        <w:t xml:space="preserve"> [*89]  GREENAWAY, JR., </w:t>
      </w:r>
      <w:r>
        <w:rPr>
          <w:rFonts w:ascii="Arial" w:eastAsia="Arial" w:hAnsi="Arial" w:cs="Arial"/>
          <w:i/>
          <w:color w:val="000000"/>
          <w:sz w:val="20"/>
        </w:rPr>
        <w:t>Circuit Judge.</w:t>
      </w:r>
    </w:p>
    <w:p w14:paraId="126D017F" w14:textId="77777777" w:rsidR="00D041A2" w:rsidRDefault="00000000">
      <w:pPr>
        <w:pStyle w:val="Normal22"/>
        <w:widowControl w:val="0"/>
        <w:spacing w:before="200" w:line="260" w:lineRule="atLeast"/>
        <w:jc w:val="both"/>
      </w:pPr>
      <w:bookmarkStart w:id="2679" w:name="Bookmark_para_5_21"/>
      <w:bookmarkEnd w:id="2679"/>
      <w:r>
        <w:rPr>
          <w:rFonts w:ascii="Arial" w:eastAsia="Arial" w:hAnsi="Arial" w:cs="Arial"/>
          <w:color w:val="000000"/>
          <w:sz w:val="20"/>
        </w:rPr>
        <w:t>Appellant Howard Aubrey ("Aubrey") seeks reversal of the District Court's decision to grant a motion to dismiss in favor of Appellee City of Bethlehem, Fire Department ("Bethlehem"). For the reasons stated herein, we will affirm the District Court's Order.</w:t>
      </w:r>
    </w:p>
    <w:p w14:paraId="7ADF1264" w14:textId="77777777" w:rsidR="00D041A2" w:rsidRDefault="00000000">
      <w:pPr>
        <w:pStyle w:val="Normal22"/>
        <w:widowControl w:val="0"/>
        <w:spacing w:before="240" w:line="260" w:lineRule="atLeast"/>
      </w:pPr>
      <w:r>
        <w:br/>
      </w:r>
      <w:r>
        <w:rPr>
          <w:rFonts w:ascii="Arial" w:eastAsia="Arial" w:hAnsi="Arial" w:cs="Arial"/>
          <w:b/>
          <w:color w:val="000000"/>
          <w:sz w:val="20"/>
        </w:rPr>
        <w:t>I.</w:t>
      </w:r>
      <w:r>
        <w:rPr>
          <w:rFonts w:ascii="Arial" w:eastAsia="Arial" w:hAnsi="Arial" w:cs="Arial"/>
          <w:b/>
          <w:color w:val="000000"/>
          <w:sz w:val="20"/>
          <w:u w:val="single"/>
        </w:rPr>
        <w:t>BACKGROUND</w:t>
      </w:r>
    </w:p>
    <w:p w14:paraId="5AD17B71" w14:textId="77777777" w:rsidR="00D041A2" w:rsidRDefault="00000000">
      <w:pPr>
        <w:pStyle w:val="Normal22"/>
        <w:widowControl w:val="0"/>
        <w:spacing w:before="200" w:line="260" w:lineRule="atLeast"/>
        <w:jc w:val="both"/>
      </w:pPr>
      <w:bookmarkStart w:id="2680" w:name="Bookmark_para_6_21"/>
      <w:bookmarkEnd w:id="2680"/>
      <w:r>
        <w:rPr>
          <w:rFonts w:ascii="Arial" w:eastAsia="Arial" w:hAnsi="Arial" w:cs="Arial"/>
          <w:color w:val="000000"/>
          <w:sz w:val="20"/>
        </w:rPr>
        <w:t>Because we write primarily for the benefit of the parties, we recount only the essential facts.</w:t>
      </w:r>
    </w:p>
    <w:p w14:paraId="3179744B" w14:textId="77777777" w:rsidR="00D041A2" w:rsidRDefault="00000000">
      <w:pPr>
        <w:pStyle w:val="Normal22"/>
        <w:widowControl w:val="0"/>
        <w:spacing w:before="200" w:line="260" w:lineRule="atLeast"/>
        <w:jc w:val="both"/>
      </w:pPr>
      <w:bookmarkStart w:id="2681" w:name="Bookmark_para_7_21"/>
      <w:bookmarkEnd w:id="2681"/>
      <w:r>
        <w:rPr>
          <w:rFonts w:ascii="Arial" w:eastAsia="Arial" w:hAnsi="Arial" w:cs="Arial"/>
          <w:color w:val="000000"/>
          <w:sz w:val="20"/>
        </w:rPr>
        <w:t>Aubrey worked as a firefighter in Bethlehem, Pennsylvania. In June 2006, he began receiving treatment for depression, suicidal ideation and substance abuse. He was later diagnosed with Post Traumatic  [*90]  Stress Disorder ("PTSD").</w:t>
      </w:r>
      <w:r>
        <w:rPr>
          <w:rFonts w:ascii="Arial" w:eastAsia="Arial" w:hAnsi="Arial" w:cs="Arial"/>
          <w:vertAlign w:val="superscript"/>
        </w:rPr>
        <w:footnoteReference w:customMarkFollows="1" w:id="121"/>
        <w:t>1</w:t>
      </w:r>
      <w:r>
        <w:rPr>
          <w:rFonts w:ascii="Arial" w:eastAsia="Arial" w:hAnsi="Arial" w:cs="Arial"/>
          <w:color w:val="000000"/>
          <w:sz w:val="20"/>
        </w:rPr>
        <w:t xml:space="preserve"> In January 2007, while on a leave of absence for his medical condition, Aubrey applied for a fire inspector position with the Bethlehem Fire Department.  [**2] He was denied the position.</w:t>
      </w:r>
    </w:p>
    <w:p w14:paraId="1B6F3DB6" w14:textId="77777777" w:rsidR="00D041A2" w:rsidRDefault="00000000">
      <w:pPr>
        <w:pStyle w:val="Normal22"/>
        <w:widowControl w:val="0"/>
        <w:spacing w:before="200" w:line="260" w:lineRule="atLeast"/>
        <w:jc w:val="both"/>
      </w:pPr>
      <w:bookmarkStart w:id="2683" w:name="Bookmark_para_8_20"/>
      <w:bookmarkEnd w:id="2683"/>
      <w:r>
        <w:rPr>
          <w:rFonts w:ascii="Arial" w:eastAsia="Arial" w:hAnsi="Arial" w:cs="Arial"/>
          <w:color w:val="000000"/>
          <w:sz w:val="20"/>
        </w:rPr>
        <w:t>Aubrey remained on leave after being denied the fire inspector position – first using his regular accrued leave, then exercising his right to twelve weeks of leave under the Family Medical Leave Act ("FMLA"). The record indicates that he received an independent medical examination confirming his PTSD diagnosis and other evaluations stating that he was unable to return to work as a firefighter. It also shows that while on leave he corresponded with Bethlehem regarding his condition, his plans to return to work (including his rejection of offers to perform light duty functions), and his need to obtain medical clearance before returning to the Bethlehem Fire Department. Aubrey exhausted his approved leave on December 19, 2007, and never returned to work. He alleges that the tolling of the statute of limitations should be delayed because he continued receiving pay stubs without income until an unspecified date in 2008 and remained an  [**3] active member of the union until retiring in February 2010.</w:t>
      </w:r>
    </w:p>
    <w:p w14:paraId="159F2824" w14:textId="77777777" w:rsidR="00D041A2" w:rsidRDefault="00000000">
      <w:pPr>
        <w:pStyle w:val="Normal22"/>
        <w:widowControl w:val="0"/>
        <w:spacing w:before="200" w:line="260" w:lineRule="atLeast"/>
        <w:jc w:val="both"/>
      </w:pPr>
      <w:bookmarkStart w:id="2684" w:name="Bookmark_para_9_19"/>
      <w:bookmarkEnd w:id="2684"/>
      <w:r>
        <w:rPr>
          <w:rFonts w:ascii="Arial" w:eastAsia="Arial" w:hAnsi="Arial" w:cs="Arial"/>
          <w:color w:val="000000"/>
          <w:sz w:val="20"/>
        </w:rPr>
        <w:t>After filing a Charge of Discrimination with the Equal Employment Opportunity Commission ("EEOC") on May 8, 2009, Aubrey filed an action for employment discrimination, alleging that Bethlehem violated the Americans with Disabilities Act ("ADA") by not allowing him to return to work and by failing to provide him with a reasonable accommodation. Aubrey also alleged that he was discriminated against on the basis of his disability in violation of the Pennsylvania Human Relations Act.</w:t>
      </w:r>
    </w:p>
    <w:p w14:paraId="15D3A953" w14:textId="77777777" w:rsidR="00D041A2" w:rsidRDefault="00000000">
      <w:pPr>
        <w:pStyle w:val="Normal22"/>
        <w:widowControl w:val="0"/>
        <w:spacing w:before="200" w:line="260" w:lineRule="atLeast"/>
        <w:jc w:val="both"/>
      </w:pPr>
      <w:bookmarkStart w:id="2685" w:name="Bookmark_para_10_19"/>
      <w:bookmarkEnd w:id="2685"/>
      <w:r>
        <w:rPr>
          <w:rFonts w:ascii="Arial" w:eastAsia="Arial" w:hAnsi="Arial" w:cs="Arial"/>
          <w:color w:val="000000"/>
          <w:sz w:val="20"/>
        </w:rPr>
        <w:t>Bethlehem filed a motion to dismiss Aubrey's claims under Rule 12(b)(6) of the Federal Rules of Civil Procedure, alleging that Aubrey failed to file a Charge of Discrimination with the EEOC within 300 days of the alleged discriminatory act. After finding that the amended complaint lacked relevant information and was substantively difficult to discern, the District Court asked the parties to conduct limited discovery and submit supplemental briefs to assist the Court in determining whether Aubrey's discrimination claim was timely. Specifically, the Court sought more information about the date on which the alleged discriminatory act occurred.</w:t>
      </w:r>
    </w:p>
    <w:p w14:paraId="74138A20" w14:textId="77777777" w:rsidR="00D041A2" w:rsidRDefault="00000000">
      <w:pPr>
        <w:pStyle w:val="Normal22"/>
        <w:widowControl w:val="0"/>
        <w:spacing w:before="200" w:line="260" w:lineRule="atLeast"/>
        <w:jc w:val="both"/>
      </w:pPr>
      <w:bookmarkStart w:id="2686" w:name="Bookmark_para_11_18"/>
      <w:bookmarkEnd w:id="2686"/>
      <w:r>
        <w:rPr>
          <w:rFonts w:ascii="Arial" w:eastAsia="Arial" w:hAnsi="Arial" w:cs="Arial"/>
          <w:color w:val="000000"/>
          <w:sz w:val="20"/>
        </w:rPr>
        <w:t>During the  [**4] limited discovery process, the District Court conducted two conferences with the parties and provided a clear timeframe during which Aubrey could respond to the discovery materials produced by Bethlehem. After conducting limited discovery and considering the supplemental written filings, the District Court granted Bethlehem's motion and dismissed the action.</w:t>
      </w:r>
      <w:r>
        <w:rPr>
          <w:rFonts w:ascii="Arial" w:eastAsia="Arial" w:hAnsi="Arial" w:cs="Arial"/>
          <w:vertAlign w:val="superscript"/>
        </w:rPr>
        <w:footnoteReference w:customMarkFollows="1" w:id="122"/>
        <w:t>2</w:t>
      </w:r>
      <w:r>
        <w:rPr>
          <w:rFonts w:ascii="Arial" w:eastAsia="Arial" w:hAnsi="Arial" w:cs="Arial"/>
          <w:color w:val="000000"/>
          <w:sz w:val="20"/>
        </w:rPr>
        <w:t xml:space="preserve"> Aubrey now appeals the District Court's Order granting dismissal.</w:t>
      </w:r>
    </w:p>
    <w:p w14:paraId="2CA6D793" w14:textId="77777777" w:rsidR="00D041A2" w:rsidRDefault="00000000">
      <w:pPr>
        <w:pStyle w:val="Normal22"/>
        <w:widowControl w:val="0"/>
        <w:spacing w:before="240" w:line="260" w:lineRule="atLeast"/>
      </w:pPr>
      <w:r>
        <w:br/>
      </w:r>
      <w:r>
        <w:rPr>
          <w:rFonts w:ascii="Arial" w:eastAsia="Arial" w:hAnsi="Arial" w:cs="Arial"/>
          <w:b/>
          <w:color w:val="000000"/>
          <w:sz w:val="20"/>
        </w:rPr>
        <w:t>II.</w:t>
      </w:r>
      <w:r>
        <w:rPr>
          <w:rFonts w:ascii="Arial" w:eastAsia="Arial" w:hAnsi="Arial" w:cs="Arial"/>
          <w:b/>
          <w:color w:val="000000"/>
          <w:sz w:val="20"/>
          <w:u w:val="single"/>
        </w:rPr>
        <w:t>JURISDICTION AND STANDARD OF REVIEW</w:t>
      </w:r>
    </w:p>
    <w:p w14:paraId="17A8F640" w14:textId="77777777" w:rsidR="00D041A2" w:rsidRDefault="00000000">
      <w:pPr>
        <w:pStyle w:val="Normal22"/>
        <w:widowControl w:val="0"/>
        <w:spacing w:before="200" w:line="260" w:lineRule="atLeast"/>
        <w:jc w:val="both"/>
      </w:pPr>
      <w:bookmarkStart w:id="2688" w:name="Bookmark_para_12_17"/>
      <w:bookmarkEnd w:id="2688"/>
      <w:r>
        <w:rPr>
          <w:rFonts w:ascii="Arial" w:eastAsia="Arial" w:hAnsi="Arial" w:cs="Arial"/>
          <w:color w:val="000000"/>
          <w:sz w:val="20"/>
        </w:rPr>
        <w:t>The District Court had original jurisdiction, pursuant to 28 U.S.C. § 1331. We have appellate jurisdiction, pursuant to 28 U.S.C. § 1291.</w:t>
      </w:r>
    </w:p>
    <w:p w14:paraId="47FBB28B" w14:textId="77777777" w:rsidR="00D041A2" w:rsidRDefault="00000000">
      <w:pPr>
        <w:pStyle w:val="Normal22"/>
        <w:widowControl w:val="0"/>
        <w:spacing w:before="200" w:line="260" w:lineRule="atLeast"/>
        <w:jc w:val="both"/>
      </w:pPr>
      <w:bookmarkStart w:id="2689" w:name="Bookmark_para_13_16"/>
      <w:bookmarkEnd w:id="2689"/>
      <w:r>
        <w:rPr>
          <w:rFonts w:ascii="Arial" w:eastAsia="Arial" w:hAnsi="Arial" w:cs="Arial"/>
          <w:color w:val="000000"/>
          <w:sz w:val="20"/>
        </w:rPr>
        <w:t xml:space="preserve"> [*91]  </w:t>
      </w:r>
      <w:bookmarkStart w:id="2690" w:name="Bookmark_I558PTXK2D6N4S0020000400"/>
      <w:bookmarkStart w:id="2691" w:name="Bookmark_I558PTXK2D6N4S0040000400"/>
      <w:bookmarkStart w:id="2692" w:name="Bookmark_LNHNREFclscc1_15"/>
      <w:bookmarkEnd w:id="2690"/>
      <w:bookmarkEnd w:id="2691"/>
      <w:bookmarkEnd w:id="2692"/>
      <w:r>
        <w:rPr>
          <w:rFonts w:ascii="Arial" w:eastAsia="Arial" w:hAnsi="Arial" w:cs="Arial"/>
          <w:color w:val="000000"/>
          <w:sz w:val="20"/>
        </w:rPr>
        <w:t xml:space="preserve">We exercise plenary review over a district court's grant of a motion to dismiss, pursuant to Federal Rule of Civil Procedure 12(b)(6), for failure to state a claim. </w:t>
      </w:r>
      <w:bookmarkStart w:id="2693" w:name="Bookmark_I558PTXK2HM5RC0010000400"/>
      <w:bookmarkStart w:id="2694" w:name="Bookmark_I558PTXK2D6N4S0010000400"/>
      <w:bookmarkEnd w:id="2693"/>
      <w:bookmarkEnd w:id="2694"/>
      <w:r>
        <w:rPr>
          <w:rFonts w:ascii="Arial" w:eastAsia="Arial" w:hAnsi="Arial" w:cs="Arial"/>
          <w:i/>
          <w:color w:val="000000"/>
          <w:sz w:val="20"/>
        </w:rPr>
        <w:t>Grier v. Klem,</w:t>
      </w:r>
      <w:r>
        <w:rPr>
          <w:rFonts w:ascii="Arial" w:eastAsia="Arial" w:hAnsi="Arial" w:cs="Arial"/>
          <w:color w:val="000000"/>
          <w:sz w:val="20"/>
        </w:rPr>
        <w:t xml:space="preserve"> 591 F.3d 672, 676 (3d Cir. 2010). </w:t>
      </w:r>
      <w:bookmarkStart w:id="2695" w:name="Bookmark_LNHNREFclscc2_15"/>
      <w:bookmarkEnd w:id="2695"/>
      <w:r>
        <w:rPr>
          <w:rFonts w:ascii="Arial" w:eastAsia="Arial" w:hAnsi="Arial" w:cs="Arial"/>
          <w:color w:val="000000"/>
          <w:sz w:val="20"/>
        </w:rPr>
        <w:t xml:space="preserve">"In deciding a motion to dismiss, all well-pleaded  [**5] allegations of the complaint must be taken as true and interpreted in the light most favorable to the plaintiffs, and all inferences must be drawn in favor of them." </w:t>
      </w:r>
      <w:bookmarkStart w:id="2696" w:name="Bookmark_I558PTXK2D6N4S0030000400"/>
      <w:bookmarkEnd w:id="2696"/>
      <w:r>
        <w:rPr>
          <w:rFonts w:ascii="Arial" w:eastAsia="Arial" w:hAnsi="Arial" w:cs="Arial"/>
          <w:i/>
          <w:color w:val="000000"/>
          <w:sz w:val="20"/>
        </w:rPr>
        <w:t>McTernan v. City of York,</w:t>
      </w:r>
      <w:r>
        <w:rPr>
          <w:rFonts w:ascii="Arial" w:eastAsia="Arial" w:hAnsi="Arial" w:cs="Arial"/>
          <w:color w:val="000000"/>
          <w:sz w:val="20"/>
        </w:rPr>
        <w:t xml:space="preserve"> 577 F.3d 521, 526 (3d Cir. 2009) (internal quotation marks and citation omitted). </w:t>
      </w:r>
      <w:bookmarkStart w:id="2697" w:name="Bookmark_I558PTXK2HM5RC0010000400_2"/>
      <w:bookmarkStart w:id="2698" w:name="Bookmark_LNHNREFclscc3_14"/>
      <w:bookmarkEnd w:id="2697"/>
      <w:bookmarkEnd w:id="2698"/>
      <w:r>
        <w:rPr>
          <w:rFonts w:ascii="Arial" w:eastAsia="Arial" w:hAnsi="Arial" w:cs="Arial"/>
          <w:color w:val="000000"/>
          <w:sz w:val="20"/>
        </w:rPr>
        <w:t xml:space="preserve">To withstand a Rule 12(b)(6) motion to dismiss, "a complaint must contain sufficient factual matter, accepted as true, to state a claim to relief that is plausible on its face." </w:t>
      </w:r>
      <w:bookmarkStart w:id="2699" w:name="Bookmark_I558PTXK2D6N4S0050000400"/>
      <w:bookmarkEnd w:id="2699"/>
      <w:r>
        <w:rPr>
          <w:rFonts w:ascii="Arial" w:eastAsia="Arial" w:hAnsi="Arial" w:cs="Arial"/>
          <w:i/>
          <w:color w:val="000000"/>
          <w:sz w:val="20"/>
        </w:rPr>
        <w:t>Ashcroft v. Iqbal</w:t>
      </w:r>
      <w:r>
        <w:rPr>
          <w:rFonts w:ascii="Arial" w:eastAsia="Arial" w:hAnsi="Arial" w:cs="Arial"/>
          <w:color w:val="000000"/>
          <w:sz w:val="20"/>
        </w:rPr>
        <w:t>, 556 U.S. 662, 677-78, 129 S. Ct. 1937, 1949, 173 L. Ed. 2d 868 (2009) (internal quotation marks and citation omitted).</w:t>
      </w:r>
    </w:p>
    <w:p w14:paraId="1DFD484E" w14:textId="77777777" w:rsidR="00D041A2" w:rsidRDefault="00000000">
      <w:pPr>
        <w:pStyle w:val="Normal22"/>
        <w:widowControl w:val="0"/>
        <w:spacing w:before="240" w:line="260" w:lineRule="atLeast"/>
      </w:pPr>
      <w:r>
        <w:br/>
      </w:r>
      <w:r>
        <w:rPr>
          <w:rFonts w:ascii="Arial" w:eastAsia="Arial" w:hAnsi="Arial" w:cs="Arial"/>
          <w:b/>
          <w:color w:val="000000"/>
          <w:sz w:val="20"/>
        </w:rPr>
        <w:t>III.</w:t>
      </w:r>
      <w:r>
        <w:rPr>
          <w:rFonts w:ascii="Arial" w:eastAsia="Arial" w:hAnsi="Arial" w:cs="Arial"/>
          <w:b/>
          <w:color w:val="000000"/>
          <w:sz w:val="20"/>
          <w:u w:val="single"/>
        </w:rPr>
        <w:t>ANALYSIS</w:t>
      </w:r>
    </w:p>
    <w:p w14:paraId="18CB8898" w14:textId="77777777" w:rsidR="00D041A2" w:rsidRDefault="00000000">
      <w:pPr>
        <w:pStyle w:val="Normal22"/>
        <w:widowControl w:val="0"/>
        <w:spacing w:before="200" w:line="260" w:lineRule="atLeast"/>
        <w:jc w:val="both"/>
      </w:pPr>
      <w:bookmarkStart w:id="2700" w:name="Bookmark_para_14_15"/>
      <w:bookmarkEnd w:id="2700"/>
      <w:r>
        <w:rPr>
          <w:rFonts w:ascii="Arial" w:eastAsia="Arial" w:hAnsi="Arial" w:cs="Arial"/>
          <w:color w:val="000000"/>
          <w:sz w:val="20"/>
        </w:rPr>
        <w:t>Aubrey alleges that the District Court committed reversible error by considering documents, other than those permissible under Rule 12(b)(6), in its disposition of Bethlehem's motion to dismiss. Aubrey argues that this procedural error improperly converted the motion to one seeking summary judgment. He also argues that the District Court erred in granting the motion on the basis of untimeliness. Because we find no such error in the District Court's determinations, we will affirm.</w:t>
      </w:r>
    </w:p>
    <w:p w14:paraId="5343E1CB" w14:textId="77777777" w:rsidR="00D041A2" w:rsidRDefault="00000000">
      <w:pPr>
        <w:pStyle w:val="Normal22"/>
        <w:widowControl w:val="0"/>
        <w:spacing w:before="200" w:line="260" w:lineRule="atLeast"/>
        <w:jc w:val="both"/>
      </w:pPr>
      <w:bookmarkStart w:id="2701" w:name="Bookmark_para_15_15"/>
      <w:bookmarkStart w:id="2702" w:name="Bookmark_I558PTXK2HM5RC0030000400"/>
      <w:bookmarkStart w:id="2703" w:name="Bookmark_LNHNREFclscc4_14"/>
      <w:bookmarkEnd w:id="2701"/>
      <w:bookmarkEnd w:id="2702"/>
      <w:bookmarkEnd w:id="2703"/>
      <w:r>
        <w:rPr>
          <w:rFonts w:ascii="Arial" w:eastAsia="Arial" w:hAnsi="Arial" w:cs="Arial"/>
          <w:color w:val="000000"/>
          <w:sz w:val="20"/>
        </w:rPr>
        <w:t xml:space="preserve">"In deciding a Rule 12(b)(6) motion, a court must consider only the complaint, exhibits attached to the complaint, matters of public record,  [**6] as well as undisputedly authentic documents if the complainant's claims are based upon these documents." </w:t>
      </w:r>
      <w:bookmarkStart w:id="2704" w:name="Bookmark_I558PTXK2HM5RC0020000400"/>
      <w:bookmarkEnd w:id="2704"/>
      <w:r>
        <w:rPr>
          <w:rFonts w:ascii="Arial" w:eastAsia="Arial" w:hAnsi="Arial" w:cs="Arial"/>
          <w:i/>
          <w:color w:val="000000"/>
          <w:sz w:val="20"/>
        </w:rPr>
        <w:t>Mayer v. Belichick,</w:t>
      </w:r>
      <w:r>
        <w:rPr>
          <w:rFonts w:ascii="Arial" w:eastAsia="Arial" w:hAnsi="Arial" w:cs="Arial"/>
          <w:color w:val="000000"/>
          <w:sz w:val="20"/>
        </w:rPr>
        <w:t xml:space="preserve"> 605 F.3d 223, 230 (3d Cir. 2010) (citation omitted). </w:t>
      </w:r>
      <w:bookmarkStart w:id="2705" w:name="Bookmark_I558PTXK2HM5RC0050000400"/>
      <w:bookmarkStart w:id="2706" w:name="Bookmark_LNHNREFclscc5_14"/>
      <w:bookmarkEnd w:id="2705"/>
      <w:bookmarkEnd w:id="2706"/>
      <w:r>
        <w:rPr>
          <w:rFonts w:ascii="Arial" w:eastAsia="Arial" w:hAnsi="Arial" w:cs="Arial"/>
          <w:color w:val="000000"/>
          <w:sz w:val="20"/>
        </w:rPr>
        <w:t xml:space="preserve">If the court considers other matters outside of the pleading, the motion is to be treated as one for summary judgment, pursuant to Rule 56 of the Federal Rules of Civil Procedure. </w:t>
      </w:r>
      <w:r>
        <w:rPr>
          <w:rFonts w:ascii="Arial" w:eastAsia="Arial" w:hAnsi="Arial" w:cs="Arial"/>
          <w:i/>
          <w:color w:val="000000"/>
          <w:sz w:val="20"/>
        </w:rPr>
        <w:t>See</w:t>
      </w:r>
      <w:r>
        <w:rPr>
          <w:rFonts w:ascii="Arial" w:eastAsia="Arial" w:hAnsi="Arial" w:cs="Arial"/>
          <w:color w:val="000000"/>
          <w:sz w:val="20"/>
        </w:rPr>
        <w:t xml:space="preserve"> Fed. R. Civ. P. 12(b)(6). </w:t>
      </w:r>
      <w:bookmarkStart w:id="2707" w:name="Bookmark_I558PTXK2HM5RC0050000400_2"/>
      <w:bookmarkStart w:id="2708" w:name="Bookmark_LNHNREFclscc6_14"/>
      <w:bookmarkEnd w:id="2707"/>
      <w:bookmarkEnd w:id="2708"/>
      <w:r>
        <w:rPr>
          <w:rFonts w:ascii="Arial" w:eastAsia="Arial" w:hAnsi="Arial" w:cs="Arial"/>
          <w:color w:val="000000"/>
          <w:sz w:val="20"/>
        </w:rPr>
        <w:t xml:space="preserve">The district court, prior to converting a Rule 12(b)(6) motion to a motion for summary judgment, must provide the parties with "an opportunity to submit materials admissible in a summary judgment proceeding." </w:t>
      </w:r>
      <w:bookmarkStart w:id="2709" w:name="Bookmark_I558PTXK2HM5RC0040000400"/>
      <w:bookmarkEnd w:id="2709"/>
      <w:r>
        <w:rPr>
          <w:rFonts w:ascii="Arial" w:eastAsia="Arial" w:hAnsi="Arial" w:cs="Arial"/>
          <w:i/>
          <w:color w:val="000000"/>
          <w:sz w:val="20"/>
        </w:rPr>
        <w:t>Ford Motor Co. v. Summit Motor Prods., Inc.,</w:t>
      </w:r>
      <w:r>
        <w:rPr>
          <w:rFonts w:ascii="Arial" w:eastAsia="Arial" w:hAnsi="Arial" w:cs="Arial"/>
          <w:color w:val="000000"/>
          <w:sz w:val="20"/>
        </w:rPr>
        <w:t xml:space="preserve"> 930 F.2d 277, 284 (3d Cir. 1991) (quoting </w:t>
      </w:r>
      <w:bookmarkStart w:id="2710" w:name="Bookmark_I558PTXK28T4560010000400"/>
      <w:bookmarkEnd w:id="2710"/>
      <w:r>
        <w:rPr>
          <w:rFonts w:ascii="Arial" w:eastAsia="Arial" w:hAnsi="Arial" w:cs="Arial"/>
          <w:i/>
          <w:color w:val="000000"/>
          <w:sz w:val="20"/>
        </w:rPr>
        <w:t>Rose v. Bartle,</w:t>
      </w:r>
      <w:r>
        <w:rPr>
          <w:rFonts w:ascii="Arial" w:eastAsia="Arial" w:hAnsi="Arial" w:cs="Arial"/>
          <w:color w:val="000000"/>
          <w:sz w:val="20"/>
        </w:rPr>
        <w:t xml:space="preserve"> 871 F.2d 331, 342 (3d Cir. 1989)). </w:t>
      </w:r>
      <w:bookmarkStart w:id="2711" w:name="Bookmark_I558PTXK28T4560040000400"/>
      <w:bookmarkEnd w:id="2711"/>
      <w:r>
        <w:rPr>
          <w:rFonts w:ascii="Arial" w:eastAsia="Arial" w:hAnsi="Arial" w:cs="Arial"/>
          <w:color w:val="000000"/>
          <w:sz w:val="20"/>
        </w:rPr>
        <w:t xml:space="preserve">A district court's failure to provide such opportunity constitutes reversible error. </w:t>
      </w:r>
      <w:r>
        <w:rPr>
          <w:rFonts w:ascii="Arial" w:eastAsia="Arial" w:hAnsi="Arial" w:cs="Arial"/>
          <w:i/>
          <w:color w:val="000000"/>
          <w:sz w:val="20"/>
        </w:rPr>
        <w:t>Id.</w:t>
      </w:r>
      <w:r>
        <w:rPr>
          <w:rFonts w:ascii="Arial" w:eastAsia="Arial" w:hAnsi="Arial" w:cs="Arial"/>
          <w:color w:val="000000"/>
          <w:sz w:val="20"/>
        </w:rPr>
        <w:t xml:space="preserve"> If notice is not given but the error is harmless, reversal is not required. </w:t>
      </w:r>
      <w:bookmarkStart w:id="2712" w:name="Bookmark_I558PTXK28T4560030000400"/>
      <w:bookmarkEnd w:id="2712"/>
      <w:r>
        <w:rPr>
          <w:rFonts w:ascii="Arial" w:eastAsia="Arial" w:hAnsi="Arial" w:cs="Arial"/>
          <w:i/>
          <w:color w:val="000000"/>
          <w:sz w:val="20"/>
        </w:rPr>
        <w:t>Id.</w:t>
      </w:r>
      <w:r>
        <w:rPr>
          <w:rFonts w:ascii="Arial" w:eastAsia="Arial" w:hAnsi="Arial" w:cs="Arial"/>
          <w:color w:val="000000"/>
          <w:sz w:val="20"/>
        </w:rPr>
        <w:t xml:space="preserve"> at 284-85 (citing </w:t>
      </w:r>
      <w:bookmarkStart w:id="2713" w:name="Bookmark_I558PTXK28T4560050000400"/>
      <w:bookmarkEnd w:id="2713"/>
      <w:r>
        <w:rPr>
          <w:rFonts w:ascii="Arial" w:eastAsia="Arial" w:hAnsi="Arial" w:cs="Arial"/>
          <w:i/>
          <w:color w:val="000000"/>
          <w:sz w:val="20"/>
        </w:rPr>
        <w:t>Rose,</w:t>
      </w:r>
      <w:r>
        <w:rPr>
          <w:rFonts w:ascii="Arial" w:eastAsia="Arial" w:hAnsi="Arial" w:cs="Arial"/>
          <w:color w:val="000000"/>
          <w:sz w:val="20"/>
        </w:rPr>
        <w:t xml:space="preserve"> 871 F.2d at 342).</w:t>
      </w:r>
    </w:p>
    <w:p w14:paraId="6E3A19E3" w14:textId="77777777" w:rsidR="00D041A2" w:rsidRDefault="00000000">
      <w:pPr>
        <w:pStyle w:val="Normal22"/>
        <w:widowControl w:val="0"/>
        <w:spacing w:before="200" w:line="260" w:lineRule="atLeast"/>
        <w:jc w:val="both"/>
      </w:pPr>
      <w:bookmarkStart w:id="2714" w:name="Bookmark_para_16_15"/>
      <w:bookmarkStart w:id="2715" w:name="Bookmark_I558PTXK2HM5RD0030000400"/>
      <w:bookmarkStart w:id="2716" w:name="Bookmark_I558PTXK2HM5RD0050000400"/>
      <w:bookmarkEnd w:id="2714"/>
      <w:bookmarkEnd w:id="2715"/>
      <w:bookmarkEnd w:id="2716"/>
      <w:r>
        <w:rPr>
          <w:rFonts w:ascii="Arial" w:eastAsia="Arial" w:hAnsi="Arial" w:cs="Arial"/>
          <w:color w:val="000000"/>
          <w:sz w:val="20"/>
        </w:rPr>
        <w:t xml:space="preserve">Aubrey relies on </w:t>
      </w:r>
      <w:r>
        <w:rPr>
          <w:rFonts w:ascii="Arial" w:eastAsia="Arial" w:hAnsi="Arial" w:cs="Arial"/>
          <w:i/>
          <w:color w:val="000000"/>
          <w:sz w:val="20"/>
        </w:rPr>
        <w:t>Ford</w:t>
      </w:r>
      <w:r>
        <w:rPr>
          <w:rFonts w:ascii="Arial" w:eastAsia="Arial" w:hAnsi="Arial" w:cs="Arial"/>
          <w:color w:val="000000"/>
          <w:sz w:val="20"/>
        </w:rPr>
        <w:t xml:space="preserve"> and </w:t>
      </w:r>
      <w:r>
        <w:rPr>
          <w:rFonts w:ascii="Arial" w:eastAsia="Arial" w:hAnsi="Arial" w:cs="Arial"/>
          <w:i/>
          <w:color w:val="000000"/>
          <w:sz w:val="20"/>
        </w:rPr>
        <w:t>Rose</w:t>
      </w:r>
      <w:r>
        <w:rPr>
          <w:rFonts w:ascii="Arial" w:eastAsia="Arial" w:hAnsi="Arial" w:cs="Arial"/>
          <w:color w:val="000000"/>
          <w:sz w:val="20"/>
        </w:rPr>
        <w:t xml:space="preserve"> in arguing that the District Court committed reversible error by converting the motion to dismiss without notice; however, we find no such error.</w:t>
      </w:r>
      <w:r>
        <w:rPr>
          <w:rFonts w:ascii="Arial" w:eastAsia="Arial" w:hAnsi="Arial" w:cs="Arial"/>
          <w:vertAlign w:val="superscript"/>
        </w:rPr>
        <w:footnoteReference w:customMarkFollows="1" w:id="123"/>
        <w:t>3</w:t>
      </w:r>
      <w:r>
        <w:rPr>
          <w:rFonts w:ascii="Arial" w:eastAsia="Arial" w:hAnsi="Arial" w:cs="Arial"/>
          <w:color w:val="000000"/>
          <w:sz w:val="20"/>
        </w:rPr>
        <w:t xml:space="preserve"> The issue of timeliness is treated as a statute of limitations question. </w:t>
      </w:r>
      <w:r>
        <w:rPr>
          <w:rFonts w:ascii="Arial" w:eastAsia="Arial" w:hAnsi="Arial" w:cs="Arial"/>
          <w:i/>
          <w:color w:val="000000"/>
          <w:sz w:val="20"/>
        </w:rPr>
        <w:t xml:space="preserve">See </w:t>
      </w:r>
      <w:bookmarkStart w:id="2720" w:name="Bookmark_I558PTXK2HM5RD0020000400"/>
      <w:bookmarkEnd w:id="2720"/>
      <w:r>
        <w:rPr>
          <w:rFonts w:ascii="Arial" w:eastAsia="Arial" w:hAnsi="Arial" w:cs="Arial"/>
          <w:i/>
          <w:color w:val="000000"/>
          <w:sz w:val="20"/>
        </w:rPr>
        <w:t>Burgh v. Borough Council,</w:t>
      </w:r>
      <w:r>
        <w:rPr>
          <w:rFonts w:ascii="Arial" w:eastAsia="Arial" w:hAnsi="Arial" w:cs="Arial"/>
          <w:color w:val="000000"/>
          <w:sz w:val="20"/>
        </w:rPr>
        <w:t xml:space="preserve"> 251 F.3d 465, 470 (3d Cir. 2001).  [**7] Here, the District Court explicitly sought limited discovery on the timeliness issue after concluding that the amended complaint was difficult to decipher. In adjudicating the motion to dismiss, it used the limited discovery information solely for the purpose of clarifying the timeframe of the action. After doing so, the District Court concluded that the amended complaint was untimely because it "d[id] not contain specific allegations of disability-based employment  [*92]  discrimination within the period beginning July 11, 2008 and ending May 8, 2009."</w:t>
      </w:r>
    </w:p>
    <w:p w14:paraId="45FFFDF2" w14:textId="77777777" w:rsidR="00D041A2" w:rsidRDefault="00000000">
      <w:pPr>
        <w:pStyle w:val="Normal22"/>
        <w:widowControl w:val="0"/>
        <w:spacing w:before="200" w:line="260" w:lineRule="atLeast"/>
        <w:jc w:val="both"/>
      </w:pPr>
      <w:bookmarkStart w:id="2721" w:name="Bookmark_para_17_14"/>
      <w:bookmarkStart w:id="2722" w:name="Bookmark_I558PTXK28T4570020000400"/>
      <w:bookmarkEnd w:id="2721"/>
      <w:bookmarkEnd w:id="2722"/>
      <w:r>
        <w:rPr>
          <w:rFonts w:ascii="Arial" w:eastAsia="Arial" w:hAnsi="Arial" w:cs="Arial"/>
          <w:color w:val="000000"/>
          <w:sz w:val="20"/>
        </w:rPr>
        <w:t xml:space="preserve">This conclusion falls squarely within the domain of Rule 12(b)(6), as it concerns only the legal question of whether the claim was filed within the applicable statute of limitations. </w:t>
      </w:r>
      <w:r>
        <w:rPr>
          <w:rFonts w:ascii="Arial" w:eastAsia="Arial" w:hAnsi="Arial" w:cs="Arial"/>
          <w:i/>
          <w:color w:val="000000"/>
          <w:sz w:val="20"/>
        </w:rPr>
        <w:t xml:space="preserve">Compare </w:t>
      </w:r>
      <w:bookmarkStart w:id="2723" w:name="Bookmark_I558PTXK28T4570010000400"/>
      <w:bookmarkEnd w:id="2723"/>
      <w:r>
        <w:rPr>
          <w:rFonts w:ascii="Arial" w:eastAsia="Arial" w:hAnsi="Arial" w:cs="Arial"/>
          <w:i/>
          <w:color w:val="000000"/>
          <w:sz w:val="20"/>
        </w:rPr>
        <w:t>Iqbal,</w:t>
      </w:r>
      <w:r>
        <w:rPr>
          <w:rFonts w:ascii="Arial" w:eastAsia="Arial" w:hAnsi="Arial" w:cs="Arial"/>
          <w:color w:val="000000"/>
          <w:sz w:val="20"/>
        </w:rPr>
        <w:t xml:space="preserve"> 129 S. Ct. at 1949  [**8] (stating the rule and standard for a motion to dismiss for failure to state a claim), </w:t>
      </w:r>
      <w:r>
        <w:rPr>
          <w:rFonts w:ascii="Arial" w:eastAsia="Arial" w:hAnsi="Arial" w:cs="Arial"/>
          <w:i/>
          <w:color w:val="000000"/>
          <w:sz w:val="20"/>
        </w:rPr>
        <w:t>with</w:t>
      </w:r>
      <w:r>
        <w:rPr>
          <w:rFonts w:ascii="Arial" w:eastAsia="Arial" w:hAnsi="Arial" w:cs="Arial"/>
          <w:color w:val="000000"/>
          <w:sz w:val="20"/>
        </w:rPr>
        <w:t xml:space="preserve"> Fed. R. Civ. P. 56 ("[T]he court shall grant summary judgment if the movant shows that there is no genuine dispute as to any material fact . . . ."); </w:t>
      </w:r>
      <w:r>
        <w:rPr>
          <w:rFonts w:ascii="Arial" w:eastAsia="Arial" w:hAnsi="Arial" w:cs="Arial"/>
          <w:i/>
          <w:color w:val="000000"/>
          <w:sz w:val="20"/>
        </w:rPr>
        <w:t xml:space="preserve">see also </w:t>
      </w:r>
      <w:bookmarkStart w:id="2724" w:name="Bookmark_I558PTXK28T4570030000400"/>
      <w:bookmarkEnd w:id="2724"/>
      <w:r>
        <w:rPr>
          <w:rFonts w:ascii="Arial" w:eastAsia="Arial" w:hAnsi="Arial" w:cs="Arial"/>
          <w:i/>
          <w:color w:val="000000"/>
          <w:sz w:val="20"/>
        </w:rPr>
        <w:t>Oshiver v. Levin, Fishbein, Sedran &amp; Berman,</w:t>
      </w:r>
      <w:r>
        <w:rPr>
          <w:rFonts w:ascii="Arial" w:eastAsia="Arial" w:hAnsi="Arial" w:cs="Arial"/>
          <w:color w:val="000000"/>
          <w:sz w:val="20"/>
        </w:rPr>
        <w:t xml:space="preserve"> 38 F.3d 1380, 1384 n.1 (3d Cir. 1994) (stating that </w:t>
      </w:r>
      <w:bookmarkStart w:id="2725" w:name="Bookmark_LNHNREFclscc8_14"/>
      <w:bookmarkEnd w:id="2725"/>
      <w:r>
        <w:rPr>
          <w:rFonts w:ascii="Arial" w:eastAsia="Arial" w:hAnsi="Arial" w:cs="Arial"/>
          <w:color w:val="000000"/>
          <w:sz w:val="20"/>
        </w:rPr>
        <w:t>a statute of limitations defense can be used in the context of a Rule 12(b)(6) motion where "the complaint facially shows noncompliance with the limitations period and the affirmative defense clearly appears on the face of the pleading"). For these reasons, we find that the District Court did not err in using limited discovery materials to construe Aubrey's claims on his motion to dismiss.</w:t>
      </w:r>
    </w:p>
    <w:p w14:paraId="08BDF6B9" w14:textId="77777777" w:rsidR="00D041A2" w:rsidRDefault="00000000">
      <w:pPr>
        <w:pStyle w:val="Normal22"/>
        <w:widowControl w:val="0"/>
        <w:spacing w:before="200" w:line="260" w:lineRule="atLeast"/>
        <w:jc w:val="both"/>
      </w:pPr>
      <w:bookmarkStart w:id="2726" w:name="Bookmark_para_18_12"/>
      <w:bookmarkStart w:id="2727" w:name="Bookmark_I558PTXK2N1PS00010000400"/>
      <w:bookmarkEnd w:id="2726"/>
      <w:bookmarkEnd w:id="2727"/>
      <w:r>
        <w:rPr>
          <w:rFonts w:ascii="Arial" w:eastAsia="Arial" w:hAnsi="Arial" w:cs="Arial"/>
          <w:color w:val="000000"/>
          <w:sz w:val="20"/>
        </w:rPr>
        <w:t>Second, Aubrey asserts that the District Court erred in granting the motion to dismiss for untimeliness given the lack of clarity as to when his employment actually ended. In order for Aubrey's claims to be timely, the alleged unlawful employment practice would have needed to occur and to have been communicated to him on or after July 11, 2008, i.e., within 300 days prior to filing his May 8, 2009, Charge of Discrimination with the EEOC.</w:t>
      </w:r>
      <w:r>
        <w:rPr>
          <w:rFonts w:ascii="Arial" w:eastAsia="Arial" w:hAnsi="Arial" w:cs="Arial"/>
          <w:vertAlign w:val="superscript"/>
        </w:rPr>
        <w:footnoteReference w:customMarkFollows="1" w:id="124"/>
        <w:t>4</w:t>
      </w:r>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42 U.S.C. § 2000e-5(e)(1);  [**9] </w:t>
      </w:r>
      <w:bookmarkStart w:id="2730" w:name="Bookmark_LNHNREFclscc9_14"/>
      <w:bookmarkStart w:id="2731" w:name="Bookmark_I558PTXK28T4570050000400"/>
      <w:bookmarkEnd w:id="2730"/>
      <w:bookmarkEnd w:id="2731"/>
      <w:r>
        <w:rPr>
          <w:rFonts w:ascii="Arial" w:eastAsia="Arial" w:hAnsi="Arial" w:cs="Arial"/>
          <w:i/>
          <w:color w:val="000000"/>
          <w:sz w:val="20"/>
        </w:rPr>
        <w:t>Callowhill v. Allen-Sherman-Hoff Co.,</w:t>
      </w:r>
      <w:r>
        <w:rPr>
          <w:rFonts w:ascii="Arial" w:eastAsia="Arial" w:hAnsi="Arial" w:cs="Arial"/>
          <w:color w:val="000000"/>
          <w:sz w:val="20"/>
        </w:rPr>
        <w:t xml:space="preserve"> 832 F.2d 269, 271 (3d Cir. 1987) (</w:t>
      </w:r>
      <w:bookmarkStart w:id="2732" w:name="Bookmark_LNHNREFclscc10_13"/>
      <w:bookmarkEnd w:id="2732"/>
      <w:r>
        <w:rPr>
          <w:rFonts w:ascii="Arial" w:eastAsia="Arial" w:hAnsi="Arial" w:cs="Arial"/>
          <w:color w:val="000000"/>
          <w:sz w:val="20"/>
        </w:rPr>
        <w:t xml:space="preserve">"In a state such as Pennsylvania which has an agency performing functions similar to those of the EEOC, the time for filing is extended to 300 days . . . ."). Aubrey argues that his claims fall within the 300-day statute of limitations because Bethlehem never actually "terminated" him, an action that Aubrey alleges is required to trigger the tolling of the statute of limitations. </w:t>
      </w:r>
      <w:bookmarkStart w:id="2733" w:name="Bookmark_LNHNREFclscc11_12"/>
      <w:bookmarkEnd w:id="2733"/>
      <w:r>
        <w:rPr>
          <w:rFonts w:ascii="Arial" w:eastAsia="Arial" w:hAnsi="Arial" w:cs="Arial"/>
          <w:color w:val="000000"/>
          <w:sz w:val="20"/>
        </w:rPr>
        <w:t>This Court finds no precedent to suggest that the date of termination marks the tolling of the statute of limitations in an ADA case, absent an assertion that the termination itself was the discriminatory act. The amended complaint makes no such assertion. Instead, it focuses on the failure to promote Aubrey to fire inspector and an alleged failure to accommodate. The record indicates that Aubrey was not physically present at work after June 2006, was denied the fire inspector's position in January 2007, and exhausted his FMLA leave in December 2007. Each of these junctures in time fall outside of the 300-day statute of limitations. These facts support dismissal for untimeliness.</w:t>
      </w:r>
    </w:p>
    <w:p w14:paraId="7AAEC775" w14:textId="77777777" w:rsidR="00D041A2" w:rsidRDefault="00000000">
      <w:pPr>
        <w:pStyle w:val="Normal22"/>
        <w:widowControl w:val="0"/>
        <w:spacing w:before="200" w:line="260" w:lineRule="atLeast"/>
        <w:jc w:val="both"/>
      </w:pPr>
      <w:bookmarkStart w:id="2734" w:name="Bookmark_para_20_12"/>
      <w:bookmarkStart w:id="2735" w:name="Bookmark_I558PTXK2N1PS00030000400"/>
      <w:bookmarkStart w:id="2736" w:name="Bookmark_I558PTXK2N1PS00050000400"/>
      <w:bookmarkEnd w:id="2734"/>
      <w:bookmarkEnd w:id="2735"/>
      <w:bookmarkEnd w:id="2736"/>
      <w:r>
        <w:rPr>
          <w:rFonts w:ascii="Arial" w:eastAsia="Arial" w:hAnsi="Arial" w:cs="Arial"/>
          <w:color w:val="000000"/>
          <w:sz w:val="20"/>
        </w:rPr>
        <w:t xml:space="preserve">Aubrey avers that his claims should survive the statute of limitations bar because Bethlehem's acts constituted discrimination of a continuing nature. </w:t>
      </w:r>
      <w:bookmarkStart w:id="2737" w:name="Bookmark_I558PTXK2N1PS10020000400"/>
      <w:bookmarkStart w:id="2738" w:name="Bookmark_LNHNREFclscc12_11"/>
      <w:bookmarkEnd w:id="2737"/>
      <w:bookmarkEnd w:id="2738"/>
      <w:r>
        <w:rPr>
          <w:rFonts w:ascii="Arial" w:eastAsia="Arial" w:hAnsi="Arial" w:cs="Arial"/>
          <w:color w:val="000000"/>
          <w:sz w:val="20"/>
        </w:rPr>
        <w:t>Conceptually, the continuing violation doctrine "allows courts to consider conduct that would ordinarily be time barred as long as the untimely  [*93]  incidents represent an ongoing unlawful employment practice."  [**11] </w:t>
      </w:r>
      <w:bookmarkStart w:id="2739" w:name="Bookmark_I558PTXK2N1PS00020000400"/>
      <w:bookmarkEnd w:id="2739"/>
      <w:r>
        <w:rPr>
          <w:rFonts w:ascii="Arial" w:eastAsia="Arial" w:hAnsi="Arial" w:cs="Arial"/>
          <w:i/>
          <w:color w:val="000000"/>
          <w:sz w:val="20"/>
        </w:rPr>
        <w:t>Nat'l R.R. Passenger Corp. v. Morgan,</w:t>
      </w:r>
      <w:r>
        <w:rPr>
          <w:rFonts w:ascii="Arial" w:eastAsia="Arial" w:hAnsi="Arial" w:cs="Arial"/>
          <w:color w:val="000000"/>
          <w:sz w:val="20"/>
        </w:rPr>
        <w:t xml:space="preserve"> 536 U.S. 101, 107, 122 S. Ct. 2061, 153 L. Ed. 2d 106 (2002) (internal quotation marks and citation omitted). However, the Supreme Court has explicitly rejected the use of this doctrine to preserve time barred claims for discrete discriminatory acts. </w:t>
      </w:r>
      <w:bookmarkStart w:id="2740" w:name="Bookmark_I558PTXK2N1PS00040000400"/>
      <w:bookmarkEnd w:id="2740"/>
      <w:r>
        <w:rPr>
          <w:rFonts w:ascii="Arial" w:eastAsia="Arial" w:hAnsi="Arial" w:cs="Arial"/>
          <w:i/>
          <w:color w:val="000000"/>
          <w:sz w:val="20"/>
        </w:rPr>
        <w:t>Id.</w:t>
      </w:r>
      <w:r>
        <w:rPr>
          <w:rFonts w:ascii="Arial" w:eastAsia="Arial" w:hAnsi="Arial" w:cs="Arial"/>
          <w:color w:val="000000"/>
          <w:sz w:val="20"/>
        </w:rPr>
        <w:t xml:space="preserve"> at 113 ("[D]iscrete discriminatory acts are not actionable if time barred, even when they are related to acts alleged in timely filed charges . . . </w:t>
      </w:r>
      <w:bookmarkStart w:id="2741" w:name="Bookmark_I558PTXK2N1PS10020000400_2"/>
      <w:bookmarkStart w:id="2742" w:name="Bookmark_I5PX5R9RSWH000VWWV700225"/>
      <w:bookmarkStart w:id="2743" w:name="Bookmark_I558PTXK2N1PS10040000400"/>
      <w:bookmarkEnd w:id="2741"/>
      <w:bookmarkEnd w:id="2742"/>
      <w:bookmarkEnd w:id="2743"/>
      <w:r>
        <w:rPr>
          <w:rFonts w:ascii="Arial" w:eastAsia="Arial" w:hAnsi="Arial" w:cs="Arial"/>
          <w:color w:val="000000"/>
          <w:sz w:val="20"/>
        </w:rPr>
        <w:t xml:space="preserve">[E]ach discrete discriminatory act starts a new clock for filing charges alleging that act."); </w:t>
      </w:r>
      <w:r>
        <w:rPr>
          <w:rFonts w:ascii="Arial" w:eastAsia="Arial" w:hAnsi="Arial" w:cs="Arial"/>
          <w:i/>
          <w:color w:val="000000"/>
          <w:sz w:val="20"/>
        </w:rPr>
        <w:t xml:space="preserve">see </w:t>
      </w:r>
      <w:bookmarkStart w:id="2744" w:name="Bookmark_I558PTXK2N1PS10010000400"/>
      <w:bookmarkEnd w:id="2744"/>
      <w:r>
        <w:rPr>
          <w:rFonts w:ascii="Arial" w:eastAsia="Arial" w:hAnsi="Arial" w:cs="Arial"/>
          <w:i/>
          <w:color w:val="000000"/>
          <w:sz w:val="20"/>
        </w:rPr>
        <w:t>O'Connor v. City of Newark,</w:t>
      </w:r>
      <w:r>
        <w:rPr>
          <w:rFonts w:ascii="Arial" w:eastAsia="Arial" w:hAnsi="Arial" w:cs="Arial"/>
          <w:color w:val="000000"/>
          <w:sz w:val="20"/>
        </w:rPr>
        <w:t xml:space="preserve"> 440 F.3d 125, 127 (3d Cir. 2006) (classifying termination, failure to promote and denial of transfer as examples of discrete acts that must occur within the statute of limitations). </w:t>
      </w:r>
      <w:bookmarkStart w:id="2745" w:name="Bookmark_I558PTXK2N1PS10040000400_2"/>
      <w:bookmarkEnd w:id="2745"/>
      <w:r>
        <w:rPr>
          <w:rFonts w:ascii="Arial" w:eastAsia="Arial" w:hAnsi="Arial" w:cs="Arial"/>
          <w:color w:val="000000"/>
          <w:sz w:val="20"/>
        </w:rPr>
        <w:t xml:space="preserve">The nature of Aubrey's claims do not involve repeated conduct. </w:t>
      </w:r>
      <w:r>
        <w:rPr>
          <w:rFonts w:ascii="Arial" w:eastAsia="Arial" w:hAnsi="Arial" w:cs="Arial"/>
          <w:i/>
          <w:color w:val="000000"/>
          <w:sz w:val="20"/>
        </w:rPr>
        <w:t xml:space="preserve">See </w:t>
      </w:r>
      <w:bookmarkStart w:id="2746" w:name="Bookmark_I558PTXK2N1PS10030000400"/>
      <w:bookmarkEnd w:id="2746"/>
      <w:r>
        <w:rPr>
          <w:rFonts w:ascii="Arial" w:eastAsia="Arial" w:hAnsi="Arial" w:cs="Arial"/>
          <w:i/>
          <w:color w:val="000000"/>
          <w:sz w:val="20"/>
        </w:rPr>
        <w:t>Morgan,</w:t>
      </w:r>
      <w:r>
        <w:rPr>
          <w:rFonts w:ascii="Arial" w:eastAsia="Arial" w:hAnsi="Arial" w:cs="Arial"/>
          <w:color w:val="000000"/>
          <w:sz w:val="20"/>
        </w:rPr>
        <w:t xml:space="preserve"> 536 U.S. at 115. Therefore, the continuing violation doctrine does not preserve his time barred claims.</w:t>
      </w:r>
    </w:p>
    <w:p w14:paraId="1E26D2CF" w14:textId="77777777" w:rsidR="00D041A2" w:rsidRDefault="00000000">
      <w:pPr>
        <w:pStyle w:val="Normal22"/>
        <w:widowControl w:val="0"/>
        <w:spacing w:before="200" w:line="260" w:lineRule="atLeast"/>
        <w:jc w:val="both"/>
      </w:pPr>
      <w:bookmarkStart w:id="2747" w:name="Bookmark_para_21_12"/>
      <w:bookmarkEnd w:id="2747"/>
      <w:r>
        <w:rPr>
          <w:rFonts w:ascii="Arial" w:eastAsia="Arial" w:hAnsi="Arial" w:cs="Arial"/>
          <w:color w:val="000000"/>
          <w:sz w:val="20"/>
        </w:rPr>
        <w:t>Similarly, Aubrey asserts that Bethlehem engaged in an unlawful employment practice that continued until March 2010</w:t>
      </w:r>
      <w:r>
        <w:rPr>
          <w:rFonts w:ascii="Arial" w:eastAsia="Arial" w:hAnsi="Arial" w:cs="Arial"/>
          <w:vertAlign w:val="superscript"/>
        </w:rPr>
        <w:footnoteReference w:customMarkFollows="1" w:id="125"/>
        <w:t>5</w:t>
      </w:r>
      <w:r>
        <w:rPr>
          <w:rFonts w:ascii="Arial" w:eastAsia="Arial" w:hAnsi="Arial" w:cs="Arial"/>
          <w:color w:val="000000"/>
          <w:sz w:val="20"/>
        </w:rPr>
        <w:t xml:space="preserve"> by failing to engage in an "interactive process" to determine when and under what conditions he could return to work. Under the ADA, we construe this allegation as a failure to accommodate:</w:t>
      </w:r>
    </w:p>
    <w:p w14:paraId="52721A0D" w14:textId="77777777" w:rsidR="00D041A2" w:rsidRDefault="00000000">
      <w:pPr>
        <w:pStyle w:val="Normal22"/>
        <w:widowControl w:val="0"/>
        <w:spacing w:before="200" w:line="260" w:lineRule="atLeast"/>
        <w:ind w:left="400"/>
        <w:jc w:val="both"/>
      </w:pPr>
      <w:bookmarkStart w:id="2749" w:name="Bookmark_para_22_12"/>
      <w:bookmarkStart w:id="2750" w:name="Bookmark_LNHNREFclscc13_10"/>
      <w:bookmarkEnd w:id="2749"/>
      <w:bookmarkEnd w:id="2750"/>
      <w:r>
        <w:rPr>
          <w:rFonts w:ascii="Arial" w:eastAsia="Arial" w:hAnsi="Arial" w:cs="Arial"/>
          <w:color w:val="000000"/>
          <w:sz w:val="20"/>
        </w:rPr>
        <w:t xml:space="preserve">To  [**12] establish a prima facie case of discrimination under the ADA, a plaintiff must show, inter alia, that she is otherwise qualified to perform the essential functions of the job, with or without reasonable accommodations by the employer. </w:t>
      </w:r>
      <w:bookmarkStart w:id="2751" w:name="Bookmark_I558PTXK2D6N4T0010000400"/>
      <w:bookmarkEnd w:id="2751"/>
      <w:r>
        <w:rPr>
          <w:rFonts w:ascii="Arial" w:eastAsia="Arial" w:hAnsi="Arial" w:cs="Arial"/>
          <w:color w:val="000000"/>
          <w:sz w:val="20"/>
        </w:rPr>
        <w:t>Adverse employment decisions in this context include refusing to make reasonable accommodations for a plaintiff's disabilities. The term [r]easonable accommodation further includes the employer's reasonable efforts to assist the employee and to communicate with the employee in good faith[.]</w:t>
      </w:r>
    </w:p>
    <w:p w14:paraId="7E5E502B" w14:textId="77777777" w:rsidR="00D041A2" w:rsidRDefault="00000000">
      <w:pPr>
        <w:pStyle w:val="Normal22"/>
        <w:widowControl w:val="0"/>
        <w:spacing w:before="200" w:line="260" w:lineRule="atLeast"/>
        <w:jc w:val="both"/>
      </w:pPr>
      <w:bookmarkStart w:id="2752" w:name="Bookmark_I558PTXK2D6N4T0010000400_2"/>
      <w:bookmarkStart w:id="2753" w:name="Bookmark_I558PTXK2N1PS10050000400"/>
      <w:bookmarkEnd w:id="2752"/>
      <w:bookmarkEnd w:id="2753"/>
      <w:r>
        <w:rPr>
          <w:rFonts w:ascii="Arial" w:eastAsia="Arial" w:hAnsi="Arial" w:cs="Arial"/>
          <w:i/>
          <w:color w:val="000000"/>
          <w:sz w:val="20"/>
        </w:rPr>
        <w:t>Colwell v. Rite Aid Corp.,</w:t>
      </w:r>
      <w:r>
        <w:rPr>
          <w:rFonts w:ascii="Arial" w:eastAsia="Arial" w:hAnsi="Arial" w:cs="Arial"/>
          <w:color w:val="000000"/>
          <w:sz w:val="20"/>
        </w:rPr>
        <w:t xml:space="preserve"> 602 F.3d 495, 504 (3d Cir. 2010) (internal quotations and citations omitted). Aubrey's claims fail for numerous reasons. The documents presented in this case indicate that Bethlehem communicated with Aubrey on multiple occasions regarding his intention to return to work. Bethlehem also wrote letters requesting clarifications in the medical opinions submitted on his behalf and attempting to arrange an interview to review his case. Additionally, the limited discovery revealed that Aubrey rejected offers to perform light duty employment and did not obtain medical clearance to return to work. In light of these facts, Aubrey's assertion that Bethlehem  [**13] failed to engage in an interactive process lacks merit and does not excuse his failure to file this action within the required statute of limitations.</w:t>
      </w:r>
    </w:p>
    <w:p w14:paraId="03366D99" w14:textId="77777777" w:rsidR="00D041A2" w:rsidRDefault="00000000">
      <w:pPr>
        <w:pStyle w:val="Normal22"/>
        <w:widowControl w:val="0"/>
        <w:spacing w:before="200" w:line="260" w:lineRule="atLeast"/>
        <w:jc w:val="both"/>
      </w:pPr>
      <w:bookmarkStart w:id="2754" w:name="Bookmark_para_23_12"/>
      <w:bookmarkStart w:id="2755" w:name="Bookmark_I558PTXK2D6N4T0030000400"/>
      <w:bookmarkEnd w:id="2754"/>
      <w:bookmarkEnd w:id="2755"/>
      <w:r>
        <w:rPr>
          <w:rFonts w:ascii="Arial" w:eastAsia="Arial" w:hAnsi="Arial" w:cs="Arial"/>
          <w:color w:val="000000"/>
          <w:sz w:val="20"/>
        </w:rPr>
        <w:t xml:space="preserve">Finally, Aubrey's attempt to revive his claim using the Lilly Ledbetter Fair Pay Act ("Ledbetter Act"), alleging that his inability to continue working for Bethlehem deprived him of an opportunity to accrue greater pension benefits, must also fail. </w:t>
      </w:r>
      <w:r>
        <w:rPr>
          <w:rFonts w:ascii="Arial" w:eastAsia="Arial" w:hAnsi="Arial" w:cs="Arial"/>
          <w:i/>
          <w:color w:val="000000"/>
          <w:sz w:val="20"/>
        </w:rPr>
        <w:t>See</w:t>
      </w:r>
      <w:r>
        <w:rPr>
          <w:rFonts w:ascii="Arial" w:eastAsia="Arial" w:hAnsi="Arial" w:cs="Arial"/>
          <w:color w:val="000000"/>
          <w:sz w:val="20"/>
        </w:rPr>
        <w:t xml:space="preserve"> 42 U.S.C. § 2000e-5(e)(3)(A).</w:t>
      </w:r>
      <w:r>
        <w:rPr>
          <w:rFonts w:ascii="Arial" w:eastAsia="Arial" w:hAnsi="Arial" w:cs="Arial"/>
          <w:vertAlign w:val="superscript"/>
        </w:rPr>
        <w:footnoteReference w:customMarkFollows="1" w:id="126"/>
        <w:t>6</w:t>
      </w:r>
      <w:r>
        <w:rPr>
          <w:rFonts w:ascii="Arial" w:eastAsia="Arial" w:hAnsi="Arial" w:cs="Arial"/>
          <w:color w:val="000000"/>
          <w:sz w:val="20"/>
        </w:rPr>
        <w:t xml:space="preserve">  [*94]  We have previously held that </w:t>
      </w:r>
      <w:bookmarkStart w:id="2759" w:name="Bookmark_LNHNREFclscc14_9"/>
      <w:bookmarkEnd w:id="2759"/>
      <w:r>
        <w:rPr>
          <w:rFonts w:ascii="Arial" w:eastAsia="Arial" w:hAnsi="Arial" w:cs="Arial"/>
          <w:color w:val="000000"/>
          <w:sz w:val="20"/>
        </w:rPr>
        <w:t xml:space="preserve">the Ledbetter Act does not apply, and therefore cannot excuse a time barred claim, when a plaintiff has not alleged wage  [**14] discrimination. </w:t>
      </w:r>
      <w:r>
        <w:rPr>
          <w:rFonts w:ascii="Arial" w:eastAsia="Arial" w:hAnsi="Arial" w:cs="Arial"/>
          <w:i/>
          <w:color w:val="000000"/>
          <w:sz w:val="20"/>
        </w:rPr>
        <w:t xml:space="preserve">See </w:t>
      </w:r>
      <w:bookmarkStart w:id="2760" w:name="Bookmark_I558PTXK2D6N4T0020000400"/>
      <w:bookmarkEnd w:id="2760"/>
      <w:r>
        <w:rPr>
          <w:rFonts w:ascii="Arial" w:eastAsia="Arial" w:hAnsi="Arial" w:cs="Arial"/>
          <w:i/>
          <w:color w:val="000000"/>
          <w:sz w:val="20"/>
        </w:rPr>
        <w:t>Noel v. Boeing Co.,</w:t>
      </w:r>
      <w:r>
        <w:rPr>
          <w:rFonts w:ascii="Arial" w:eastAsia="Arial" w:hAnsi="Arial" w:cs="Arial"/>
          <w:color w:val="000000"/>
          <w:sz w:val="20"/>
        </w:rPr>
        <w:t xml:space="preserve"> 622 F.3d 266, 272-73 (3d Cir. 2010) ("In our view, Congress' motivation for enacting the [Ledbetter Act] was to overturn the perceived harshness of </w:t>
      </w:r>
      <w:bookmarkStart w:id="2761" w:name="Bookmark_I558PTXK2D6N4T0040000400"/>
      <w:bookmarkEnd w:id="2761"/>
      <w:r>
        <w:rPr>
          <w:rFonts w:ascii="Arial" w:eastAsia="Arial" w:hAnsi="Arial" w:cs="Arial"/>
          <w:i/>
          <w:color w:val="000000"/>
          <w:sz w:val="20"/>
        </w:rPr>
        <w:t>Ledbetter [v. Goodyear Tire &amp; Rubber Co., Inc.,</w:t>
      </w:r>
      <w:r>
        <w:rPr>
          <w:rFonts w:ascii="Arial" w:eastAsia="Arial" w:hAnsi="Arial" w:cs="Arial"/>
          <w:color w:val="000000"/>
          <w:sz w:val="20"/>
        </w:rPr>
        <w:t xml:space="preserve"> 550 U.S. 618, 127 S. Ct. 2162, 167 L. Ed. 2d 982 (2007)] and to provide greater protection against wage discrimination but not other types of employment discrimination."). </w:t>
      </w:r>
      <w:bookmarkStart w:id="2762" w:name="Bookmark_I5PX5R9S2HT000VWWV700227"/>
      <w:bookmarkStart w:id="2763" w:name="Bookmark_I558PTXK28T4580020000400"/>
      <w:bookmarkEnd w:id="2762"/>
      <w:bookmarkEnd w:id="2763"/>
      <w:r>
        <w:rPr>
          <w:rFonts w:ascii="Arial" w:eastAsia="Arial" w:hAnsi="Arial" w:cs="Arial"/>
          <w:color w:val="000000"/>
          <w:sz w:val="20"/>
        </w:rPr>
        <w:t xml:space="preserve">Aubrey's amended complaint makes no allegation of wage discrimination. </w:t>
      </w:r>
      <w:bookmarkStart w:id="2764" w:name="Bookmark_I558PTXK28T4580020000400_2"/>
      <w:bookmarkEnd w:id="2764"/>
      <w:r>
        <w:rPr>
          <w:rFonts w:ascii="Arial" w:eastAsia="Arial" w:hAnsi="Arial" w:cs="Arial"/>
          <w:color w:val="000000"/>
          <w:sz w:val="20"/>
        </w:rPr>
        <w:t xml:space="preserve">While some of his written filings before the District Court and this Court reference a reduction in pension benefits as a result of Bethlehem's alleged discriminatory acts, we construe such arguments as alleging injury resulting from other discrimination claims as opposed to a specific claim of discrimination in compensation. </w:t>
      </w:r>
      <w:r>
        <w:rPr>
          <w:rFonts w:ascii="Arial" w:eastAsia="Arial" w:hAnsi="Arial" w:cs="Arial"/>
          <w:i/>
          <w:color w:val="000000"/>
          <w:sz w:val="20"/>
        </w:rPr>
        <w:t xml:space="preserve">See </w:t>
      </w:r>
      <w:bookmarkStart w:id="2765" w:name="Bookmark_I558PTXK28T4580010000400"/>
      <w:bookmarkEnd w:id="2765"/>
      <w:r>
        <w:rPr>
          <w:rFonts w:ascii="Arial" w:eastAsia="Arial" w:hAnsi="Arial" w:cs="Arial"/>
          <w:i/>
          <w:color w:val="000000"/>
          <w:sz w:val="20"/>
        </w:rPr>
        <w:t>Noel,</w:t>
      </w:r>
      <w:r>
        <w:rPr>
          <w:rFonts w:ascii="Arial" w:eastAsia="Arial" w:hAnsi="Arial" w:cs="Arial"/>
          <w:color w:val="000000"/>
          <w:sz w:val="20"/>
        </w:rPr>
        <w:t xml:space="preserve"> 622 F.3d at 275 ("We recognize that many employment-related decisions, not simply pay-setting decisions, ultimately have some effect on compensation. But to include these myriad employment decisions within the 'other practice' language of the [Ledbetter Act] would weaken Title VII's administrative exhaustion requirement."). Consequently, Aubrey's claims fall outside the ambit of the Ledbetter Act.</w:t>
      </w:r>
    </w:p>
    <w:p w14:paraId="5A173051" w14:textId="77777777" w:rsidR="00D041A2" w:rsidRDefault="00000000">
      <w:pPr>
        <w:pStyle w:val="Normal22"/>
        <w:widowControl w:val="0"/>
        <w:spacing w:before="240" w:line="260" w:lineRule="atLeast"/>
      </w:pPr>
      <w:r>
        <w:br/>
      </w:r>
      <w:r>
        <w:rPr>
          <w:rFonts w:ascii="Arial" w:eastAsia="Arial" w:hAnsi="Arial" w:cs="Arial"/>
          <w:b/>
          <w:color w:val="000000"/>
          <w:sz w:val="20"/>
        </w:rPr>
        <w:t>IV.</w:t>
      </w:r>
      <w:r>
        <w:rPr>
          <w:rFonts w:ascii="Arial" w:eastAsia="Arial" w:hAnsi="Arial" w:cs="Arial"/>
          <w:b/>
          <w:color w:val="000000"/>
          <w:sz w:val="20"/>
          <w:u w:val="single"/>
        </w:rPr>
        <w:t>CONCLUSION</w:t>
      </w:r>
    </w:p>
    <w:p w14:paraId="46A573F0" w14:textId="77777777" w:rsidR="00D041A2" w:rsidRDefault="00000000">
      <w:pPr>
        <w:pStyle w:val="Normal22"/>
        <w:widowControl w:val="0"/>
        <w:spacing w:before="200" w:line="260" w:lineRule="atLeast"/>
        <w:jc w:val="both"/>
      </w:pPr>
      <w:bookmarkStart w:id="2766" w:name="Bookmark_para_25_11"/>
      <w:bookmarkEnd w:id="2766"/>
      <w:r>
        <w:rPr>
          <w:rFonts w:ascii="Arial" w:eastAsia="Arial" w:hAnsi="Arial" w:cs="Arial"/>
          <w:color w:val="000000"/>
          <w:sz w:val="20"/>
        </w:rPr>
        <w:t>We find that the District Court committed no error in dismissing Aubrey's claims under Rule 12(b)(6) of the Federal Rules of Civil Procedure for lack of timeliness. For the reasons stated above, we will affirm the District Court's Order.</w:t>
      </w:r>
    </w:p>
    <w:p w14:paraId="545D86DE" w14:textId="77777777" w:rsidR="00D041A2" w:rsidRDefault="00D041A2">
      <w:pPr>
        <w:pStyle w:val="Normal22"/>
      </w:pPr>
    </w:p>
    <w:p w14:paraId="230BD3D5" w14:textId="5569545F" w:rsidR="00D041A2" w:rsidRDefault="00000000">
      <w:pPr>
        <w:pStyle w:val="Normal22"/>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07392" behindDoc="0" locked="0" layoutInCell="1" allowOverlap="1" wp14:anchorId="1EFFD9FD" wp14:editId="2D84A98D">
                <wp:simplePos x="0" y="0"/>
                <wp:positionH relativeFrom="column">
                  <wp:posOffset>0</wp:posOffset>
                </wp:positionH>
                <wp:positionV relativeFrom="paragraph">
                  <wp:posOffset>127000</wp:posOffset>
                </wp:positionV>
                <wp:extent cx="6502400" cy="0"/>
                <wp:effectExtent l="9525" t="12700" r="12700" b="6350"/>
                <wp:wrapNone/>
                <wp:docPr id="1806704331"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ADC1B" id="Line 49"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7CA5C69" w14:textId="77777777" w:rsidR="00D041A2" w:rsidRDefault="00D041A2">
      <w:pPr>
        <w:pStyle w:val="Normal23"/>
        <w:sectPr w:rsidR="00D041A2">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gutter="0"/>
          <w:cols w:space="720"/>
          <w:titlePg/>
        </w:sectPr>
      </w:pPr>
    </w:p>
    <w:p w14:paraId="4947ED4E" w14:textId="77777777" w:rsidR="00D041A2" w:rsidRDefault="00D041A2">
      <w:pPr>
        <w:pStyle w:val="Normal23"/>
      </w:pPr>
    </w:p>
    <w:p w14:paraId="676795E9" w14:textId="77777777" w:rsidR="00D041A2" w:rsidRDefault="00000000">
      <w:pPr>
        <w:pStyle w:val="Heading122"/>
        <w:keepNext w:val="0"/>
        <w:widowControl w:val="0"/>
        <w:spacing w:after="200" w:line="340" w:lineRule="atLeast"/>
        <w:jc w:val="center"/>
      </w:pPr>
      <w:r>
        <w:rPr>
          <w:rFonts w:eastAsia="Arial"/>
          <w:color w:val="000000"/>
          <w:sz w:val="28"/>
        </w:rPr>
        <w:t>Wells v. Thaler</w:t>
      </w:r>
    </w:p>
    <w:p w14:paraId="0BEEFDEA" w14:textId="77777777" w:rsidR="00D041A2" w:rsidRDefault="00000000">
      <w:pPr>
        <w:pStyle w:val="Normal23"/>
        <w:widowControl w:val="0"/>
        <w:spacing w:before="120" w:line="260" w:lineRule="atLeast"/>
        <w:jc w:val="center"/>
      </w:pPr>
      <w:r>
        <w:rPr>
          <w:rFonts w:ascii="Arial" w:eastAsia="Arial" w:hAnsi="Arial" w:cs="Arial"/>
          <w:color w:val="000000"/>
          <w:sz w:val="20"/>
        </w:rPr>
        <w:t>United States Court of Appeals for the Fifth Circuit</w:t>
      </w:r>
    </w:p>
    <w:p w14:paraId="6A8FAD8E" w14:textId="77777777" w:rsidR="00D041A2" w:rsidRDefault="00000000">
      <w:pPr>
        <w:pStyle w:val="Normal23"/>
        <w:widowControl w:val="0"/>
        <w:spacing w:before="120" w:line="260" w:lineRule="atLeast"/>
        <w:jc w:val="center"/>
      </w:pPr>
      <w:r>
        <w:rPr>
          <w:rFonts w:ascii="Arial" w:eastAsia="Arial" w:hAnsi="Arial" w:cs="Arial"/>
          <w:color w:val="000000"/>
          <w:sz w:val="20"/>
        </w:rPr>
        <w:t>February 7, 2012, Filed</w:t>
      </w:r>
    </w:p>
    <w:p w14:paraId="25021F97" w14:textId="77777777" w:rsidR="00D041A2" w:rsidRDefault="00000000">
      <w:pPr>
        <w:pStyle w:val="Normal23"/>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10-20648</w:t>
      </w:r>
    </w:p>
    <w:p w14:paraId="5D82B91F" w14:textId="77777777" w:rsidR="00D041A2" w:rsidRDefault="00D041A2">
      <w:pPr>
        <w:pStyle w:val="Normal23"/>
        <w:widowControl w:val="0"/>
        <w:spacing w:line="240" w:lineRule="atLeast"/>
        <w:jc w:val="both"/>
      </w:pPr>
      <w:bookmarkStart w:id="2767" w:name="Bookmark_24"/>
      <w:bookmarkEnd w:id="2767"/>
    </w:p>
    <w:p w14:paraId="7B04CF39" w14:textId="77777777" w:rsidR="00D041A2" w:rsidRDefault="00000000">
      <w:pPr>
        <w:pStyle w:val="Normal23"/>
        <w:widowControl w:val="0"/>
        <w:spacing w:before="200" w:line="240" w:lineRule="atLeast"/>
      </w:pPr>
      <w:bookmarkStart w:id="2768" w:name="Reporter_22"/>
      <w:bookmarkEnd w:id="2768"/>
      <w:r>
        <w:rPr>
          <w:rFonts w:ascii="Arial" w:eastAsia="Arial" w:hAnsi="Arial" w:cs="Arial"/>
          <w:b/>
          <w:color w:val="000000"/>
          <w:sz w:val="18"/>
        </w:rPr>
        <w:t>Reporter</w:t>
      </w:r>
    </w:p>
    <w:p w14:paraId="028EAC4E" w14:textId="77777777" w:rsidR="00D041A2" w:rsidRDefault="00000000">
      <w:pPr>
        <w:pStyle w:val="Normal23"/>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460 Fed. Appx. 303 *; 2012 U.S. App. LEXIS 2587 **; 2012 WL 386297</w:t>
      </w:r>
    </w:p>
    <w:p w14:paraId="3674E3B5" w14:textId="77777777" w:rsidR="00D041A2" w:rsidRDefault="00000000">
      <w:pPr>
        <w:pStyle w:val="Normal23"/>
        <w:widowControl w:val="0"/>
        <w:spacing w:before="120" w:line="260" w:lineRule="atLeast"/>
      </w:pPr>
      <w:r>
        <w:rPr>
          <w:rFonts w:ascii="Arial" w:eastAsia="Arial" w:hAnsi="Arial" w:cs="Arial"/>
          <w:color w:val="000000"/>
          <w:sz w:val="20"/>
        </w:rPr>
        <w:t>MARKS WELLS, Plaintiff-Appellant v. RICK THALER, In his official capacity; KEVIN MAYFIELD, Individually and in his official capacity; ALFONSO CASTILLO, In his individual capacity; RICHARD A. GUNNELS, Individually and in his official capacity; DONALD E. MUNIZ, Individually and in his official capacity; LIEUTENANT ELIZABETH C. STAMBAUGH, Individually and in her official capacity; DEMETRIE PHIPPS, Individually and in his official capacity; LAURA M. BARNETT, In her official capacity, FRANK HOKE, Individually and in his official capacity; MICHAEL WHEELER, Individually and in his official capacity; DOCTOR LANETTE LINTHICUM, Individually and in her official capacity; ANTHONY WILLIAMS, Individually and in his official capacity; KIMBERLY COTTON, Individually and in her official capacity; THOMAS GOODSON, Individually and in his official capacity; WILLIAM SCOTT CHILDRESS, Individually and in his official capacity; BRUCE KALMAN, In his official capacity NATHANIEL QUARTERMAN, In his individual capacity, DAVID SWEETIN, In his official capacity, Defendants-Appellees</w:t>
      </w:r>
    </w:p>
    <w:p w14:paraId="3D507983" w14:textId="77777777" w:rsidR="00D041A2" w:rsidRDefault="00000000">
      <w:pPr>
        <w:pStyle w:val="Normal23"/>
        <w:widowControl w:val="0"/>
        <w:spacing w:before="240" w:line="260" w:lineRule="atLeast"/>
        <w:jc w:val="both"/>
      </w:pPr>
      <w:bookmarkStart w:id="2769" w:name="Notice_12"/>
      <w:bookmarkEnd w:id="2769"/>
      <w:r>
        <w:rPr>
          <w:rFonts w:ascii="Arial" w:eastAsia="Arial" w:hAnsi="Arial" w:cs="Arial"/>
          <w:b/>
          <w:color w:val="000000"/>
          <w:sz w:val="20"/>
        </w:rPr>
        <w:t>Notice:</w:t>
      </w:r>
      <w:r>
        <w:rPr>
          <w:rFonts w:ascii="Arial" w:eastAsia="Arial" w:hAnsi="Arial" w:cs="Arial"/>
          <w:color w:val="000000"/>
          <w:sz w:val="20"/>
        </w:rPr>
        <w:t> </w:t>
      </w:r>
      <w:bookmarkStart w:id="2770" w:name="Bookmark_para_1_22"/>
      <w:bookmarkEnd w:id="2770"/>
      <w:r>
        <w:rPr>
          <w:rFonts w:ascii="Arial" w:eastAsia="Arial" w:hAnsi="Arial" w:cs="Arial"/>
          <w:color w:val="000000"/>
          <w:sz w:val="20"/>
        </w:rPr>
        <w:t>PLEASE REFER TO FEDERAL RULES OF APPELLATE PROCEDURE RULE 32.1 GOVERNING THE CITATION TO UNPUBLISHED OPINIONS.</w:t>
      </w:r>
    </w:p>
    <w:p w14:paraId="53527081" w14:textId="77777777" w:rsidR="00D041A2" w:rsidRDefault="00000000">
      <w:pPr>
        <w:pStyle w:val="Normal23"/>
        <w:widowControl w:val="0"/>
        <w:spacing w:before="240" w:line="260" w:lineRule="atLeast"/>
        <w:jc w:val="both"/>
      </w:pPr>
      <w:bookmarkStart w:id="2771" w:name="Prior_History_22"/>
      <w:bookmarkEnd w:id="2771"/>
      <w:r>
        <w:rPr>
          <w:rFonts w:ascii="Arial" w:eastAsia="Arial" w:hAnsi="Arial" w:cs="Arial"/>
          <w:b/>
          <w:color w:val="000000"/>
          <w:sz w:val="20"/>
        </w:rPr>
        <w:t>Prior History:</w:t>
      </w:r>
      <w:r>
        <w:rPr>
          <w:rFonts w:ascii="Arial" w:eastAsia="Arial" w:hAnsi="Arial" w:cs="Arial"/>
          <w:color w:val="000000"/>
          <w:sz w:val="20"/>
        </w:rPr>
        <w:t>  [**1] </w:t>
      </w:r>
      <w:bookmarkStart w:id="2772" w:name="Bookmark_para_2_22"/>
      <w:bookmarkEnd w:id="2772"/>
      <w:r>
        <w:rPr>
          <w:rFonts w:ascii="Arial" w:eastAsia="Arial" w:hAnsi="Arial" w:cs="Arial"/>
          <w:color w:val="000000"/>
          <w:sz w:val="20"/>
        </w:rPr>
        <w:t>Appeal from the United States District Court for the Southern District of Texas. USDC No. 4:08-CV-2288.</w:t>
      </w:r>
    </w:p>
    <w:p w14:paraId="1CB2DD82" w14:textId="77777777" w:rsidR="00D041A2" w:rsidRDefault="00000000">
      <w:pPr>
        <w:pStyle w:val="Normal23"/>
        <w:widowControl w:val="0"/>
        <w:spacing w:before="120" w:line="260" w:lineRule="atLeast"/>
      </w:pPr>
      <w:r>
        <w:rPr>
          <w:rFonts w:ascii="Arial" w:eastAsia="Arial" w:hAnsi="Arial" w:cs="Arial"/>
          <w:color w:val="000000"/>
          <w:sz w:val="20"/>
        </w:rPr>
        <w:t>Wells v. Quarterman, 2010 U.S. Dist. LEXIS 89435 (S.D. Tex., Aug. 30, 2010)</w:t>
      </w:r>
    </w:p>
    <w:p w14:paraId="14E87322" w14:textId="77777777" w:rsidR="00D041A2" w:rsidRDefault="00000000">
      <w:pPr>
        <w:pStyle w:val="Normal23"/>
        <w:widowControl w:val="0"/>
        <w:spacing w:before="240" w:line="260" w:lineRule="atLeast"/>
      </w:pPr>
      <w:bookmarkStart w:id="2773" w:name="Counsel_22"/>
      <w:bookmarkEnd w:id="2773"/>
      <w:r>
        <w:rPr>
          <w:rFonts w:ascii="Arial" w:eastAsia="Arial" w:hAnsi="Arial" w:cs="Arial"/>
          <w:b/>
          <w:color w:val="000000"/>
          <w:sz w:val="20"/>
        </w:rPr>
        <w:t>Counsel:</w:t>
      </w:r>
      <w:r>
        <w:rPr>
          <w:rFonts w:ascii="Arial" w:eastAsia="Arial" w:hAnsi="Arial" w:cs="Arial"/>
          <w:color w:val="000000"/>
          <w:sz w:val="20"/>
        </w:rPr>
        <w:t> MARK WELLS (#1390085), Plaintiff - Appellant, Pro se, Huntsville, TX.</w:t>
      </w:r>
    </w:p>
    <w:p w14:paraId="3495ADF4" w14:textId="77777777" w:rsidR="00D041A2" w:rsidRDefault="00000000">
      <w:pPr>
        <w:pStyle w:val="Normal23"/>
        <w:widowControl w:val="0"/>
        <w:spacing w:before="120" w:line="260" w:lineRule="atLeast"/>
      </w:pPr>
      <w:r>
        <w:rPr>
          <w:rFonts w:ascii="Arial" w:eastAsia="Arial" w:hAnsi="Arial" w:cs="Arial"/>
          <w:color w:val="000000"/>
          <w:sz w:val="20"/>
        </w:rPr>
        <w:t>For ALFONSO CASTILLO, In His Individual Capacity, FRANK HOKE, LANETTE LINTHICUM, ANTHONY WILLIAMS, KIMBERLY COTTON, THOMAS GOODSON, WILLIAM SCOTT CHILDRESS, RICK THALER, In His Official Capacity, BRUCE KALMAN, In His Official Capacity, DAVID SWEETIN, In His Official Capacity, NATHANIEL QUARTERMAN, In His Individual Capacity, LAURA M. BARNETT, In Her Official Capacity, Defendant - Appellees: Ana Marie Jordan, Esq., Assistant Attorney General, Office of the Attorney General, Law Enforcement Defense Division, Austin, TX.</w:t>
      </w:r>
    </w:p>
    <w:p w14:paraId="6D3F31DE" w14:textId="77777777" w:rsidR="00D041A2" w:rsidRDefault="00000000">
      <w:pPr>
        <w:pStyle w:val="Normal23"/>
        <w:widowControl w:val="0"/>
        <w:spacing w:before="240" w:line="260" w:lineRule="atLeast"/>
      </w:pPr>
      <w:bookmarkStart w:id="2774" w:name="Judges_22"/>
      <w:bookmarkEnd w:id="2774"/>
      <w:r>
        <w:rPr>
          <w:rFonts w:ascii="Arial" w:eastAsia="Arial" w:hAnsi="Arial" w:cs="Arial"/>
          <w:b/>
          <w:color w:val="000000"/>
          <w:sz w:val="20"/>
        </w:rPr>
        <w:t>Judges:</w:t>
      </w:r>
      <w:r>
        <w:rPr>
          <w:rFonts w:ascii="Arial" w:eastAsia="Arial" w:hAnsi="Arial" w:cs="Arial"/>
          <w:color w:val="000000"/>
          <w:sz w:val="20"/>
        </w:rPr>
        <w:t> Before BENAVIDES, STEWART, and GRAVES, Circuit Judges.</w:t>
      </w:r>
    </w:p>
    <w:p w14:paraId="2C6915C0" w14:textId="77777777" w:rsidR="00D041A2" w:rsidRDefault="00000000">
      <w:pPr>
        <w:pStyle w:val="Normal23"/>
        <w:keepNext/>
        <w:widowControl w:val="0"/>
        <w:spacing w:before="240" w:line="340" w:lineRule="atLeast"/>
      </w:pPr>
      <w:bookmarkStart w:id="2775" w:name="Opinion_22"/>
      <w:bookmarkEnd w:id="2775"/>
      <w:r>
        <w:rPr>
          <w:rFonts w:ascii="Arial" w:eastAsia="Arial" w:hAnsi="Arial" w:cs="Arial"/>
          <w:b/>
          <w:color w:val="000000"/>
          <w:sz w:val="28"/>
        </w:rPr>
        <w:t>Opinion</w:t>
      </w:r>
    </w:p>
    <w:p w14:paraId="56742337" w14:textId="081D0DD4" w:rsidR="00D041A2" w:rsidRDefault="004D4403">
      <w:pPr>
        <w:pStyle w:val="Normal23"/>
        <w:spacing w:line="60" w:lineRule="exact"/>
      </w:pPr>
      <w:r>
        <w:rPr>
          <w:noProof/>
        </w:rPr>
        <mc:AlternateContent>
          <mc:Choice Requires="wps">
            <w:drawing>
              <wp:anchor distT="0" distB="0" distL="114300" distR="114300" simplePos="0" relativeHeight="251708416" behindDoc="0" locked="0" layoutInCell="1" allowOverlap="1" wp14:anchorId="585A7AC7" wp14:editId="1FF7FFCD">
                <wp:simplePos x="0" y="0"/>
                <wp:positionH relativeFrom="column">
                  <wp:posOffset>0</wp:posOffset>
                </wp:positionH>
                <wp:positionV relativeFrom="paragraph">
                  <wp:posOffset>25400</wp:posOffset>
                </wp:positionV>
                <wp:extent cx="3187700" cy="0"/>
                <wp:effectExtent l="19050" t="15875" r="12700" b="12700"/>
                <wp:wrapTopAndBottom/>
                <wp:docPr id="78746785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87A23" id="Line 50"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077E539" w14:textId="77777777" w:rsidR="00D041A2" w:rsidRDefault="00D041A2">
      <w:pPr>
        <w:pStyle w:val="Normal23"/>
      </w:pPr>
    </w:p>
    <w:p w14:paraId="52A1994B" w14:textId="77777777" w:rsidR="00D041A2" w:rsidRDefault="00000000">
      <w:pPr>
        <w:pStyle w:val="Normal23"/>
        <w:widowControl w:val="0"/>
        <w:spacing w:before="200" w:line="260" w:lineRule="atLeast"/>
        <w:jc w:val="both"/>
      </w:pPr>
      <w:bookmarkStart w:id="2776" w:name="Bookmark_para_3_22"/>
      <w:bookmarkEnd w:id="2776"/>
      <w:r>
        <w:rPr>
          <w:rFonts w:ascii="Arial" w:eastAsia="Arial" w:hAnsi="Arial" w:cs="Arial"/>
          <w:color w:val="000000"/>
          <w:sz w:val="20"/>
        </w:rPr>
        <w:t xml:space="preserve"> [*304]  PER CURIAM: </w:t>
      </w:r>
      <w:r>
        <w:rPr>
          <w:rFonts w:ascii="Arial" w:eastAsia="Arial" w:hAnsi="Arial" w:cs="Arial"/>
          <w:vertAlign w:val="superscript"/>
        </w:rPr>
        <w:footnoteReference w:customMarkFollows="1" w:id="127"/>
        <w:t>*</w:t>
      </w:r>
    </w:p>
    <w:p w14:paraId="1C82A711" w14:textId="77777777" w:rsidR="00D041A2" w:rsidRDefault="00000000">
      <w:pPr>
        <w:pStyle w:val="Normal23"/>
        <w:widowControl w:val="0"/>
        <w:spacing w:before="200" w:line="260" w:lineRule="atLeast"/>
        <w:jc w:val="both"/>
      </w:pPr>
      <w:bookmarkStart w:id="2778" w:name="Bookmark_para_4_22"/>
      <w:bookmarkEnd w:id="2778"/>
      <w:r>
        <w:rPr>
          <w:rFonts w:ascii="Arial" w:eastAsia="Arial" w:hAnsi="Arial" w:cs="Arial"/>
          <w:color w:val="000000"/>
          <w:sz w:val="20"/>
        </w:rPr>
        <w:t xml:space="preserve">In this civil rights case, Plaintiff-Appellant Mark Wells ("Wells") appeals the district court's grant of summary judgment in favor of the Defendants-Appellees. Wells brings claims under 42 U.S.C. § 1983 and Title II of the Americans  [**2] with Disabilities Act ("ADA"), 42 U.S.C. § 12131 </w:t>
      </w:r>
      <w:r>
        <w:rPr>
          <w:rFonts w:ascii="Arial" w:eastAsia="Arial" w:hAnsi="Arial" w:cs="Arial"/>
          <w:i/>
          <w:color w:val="000000"/>
          <w:sz w:val="20"/>
        </w:rPr>
        <w:t>et seq.</w:t>
      </w:r>
      <w:r>
        <w:rPr>
          <w:rFonts w:ascii="Arial" w:eastAsia="Arial" w:hAnsi="Arial" w:cs="Arial"/>
          <w:color w:val="000000"/>
          <w:sz w:val="20"/>
        </w:rPr>
        <w:t>, against various employees and officials of the Texas Department of Criminal Justice ("TDCJ") and the University of Texas Medical Branch in their official and individual capacities, seeking compensatory and punitive damages, as well as injunctive and declaratory relief. We AFFIRM.</w:t>
      </w:r>
    </w:p>
    <w:p w14:paraId="5B500254" w14:textId="77777777" w:rsidR="00D041A2" w:rsidRDefault="00000000">
      <w:pPr>
        <w:pStyle w:val="Normal23"/>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Factual and Procedural Background</w:t>
      </w:r>
    </w:p>
    <w:p w14:paraId="2776317A" w14:textId="77777777" w:rsidR="00D041A2" w:rsidRDefault="00000000">
      <w:pPr>
        <w:pStyle w:val="Normal23"/>
        <w:widowControl w:val="0"/>
        <w:spacing w:before="200" w:line="260" w:lineRule="atLeast"/>
        <w:jc w:val="both"/>
      </w:pPr>
      <w:bookmarkStart w:id="2779" w:name="Bookmark_para_5_22"/>
      <w:bookmarkEnd w:id="2779"/>
      <w:r>
        <w:rPr>
          <w:rFonts w:ascii="Arial" w:eastAsia="Arial" w:hAnsi="Arial" w:cs="Arial"/>
          <w:color w:val="000000"/>
          <w:sz w:val="20"/>
        </w:rPr>
        <w:t>Plaintiff-Appellant Wells is a fifty-two year-old blind prisoner, who was convicted in 2006 upon a negotiated plea of aggravated sexual assault of a child. He was sentenced to ten years of imprisonment on August 28, 2006. Wells did not appeal his conviction and he has not filed post-conviction collateral attacks in either state or [*305]  federal court. On October 19, 2006, Wells was transferred to the Estelle Unit, where he is currently confined.</w:t>
      </w:r>
    </w:p>
    <w:p w14:paraId="7C54CA71" w14:textId="77777777" w:rsidR="00D041A2" w:rsidRDefault="00000000">
      <w:pPr>
        <w:pStyle w:val="Normal23"/>
        <w:widowControl w:val="0"/>
        <w:spacing w:before="200" w:line="260" w:lineRule="atLeast"/>
        <w:jc w:val="both"/>
      </w:pPr>
      <w:bookmarkStart w:id="2780" w:name="Bookmark_para_6_22"/>
      <w:bookmarkEnd w:id="2780"/>
      <w:r>
        <w:rPr>
          <w:rFonts w:ascii="Arial" w:eastAsia="Arial" w:hAnsi="Arial" w:cs="Arial"/>
          <w:color w:val="000000"/>
          <w:sz w:val="20"/>
        </w:rPr>
        <w:t xml:space="preserve">In the current suit, Wells proceeds </w:t>
      </w:r>
      <w:r>
        <w:rPr>
          <w:rFonts w:ascii="Arial" w:eastAsia="Arial" w:hAnsi="Arial" w:cs="Arial"/>
          <w:i/>
          <w:color w:val="000000"/>
          <w:sz w:val="20"/>
        </w:rPr>
        <w:t>pro se</w:t>
      </w:r>
      <w:r>
        <w:rPr>
          <w:rFonts w:ascii="Arial" w:eastAsia="Arial" w:hAnsi="Arial" w:cs="Arial"/>
          <w:color w:val="000000"/>
          <w:sz w:val="20"/>
        </w:rPr>
        <w:t xml:space="preserve"> and </w:t>
      </w:r>
      <w:r>
        <w:rPr>
          <w:rFonts w:ascii="Arial" w:eastAsia="Arial" w:hAnsi="Arial" w:cs="Arial"/>
          <w:i/>
          <w:color w:val="000000"/>
          <w:sz w:val="20"/>
        </w:rPr>
        <w:t>in forma pauperis</w:t>
      </w:r>
      <w:r>
        <w:rPr>
          <w:rFonts w:ascii="Arial" w:eastAsia="Arial" w:hAnsi="Arial" w:cs="Arial"/>
          <w:color w:val="000000"/>
          <w:sz w:val="20"/>
        </w:rPr>
        <w:t xml:space="preserve">, and he sues under 42 U.S.C. § 1983 and Title II of the ADA, claiming that the conditions in the Estelle Unit violate his constitutional rights of access to the courts and to the mail, and that the prison denied him the benefits of the Estelle Unit law library and Adaptive Resource Clinic due to his disability. Specifically,  [**3] Wells claims that the alleged violations prevented him from filing his federal habeas petition and are currently preventing him from filing his Texas state habeas petition. </w:t>
      </w:r>
      <w:r>
        <w:rPr>
          <w:rFonts w:ascii="Arial" w:eastAsia="Arial" w:hAnsi="Arial" w:cs="Arial"/>
          <w:vertAlign w:val="superscript"/>
        </w:rPr>
        <w:footnoteReference w:customMarkFollows="1" w:id="128"/>
        <w:t>1</w:t>
      </w:r>
      <w:r>
        <w:rPr>
          <w:rFonts w:ascii="Arial" w:eastAsia="Arial" w:hAnsi="Arial" w:cs="Arial"/>
          <w:color w:val="000000"/>
          <w:sz w:val="20"/>
        </w:rPr>
        <w:t xml:space="preserve"> As to both claims, Wells seeks compensatory and punitive damages against the Defendants-Appellees in their personal and official capacities, as well as injunctive and declaratory relief.</w:t>
      </w:r>
    </w:p>
    <w:p w14:paraId="5BE748EF" w14:textId="77777777" w:rsidR="00D041A2" w:rsidRDefault="00000000">
      <w:pPr>
        <w:pStyle w:val="Normal23"/>
        <w:widowControl w:val="0"/>
        <w:spacing w:before="200" w:line="260" w:lineRule="atLeast"/>
        <w:jc w:val="both"/>
      </w:pPr>
      <w:bookmarkStart w:id="2782" w:name="Bookmark_para_7_22"/>
      <w:bookmarkEnd w:id="2782"/>
      <w:r>
        <w:rPr>
          <w:rFonts w:ascii="Arial" w:eastAsia="Arial" w:hAnsi="Arial" w:cs="Arial"/>
          <w:color w:val="000000"/>
          <w:sz w:val="20"/>
        </w:rPr>
        <w:t xml:space="preserve">Plaintiff-Appellant Wells began accessing the law library in late June 2007, approximately eight months after he was transferred to the Estelle Unit. According to Defendant-Appellee Frank Hoke, TDCJ Access to Courts Program Supervisor, the law library at Estelle Unit maintains a list of volunteer offenders who are willing to provide assistance reading and writing, and offenders are permitted to schedule their research sessions with other offenders who will aid them. From June 2007 onwards, Wells took advantage of this service, and he regularly used the law library with the assistance of other prisoners. During the vast majority of these sessions, Wells was accompanied by another prisoner, Chris Cole. Cole, who is visually impaired, assisted Wells with his post-conviction  [**4] legal research and read research material and legal mail to Wells using a closed-circuit enlargement television ("CCTV"). From June 2007 until late September 2007—when his federal habeas petition was due—Wells had over twenty legal research sessions with Cole, many lasting for several hours. During this time, Wells requested no accommodations other than being allowed to research with Cole. </w:t>
      </w:r>
      <w:r>
        <w:rPr>
          <w:rFonts w:ascii="Arial" w:eastAsia="Arial" w:hAnsi="Arial" w:cs="Arial"/>
          <w:vertAlign w:val="superscript"/>
        </w:rPr>
        <w:footnoteReference w:customMarkFollows="1" w:id="129"/>
        <w:t>2</w:t>
      </w:r>
    </w:p>
    <w:p w14:paraId="52E5EAA4" w14:textId="77777777" w:rsidR="00D041A2" w:rsidRDefault="00000000">
      <w:pPr>
        <w:pStyle w:val="Normal23"/>
        <w:widowControl w:val="0"/>
        <w:spacing w:before="200" w:line="260" w:lineRule="atLeast"/>
        <w:jc w:val="both"/>
      </w:pPr>
      <w:bookmarkStart w:id="2786" w:name="Bookmark_para_8_21"/>
      <w:bookmarkStart w:id="2787" w:name="Bookmark_I5535SN32SF7SD0040000400"/>
      <w:bookmarkEnd w:id="2786"/>
      <w:bookmarkEnd w:id="2787"/>
      <w:r>
        <w:rPr>
          <w:rFonts w:ascii="Arial" w:eastAsia="Arial" w:hAnsi="Arial" w:cs="Arial"/>
          <w:color w:val="000000"/>
          <w:sz w:val="20"/>
        </w:rPr>
        <w:t xml:space="preserve">On September 27, 2007, the day his federal habeas petition was due, Wells filed a Step 1 grievance complaining that he was completely blind and was unable to do his legal research privately and independently. </w:t>
      </w:r>
      <w:r>
        <w:rPr>
          <w:rFonts w:ascii="Arial" w:eastAsia="Arial" w:hAnsi="Arial" w:cs="Arial"/>
          <w:vertAlign w:val="superscript"/>
        </w:rPr>
        <w:footnoteReference w:customMarkFollows="1" w:id="130"/>
        <w:t>3</w:t>
      </w:r>
      <w:r>
        <w:rPr>
          <w:rFonts w:ascii="Arial" w:eastAsia="Arial" w:hAnsi="Arial" w:cs="Arial"/>
          <w:color w:val="000000"/>
          <w:sz w:val="20"/>
        </w:rPr>
        <w:t xml:space="preserve"> In his grievance, Wells stated that Cole had been assisting him with his post-conviction filings, but that he wanted a [*306]  computer equipped with "screen reading software, text to [B]raille software, printers, scanners, servers, and network devices," so he could research on his own. Wells stated such accommodations were necessary because he was worried other prisoners might comprise confidentiality, presumably regarding the nature of his underlying conviction. Wells also stated  [**6] that he had asked the law librarian for "law books and other legal research material on tape or in [B]raille" approximately two weeks earlier, but that the librarian had told him those resources were not available in the library. </w:t>
      </w:r>
      <w:r>
        <w:rPr>
          <w:rFonts w:ascii="Arial" w:eastAsia="Arial" w:hAnsi="Arial" w:cs="Arial"/>
          <w:vertAlign w:val="superscript"/>
        </w:rPr>
        <w:footnoteReference w:customMarkFollows="1" w:id="131"/>
        <w:t>4</w:t>
      </w:r>
    </w:p>
    <w:p w14:paraId="59676C0B" w14:textId="77777777" w:rsidR="00D041A2" w:rsidRDefault="00000000">
      <w:pPr>
        <w:pStyle w:val="Normal23"/>
        <w:widowControl w:val="0"/>
        <w:spacing w:before="200" w:line="260" w:lineRule="atLeast"/>
        <w:jc w:val="both"/>
      </w:pPr>
      <w:bookmarkStart w:id="2791" w:name="Bookmark_para_9_20"/>
      <w:bookmarkEnd w:id="2791"/>
      <w:r>
        <w:rPr>
          <w:rFonts w:ascii="Arial" w:eastAsia="Arial" w:hAnsi="Arial" w:cs="Arial"/>
          <w:color w:val="000000"/>
          <w:sz w:val="20"/>
        </w:rPr>
        <w:t xml:space="preserve">In a response to this grievance, on October 10, 2007, a prison official replied that Wells was not being denied any necessary adaptive aids because prison records indicated Wells was only blind in one eye and could see using  [**7] the CCTV. According to Hoke, when Wells first entered the TDCJ, the TDCJ was incorrectly informed that Wells could see in one eye and the law library relied on those records. </w:t>
      </w:r>
      <w:r>
        <w:rPr>
          <w:rFonts w:ascii="Arial" w:eastAsia="Arial" w:hAnsi="Arial" w:cs="Arial"/>
          <w:vertAlign w:val="superscript"/>
        </w:rPr>
        <w:footnoteReference w:customMarkFollows="1" w:id="132"/>
        <w:t>5</w:t>
      </w:r>
      <w:r>
        <w:rPr>
          <w:rFonts w:ascii="Arial" w:eastAsia="Arial" w:hAnsi="Arial" w:cs="Arial"/>
          <w:color w:val="000000"/>
          <w:sz w:val="20"/>
        </w:rPr>
        <w:t xml:space="preserve"> On October 22, 2007, Wells filed a Step 2 Grievance, stating that he was unable to use the CCTV due to blindness in both eyes; he also requested that the library provide JAWS </w:t>
      </w:r>
      <w:r>
        <w:rPr>
          <w:rFonts w:ascii="Arial" w:eastAsia="Arial" w:hAnsi="Arial" w:cs="Arial"/>
          <w:vertAlign w:val="superscript"/>
        </w:rPr>
        <w:footnoteReference w:customMarkFollows="1" w:id="133"/>
        <w:t>6</w:t>
      </w:r>
      <w:r>
        <w:rPr>
          <w:rFonts w:ascii="Arial" w:eastAsia="Arial" w:hAnsi="Arial" w:cs="Arial"/>
          <w:color w:val="000000"/>
          <w:sz w:val="20"/>
        </w:rPr>
        <w:t xml:space="preserve"> screen reading software, as well as independent access to Westlaw or Lexis Nexis legal research services. On January 2, 2008, a different official replied, stating that Wells was already provided with adequate accommodations because he admitted that he was receiving reading and writing assistance through same-session visits with Chris Cole. The official also noted that the library could provide a list of other prisoners who would assist Wells with reading and preparing filings. </w:t>
      </w:r>
      <w:r>
        <w:rPr>
          <w:rFonts w:ascii="Arial" w:eastAsia="Arial" w:hAnsi="Arial" w:cs="Arial"/>
          <w:vertAlign w:val="superscript"/>
        </w:rPr>
        <w:footnoteReference w:customMarkFollows="1" w:id="134"/>
        <w:t>7</w:t>
      </w:r>
    </w:p>
    <w:p w14:paraId="6FA8D35C" w14:textId="77777777" w:rsidR="00D041A2" w:rsidRDefault="00000000">
      <w:pPr>
        <w:pStyle w:val="Normal23"/>
        <w:widowControl w:val="0"/>
        <w:spacing w:before="200" w:line="260" w:lineRule="atLeast"/>
        <w:jc w:val="both"/>
      </w:pPr>
      <w:bookmarkStart w:id="2795" w:name="Bookmark_para_10_20"/>
      <w:bookmarkEnd w:id="2795"/>
      <w:r>
        <w:rPr>
          <w:rFonts w:ascii="Arial" w:eastAsia="Arial" w:hAnsi="Arial" w:cs="Arial"/>
          <w:color w:val="000000"/>
          <w:sz w:val="20"/>
        </w:rPr>
        <w:t>Other evidence in the record indicates that Frank Hoke followed up on Wells's request that Braille or audio versions of legal resources be provided by speaking with the reference librarian at the Texas State Law Library and the Blind and Physically Handicapped official at the Library of Congress. Hoke states that neither institution was able to provide or had any knowledge of legal resources designed for the visually impaired like those Wells was requesting. It is also undisputed that the TDCJ does not make computers available to any offenders in the law library.</w:t>
      </w:r>
    </w:p>
    <w:p w14:paraId="3AC169CE" w14:textId="77777777" w:rsidR="00D041A2" w:rsidRDefault="00000000">
      <w:pPr>
        <w:pStyle w:val="Normal23"/>
        <w:widowControl w:val="0"/>
        <w:spacing w:before="200" w:line="260" w:lineRule="atLeast"/>
        <w:jc w:val="both"/>
      </w:pPr>
      <w:bookmarkStart w:id="2796" w:name="Bookmark_para_11_19"/>
      <w:bookmarkEnd w:id="2796"/>
      <w:r>
        <w:rPr>
          <w:rFonts w:ascii="Arial" w:eastAsia="Arial" w:hAnsi="Arial" w:cs="Arial"/>
          <w:color w:val="000000"/>
          <w:sz w:val="20"/>
        </w:rPr>
        <w:t xml:space="preserve">Over the next several months, Wells regularly visited the library with Cole, or another prisoner, David Willis, often multiple times per week and for several hours per visit. There is no evidence in the record that Wells was ever denied access to the law library or the assistance of another prisoner during this time. In March 2008, Wells filed a grievance requesting additional software on the computers in the Adaptive Resource Clinic, [*307]  stating that such software was needed so he could independently  [**9] do legal research. Wells's request was denied, and Estelle Unit records show that Defendant-Appellee Kimberley Smith-Cotton, Program Manager of the Assistive Disability Services ("ADS"), discussed the request with Wells and told him that the Adaptive Resources Clinic was not designed to assist with legal filings. </w:t>
      </w:r>
      <w:r>
        <w:rPr>
          <w:rFonts w:ascii="Arial" w:eastAsia="Arial" w:hAnsi="Arial" w:cs="Arial"/>
          <w:vertAlign w:val="superscript"/>
        </w:rPr>
        <w:footnoteReference w:customMarkFollows="1" w:id="135"/>
        <w:t>8</w:t>
      </w:r>
      <w:r>
        <w:rPr>
          <w:rFonts w:ascii="Arial" w:eastAsia="Arial" w:hAnsi="Arial" w:cs="Arial"/>
          <w:color w:val="000000"/>
          <w:sz w:val="20"/>
        </w:rPr>
        <w:t xml:space="preserve"> Smith-Cotton filed an affidavit describing the Adaptive Resource Clinic, stating that the Clinic is designed to "teach very basic skills[,] such as how to type on a keyboard," and to provide assistance to offenders with simple tasks, such as reading or writing letters to family members. Smith-Cotton also provides uncontroverted testimony that Wells does not need computer training in the Clinic because he already knows how to type and use computers.</w:t>
      </w:r>
    </w:p>
    <w:p w14:paraId="2904E791" w14:textId="77777777" w:rsidR="00D041A2" w:rsidRDefault="00000000">
      <w:pPr>
        <w:pStyle w:val="Normal23"/>
        <w:widowControl w:val="0"/>
        <w:spacing w:before="200" w:line="260" w:lineRule="atLeast"/>
        <w:jc w:val="both"/>
      </w:pPr>
      <w:bookmarkStart w:id="2798" w:name="Bookmark_para_12_18"/>
      <w:bookmarkEnd w:id="2798"/>
      <w:r>
        <w:rPr>
          <w:rFonts w:ascii="Arial" w:eastAsia="Arial" w:hAnsi="Arial" w:cs="Arial"/>
          <w:color w:val="000000"/>
          <w:sz w:val="20"/>
        </w:rPr>
        <w:t xml:space="preserve">Previously, in December 2006, Wells discussed JAWS software with Defendant-Appellee Thomas Gooden, who is an Adaptive Resources instructor, and Wells requested that Gooden install JAWS software on the Adaptive Resources computers. Gooden testifies that the request was forwarded to his supervisor—Smith-Cotton—and Smith-Cotton states  [**10] that Wells's request was considered, but that the prison determined that existing services met Wells's needs. Additionally, other evidence shows that Smith-Cotton explained to Wells that JAWS would not be helpful to him because it cannot read personal mail. Smith-Cotton also states that the Estelle Unit provides letter guides for visually impaired offenders, has a mechanical reader, and that ADS instructors are also available to help read and write letters. Prison records show that Wells declined letter writing assistance from an ADS caseworker. </w:t>
      </w:r>
      <w:r>
        <w:rPr>
          <w:rFonts w:ascii="Arial" w:eastAsia="Arial" w:hAnsi="Arial" w:cs="Arial"/>
          <w:vertAlign w:val="superscript"/>
        </w:rPr>
        <w:footnoteReference w:customMarkFollows="1" w:id="136"/>
        <w:t>9</w:t>
      </w:r>
    </w:p>
    <w:p w14:paraId="3C347673" w14:textId="77777777" w:rsidR="00D041A2" w:rsidRDefault="00000000">
      <w:pPr>
        <w:pStyle w:val="Normal23"/>
        <w:widowControl w:val="0"/>
        <w:spacing w:before="200" w:line="260" w:lineRule="atLeast"/>
        <w:jc w:val="both"/>
      </w:pPr>
      <w:bookmarkStart w:id="2800" w:name="Bookmark_para_13_17"/>
      <w:bookmarkEnd w:id="2800"/>
      <w:r>
        <w:rPr>
          <w:rFonts w:ascii="Arial" w:eastAsia="Arial" w:hAnsi="Arial" w:cs="Arial"/>
          <w:color w:val="000000"/>
          <w:sz w:val="20"/>
        </w:rPr>
        <w:t xml:space="preserve">Plaintiff-Appellant Wells filed the current suit in July 2008. Essentially, Wells argues that the law library or Adaptive Resources Clinic should be equipped with additional adaptive equipment, such as a current model computer with screen reading software, such as JAWS, as well as Braille or audio versions of legal  [**11] resources and Westlaw or Lexis Nexis access. Wells argues that these accommodations are necessary because he wants to read his mail, complete legal research, and prepare legal filings independently and privately, rather than with prisoner assistance. The district court granted the Defendants-Appellees' motion for summary judgment, finding no disputed issues of fact, and it dismissed all of Wells's claims with prejudice. Wells timely filed an appeal. </w:t>
      </w:r>
      <w:r>
        <w:rPr>
          <w:rFonts w:ascii="Arial" w:eastAsia="Arial" w:hAnsi="Arial" w:cs="Arial"/>
          <w:vertAlign w:val="superscript"/>
        </w:rPr>
        <w:footnoteReference w:customMarkFollows="1" w:id="137"/>
        <w:t>10</w:t>
      </w:r>
    </w:p>
    <w:p w14:paraId="43B0EC46" w14:textId="77777777" w:rsidR="00D041A2" w:rsidRDefault="00000000">
      <w:pPr>
        <w:pStyle w:val="Normal23"/>
        <w:widowControl w:val="0"/>
        <w:spacing w:before="240" w:line="260" w:lineRule="atLeast"/>
      </w:pPr>
      <w:r>
        <w:br/>
      </w:r>
      <w:r>
        <w:rPr>
          <w:rFonts w:ascii="Arial" w:eastAsia="Arial" w:hAnsi="Arial" w:cs="Arial"/>
          <w:b/>
          <w:color w:val="000000"/>
          <w:sz w:val="20"/>
        </w:rPr>
        <w:t xml:space="preserve">II. </w:t>
      </w:r>
      <w:r>
        <w:rPr>
          <w:rFonts w:ascii="Arial" w:eastAsia="Arial" w:hAnsi="Arial" w:cs="Arial"/>
          <w:b/>
          <w:smallCaps/>
          <w:color w:val="000000"/>
          <w:sz w:val="20"/>
        </w:rPr>
        <w:t>Standard of Review</w:t>
      </w:r>
    </w:p>
    <w:p w14:paraId="756512BE" w14:textId="77777777" w:rsidR="00D041A2" w:rsidRDefault="00000000">
      <w:pPr>
        <w:pStyle w:val="Normal23"/>
        <w:widowControl w:val="0"/>
        <w:spacing w:before="200" w:line="260" w:lineRule="atLeast"/>
        <w:jc w:val="both"/>
      </w:pPr>
      <w:bookmarkStart w:id="2802" w:name="Bookmark_para_14_16"/>
      <w:bookmarkStart w:id="2803" w:name="Bookmark_I5535SN32HM6TD0010000400"/>
      <w:bookmarkStart w:id="2804" w:name="Bookmark_I5535SN32HM6TD0030000400"/>
      <w:bookmarkStart w:id="2805" w:name="Bookmark_LNHNREFclscc1_16"/>
      <w:bookmarkEnd w:id="2802"/>
      <w:bookmarkEnd w:id="2803"/>
      <w:bookmarkEnd w:id="2804"/>
      <w:bookmarkEnd w:id="2805"/>
      <w:r>
        <w:rPr>
          <w:rFonts w:ascii="Arial" w:eastAsia="Arial" w:hAnsi="Arial" w:cs="Arial"/>
          <w:color w:val="000000"/>
          <w:sz w:val="20"/>
        </w:rPr>
        <w:t xml:space="preserve">We review a district court's grant of summary judgment de novo, construing all facts and inferences in the light most favorable to the nonmoving party. </w:t>
      </w:r>
      <w:bookmarkStart w:id="2806" w:name="Bookmark_I5535SN32SF7SD0050000400"/>
      <w:bookmarkEnd w:id="2806"/>
      <w:r>
        <w:rPr>
          <w:rFonts w:ascii="Arial" w:eastAsia="Arial" w:hAnsi="Arial" w:cs="Arial"/>
          <w:i/>
          <w:color w:val="000000"/>
          <w:sz w:val="20"/>
        </w:rPr>
        <w:t>Cerda v. 2004-EQR1 L.L.C.</w:t>
      </w:r>
      <w:r>
        <w:rPr>
          <w:rFonts w:ascii="Arial" w:eastAsia="Arial" w:hAnsi="Arial" w:cs="Arial"/>
          <w:color w:val="000000"/>
          <w:sz w:val="20"/>
        </w:rPr>
        <w:t xml:space="preserve">, 612 F.3d 781, 786 (5th Cir. 2010). Summary judgment is proper only when the movant demonstrates that no genuine issue of material fact exists and that he is entitled to judgment as a matter of law. Fed. R. Civ. P. 56(a); </w:t>
      </w:r>
      <w:bookmarkStart w:id="2807" w:name="Bookmark_I5535SN32HM6TD0020000400"/>
      <w:bookmarkEnd w:id="2807"/>
      <w:r>
        <w:rPr>
          <w:rFonts w:ascii="Arial" w:eastAsia="Arial" w:hAnsi="Arial" w:cs="Arial"/>
          <w:i/>
          <w:color w:val="000000"/>
          <w:sz w:val="20"/>
        </w:rPr>
        <w:t>Fed. Ins. Co. v. Ace Prop. &amp; Cas. Co.</w:t>
      </w:r>
      <w:r>
        <w:rPr>
          <w:rFonts w:ascii="Arial" w:eastAsia="Arial" w:hAnsi="Arial" w:cs="Arial"/>
          <w:color w:val="000000"/>
          <w:sz w:val="20"/>
        </w:rPr>
        <w:t>, 429 F.3d 120, 122 (5th Cir. 2005).</w:t>
      </w:r>
    </w:p>
    <w:p w14:paraId="418CF0A5" w14:textId="77777777" w:rsidR="00D041A2" w:rsidRDefault="00000000">
      <w:pPr>
        <w:pStyle w:val="Normal23"/>
        <w:widowControl w:val="0"/>
        <w:spacing w:before="240" w:line="260" w:lineRule="atLeast"/>
      </w:pPr>
      <w:r>
        <w:br/>
      </w:r>
      <w:r>
        <w:rPr>
          <w:rFonts w:ascii="Arial" w:eastAsia="Arial" w:hAnsi="Arial" w:cs="Arial"/>
          <w:color w:val="000000"/>
          <w:sz w:val="20"/>
        </w:rPr>
        <w:t xml:space="preserve"> [*308]  </w:t>
      </w:r>
      <w:r>
        <w:rPr>
          <w:rFonts w:ascii="Arial" w:eastAsia="Arial" w:hAnsi="Arial" w:cs="Arial"/>
          <w:b/>
          <w:color w:val="000000"/>
          <w:sz w:val="20"/>
        </w:rPr>
        <w:t xml:space="preserve">III. </w:t>
      </w:r>
      <w:r>
        <w:rPr>
          <w:rFonts w:ascii="Arial" w:eastAsia="Arial" w:hAnsi="Arial" w:cs="Arial"/>
          <w:b/>
          <w:smallCaps/>
          <w:color w:val="000000"/>
          <w:sz w:val="20"/>
        </w:rPr>
        <w:t>Analysis</w:t>
      </w:r>
    </w:p>
    <w:p w14:paraId="56F8B9E4" w14:textId="77777777" w:rsidR="00D041A2" w:rsidRDefault="00000000">
      <w:pPr>
        <w:pStyle w:val="Normal23"/>
        <w:widowControl w:val="0"/>
        <w:spacing w:before="240" w:line="260" w:lineRule="atLeast"/>
      </w:pPr>
      <w:r>
        <w:br/>
      </w:r>
      <w:r>
        <w:rPr>
          <w:rFonts w:ascii="Arial" w:eastAsia="Arial" w:hAnsi="Arial" w:cs="Arial"/>
          <w:b/>
          <w:color w:val="000000"/>
          <w:sz w:val="20"/>
        </w:rPr>
        <w:t>A. Constitutional Claims</w:t>
      </w:r>
    </w:p>
    <w:p w14:paraId="1F003267" w14:textId="77777777" w:rsidR="00D041A2" w:rsidRDefault="00000000">
      <w:pPr>
        <w:pStyle w:val="Normal23"/>
        <w:widowControl w:val="0"/>
        <w:spacing w:before="200" w:line="260" w:lineRule="atLeast"/>
        <w:jc w:val="both"/>
      </w:pPr>
      <w:bookmarkStart w:id="2808" w:name="Bookmark_para_15_16"/>
      <w:bookmarkStart w:id="2809" w:name="Bookmark_LNHNREFclscc2_16"/>
      <w:bookmarkEnd w:id="2808"/>
      <w:bookmarkEnd w:id="2809"/>
      <w:r>
        <w:rPr>
          <w:rFonts w:ascii="Arial" w:eastAsia="Arial" w:hAnsi="Arial" w:cs="Arial"/>
          <w:color w:val="000000"/>
          <w:sz w:val="20"/>
        </w:rPr>
        <w:t xml:space="preserve">Section 1983 provides a private right of action for violations of federal law by those acting  [**12] under color of state law. 42 U.S.C. § 1983. In claiming a constitutional violation, Wells first argues that he was denied access to the courts because he was unable to effectively research and prepare his federal and state collateral attacks. Wells missed the filing deadline for his federal habeas petition and he has not yet filed his Texas state habeas petition. </w:t>
      </w:r>
      <w:r>
        <w:rPr>
          <w:rFonts w:ascii="Arial" w:eastAsia="Arial" w:hAnsi="Arial" w:cs="Arial"/>
          <w:vertAlign w:val="superscript"/>
        </w:rPr>
        <w:footnoteReference w:customMarkFollows="1" w:id="138"/>
        <w:t>11</w:t>
      </w:r>
    </w:p>
    <w:p w14:paraId="659A5356" w14:textId="77777777" w:rsidR="00D041A2" w:rsidRDefault="00000000">
      <w:pPr>
        <w:pStyle w:val="Normal23"/>
        <w:widowControl w:val="0"/>
        <w:spacing w:before="200" w:line="260" w:lineRule="atLeast"/>
        <w:jc w:val="both"/>
      </w:pPr>
      <w:bookmarkStart w:id="2813" w:name="Bookmark_para_16_16"/>
      <w:bookmarkStart w:id="2814" w:name="Bookmark_I5535SN32D6NKT0020000400"/>
      <w:bookmarkEnd w:id="2813"/>
      <w:bookmarkEnd w:id="2814"/>
      <w:r>
        <w:rPr>
          <w:rFonts w:ascii="Arial" w:eastAsia="Arial" w:hAnsi="Arial" w:cs="Arial"/>
          <w:color w:val="000000"/>
          <w:sz w:val="20"/>
        </w:rPr>
        <w:t>It has long been recognized that</w:t>
      </w:r>
      <w:bookmarkStart w:id="2815" w:name="Bookmark_LNHNREFclscc3_15"/>
      <w:bookmarkEnd w:id="2815"/>
      <w:r>
        <w:rPr>
          <w:rFonts w:ascii="Arial" w:eastAsia="Arial" w:hAnsi="Arial" w:cs="Arial"/>
          <w:color w:val="000000"/>
          <w:sz w:val="20"/>
        </w:rPr>
        <w:t xml:space="preserve"> prisoners enjoy the constitutional right of access to the courts. </w:t>
      </w:r>
      <w:bookmarkStart w:id="2816" w:name="Bookmark_I5535SN32D6NKT0040000400"/>
      <w:bookmarkEnd w:id="2816"/>
      <w:r>
        <w:rPr>
          <w:rFonts w:ascii="Arial" w:eastAsia="Arial" w:hAnsi="Arial" w:cs="Arial"/>
          <w:i/>
          <w:color w:val="000000"/>
          <w:sz w:val="20"/>
        </w:rPr>
        <w:t xml:space="preserve">See </w:t>
      </w:r>
      <w:bookmarkStart w:id="2817" w:name="Bookmark_I5535SN32D6NKT0010000400"/>
      <w:bookmarkEnd w:id="2817"/>
      <w:r>
        <w:rPr>
          <w:rFonts w:ascii="Arial" w:eastAsia="Arial" w:hAnsi="Arial" w:cs="Arial"/>
          <w:i/>
          <w:color w:val="000000"/>
          <w:sz w:val="20"/>
        </w:rPr>
        <w:t>Bounds v. Smith</w:t>
      </w:r>
      <w:r>
        <w:rPr>
          <w:rFonts w:ascii="Arial" w:eastAsia="Arial" w:hAnsi="Arial" w:cs="Arial"/>
          <w:color w:val="000000"/>
          <w:sz w:val="20"/>
        </w:rPr>
        <w:t xml:space="preserve">, 430 U.S. 817, 821-22, 97 S. Ct. 1491, 52 L. Ed. 2d 72 (1977). </w:t>
      </w:r>
      <w:bookmarkStart w:id="2818" w:name="Bookmark_I5535SN32HM6TF0010000400"/>
      <w:bookmarkEnd w:id="2818"/>
      <w:r>
        <w:rPr>
          <w:rFonts w:ascii="Arial" w:eastAsia="Arial" w:hAnsi="Arial" w:cs="Arial"/>
          <w:color w:val="000000"/>
          <w:sz w:val="20"/>
        </w:rPr>
        <w:t xml:space="preserve">The Supreme Court has not, however, established that prisoners have a freestanding right to a law library or legal assistance. </w:t>
      </w:r>
      <w:bookmarkStart w:id="2819" w:name="Bookmark_I5535SN32HM6TF0010000400_2"/>
      <w:bookmarkStart w:id="2820" w:name="Bookmark_I5535SN32D6NKT0040000400_2"/>
      <w:bookmarkStart w:id="2821" w:name="Bookmark_I5535SN32D6NKT0030000400"/>
      <w:bookmarkEnd w:id="2819"/>
      <w:bookmarkEnd w:id="2820"/>
      <w:bookmarkEnd w:id="2821"/>
      <w:r>
        <w:rPr>
          <w:rFonts w:ascii="Arial" w:eastAsia="Arial" w:hAnsi="Arial" w:cs="Arial"/>
          <w:i/>
          <w:color w:val="000000"/>
          <w:sz w:val="20"/>
        </w:rPr>
        <w:t>Lewis v. Casey</w:t>
      </w:r>
      <w:r>
        <w:rPr>
          <w:rFonts w:ascii="Arial" w:eastAsia="Arial" w:hAnsi="Arial" w:cs="Arial"/>
          <w:color w:val="000000"/>
          <w:sz w:val="20"/>
        </w:rPr>
        <w:t xml:space="preserve">, 518 U.S. 343, 350-51, 116 S. Ct. 2174, 135 L. Ed. 2d 606 (1996). </w:t>
      </w:r>
      <w:bookmarkStart w:id="2822" w:name="Bookmark_I5535SN32HM6TF0050000400"/>
      <w:bookmarkEnd w:id="2822"/>
      <w:r>
        <w:rPr>
          <w:rFonts w:ascii="Arial" w:eastAsia="Arial" w:hAnsi="Arial" w:cs="Arial"/>
          <w:color w:val="000000"/>
          <w:sz w:val="20"/>
        </w:rPr>
        <w:t xml:space="preserve">Rather, access to a prison law library is only a means for assuring "a reasonably adequate opportunity [for an inmate] to file nonfrivolous legal claims challenging . . . convictions or conditions of confinement." </w:t>
      </w:r>
      <w:bookmarkStart w:id="2823" w:name="Bookmark_I5535SN32D6NKT0050000400"/>
      <w:bookmarkEnd w:id="2823"/>
      <w:r>
        <w:rPr>
          <w:rFonts w:ascii="Arial" w:eastAsia="Arial" w:hAnsi="Arial" w:cs="Arial"/>
          <w:i/>
          <w:color w:val="000000"/>
          <w:sz w:val="20"/>
        </w:rPr>
        <w:t>Lewis</w:t>
      </w:r>
      <w:r>
        <w:rPr>
          <w:rFonts w:ascii="Arial" w:eastAsia="Arial" w:hAnsi="Arial" w:cs="Arial"/>
          <w:color w:val="000000"/>
          <w:sz w:val="20"/>
        </w:rPr>
        <w:t>, 518 U.S. at 356;  [**13] </w:t>
      </w:r>
      <w:bookmarkStart w:id="2824" w:name="Bookmark_I5535SN32HM6TF0020000400"/>
      <w:bookmarkEnd w:id="2824"/>
      <w:r>
        <w:rPr>
          <w:rFonts w:ascii="Arial" w:eastAsia="Arial" w:hAnsi="Arial" w:cs="Arial"/>
          <w:i/>
          <w:color w:val="000000"/>
          <w:sz w:val="20"/>
        </w:rPr>
        <w:t>Johnson v. Rodriguez</w:t>
      </w:r>
      <w:r>
        <w:rPr>
          <w:rFonts w:ascii="Arial" w:eastAsia="Arial" w:hAnsi="Arial" w:cs="Arial"/>
          <w:color w:val="000000"/>
          <w:sz w:val="20"/>
        </w:rPr>
        <w:t xml:space="preserve">, 110 F.3d 299, 310-11 (5th Cir. 1997). </w:t>
      </w:r>
      <w:bookmarkStart w:id="2825" w:name="Bookmark_I5535SN32HM6TF0050000400_2"/>
      <w:bookmarkEnd w:id="2825"/>
      <w:r>
        <w:rPr>
          <w:rFonts w:ascii="Arial" w:eastAsia="Arial" w:hAnsi="Arial" w:cs="Arial"/>
          <w:color w:val="000000"/>
          <w:sz w:val="20"/>
        </w:rPr>
        <w:t xml:space="preserve">Thus, claims alleging violations of a right of access to courts are not cognizable unless the inmate's position as a litigant was actually prejudiced by the denial of access. </w:t>
      </w:r>
      <w:bookmarkStart w:id="2826" w:name="Bookmark_I5535SN32N1PSC0020000400"/>
      <w:bookmarkStart w:id="2827" w:name="Bookmark_I5535SN32HM6TF0040000400"/>
      <w:bookmarkEnd w:id="2826"/>
      <w:bookmarkEnd w:id="2827"/>
      <w:r>
        <w:rPr>
          <w:rFonts w:ascii="Arial" w:eastAsia="Arial" w:hAnsi="Arial" w:cs="Arial"/>
          <w:i/>
          <w:color w:val="000000"/>
          <w:sz w:val="20"/>
        </w:rPr>
        <w:t>McDonald v. Steward</w:t>
      </w:r>
      <w:r>
        <w:rPr>
          <w:rFonts w:ascii="Arial" w:eastAsia="Arial" w:hAnsi="Arial" w:cs="Arial"/>
          <w:color w:val="000000"/>
          <w:sz w:val="20"/>
        </w:rPr>
        <w:t xml:space="preserve">, 132 F.3d 225, 230-31 (5th Cir. 1998). </w:t>
      </w:r>
      <w:bookmarkStart w:id="2828" w:name="Bookmark_I5535SN32N1PSC0020000400_2"/>
      <w:bookmarkEnd w:id="2828"/>
      <w:r>
        <w:rPr>
          <w:rFonts w:ascii="Arial" w:eastAsia="Arial" w:hAnsi="Arial" w:cs="Arial"/>
          <w:color w:val="000000"/>
          <w:sz w:val="20"/>
        </w:rPr>
        <w:t xml:space="preserve">To prove an "actual injury,"an inmate must prove that his ability to pursue a claim was hindered or barred by the defendant's actions. </w:t>
      </w:r>
      <w:r>
        <w:rPr>
          <w:rFonts w:ascii="Arial" w:eastAsia="Arial" w:hAnsi="Arial" w:cs="Arial"/>
          <w:i/>
          <w:color w:val="000000"/>
          <w:sz w:val="20"/>
        </w:rPr>
        <w:t xml:space="preserve">See </w:t>
      </w:r>
      <w:bookmarkStart w:id="2829" w:name="Bookmark_I5535SN32N1PSC0010000400"/>
      <w:bookmarkEnd w:id="2829"/>
      <w:r>
        <w:rPr>
          <w:rFonts w:ascii="Arial" w:eastAsia="Arial" w:hAnsi="Arial" w:cs="Arial"/>
          <w:i/>
          <w:color w:val="000000"/>
          <w:sz w:val="20"/>
        </w:rPr>
        <w:t>Lewis</w:t>
      </w:r>
      <w:r>
        <w:rPr>
          <w:rFonts w:ascii="Arial" w:eastAsia="Arial" w:hAnsi="Arial" w:cs="Arial"/>
          <w:color w:val="000000"/>
          <w:sz w:val="20"/>
        </w:rPr>
        <w:t>, 518 U.S. at 351-52.</w:t>
      </w:r>
    </w:p>
    <w:p w14:paraId="6C7BF3BD" w14:textId="77777777" w:rsidR="00D041A2" w:rsidRDefault="00000000">
      <w:pPr>
        <w:pStyle w:val="Normal23"/>
        <w:widowControl w:val="0"/>
        <w:spacing w:before="200" w:line="260" w:lineRule="atLeast"/>
        <w:jc w:val="both"/>
      </w:pPr>
      <w:bookmarkStart w:id="2830" w:name="Bookmark_para_17_15"/>
      <w:bookmarkStart w:id="2831" w:name="Bookmark_I5535SN32N1PSC0040000400"/>
      <w:bookmarkEnd w:id="2830"/>
      <w:bookmarkEnd w:id="2831"/>
      <w:r>
        <w:rPr>
          <w:rFonts w:ascii="Arial" w:eastAsia="Arial" w:hAnsi="Arial" w:cs="Arial"/>
          <w:color w:val="000000"/>
          <w:sz w:val="20"/>
        </w:rPr>
        <w:t xml:space="preserve">Here, the record shows that Wells had effective access to a law library at all relevant times. For example, the record shows that Wells was permitted to complete legal research and prepare filings with the assistance of a prisoner of his request, usually Cole or Willis, and that this accommodation was provided even before the TDCJ's information about Wells's vision was corrected. Wells offers no evidence indicating that the prisoners available to assist him were not competent or that he was not able to adequately prepare his filings after having materials read to him. </w:t>
      </w:r>
      <w:r>
        <w:rPr>
          <w:rFonts w:ascii="Arial" w:eastAsia="Arial" w:hAnsi="Arial" w:cs="Arial"/>
          <w:i/>
          <w:color w:val="000000"/>
          <w:sz w:val="20"/>
        </w:rPr>
        <w:t xml:space="preserve">See </w:t>
      </w:r>
      <w:bookmarkStart w:id="2832" w:name="Bookmark_I5535SN32N1PSC0030000400"/>
      <w:bookmarkEnd w:id="2832"/>
      <w:r>
        <w:rPr>
          <w:rFonts w:ascii="Arial" w:eastAsia="Arial" w:hAnsi="Arial" w:cs="Arial"/>
          <w:i/>
          <w:color w:val="000000"/>
          <w:sz w:val="20"/>
        </w:rPr>
        <w:t>Lewis</w:t>
      </w:r>
      <w:r>
        <w:rPr>
          <w:rFonts w:ascii="Arial" w:eastAsia="Arial" w:hAnsi="Arial" w:cs="Arial"/>
          <w:color w:val="000000"/>
          <w:sz w:val="20"/>
        </w:rPr>
        <w:t xml:space="preserve">, 518 U.S. at 360 (stating that illiterate prisoners must be given only the "minimal help necessary to file particular claims that they wish to bring . . . "). </w:t>
      </w:r>
      <w:bookmarkStart w:id="2833" w:name="Bookmark_I5535SN32N1PSD0010000400"/>
      <w:bookmarkEnd w:id="2833"/>
      <w:r>
        <w:rPr>
          <w:rFonts w:ascii="Arial" w:eastAsia="Arial" w:hAnsi="Arial" w:cs="Arial"/>
          <w:color w:val="000000"/>
          <w:sz w:val="20"/>
        </w:rPr>
        <w:t xml:space="preserve"> [**14] Additionally, the record shows that Wells was permitted to access the library on a regular basis, often for long visits. Thus, Wells fails to offer evidence creating an issue of material fact on his access to courts claim. </w:t>
      </w:r>
      <w:bookmarkStart w:id="2834" w:name="Bookmark_I5535SN32N1PSC0050000400"/>
      <w:bookmarkEnd w:id="2834"/>
      <w:r>
        <w:rPr>
          <w:rFonts w:ascii="Arial" w:eastAsia="Arial" w:hAnsi="Arial" w:cs="Arial"/>
          <w:i/>
          <w:color w:val="000000"/>
          <w:sz w:val="20"/>
        </w:rPr>
        <w:t>Jones v. Greninger</w:t>
      </w:r>
      <w:r>
        <w:rPr>
          <w:rFonts w:ascii="Arial" w:eastAsia="Arial" w:hAnsi="Arial" w:cs="Arial"/>
          <w:color w:val="000000"/>
          <w:sz w:val="20"/>
        </w:rPr>
        <w:t xml:space="preserve">, 188 F.3d 322, 325-26 (5th Cir. 1999) (per curiam) (finding law library access for several hours a week more than sufficient to meet constitutional requirements). </w:t>
      </w:r>
      <w:r>
        <w:rPr>
          <w:rFonts w:ascii="Arial" w:eastAsia="Arial" w:hAnsi="Arial" w:cs="Arial"/>
          <w:vertAlign w:val="superscript"/>
        </w:rPr>
        <w:footnoteReference w:customMarkFollows="1" w:id="139"/>
        <w:t>12</w:t>
      </w:r>
    </w:p>
    <w:p w14:paraId="6A429045" w14:textId="77777777" w:rsidR="00D041A2" w:rsidRDefault="00000000">
      <w:pPr>
        <w:pStyle w:val="Normal23"/>
        <w:widowControl w:val="0"/>
        <w:spacing w:before="200" w:line="260" w:lineRule="atLeast"/>
        <w:jc w:val="both"/>
      </w:pPr>
      <w:bookmarkStart w:id="2842" w:name="Bookmark_para_18_13"/>
      <w:bookmarkEnd w:id="2842"/>
      <w:r>
        <w:rPr>
          <w:rFonts w:ascii="Arial" w:eastAsia="Arial" w:hAnsi="Arial" w:cs="Arial"/>
          <w:color w:val="000000"/>
          <w:sz w:val="20"/>
        </w:rPr>
        <w:t xml:space="preserve"> [*309]  </w:t>
      </w:r>
      <w:bookmarkStart w:id="2843" w:name="Bookmark_I5535SN328T4RB0040000400"/>
      <w:bookmarkEnd w:id="2843"/>
      <w:r>
        <w:rPr>
          <w:rFonts w:ascii="Arial" w:eastAsia="Arial" w:hAnsi="Arial" w:cs="Arial"/>
          <w:color w:val="000000"/>
          <w:sz w:val="20"/>
        </w:rPr>
        <w:t xml:space="preserve">Additionally, to the extent that Wells alleges that reliance on another prisoner violated a constitutionally protected privacy interest because his conviction might be revealed, Wells's argument fails because the details of his conviction are a matter of public record. </w:t>
      </w:r>
      <w:r>
        <w:rPr>
          <w:rFonts w:ascii="Arial" w:eastAsia="Arial" w:hAnsi="Arial" w:cs="Arial"/>
          <w:i/>
          <w:color w:val="000000"/>
          <w:sz w:val="20"/>
        </w:rPr>
        <w:t xml:space="preserve">See </w:t>
      </w:r>
      <w:bookmarkStart w:id="2844" w:name="Bookmark_I5535SN328T4RB0030000400"/>
      <w:bookmarkEnd w:id="2844"/>
      <w:r>
        <w:rPr>
          <w:rFonts w:ascii="Arial" w:eastAsia="Arial" w:hAnsi="Arial" w:cs="Arial"/>
          <w:i/>
          <w:color w:val="000000"/>
          <w:sz w:val="20"/>
        </w:rPr>
        <w:t>Zaffuto v. City of Hammond</w:t>
      </w:r>
      <w:r>
        <w:rPr>
          <w:rFonts w:ascii="Arial" w:eastAsia="Arial" w:hAnsi="Arial" w:cs="Arial"/>
          <w:color w:val="000000"/>
          <w:sz w:val="20"/>
        </w:rPr>
        <w:t xml:space="preserve">, 308 F.3d 485, 490-91 (5th Cir. 2002) (stating that only disclosure of "intimate facts" constitutes a constitutional privacy violation); </w:t>
      </w:r>
      <w:r>
        <w:rPr>
          <w:rFonts w:ascii="Arial" w:eastAsia="Arial" w:hAnsi="Arial" w:cs="Arial"/>
          <w:i/>
          <w:color w:val="000000"/>
          <w:sz w:val="20"/>
        </w:rPr>
        <w:t xml:space="preserve">see also </w:t>
      </w:r>
      <w:bookmarkStart w:id="2845" w:name="Bookmark_I5535SN328T4RB0050000400"/>
      <w:bookmarkEnd w:id="2845"/>
      <w:r>
        <w:rPr>
          <w:rFonts w:ascii="Arial" w:eastAsia="Arial" w:hAnsi="Arial" w:cs="Arial"/>
          <w:i/>
          <w:color w:val="000000"/>
          <w:sz w:val="20"/>
        </w:rPr>
        <w:t>Paul P. v. Verniero</w:t>
      </w:r>
      <w:r>
        <w:rPr>
          <w:rFonts w:ascii="Arial" w:eastAsia="Arial" w:hAnsi="Arial" w:cs="Arial"/>
          <w:color w:val="000000"/>
          <w:sz w:val="20"/>
        </w:rPr>
        <w:t xml:space="preserve">, 170 F.3d 396, 403 (3d Cir. 1999) (stating that there is no constitutionally protected privacy interest in the details of one's conviction); </w:t>
      </w:r>
      <w:bookmarkStart w:id="2846" w:name="Bookmark_I5535SN32D6NKV0020000400"/>
      <w:bookmarkEnd w:id="2846"/>
      <w:r>
        <w:rPr>
          <w:rFonts w:ascii="Arial" w:eastAsia="Arial" w:hAnsi="Arial" w:cs="Arial"/>
          <w:i/>
          <w:color w:val="000000"/>
          <w:sz w:val="20"/>
        </w:rPr>
        <w:t>Eagle v. Morgan</w:t>
      </w:r>
      <w:r>
        <w:rPr>
          <w:rFonts w:ascii="Arial" w:eastAsia="Arial" w:hAnsi="Arial" w:cs="Arial"/>
          <w:color w:val="000000"/>
          <w:sz w:val="20"/>
        </w:rPr>
        <w:t xml:space="preserve">, 88 F.3d 620, 625-26 (8th Cir. 1996) (same); </w:t>
      </w:r>
      <w:bookmarkStart w:id="2847" w:name="Bookmark_I5535SN32D6NKV0040000400"/>
      <w:bookmarkEnd w:id="2847"/>
      <w:r>
        <w:rPr>
          <w:rFonts w:ascii="Arial" w:eastAsia="Arial" w:hAnsi="Arial" w:cs="Arial"/>
          <w:i/>
          <w:color w:val="000000"/>
          <w:sz w:val="20"/>
        </w:rPr>
        <w:t>Cline v. Rogers</w:t>
      </w:r>
      <w:r>
        <w:rPr>
          <w:rFonts w:ascii="Arial" w:eastAsia="Arial" w:hAnsi="Arial" w:cs="Arial"/>
          <w:color w:val="000000"/>
          <w:sz w:val="20"/>
        </w:rPr>
        <w:t xml:space="preserve">, 87 F.3d 176, 179 (6th Cir. 1996) (same); </w:t>
      </w:r>
      <w:bookmarkStart w:id="2848" w:name="Bookmark_I5535SN328T4RC0010000400"/>
      <w:bookmarkEnd w:id="2848"/>
      <w:r>
        <w:rPr>
          <w:rFonts w:ascii="Arial" w:eastAsia="Arial" w:hAnsi="Arial" w:cs="Arial"/>
          <w:i/>
          <w:color w:val="000000"/>
          <w:sz w:val="20"/>
        </w:rPr>
        <w:t>Nilson v. Layton City</w:t>
      </w:r>
      <w:r>
        <w:rPr>
          <w:rFonts w:ascii="Arial" w:eastAsia="Arial" w:hAnsi="Arial" w:cs="Arial"/>
          <w:color w:val="000000"/>
          <w:sz w:val="20"/>
        </w:rPr>
        <w:t>, 45 F.3d 369, 372 (10th Cir. 1995) (same). Moreover, Wells does not offer any evidence showing that he  [**16] is unable to use the library because the prisoners who assisted in reading or preparing filings leaked information about his offense or would harm him, or that the Estelle Unit failed to adequately protect him in the past from prisoners who pose a threat.</w:t>
      </w:r>
    </w:p>
    <w:p w14:paraId="16A59597" w14:textId="77777777" w:rsidR="00D041A2" w:rsidRDefault="00000000">
      <w:pPr>
        <w:pStyle w:val="Normal23"/>
        <w:widowControl w:val="0"/>
        <w:spacing w:before="200" w:line="260" w:lineRule="atLeast"/>
        <w:jc w:val="both"/>
      </w:pPr>
      <w:bookmarkStart w:id="2849" w:name="Bookmark_para_19_13"/>
      <w:bookmarkStart w:id="2850" w:name="Bookmark_I5535SN328T4RC0040000400"/>
      <w:bookmarkEnd w:id="2849"/>
      <w:bookmarkEnd w:id="2850"/>
      <w:r>
        <w:rPr>
          <w:rFonts w:ascii="Arial" w:eastAsia="Arial" w:hAnsi="Arial" w:cs="Arial"/>
          <w:color w:val="000000"/>
          <w:sz w:val="20"/>
        </w:rPr>
        <w:t xml:space="preserve">Further, even assuming that the Estelle Unit is somehow responsible for Wells missing the deadline on his federal habeas petition, Wells fails to show prejudice because he does not adequately allege grounds for an arguable claim to relief. </w:t>
      </w:r>
      <w:bookmarkStart w:id="2851" w:name="Bookmark_I5535SN328T4RC0030000400"/>
      <w:bookmarkEnd w:id="2851"/>
      <w:r>
        <w:rPr>
          <w:rFonts w:ascii="Arial" w:eastAsia="Arial" w:hAnsi="Arial" w:cs="Arial"/>
          <w:i/>
          <w:color w:val="000000"/>
          <w:sz w:val="20"/>
        </w:rPr>
        <w:t>Brewster v. Dretke</w:t>
      </w:r>
      <w:r>
        <w:rPr>
          <w:rFonts w:ascii="Arial" w:eastAsia="Arial" w:hAnsi="Arial" w:cs="Arial"/>
          <w:color w:val="000000"/>
          <w:sz w:val="20"/>
        </w:rPr>
        <w:t>, 587 F.3d 764, 769 (5th Cir. 2009). In his more definite statement, Wells says that he would have asserted "[a]llegations of misconduct, lack of evidence, and ineffective assistance of counsel" in his habeas petition. In his opposition to summary judgment, Wells adds a handful of vague and contradictory complaints about his attorney's performance and the evidence against him.</w:t>
      </w:r>
    </w:p>
    <w:p w14:paraId="69687242" w14:textId="77777777" w:rsidR="00D041A2" w:rsidRDefault="00000000">
      <w:pPr>
        <w:pStyle w:val="Normal23"/>
        <w:widowControl w:val="0"/>
        <w:spacing w:before="200" w:line="260" w:lineRule="atLeast"/>
        <w:jc w:val="both"/>
      </w:pPr>
      <w:bookmarkStart w:id="2852" w:name="Bookmark_para_20_13"/>
      <w:bookmarkStart w:id="2853" w:name="Bookmark_I5535SN328T4RD0010000400"/>
      <w:bookmarkStart w:id="2854" w:name="Bookmark_I5535SN328T4RD0030000400"/>
      <w:bookmarkStart w:id="2855" w:name="Bookmark_I5BFHMFJRS000005N610004H"/>
      <w:bookmarkStart w:id="2856" w:name="Bookmark_I5BFHMFJV6300005N610004J"/>
      <w:bookmarkStart w:id="2857" w:name="Bookmark_I5535SN32D6NKW0020000400"/>
      <w:bookmarkEnd w:id="2852"/>
      <w:bookmarkEnd w:id="2853"/>
      <w:bookmarkEnd w:id="2854"/>
      <w:bookmarkEnd w:id="2855"/>
      <w:bookmarkEnd w:id="2856"/>
      <w:bookmarkEnd w:id="2857"/>
      <w:r>
        <w:rPr>
          <w:rFonts w:ascii="Arial" w:eastAsia="Arial" w:hAnsi="Arial" w:cs="Arial"/>
          <w:color w:val="000000"/>
          <w:sz w:val="20"/>
        </w:rPr>
        <w:t xml:space="preserve">It is well-established that </w:t>
      </w:r>
      <w:bookmarkStart w:id="2858" w:name="Bookmark_LNHNREFclscc5_15"/>
      <w:bookmarkEnd w:id="2858"/>
      <w:r>
        <w:rPr>
          <w:rFonts w:ascii="Arial" w:eastAsia="Arial" w:hAnsi="Arial" w:cs="Arial"/>
          <w:color w:val="000000"/>
          <w:sz w:val="20"/>
        </w:rPr>
        <w:t xml:space="preserve">a valid guilty plea waives all nonjurisdictional defects, including an ineffective assistance of counsel claim, unless the ineffective assistance claim affects the voluntariness of the plea. </w:t>
      </w:r>
      <w:bookmarkStart w:id="2859" w:name="Bookmark_I5535SN328T4RC0050000400"/>
      <w:bookmarkEnd w:id="2859"/>
      <w:r>
        <w:rPr>
          <w:rFonts w:ascii="Arial" w:eastAsia="Arial" w:hAnsi="Arial" w:cs="Arial"/>
          <w:i/>
          <w:color w:val="000000"/>
          <w:sz w:val="20"/>
        </w:rPr>
        <w:t>Smith v. Estelle</w:t>
      </w:r>
      <w:r>
        <w:rPr>
          <w:rFonts w:ascii="Arial" w:eastAsia="Arial" w:hAnsi="Arial" w:cs="Arial"/>
          <w:color w:val="000000"/>
          <w:sz w:val="20"/>
        </w:rPr>
        <w:t xml:space="preserve">, 711 F.2d 677, 682 (5th Cir. 1983). </w:t>
      </w:r>
      <w:r>
        <w:rPr>
          <w:rFonts w:ascii="Arial" w:eastAsia="Arial" w:hAnsi="Arial" w:cs="Arial"/>
          <w:vertAlign w:val="superscript"/>
        </w:rPr>
        <w:footnoteReference w:customMarkFollows="1" w:id="140"/>
        <w:t>13</w:t>
      </w:r>
      <w:r>
        <w:rPr>
          <w:rFonts w:ascii="Arial" w:eastAsia="Arial" w:hAnsi="Arial" w:cs="Arial"/>
          <w:color w:val="000000"/>
          <w:sz w:val="20"/>
        </w:rPr>
        <w:t xml:space="preserve"> Based on his sparse allegations,  [**17] Wells does not sufficiently state a claim for ineffective assistance of counsel that has an arguable chance of success. </w:t>
      </w:r>
      <w:r>
        <w:rPr>
          <w:rFonts w:ascii="Arial" w:eastAsia="Arial" w:hAnsi="Arial" w:cs="Arial"/>
          <w:i/>
          <w:color w:val="000000"/>
          <w:sz w:val="20"/>
        </w:rPr>
        <w:t xml:space="preserve">See </w:t>
      </w:r>
      <w:bookmarkStart w:id="2864" w:name="Bookmark_I5535SN328T4RD0020000400"/>
      <w:bookmarkEnd w:id="2864"/>
      <w:r>
        <w:rPr>
          <w:rFonts w:ascii="Arial" w:eastAsia="Arial" w:hAnsi="Arial" w:cs="Arial"/>
          <w:i/>
          <w:color w:val="000000"/>
          <w:sz w:val="20"/>
        </w:rPr>
        <w:t>Christopher v. Harbury</w:t>
      </w:r>
      <w:r>
        <w:rPr>
          <w:rFonts w:ascii="Arial" w:eastAsia="Arial" w:hAnsi="Arial" w:cs="Arial"/>
          <w:color w:val="000000"/>
          <w:sz w:val="20"/>
        </w:rPr>
        <w:t xml:space="preserve">, 536 U.S. 403, 415-16, 122 S. Ct. 2179, 153 L. Ed. 2d 413 (2002) (stating that allegations in access to courts claim must show that the underlying claim is "arguable," and that the underlying claim must be adequately pled "just as if it were being independently pursued"); </w:t>
      </w:r>
      <w:bookmarkStart w:id="2865" w:name="Bookmark_I5535SN328T4RD0040000400"/>
      <w:bookmarkEnd w:id="2865"/>
      <w:r>
        <w:rPr>
          <w:rFonts w:ascii="Arial" w:eastAsia="Arial" w:hAnsi="Arial" w:cs="Arial"/>
          <w:i/>
          <w:color w:val="000000"/>
          <w:sz w:val="20"/>
        </w:rPr>
        <w:t>Ashcroft v. Iqbal</w:t>
      </w:r>
      <w:r>
        <w:rPr>
          <w:rFonts w:ascii="Arial" w:eastAsia="Arial" w:hAnsi="Arial" w:cs="Arial"/>
          <w:color w:val="000000"/>
          <w:sz w:val="20"/>
        </w:rPr>
        <w:t>, 556 U.S. 662, 129 S.Ct. 1937, 1949, 173 L. Ed. 2d 868 (2009) (to be adequately alleged a claim must allege sufficient "factual content [to] allow[] the court to draw the reasonable inference that the defendant is liable for the misconduct alleged."). The district court was, therefore, correct in finding the allegations insufficient.</w:t>
      </w:r>
    </w:p>
    <w:p w14:paraId="66F434DA" w14:textId="77777777" w:rsidR="00D041A2" w:rsidRDefault="00000000">
      <w:pPr>
        <w:pStyle w:val="Normal23"/>
        <w:widowControl w:val="0"/>
        <w:spacing w:before="200" w:line="260" w:lineRule="atLeast"/>
        <w:jc w:val="both"/>
      </w:pPr>
      <w:bookmarkStart w:id="2866" w:name="Bookmark_para_21_13"/>
      <w:bookmarkStart w:id="2867" w:name="Bookmark_I5535SN32D6NKX0010000400"/>
      <w:bookmarkEnd w:id="2866"/>
      <w:bookmarkEnd w:id="2867"/>
      <w:r>
        <w:rPr>
          <w:rFonts w:ascii="Arial" w:eastAsia="Arial" w:hAnsi="Arial" w:cs="Arial"/>
          <w:color w:val="000000"/>
          <w:sz w:val="20"/>
        </w:rPr>
        <w:t>Second, Plaintiff-Appellant Wells argues that the Estelle Unit violated his constitutional rights by preventing him from sending and receiving mail. Specifically, Wells argues that the accommodations [*310]  provided by the Estelle Unit are insufficient for him to effectively write and receive letters. Courts have recognized that</w:t>
      </w:r>
      <w:bookmarkStart w:id="2868" w:name="Bookmark_LNHNREFclscc7_15"/>
      <w:bookmarkEnd w:id="2868"/>
      <w:r>
        <w:rPr>
          <w:rFonts w:ascii="Arial" w:eastAsia="Arial" w:hAnsi="Arial" w:cs="Arial"/>
          <w:color w:val="000000"/>
          <w:sz w:val="20"/>
        </w:rPr>
        <w:t xml:space="preserve"> a prisoner has a right to send and receive mail under the First Amendment. </w:t>
      </w:r>
      <w:r>
        <w:rPr>
          <w:rFonts w:ascii="Arial" w:eastAsia="Arial" w:hAnsi="Arial" w:cs="Arial"/>
          <w:i/>
          <w:color w:val="000000"/>
          <w:sz w:val="20"/>
        </w:rPr>
        <w:t xml:space="preserve">See </w:t>
      </w:r>
      <w:bookmarkStart w:id="2869" w:name="Bookmark_I5535SN32D6NKW0050000400"/>
      <w:bookmarkEnd w:id="2869"/>
      <w:r>
        <w:rPr>
          <w:rFonts w:ascii="Arial" w:eastAsia="Arial" w:hAnsi="Arial" w:cs="Arial"/>
          <w:i/>
          <w:color w:val="000000"/>
          <w:sz w:val="20"/>
        </w:rPr>
        <w:t>Thornburgh v. Abbott</w:t>
      </w:r>
      <w:r>
        <w:rPr>
          <w:rFonts w:ascii="Arial" w:eastAsia="Arial" w:hAnsi="Arial" w:cs="Arial"/>
          <w:color w:val="000000"/>
          <w:sz w:val="20"/>
        </w:rPr>
        <w:t xml:space="preserve">, 490 U.S. 401, 407, 109 S. Ct. 1874, 104 L. Ed. 2d 459 (1989); </w:t>
      </w:r>
      <w:bookmarkStart w:id="2870" w:name="Bookmark_I5535SN32D6NKX0020000400"/>
      <w:bookmarkEnd w:id="2870"/>
      <w:r>
        <w:rPr>
          <w:rFonts w:ascii="Arial" w:eastAsia="Arial" w:hAnsi="Arial" w:cs="Arial"/>
          <w:i/>
          <w:color w:val="000000"/>
          <w:sz w:val="20"/>
        </w:rPr>
        <w:t>Johnson v. Goord</w:t>
      </w:r>
      <w:r>
        <w:rPr>
          <w:rFonts w:ascii="Arial" w:eastAsia="Arial" w:hAnsi="Arial" w:cs="Arial"/>
          <w:color w:val="000000"/>
          <w:sz w:val="20"/>
        </w:rPr>
        <w:t>, 445 F.3d 532, 534 (2d Cir. 2006). Here, however, there is no evidence that Wells was denied access to mail services. For example, Smith-Cotton testifies that letter writing guides and a mechanical reader are provided and that ADS instructors are also available to help read and write letters. Wells offers no evidence showing he was ever unable to send or write mail with these resources when he wanted to. Further undermining Wells's claim is that he declined letter writing assistance from ADS caseworkers and did not attend scheduled meetings to discuss his needs.</w:t>
      </w:r>
    </w:p>
    <w:p w14:paraId="419C7818" w14:textId="77777777" w:rsidR="00D041A2" w:rsidRDefault="00000000">
      <w:pPr>
        <w:pStyle w:val="Normal23"/>
        <w:widowControl w:val="0"/>
        <w:spacing w:before="200" w:line="260" w:lineRule="atLeast"/>
        <w:jc w:val="both"/>
      </w:pPr>
      <w:bookmarkStart w:id="2871" w:name="Bookmark_para_22_13"/>
      <w:bookmarkEnd w:id="2871"/>
      <w:r>
        <w:rPr>
          <w:rFonts w:ascii="Arial" w:eastAsia="Arial" w:hAnsi="Arial" w:cs="Arial"/>
          <w:color w:val="000000"/>
          <w:sz w:val="20"/>
        </w:rPr>
        <w:t xml:space="preserve">Wells also argues that he was unable to send mail because the sound card was disabled on a computer in the Adaptive  [**19] Resources Clinic. </w:t>
      </w:r>
      <w:bookmarkStart w:id="2872" w:name="Bookmark_I5535SN32D6NKX0050000400"/>
      <w:bookmarkEnd w:id="2872"/>
      <w:r>
        <w:rPr>
          <w:rFonts w:ascii="Arial" w:eastAsia="Arial" w:hAnsi="Arial" w:cs="Arial"/>
          <w:color w:val="000000"/>
          <w:sz w:val="20"/>
        </w:rPr>
        <w:t xml:space="preserve">Smith-Cotton testifies that the computers in the lab are designed only for vocational training and that Wells had already acquired all of the computer skills that the lab provides. Thus, Wells fails to show that the disabled sound card resulted in any injury. </w:t>
      </w:r>
      <w:r>
        <w:rPr>
          <w:rFonts w:ascii="Arial" w:eastAsia="Arial" w:hAnsi="Arial" w:cs="Arial"/>
          <w:vertAlign w:val="superscript"/>
        </w:rPr>
        <w:footnoteReference w:customMarkFollows="1" w:id="141"/>
        <w:t>14</w:t>
      </w:r>
      <w:r>
        <w:rPr>
          <w:rFonts w:ascii="Arial" w:eastAsia="Arial" w:hAnsi="Arial" w:cs="Arial"/>
          <w:color w:val="000000"/>
          <w:sz w:val="20"/>
        </w:rPr>
        <w:t xml:space="preserve"> Accordingly, Wells does not offer any evidence creating an issue of material fact on his access to mail claim. </w:t>
      </w:r>
      <w:r>
        <w:rPr>
          <w:rFonts w:ascii="Arial" w:eastAsia="Arial" w:hAnsi="Arial" w:cs="Arial"/>
          <w:vertAlign w:val="superscript"/>
        </w:rPr>
        <w:footnoteReference w:customMarkFollows="1" w:id="142"/>
        <w:t>15</w:t>
      </w:r>
    </w:p>
    <w:p w14:paraId="2AB815F3" w14:textId="77777777" w:rsidR="00D041A2" w:rsidRDefault="00000000">
      <w:pPr>
        <w:pStyle w:val="Normal23"/>
        <w:widowControl w:val="0"/>
        <w:spacing w:before="200" w:line="260" w:lineRule="atLeast"/>
        <w:jc w:val="both"/>
      </w:pPr>
      <w:bookmarkStart w:id="2882" w:name="Bookmark_para_23_13"/>
      <w:bookmarkStart w:id="2883" w:name="Bookmark_I5535SN32SF7SG0030000400"/>
      <w:bookmarkStart w:id="2884" w:name="Bookmark_I5535SN32SF7SG0050000400"/>
      <w:bookmarkEnd w:id="2882"/>
      <w:bookmarkEnd w:id="2883"/>
      <w:bookmarkEnd w:id="2884"/>
      <w:r>
        <w:rPr>
          <w:rFonts w:ascii="Arial" w:eastAsia="Arial" w:hAnsi="Arial" w:cs="Arial"/>
          <w:color w:val="000000"/>
          <w:sz w:val="20"/>
        </w:rPr>
        <w:t xml:space="preserve">Finally, because Wells offers no evidence showing that a constitutional violation is ongoing or is likely to occur, the district court also properly dismissed the claims for declaratory and injunctive relief brought under Section 1983. </w:t>
      </w:r>
      <w:bookmarkStart w:id="2885" w:name="Bookmark_I5535SN32SF7SG0020000400"/>
      <w:bookmarkEnd w:id="2885"/>
      <w:r>
        <w:rPr>
          <w:rFonts w:ascii="Arial" w:eastAsia="Arial" w:hAnsi="Arial" w:cs="Arial"/>
          <w:i/>
          <w:color w:val="000000"/>
          <w:sz w:val="20"/>
        </w:rPr>
        <w:t>Green v. Mansour</w:t>
      </w:r>
      <w:r>
        <w:rPr>
          <w:rFonts w:ascii="Arial" w:eastAsia="Arial" w:hAnsi="Arial" w:cs="Arial"/>
          <w:color w:val="000000"/>
          <w:sz w:val="20"/>
        </w:rPr>
        <w:t xml:space="preserve">, 474 U.S. 64, 68, 106 S. Ct. 423, 88 L. Ed. 2d 371 (1985). </w:t>
      </w:r>
      <w:r>
        <w:rPr>
          <w:rFonts w:ascii="Arial" w:eastAsia="Arial" w:hAnsi="Arial" w:cs="Arial"/>
          <w:vertAlign w:val="superscript"/>
        </w:rPr>
        <w:footnoteReference w:customMarkFollows="1" w:id="143"/>
        <w:t>16</w:t>
      </w:r>
    </w:p>
    <w:p w14:paraId="732ECDF6" w14:textId="77777777" w:rsidR="00D041A2" w:rsidRDefault="00000000">
      <w:pPr>
        <w:pStyle w:val="Normal23"/>
        <w:widowControl w:val="0"/>
        <w:spacing w:before="240" w:line="260" w:lineRule="atLeast"/>
      </w:pPr>
      <w:r>
        <w:br/>
      </w:r>
      <w:r>
        <w:rPr>
          <w:rFonts w:ascii="Arial" w:eastAsia="Arial" w:hAnsi="Arial" w:cs="Arial"/>
          <w:b/>
          <w:color w:val="000000"/>
          <w:sz w:val="20"/>
        </w:rPr>
        <w:t>B. Title II of the Americans with Disabilities Act</w:t>
      </w:r>
    </w:p>
    <w:p w14:paraId="65A04988" w14:textId="77777777" w:rsidR="00D041A2" w:rsidRDefault="00000000">
      <w:pPr>
        <w:pStyle w:val="Normal23"/>
        <w:widowControl w:val="0"/>
        <w:spacing w:before="200" w:line="260" w:lineRule="atLeast"/>
        <w:jc w:val="both"/>
      </w:pPr>
      <w:bookmarkStart w:id="2889" w:name="Bookmark_para_24_12"/>
      <w:bookmarkEnd w:id="2889"/>
      <w:r>
        <w:rPr>
          <w:rFonts w:ascii="Arial" w:eastAsia="Arial" w:hAnsi="Arial" w:cs="Arial"/>
          <w:color w:val="000000"/>
          <w:sz w:val="20"/>
        </w:rPr>
        <w:t>Plaintiff-Appellant Wells also brings claims for damages and equitable  [**21] relief under Title II of the ADA, arguing that the Estelle Unit law library and Adaptive Resources Clinic denied him the benefits of and excluded him from participation in the services of those facilities. Like his constitutional claims, Wells argues that the law library or Clinic should have been equipped with a current model computer with screen reading software, such as JAWS, as well as Braille or audio versions of legal resources and Westlaw or Lexis [*311]  Nexis access. The district court dismissed these claims, finding that there was no evidence of a violation of Title II of the ADA.</w:t>
      </w:r>
    </w:p>
    <w:p w14:paraId="5131C74A" w14:textId="77777777" w:rsidR="00D041A2" w:rsidRDefault="00000000">
      <w:pPr>
        <w:pStyle w:val="Normal23"/>
        <w:widowControl w:val="0"/>
        <w:spacing w:before="200" w:line="260" w:lineRule="atLeast"/>
        <w:jc w:val="both"/>
      </w:pPr>
      <w:bookmarkStart w:id="2890" w:name="Bookmark_para_25_12"/>
      <w:bookmarkStart w:id="2891" w:name="Bookmark_I5535SN32HM6TG0020000400"/>
      <w:bookmarkEnd w:id="2890"/>
      <w:bookmarkEnd w:id="2891"/>
      <w:r>
        <w:rPr>
          <w:rFonts w:ascii="Arial" w:eastAsia="Arial" w:hAnsi="Arial" w:cs="Arial"/>
          <w:color w:val="000000"/>
          <w:sz w:val="20"/>
        </w:rPr>
        <w:t xml:space="preserve">Because Wells sues the Defendants-Appellees in their official capacity for damages, the Defendants-Appellees assert state sovereign immunity as a defense to liability. Therefore, we must first determine whether the Defendants-Appellees are entitled to immunity on Wells's Title II claims. </w:t>
      </w:r>
      <w:r>
        <w:rPr>
          <w:rFonts w:ascii="Arial" w:eastAsia="Arial" w:hAnsi="Arial" w:cs="Arial"/>
          <w:i/>
          <w:color w:val="000000"/>
          <w:sz w:val="20"/>
        </w:rPr>
        <w:t xml:space="preserve">See </w:t>
      </w:r>
      <w:bookmarkStart w:id="2892" w:name="Bookmark_I5535SN32HM6TG0010000400"/>
      <w:bookmarkEnd w:id="2892"/>
      <w:r>
        <w:rPr>
          <w:rFonts w:ascii="Arial" w:eastAsia="Arial" w:hAnsi="Arial" w:cs="Arial"/>
          <w:i/>
          <w:color w:val="000000"/>
          <w:sz w:val="20"/>
        </w:rPr>
        <w:t>United States v. Tex. Tech Univ.</w:t>
      </w:r>
      <w:r>
        <w:rPr>
          <w:rFonts w:ascii="Arial" w:eastAsia="Arial" w:hAnsi="Arial" w:cs="Arial"/>
          <w:color w:val="000000"/>
          <w:sz w:val="20"/>
        </w:rPr>
        <w:t>, 171 F.3d 279, 285-87 (5th Cir. 1999).</w:t>
      </w:r>
    </w:p>
    <w:p w14:paraId="7DB73666" w14:textId="77777777" w:rsidR="00D041A2" w:rsidRDefault="00000000">
      <w:pPr>
        <w:pStyle w:val="Normal23"/>
        <w:widowControl w:val="0"/>
        <w:spacing w:before="200" w:line="260" w:lineRule="atLeast"/>
        <w:jc w:val="both"/>
      </w:pPr>
      <w:bookmarkStart w:id="2893" w:name="Bookmark_para_26_11"/>
      <w:bookmarkStart w:id="2894" w:name="Bookmark_I5535SN32HM6TG0040000400"/>
      <w:bookmarkStart w:id="2895" w:name="Bookmark_I5BFHMFM1BB00005N6100050"/>
      <w:bookmarkStart w:id="2896" w:name="Bookmark_I5BFHMFM45300005N6100051"/>
      <w:bookmarkStart w:id="2897" w:name="Bookmark_I5535SN32SF7SH0010000400"/>
      <w:bookmarkEnd w:id="2893"/>
      <w:bookmarkEnd w:id="2894"/>
      <w:bookmarkEnd w:id="2895"/>
      <w:bookmarkEnd w:id="2896"/>
      <w:bookmarkEnd w:id="2897"/>
      <w:r>
        <w:rPr>
          <w:rFonts w:ascii="Arial" w:eastAsia="Arial" w:hAnsi="Arial" w:cs="Arial"/>
          <w:color w:val="000000"/>
          <w:sz w:val="20"/>
        </w:rPr>
        <w:t xml:space="preserve">The Supreme Court has held that </w:t>
      </w:r>
      <w:bookmarkStart w:id="2898" w:name="Bookmark_LNHNREFclscc9_15"/>
      <w:bookmarkEnd w:id="2898"/>
      <w:r>
        <w:rPr>
          <w:rFonts w:ascii="Arial" w:eastAsia="Arial" w:hAnsi="Arial" w:cs="Arial"/>
          <w:color w:val="000000"/>
          <w:sz w:val="20"/>
        </w:rPr>
        <w:t xml:space="preserve">Title II of the ADA validly abrogates state sovereign immunity under the Fourteenth Amendment in certain cases. </w:t>
      </w:r>
      <w:bookmarkStart w:id="2899" w:name="Bookmark_I5BFHMFJYGB00005N610004K"/>
      <w:bookmarkStart w:id="2900" w:name="Bookmark_I5BFHMFK5K100005N610004N"/>
      <w:bookmarkStart w:id="2901" w:name="Bookmark_I5BFHMFKCCJ00005N610004R"/>
      <w:bookmarkStart w:id="2902" w:name="Bookmark_I5BFHMFKJGG00005N610004T"/>
      <w:bookmarkStart w:id="2903" w:name="Bookmark_I5535SN32SF7SH0050000400"/>
      <w:bookmarkEnd w:id="2899"/>
      <w:bookmarkEnd w:id="2900"/>
      <w:bookmarkEnd w:id="2901"/>
      <w:bookmarkEnd w:id="2902"/>
      <w:bookmarkEnd w:id="2903"/>
      <w:r>
        <w:rPr>
          <w:rFonts w:ascii="Arial" w:eastAsia="Arial" w:hAnsi="Arial" w:cs="Arial"/>
          <w:i/>
          <w:color w:val="000000"/>
          <w:sz w:val="20"/>
        </w:rPr>
        <w:t xml:space="preserve">See </w:t>
      </w:r>
      <w:bookmarkStart w:id="2904" w:name="Bookmark_I5535SN32HM6TG0030000400"/>
      <w:bookmarkEnd w:id="2904"/>
      <w:r>
        <w:rPr>
          <w:rFonts w:ascii="Arial" w:eastAsia="Arial" w:hAnsi="Arial" w:cs="Arial"/>
          <w:i/>
          <w:color w:val="000000"/>
          <w:sz w:val="20"/>
        </w:rPr>
        <w:t>United States v. Georgia</w:t>
      </w:r>
      <w:r>
        <w:rPr>
          <w:rFonts w:ascii="Arial" w:eastAsia="Arial" w:hAnsi="Arial" w:cs="Arial"/>
          <w:color w:val="000000"/>
          <w:sz w:val="20"/>
        </w:rPr>
        <w:t xml:space="preserve">, 546 U.S. 151, 159, 126 S. Ct. 877, 163 L. Ed. 2d 650 (2006). In </w:t>
      </w:r>
      <w:r>
        <w:rPr>
          <w:rFonts w:ascii="Arial" w:eastAsia="Arial" w:hAnsi="Arial" w:cs="Arial"/>
          <w:i/>
          <w:color w:val="000000"/>
          <w:sz w:val="20"/>
        </w:rPr>
        <w:t>United States v. Georgia</w:t>
      </w:r>
      <w:r>
        <w:rPr>
          <w:rFonts w:ascii="Arial" w:eastAsia="Arial" w:hAnsi="Arial" w:cs="Arial"/>
          <w:color w:val="000000"/>
          <w:sz w:val="20"/>
        </w:rPr>
        <w:t xml:space="preserve">, the Supreme Court  [**22] established a three-part test for determining whether immunity is validly abrogated in a given case. </w:t>
      </w:r>
      <w:bookmarkStart w:id="2905" w:name="Bookmark_I5535SN32HM6TG0050000400"/>
      <w:bookmarkEnd w:id="2905"/>
      <w:r>
        <w:rPr>
          <w:rFonts w:ascii="Arial" w:eastAsia="Arial" w:hAnsi="Arial" w:cs="Arial"/>
          <w:i/>
          <w:color w:val="000000"/>
          <w:sz w:val="20"/>
        </w:rPr>
        <w:t>Id.</w:t>
      </w:r>
      <w:r>
        <w:rPr>
          <w:rFonts w:ascii="Arial" w:eastAsia="Arial" w:hAnsi="Arial" w:cs="Arial"/>
          <w:color w:val="000000"/>
          <w:sz w:val="20"/>
        </w:rPr>
        <w:t xml:space="preserve"> First, we must determine "which aspects of the State's alleged conduct violated Title II," and then second, determine "to what extent such misconduct also violated the Fourteenth Amendment." </w:t>
      </w:r>
      <w:bookmarkStart w:id="2906" w:name="Bookmark_I5535SN32SF7SH0020000400"/>
      <w:bookmarkEnd w:id="2906"/>
      <w:r>
        <w:rPr>
          <w:rFonts w:ascii="Arial" w:eastAsia="Arial" w:hAnsi="Arial" w:cs="Arial"/>
          <w:i/>
          <w:color w:val="000000"/>
          <w:sz w:val="20"/>
        </w:rPr>
        <w:t>Id.</w:t>
      </w:r>
      <w:r>
        <w:rPr>
          <w:rFonts w:ascii="Arial" w:eastAsia="Arial" w:hAnsi="Arial" w:cs="Arial"/>
          <w:color w:val="000000"/>
          <w:sz w:val="20"/>
        </w:rPr>
        <w:t xml:space="preserve"> Where the State's conduct violates both Title II and the Fourteenth Amendment, Title II abrogates sovereign immunity. </w:t>
      </w:r>
      <w:bookmarkStart w:id="2907" w:name="Bookmark_I5535SN32SF7SH0050000400_2"/>
      <w:bookmarkStart w:id="2908" w:name="Bookmark_I5535SN32SF7SJ0030000400"/>
      <w:bookmarkEnd w:id="2907"/>
      <w:bookmarkEnd w:id="2908"/>
      <w:r>
        <w:rPr>
          <w:rFonts w:ascii="Arial" w:eastAsia="Arial" w:hAnsi="Arial" w:cs="Arial"/>
          <w:color w:val="000000"/>
          <w:sz w:val="20"/>
        </w:rPr>
        <w:t xml:space="preserve">Where the conduct violates Title II, but not the Fourteenth Amendment, we must then determine "whether Congress's purported abrogation of sovereign immunity as to that class of conduct is nevertheless valid." </w:t>
      </w:r>
      <w:bookmarkStart w:id="2909" w:name="Bookmark_I5535SN32SF7SH0040000400"/>
      <w:bookmarkEnd w:id="2909"/>
      <w:r>
        <w:rPr>
          <w:rFonts w:ascii="Arial" w:eastAsia="Arial" w:hAnsi="Arial" w:cs="Arial"/>
          <w:i/>
          <w:color w:val="000000"/>
          <w:sz w:val="20"/>
        </w:rPr>
        <w:t>Georgia</w:t>
      </w:r>
      <w:r>
        <w:rPr>
          <w:rFonts w:ascii="Arial" w:eastAsia="Arial" w:hAnsi="Arial" w:cs="Arial"/>
          <w:color w:val="000000"/>
          <w:sz w:val="20"/>
        </w:rPr>
        <w:t xml:space="preserve">, 546 U.S. at 159; </w:t>
      </w:r>
      <w:bookmarkStart w:id="2910" w:name="Bookmark_I5535SN32HM6TH0010000400"/>
      <w:bookmarkEnd w:id="2910"/>
      <w:r>
        <w:rPr>
          <w:rFonts w:ascii="Arial" w:eastAsia="Arial" w:hAnsi="Arial" w:cs="Arial"/>
          <w:i/>
          <w:color w:val="000000"/>
          <w:sz w:val="20"/>
        </w:rPr>
        <w:t>Tennessee v. Lane</w:t>
      </w:r>
      <w:r>
        <w:rPr>
          <w:rFonts w:ascii="Arial" w:eastAsia="Arial" w:hAnsi="Arial" w:cs="Arial"/>
          <w:color w:val="000000"/>
          <w:sz w:val="20"/>
        </w:rPr>
        <w:t xml:space="preserve">, 541 U.S. 509, 522-24, 124 S. Ct. 1978, 158 L. Ed. 2d 820 (2004); </w:t>
      </w:r>
      <w:bookmarkStart w:id="2911" w:name="Bookmark_I5535SN32HM6TH0030000400"/>
      <w:bookmarkEnd w:id="2911"/>
      <w:r>
        <w:rPr>
          <w:rFonts w:ascii="Arial" w:eastAsia="Arial" w:hAnsi="Arial" w:cs="Arial"/>
          <w:i/>
          <w:color w:val="000000"/>
          <w:sz w:val="20"/>
        </w:rPr>
        <w:t>City of Boerne v. Flores</w:t>
      </w:r>
      <w:r>
        <w:rPr>
          <w:rFonts w:ascii="Arial" w:eastAsia="Arial" w:hAnsi="Arial" w:cs="Arial"/>
          <w:color w:val="000000"/>
          <w:sz w:val="20"/>
        </w:rPr>
        <w:t xml:space="preserve">, 521 U.S. 507, 529-36, 117 S. Ct. 2157, 138 L. Ed. 2d 624 (1997); </w:t>
      </w:r>
      <w:bookmarkStart w:id="2912" w:name="Bookmark_I5535SN32HM6TH0050000400"/>
      <w:bookmarkEnd w:id="2912"/>
      <w:r>
        <w:rPr>
          <w:rFonts w:ascii="Arial" w:eastAsia="Arial" w:hAnsi="Arial" w:cs="Arial"/>
          <w:i/>
          <w:color w:val="000000"/>
          <w:sz w:val="20"/>
        </w:rPr>
        <w:t>Hale v. King</w:t>
      </w:r>
      <w:r>
        <w:rPr>
          <w:rFonts w:ascii="Arial" w:eastAsia="Arial" w:hAnsi="Arial" w:cs="Arial"/>
          <w:color w:val="000000"/>
          <w:sz w:val="20"/>
        </w:rPr>
        <w:t xml:space="preserve">, 642 F.3d 492, 497-98 (2011). </w:t>
      </w:r>
      <w:bookmarkStart w:id="2913" w:name="Bookmark_I5535SN32SF7SJ0030000400_2"/>
      <w:bookmarkStart w:id="2914" w:name="Bookmark_I5535SN32HM6TJ0010000400"/>
      <w:bookmarkEnd w:id="2913"/>
      <w:bookmarkEnd w:id="2914"/>
      <w:r>
        <w:rPr>
          <w:rFonts w:ascii="Arial" w:eastAsia="Arial" w:hAnsi="Arial" w:cs="Arial"/>
          <w:color w:val="000000"/>
          <w:sz w:val="20"/>
        </w:rPr>
        <w:t xml:space="preserve">Although this inquiry is often addressed on motion to dismiss, and thus phrased in terms of whether the plaintiff sufficiently "alleged" conduct violating Title II and the Fourteenth Amendment, other courts have considered the record when the inquiry is conducted at the summary judgment stage. </w:t>
      </w:r>
      <w:r>
        <w:rPr>
          <w:rFonts w:ascii="Arial" w:eastAsia="Arial" w:hAnsi="Arial" w:cs="Arial"/>
          <w:i/>
          <w:color w:val="000000"/>
          <w:sz w:val="20"/>
        </w:rPr>
        <w:t xml:space="preserve">See, e.g., </w:t>
      </w:r>
      <w:bookmarkStart w:id="2915" w:name="Bookmark_I5535SN32SF7SJ0020000400"/>
      <w:bookmarkEnd w:id="2915"/>
      <w:r>
        <w:rPr>
          <w:rFonts w:ascii="Arial" w:eastAsia="Arial" w:hAnsi="Arial" w:cs="Arial"/>
          <w:i/>
          <w:color w:val="000000"/>
          <w:sz w:val="20"/>
        </w:rPr>
        <w:t>Bolmer v. Oliveira</w:t>
      </w:r>
      <w:r>
        <w:rPr>
          <w:rFonts w:ascii="Arial" w:eastAsia="Arial" w:hAnsi="Arial" w:cs="Arial"/>
          <w:color w:val="000000"/>
          <w:sz w:val="20"/>
        </w:rPr>
        <w:t xml:space="preserve">, 594 F.3d 134, 145-49 (2d Cir. 2010) (considering record when determining abrogation  [**23] in Title II claim); </w:t>
      </w:r>
      <w:bookmarkStart w:id="2916" w:name="Bookmark_I5535SN32SF7SJ0040000400"/>
      <w:bookmarkEnd w:id="2916"/>
      <w:r>
        <w:rPr>
          <w:rFonts w:ascii="Arial" w:eastAsia="Arial" w:hAnsi="Arial" w:cs="Arial"/>
          <w:i/>
          <w:color w:val="000000"/>
          <w:sz w:val="20"/>
        </w:rPr>
        <w:t>Morris v. Kingston</w:t>
      </w:r>
      <w:r>
        <w:rPr>
          <w:rFonts w:ascii="Arial" w:eastAsia="Arial" w:hAnsi="Arial" w:cs="Arial"/>
          <w:color w:val="000000"/>
          <w:sz w:val="20"/>
        </w:rPr>
        <w:t xml:space="preserve">, 368 F. App'x 686, 688-90 (7th Cir. 2010) (same); </w:t>
      </w:r>
      <w:bookmarkStart w:id="2917" w:name="Bookmark_I5535SN32N1PSF0010000400"/>
      <w:bookmarkEnd w:id="2917"/>
      <w:r>
        <w:rPr>
          <w:rFonts w:ascii="Arial" w:eastAsia="Arial" w:hAnsi="Arial" w:cs="Arial"/>
          <w:i/>
          <w:color w:val="000000"/>
          <w:sz w:val="20"/>
        </w:rPr>
        <w:t>Buchanan v. Maine</w:t>
      </w:r>
      <w:r>
        <w:rPr>
          <w:rFonts w:ascii="Arial" w:eastAsia="Arial" w:hAnsi="Arial" w:cs="Arial"/>
          <w:color w:val="000000"/>
          <w:sz w:val="20"/>
        </w:rPr>
        <w:t xml:space="preserve">, 469 F.3d 158, 170-77 (1st Cir. 2006) (explaining that development of factual record may actually be necessary in some cases and resolving issue based on summary judgment record); </w:t>
      </w:r>
      <w:bookmarkStart w:id="2918" w:name="Bookmark_I5535SN32N1PSF0030000400"/>
      <w:bookmarkEnd w:id="2918"/>
      <w:r>
        <w:rPr>
          <w:rFonts w:ascii="Arial" w:eastAsia="Arial" w:hAnsi="Arial" w:cs="Arial"/>
          <w:i/>
          <w:color w:val="000000"/>
          <w:sz w:val="20"/>
        </w:rPr>
        <w:t>Kiman v. N.H. Dep't of Corr.</w:t>
      </w:r>
      <w:r>
        <w:rPr>
          <w:rFonts w:ascii="Arial" w:eastAsia="Arial" w:hAnsi="Arial" w:cs="Arial"/>
          <w:color w:val="000000"/>
          <w:sz w:val="20"/>
        </w:rPr>
        <w:t xml:space="preserve">, 451 F.3d 274, 282-91 (1st Cir. 2006) (considering record). </w:t>
      </w:r>
      <w:bookmarkStart w:id="2919" w:name="Bookmark_I5535SN32HM6TJ0010000400_2"/>
      <w:bookmarkEnd w:id="2919"/>
      <w:r>
        <w:rPr>
          <w:rFonts w:ascii="Arial" w:eastAsia="Arial" w:hAnsi="Arial" w:cs="Arial"/>
          <w:vertAlign w:val="superscript"/>
        </w:rPr>
        <w:footnoteReference w:customMarkFollows="1" w:id="144"/>
        <w:t>17</w:t>
      </w:r>
    </w:p>
    <w:p w14:paraId="78AEE30F" w14:textId="77777777" w:rsidR="00D041A2" w:rsidRDefault="00000000">
      <w:pPr>
        <w:pStyle w:val="Normal23"/>
        <w:widowControl w:val="0"/>
        <w:spacing w:before="200" w:line="260" w:lineRule="atLeast"/>
        <w:jc w:val="both"/>
      </w:pPr>
      <w:bookmarkStart w:id="2922" w:name="Bookmark_para_27_11"/>
      <w:bookmarkStart w:id="2923" w:name="Bookmark_I5BFHMFKR2500005N610004W"/>
      <w:bookmarkStart w:id="2924" w:name="Bookmark_I5535SN32HM6TJ0030000400"/>
      <w:bookmarkStart w:id="2925" w:name="Bookmark_I5535SN32HM6TK0010000400"/>
      <w:bookmarkEnd w:id="2922"/>
      <w:bookmarkEnd w:id="2923"/>
      <w:bookmarkEnd w:id="2924"/>
      <w:bookmarkEnd w:id="2925"/>
      <w:r>
        <w:rPr>
          <w:rFonts w:ascii="Arial" w:eastAsia="Arial" w:hAnsi="Arial" w:cs="Arial"/>
          <w:color w:val="000000"/>
          <w:sz w:val="20"/>
        </w:rPr>
        <w:t xml:space="preserve">Under that test, we will first consider whether Wells offers sufficient evidence to create an issue of material fact on his Title II claims. </w:t>
      </w:r>
      <w:bookmarkStart w:id="2926" w:name="Bookmark_I5BFHMFKV5900005N610004X"/>
      <w:bookmarkStart w:id="2927" w:name="Bookmark_I5535SN32HM6TJ0050000400"/>
      <w:bookmarkStart w:id="2928" w:name="Bookmark_LNHNREFclscc10_14"/>
      <w:bookmarkEnd w:id="2926"/>
      <w:bookmarkEnd w:id="2927"/>
      <w:bookmarkEnd w:id="2928"/>
      <w:r>
        <w:rPr>
          <w:rFonts w:ascii="Arial" w:eastAsia="Arial" w:hAnsi="Arial" w:cs="Arial"/>
          <w:color w:val="000000"/>
          <w:sz w:val="20"/>
        </w:rPr>
        <w:t xml:space="preserve">To succeed on a claim under Title II of the ADA, a plaintiff must prove: "(1) that he has a qualifying disability; (2) that he is being denied the benefits of services, programs, or activities for which the public entity is responsible, or is otherwise discriminated against by the public entity; and (3) that such discrimination is by reason of his disability." </w:t>
      </w:r>
      <w:bookmarkStart w:id="2929" w:name="Bookmark_I5535SN32HM6TJ0020000400"/>
      <w:bookmarkEnd w:id="2929"/>
      <w:r>
        <w:rPr>
          <w:rFonts w:ascii="Arial" w:eastAsia="Arial" w:hAnsi="Arial" w:cs="Arial"/>
          <w:i/>
          <w:color w:val="000000"/>
          <w:sz w:val="20"/>
        </w:rPr>
        <w:t>Hale</w:t>
      </w:r>
      <w:r>
        <w:rPr>
          <w:rFonts w:ascii="Arial" w:eastAsia="Arial" w:hAnsi="Arial" w:cs="Arial"/>
          <w:color w:val="000000"/>
          <w:sz w:val="20"/>
        </w:rPr>
        <w:t xml:space="preserve">, 642 F.3d at 499. </w:t>
      </w:r>
      <w:r>
        <w:rPr>
          <w:rFonts w:ascii="Arial" w:eastAsia="Arial" w:hAnsi="Arial" w:cs="Arial"/>
          <w:vertAlign w:val="superscript"/>
        </w:rPr>
        <w:footnoteReference w:customMarkFollows="1" w:id="145"/>
        <w:t>18</w:t>
      </w:r>
      <w:r>
        <w:rPr>
          <w:rFonts w:ascii="Arial" w:eastAsia="Arial" w:hAnsi="Arial" w:cs="Arial"/>
          <w:color w:val="000000"/>
          <w:sz w:val="20"/>
        </w:rPr>
        <w:t xml:space="preserve"> To recover monetary damages, a plaintiff must prove that the discrimination  [**24]   [*312]  was intentional. </w:t>
      </w:r>
      <w:bookmarkStart w:id="2933" w:name="Bookmark_I5535SN32HM6TJ0050000400_2"/>
      <w:bookmarkStart w:id="2934" w:name="Bookmark_I5535SN32HM6TJ0040000400"/>
      <w:bookmarkEnd w:id="2933"/>
      <w:bookmarkEnd w:id="2934"/>
      <w:r>
        <w:rPr>
          <w:rFonts w:ascii="Arial" w:eastAsia="Arial" w:hAnsi="Arial" w:cs="Arial"/>
          <w:i/>
          <w:color w:val="000000"/>
          <w:sz w:val="20"/>
        </w:rPr>
        <w:t>Delano-Pyle v. Victoria Cnty.</w:t>
      </w:r>
      <w:r>
        <w:rPr>
          <w:rFonts w:ascii="Arial" w:eastAsia="Arial" w:hAnsi="Arial" w:cs="Arial"/>
          <w:color w:val="000000"/>
          <w:sz w:val="20"/>
        </w:rPr>
        <w:t xml:space="preserve">, 302 F.3d 567, 574 (5th Cir. 2002). </w:t>
      </w:r>
      <w:bookmarkStart w:id="2935" w:name="Bookmark_I5535SN32N1PSG0020000400"/>
      <w:bookmarkEnd w:id="2935"/>
      <w:r>
        <w:rPr>
          <w:rFonts w:ascii="Arial" w:eastAsia="Arial" w:hAnsi="Arial" w:cs="Arial"/>
          <w:color w:val="000000"/>
          <w:sz w:val="20"/>
        </w:rPr>
        <w:t xml:space="preserve">The relevant regulations implementing the ADA were amended in September 2010. 75 Fed. Reg. 56,164 (Sept. 15, 2010). The amendments did not become effective until March 15, 2011, however, and they do not apply retroactively to any of Wells's claims for compensatory relief. </w:t>
      </w:r>
      <w:r>
        <w:rPr>
          <w:rFonts w:ascii="Arial" w:eastAsia="Arial" w:hAnsi="Arial" w:cs="Arial"/>
          <w:i/>
          <w:color w:val="000000"/>
          <w:sz w:val="20"/>
        </w:rPr>
        <w:t xml:space="preserve">See </w:t>
      </w:r>
      <w:bookmarkStart w:id="2936" w:name="Bookmark_I5535SN32N1PSG0010000400"/>
      <w:bookmarkEnd w:id="2936"/>
      <w:r>
        <w:rPr>
          <w:rFonts w:ascii="Arial" w:eastAsia="Arial" w:hAnsi="Arial" w:cs="Arial"/>
          <w:i/>
          <w:color w:val="000000"/>
          <w:sz w:val="20"/>
        </w:rPr>
        <w:t>Castellanos-Contreras v. Decatur Hotels, LLC</w:t>
      </w:r>
      <w:r>
        <w:rPr>
          <w:rFonts w:ascii="Arial" w:eastAsia="Arial" w:hAnsi="Arial" w:cs="Arial"/>
          <w:color w:val="000000"/>
          <w:sz w:val="20"/>
        </w:rPr>
        <w:t xml:space="preserve">, 622 F.3d 393, 401 (5th Cir. 2011) (stating that </w:t>
      </w:r>
      <w:bookmarkStart w:id="2937" w:name="Bookmark_LNHNREFclscc11_13"/>
      <w:bookmarkEnd w:id="2937"/>
      <w:r>
        <w:rPr>
          <w:rFonts w:ascii="Arial" w:eastAsia="Arial" w:hAnsi="Arial" w:cs="Arial"/>
          <w:color w:val="000000"/>
          <w:sz w:val="20"/>
        </w:rPr>
        <w:t xml:space="preserve">"congressional enactments and administrative rules will not be construed to have retroactive effect unless their language requires this result" (quotation marks omitted)); </w:t>
      </w:r>
      <w:bookmarkStart w:id="2938" w:name="Bookmark_I5535SN32N1PSG0030000400"/>
      <w:bookmarkEnd w:id="2938"/>
      <w:r>
        <w:rPr>
          <w:rFonts w:ascii="Arial" w:eastAsia="Arial" w:hAnsi="Arial" w:cs="Arial"/>
          <w:i/>
          <w:color w:val="000000"/>
          <w:sz w:val="20"/>
        </w:rPr>
        <w:t>Sierra Med. Ctr. v. Sullivan</w:t>
      </w:r>
      <w:r>
        <w:rPr>
          <w:rFonts w:ascii="Arial" w:eastAsia="Arial" w:hAnsi="Arial" w:cs="Arial"/>
          <w:color w:val="000000"/>
          <w:sz w:val="20"/>
        </w:rPr>
        <w:t>, 902 F.2d 388, 392 (5th Cir. 1990) ("Generally, courts will not apply regulations retroactively unless their language so requires.").</w:t>
      </w:r>
    </w:p>
    <w:p w14:paraId="6849A7F7" w14:textId="77777777" w:rsidR="00D041A2" w:rsidRDefault="00000000">
      <w:pPr>
        <w:pStyle w:val="Normal23"/>
        <w:widowControl w:val="0"/>
        <w:spacing w:before="200" w:line="260" w:lineRule="atLeast"/>
        <w:jc w:val="both"/>
      </w:pPr>
      <w:bookmarkStart w:id="2939" w:name="Bookmark_para_28_10"/>
      <w:bookmarkStart w:id="2940" w:name="Bookmark_LNHNREFclscc13_11"/>
      <w:bookmarkEnd w:id="2939"/>
      <w:bookmarkEnd w:id="2940"/>
      <w:r>
        <w:rPr>
          <w:rFonts w:ascii="Arial" w:eastAsia="Arial" w:hAnsi="Arial" w:cs="Arial"/>
          <w:color w:val="000000"/>
          <w:sz w:val="20"/>
        </w:rPr>
        <w:t xml:space="preserve">The version of the regulation in effect in 2007 required that public entities "furnish appropriate auxiliary aids and services where necessary to afford an individual with a disability an equal opportunity to participate in, and enjoy the benefits of a service . . . conducted by a public entity." 28 C.F.R. § 35.160(b)(1) (2007). </w:t>
      </w:r>
      <w:bookmarkStart w:id="2941" w:name="Bookmark_I5535SN32HM6TK0030000400"/>
      <w:bookmarkEnd w:id="2941"/>
      <w:r>
        <w:rPr>
          <w:rFonts w:ascii="Arial" w:eastAsia="Arial" w:hAnsi="Arial" w:cs="Arial"/>
          <w:color w:val="000000"/>
          <w:sz w:val="20"/>
        </w:rPr>
        <w:t xml:space="preserve">When "determining what types of auxiliary aid and service is necessary, [the] public entity shall give primary consideration to the requests of the individual with disabilities." 28 C.F.R. § 35.160(b)(2) (2007). Additionally, under the version of the ADA in effect at the time Wells sued, "auxiliary aids and services" were defined as including "qualified readers, taped texts, or other effective methods of making visually delivered materials available to individuals with visual impairments." 42 U.S.C. § 12102(1)(B) (2007). </w:t>
      </w:r>
      <w:r>
        <w:rPr>
          <w:rFonts w:ascii="Arial" w:eastAsia="Arial" w:hAnsi="Arial" w:cs="Arial"/>
          <w:vertAlign w:val="superscript"/>
        </w:rPr>
        <w:footnoteReference w:customMarkFollows="1" w:id="146"/>
        <w:t>19</w:t>
      </w:r>
      <w:r>
        <w:rPr>
          <w:rFonts w:ascii="Arial" w:eastAsia="Arial" w:hAnsi="Arial" w:cs="Arial"/>
          <w:color w:val="000000"/>
          <w:sz w:val="20"/>
        </w:rPr>
        <w:t xml:space="preserve"> </w:t>
      </w:r>
      <w:r>
        <w:rPr>
          <w:rFonts w:ascii="Arial" w:eastAsia="Arial" w:hAnsi="Arial" w:cs="Arial"/>
          <w:vertAlign w:val="superscript"/>
        </w:rPr>
        <w:footnoteReference w:customMarkFollows="1" w:id="147"/>
        <w:t>20</w:t>
      </w:r>
    </w:p>
    <w:p w14:paraId="6CBD8FC3" w14:textId="77777777" w:rsidR="00D041A2" w:rsidRDefault="00000000">
      <w:pPr>
        <w:pStyle w:val="Normal23"/>
        <w:widowControl w:val="0"/>
        <w:spacing w:before="200" w:line="260" w:lineRule="atLeast"/>
        <w:jc w:val="both"/>
      </w:pPr>
      <w:bookmarkStart w:id="2945" w:name="Bookmark_para_29_9"/>
      <w:bookmarkEnd w:id="2945"/>
      <w:r>
        <w:rPr>
          <w:rFonts w:ascii="Arial" w:eastAsia="Arial" w:hAnsi="Arial" w:cs="Arial"/>
          <w:color w:val="000000"/>
          <w:sz w:val="20"/>
        </w:rPr>
        <w:t>The first element of a Title II claim, a qualifying disability, is not disputed. Thus, we will proceed to determine if Wells raises an issue of material fact on the second element of his claim—whether he was "denied the benefits of services, programs, or activities" of the Estelle Unit. First, Wells argues that he was denied the benefits of the law library because he was not provided the accommodation he ultimately requested—a computer with screen reading software, as well as Braille or audio versions of legal resources and Westlaw or Lexis Nexis access.</w:t>
      </w:r>
    </w:p>
    <w:p w14:paraId="3F410E4C" w14:textId="77777777" w:rsidR="00D041A2" w:rsidRDefault="00000000">
      <w:pPr>
        <w:pStyle w:val="Normal23"/>
        <w:widowControl w:val="0"/>
        <w:spacing w:before="200" w:line="260" w:lineRule="atLeast"/>
        <w:jc w:val="both"/>
      </w:pPr>
      <w:bookmarkStart w:id="2946" w:name="Bookmark_para_30_9"/>
      <w:bookmarkEnd w:id="2946"/>
      <w:r>
        <w:rPr>
          <w:rFonts w:ascii="Arial" w:eastAsia="Arial" w:hAnsi="Arial" w:cs="Arial"/>
          <w:color w:val="000000"/>
          <w:sz w:val="20"/>
        </w:rPr>
        <w:t xml:space="preserve">The record indicates that Wells was provided same-session library visits with an inmate of his choosing who would read to him and otherwise assist him in preparing filings. Additionally, the law library provided Wells a list of other prisoners who were available to assist him. Thus, the record  [**27] shows that the law library offered Wells a qualified reader, which is listed in the ADA as a permissible auxiliary aid or service. </w:t>
      </w:r>
      <w:r>
        <w:rPr>
          <w:rFonts w:ascii="Arial" w:eastAsia="Arial" w:hAnsi="Arial" w:cs="Arial"/>
          <w:vertAlign w:val="superscript"/>
        </w:rPr>
        <w:footnoteReference w:customMarkFollows="1" w:id="148"/>
        <w:t>21</w:t>
      </w:r>
      <w:r>
        <w:rPr>
          <w:rFonts w:ascii="Arial" w:eastAsia="Arial" w:hAnsi="Arial" w:cs="Arial"/>
          <w:color w:val="000000"/>
          <w:sz w:val="20"/>
        </w:rPr>
        <w:t xml:space="preserve"> Further, the record shows that [*313]  Hoke attempted to locate Braille and audio versions of legal resources, but found that these resources are not available.</w:t>
      </w:r>
    </w:p>
    <w:p w14:paraId="3DCE4729" w14:textId="77777777" w:rsidR="00D041A2" w:rsidRDefault="00000000">
      <w:pPr>
        <w:pStyle w:val="Normal23"/>
        <w:widowControl w:val="0"/>
        <w:spacing w:before="200" w:line="260" w:lineRule="atLeast"/>
        <w:jc w:val="both"/>
      </w:pPr>
      <w:bookmarkStart w:id="2950" w:name="Bookmark_para_31_9"/>
      <w:bookmarkStart w:id="2951" w:name="Bookmark_I5535SN328T4RF0020000400"/>
      <w:bookmarkStart w:id="2952" w:name="Bookmark_I5535SN32N1PSJ0020000400"/>
      <w:bookmarkEnd w:id="2950"/>
      <w:bookmarkEnd w:id="2951"/>
      <w:bookmarkEnd w:id="2952"/>
      <w:r>
        <w:rPr>
          <w:rFonts w:ascii="Arial" w:eastAsia="Arial" w:hAnsi="Arial" w:cs="Arial"/>
          <w:color w:val="000000"/>
          <w:sz w:val="20"/>
        </w:rPr>
        <w:t xml:space="preserve">Although the law library did not provide Wells his requested  [**28] accommodations, the Defendants-Appellees demonstrate that the existing accommodations were more than sufficient to give Wells effective and meaningful access to the law library. </w:t>
      </w:r>
      <w:r>
        <w:rPr>
          <w:rFonts w:ascii="Arial" w:eastAsia="Arial" w:hAnsi="Arial" w:cs="Arial"/>
          <w:i/>
          <w:color w:val="000000"/>
          <w:sz w:val="20"/>
        </w:rPr>
        <w:t>See</w:t>
      </w:r>
      <w:r>
        <w:rPr>
          <w:rFonts w:ascii="Arial" w:eastAsia="Arial" w:hAnsi="Arial" w:cs="Arial"/>
          <w:color w:val="000000"/>
          <w:sz w:val="20"/>
        </w:rPr>
        <w:t xml:space="preserve"> 28 C.F.R. Pt. 35, App. A (2007) (noting that although deference should be given to the auxiliary aid requested, it need not honor such request if it "can demonstrate that another effective means of communication exists"); </w:t>
      </w:r>
      <w:bookmarkStart w:id="2953" w:name="Bookmark_I5535SN328T4RF0010000400"/>
      <w:bookmarkEnd w:id="2953"/>
      <w:r>
        <w:rPr>
          <w:rFonts w:ascii="Arial" w:eastAsia="Arial" w:hAnsi="Arial" w:cs="Arial"/>
          <w:i/>
          <w:color w:val="000000"/>
          <w:sz w:val="20"/>
        </w:rPr>
        <w:t>Bircoll v. Miami-Dade Cnty.</w:t>
      </w:r>
      <w:r>
        <w:rPr>
          <w:rFonts w:ascii="Arial" w:eastAsia="Arial" w:hAnsi="Arial" w:cs="Arial"/>
          <w:color w:val="000000"/>
          <w:sz w:val="20"/>
        </w:rPr>
        <w:t xml:space="preserve">, 480 F.3d 1072, 1082 (11th Cir. 2007) (same); </w:t>
      </w:r>
      <w:bookmarkStart w:id="2954" w:name="Bookmark_I5535SN328T4RF0030000400"/>
      <w:bookmarkEnd w:id="2954"/>
      <w:r>
        <w:rPr>
          <w:rFonts w:ascii="Arial" w:eastAsia="Arial" w:hAnsi="Arial" w:cs="Arial"/>
          <w:i/>
          <w:color w:val="000000"/>
          <w:sz w:val="20"/>
        </w:rPr>
        <w:t>Chisolm v. McManimon</w:t>
      </w:r>
      <w:r>
        <w:rPr>
          <w:rFonts w:ascii="Arial" w:eastAsia="Arial" w:hAnsi="Arial" w:cs="Arial"/>
          <w:color w:val="000000"/>
          <w:sz w:val="20"/>
        </w:rPr>
        <w:t xml:space="preserve">, 275 F.3d 315, 326 n.10 (3d Cir. 2001) (same); </w:t>
      </w:r>
      <w:r>
        <w:rPr>
          <w:rFonts w:ascii="Arial" w:eastAsia="Arial" w:hAnsi="Arial" w:cs="Arial"/>
          <w:i/>
          <w:color w:val="000000"/>
          <w:sz w:val="20"/>
        </w:rPr>
        <w:t xml:space="preserve">see also </w:t>
      </w:r>
      <w:bookmarkStart w:id="2955" w:name="Bookmark_I5535SN328T4RF0050000400"/>
      <w:bookmarkEnd w:id="2955"/>
      <w:r>
        <w:rPr>
          <w:rFonts w:ascii="Arial" w:eastAsia="Arial" w:hAnsi="Arial" w:cs="Arial"/>
          <w:i/>
          <w:color w:val="000000"/>
          <w:sz w:val="20"/>
        </w:rPr>
        <w:t>Tucker v. Tennessee</w:t>
      </w:r>
      <w:r>
        <w:rPr>
          <w:rFonts w:ascii="Arial" w:eastAsia="Arial" w:hAnsi="Arial" w:cs="Arial"/>
          <w:color w:val="000000"/>
          <w:sz w:val="20"/>
        </w:rPr>
        <w:t xml:space="preserve">, 539 F.3d 526, 533 (6th Cir. 2008) (stating that accommodation is not a violation of ADA, even if "not ideal," so long as it is reasonable and effective); </w:t>
      </w:r>
      <w:bookmarkStart w:id="2956" w:name="Bookmark_I5535SN32N1PSH0020000400"/>
      <w:bookmarkEnd w:id="2956"/>
      <w:r>
        <w:rPr>
          <w:rFonts w:ascii="Arial" w:eastAsia="Arial" w:hAnsi="Arial" w:cs="Arial"/>
          <w:i/>
          <w:color w:val="000000"/>
          <w:sz w:val="20"/>
        </w:rPr>
        <w:t>Burkhart v. Wash. Metro. Area Transit Auth.</w:t>
      </w:r>
      <w:r>
        <w:rPr>
          <w:rFonts w:ascii="Arial" w:eastAsia="Arial" w:hAnsi="Arial" w:cs="Arial"/>
          <w:color w:val="000000"/>
          <w:sz w:val="20"/>
        </w:rPr>
        <w:t xml:space="preserve">, 112 F.3d 1207, 1213, 324 U.S. App. D.C. 241 (D.C. Cir. 1997) (stating that </w:t>
      </w:r>
      <w:bookmarkStart w:id="2957" w:name="Bookmark_LNHNREFclscc14_10"/>
      <w:bookmarkEnd w:id="2957"/>
      <w:r>
        <w:rPr>
          <w:rFonts w:ascii="Arial" w:eastAsia="Arial" w:hAnsi="Arial" w:cs="Arial"/>
          <w:color w:val="000000"/>
          <w:sz w:val="20"/>
        </w:rPr>
        <w:t xml:space="preserve">although consideration should be given to the individual's choice, "[n]othing in the ADA itself or its implementing regulations dictates that a disabled individual </w:t>
      </w:r>
      <w:r>
        <w:rPr>
          <w:rFonts w:ascii="Arial" w:eastAsia="Arial" w:hAnsi="Arial" w:cs="Arial"/>
          <w:i/>
          <w:color w:val="000000"/>
          <w:sz w:val="20"/>
        </w:rPr>
        <w:t>must</w:t>
      </w:r>
      <w:r>
        <w:rPr>
          <w:rFonts w:ascii="Arial" w:eastAsia="Arial" w:hAnsi="Arial" w:cs="Arial"/>
          <w:color w:val="000000"/>
          <w:sz w:val="20"/>
        </w:rPr>
        <w:t xml:space="preserve"> be provided with the type of auxiliary aid or service he requests" and that deference to the requests is "by no means required"); </w:t>
      </w:r>
      <w:bookmarkStart w:id="2958" w:name="Bookmark_I5535SN32N1PSH0040000400"/>
      <w:bookmarkEnd w:id="2958"/>
      <w:r>
        <w:rPr>
          <w:rFonts w:ascii="Arial" w:eastAsia="Arial" w:hAnsi="Arial" w:cs="Arial"/>
          <w:i/>
          <w:color w:val="000000"/>
          <w:sz w:val="20"/>
        </w:rPr>
        <w:t>Petersen by &amp; Through Petersen v. Hastings Pub. Sch.</w:t>
      </w:r>
      <w:r>
        <w:rPr>
          <w:rFonts w:ascii="Arial" w:eastAsia="Arial" w:hAnsi="Arial" w:cs="Arial"/>
          <w:color w:val="000000"/>
          <w:sz w:val="20"/>
        </w:rPr>
        <w:t xml:space="preserve">, 31 F.3d 705, 708-09 (8th Cir. 1994) (stating  [**29] auxiliary aids need not be those chosen by individual if they are effective). Indeed, similar accommodations have been found sufficient in prisons in the past. </w:t>
      </w:r>
      <w:r>
        <w:rPr>
          <w:rFonts w:ascii="Arial" w:eastAsia="Arial" w:hAnsi="Arial" w:cs="Arial"/>
          <w:i/>
          <w:color w:val="000000"/>
          <w:sz w:val="20"/>
        </w:rPr>
        <w:t xml:space="preserve">See </w:t>
      </w:r>
      <w:bookmarkStart w:id="2959" w:name="Bookmark_I5535SN32N1PSJ0010000400"/>
      <w:bookmarkEnd w:id="2959"/>
      <w:r>
        <w:rPr>
          <w:rFonts w:ascii="Arial" w:eastAsia="Arial" w:hAnsi="Arial" w:cs="Arial"/>
          <w:i/>
          <w:color w:val="000000"/>
          <w:sz w:val="20"/>
        </w:rPr>
        <w:t>Mason v. Corr. Med. Servs., Inc.</w:t>
      </w:r>
      <w:r>
        <w:rPr>
          <w:rFonts w:ascii="Arial" w:eastAsia="Arial" w:hAnsi="Arial" w:cs="Arial"/>
          <w:color w:val="000000"/>
          <w:sz w:val="20"/>
        </w:rPr>
        <w:t>, 559 F.3d 880, 887-88 (8th Cir. 2009) (holding that similar accommodations for a blind inmate to use law library did not violate the ADA).</w:t>
      </w:r>
    </w:p>
    <w:p w14:paraId="2D8CC9A9" w14:textId="77777777" w:rsidR="00D041A2" w:rsidRDefault="00000000">
      <w:pPr>
        <w:pStyle w:val="Normal23"/>
        <w:widowControl w:val="0"/>
        <w:spacing w:before="200" w:line="260" w:lineRule="atLeast"/>
        <w:jc w:val="both"/>
      </w:pPr>
      <w:bookmarkStart w:id="2960" w:name="Bookmark_para_32_9"/>
      <w:bookmarkStart w:id="2961" w:name="Bookmark_I5535SN32N1PSJ0040000400"/>
      <w:bookmarkEnd w:id="2960"/>
      <w:bookmarkEnd w:id="2961"/>
      <w:r>
        <w:rPr>
          <w:rFonts w:ascii="Arial" w:eastAsia="Arial" w:hAnsi="Arial" w:cs="Arial"/>
          <w:color w:val="000000"/>
          <w:sz w:val="20"/>
        </w:rPr>
        <w:t xml:space="preserve">Additionally, our conclusion that the provided auxiliary aids and services are sufficient is informed by the context of this suit—a correctional facility—and we accord the officials at the Estelle Unit deference in their determination of an appropriate accommodation. </w:t>
      </w:r>
      <w:r>
        <w:rPr>
          <w:rFonts w:ascii="Arial" w:eastAsia="Arial" w:hAnsi="Arial" w:cs="Arial"/>
          <w:i/>
          <w:color w:val="000000"/>
          <w:sz w:val="20"/>
        </w:rPr>
        <w:t xml:space="preserve">See </w:t>
      </w:r>
      <w:bookmarkStart w:id="2962" w:name="Bookmark_I5535SN32N1PSJ0030000400"/>
      <w:bookmarkEnd w:id="2962"/>
      <w:r>
        <w:rPr>
          <w:rFonts w:ascii="Arial" w:eastAsia="Arial" w:hAnsi="Arial" w:cs="Arial"/>
          <w:i/>
          <w:color w:val="000000"/>
          <w:sz w:val="20"/>
        </w:rPr>
        <w:t>Oliver v. Scott</w:t>
      </w:r>
      <w:r>
        <w:rPr>
          <w:rFonts w:ascii="Arial" w:eastAsia="Arial" w:hAnsi="Arial" w:cs="Arial"/>
          <w:color w:val="000000"/>
          <w:sz w:val="20"/>
        </w:rPr>
        <w:t xml:space="preserve">, 276 F.3d 736, 745 (5th Cir. 2002); </w:t>
      </w:r>
      <w:bookmarkStart w:id="2963" w:name="Bookmark_I5535SN32N1PSJ0050000400"/>
      <w:bookmarkEnd w:id="2963"/>
      <w:r>
        <w:rPr>
          <w:rFonts w:ascii="Arial" w:eastAsia="Arial" w:hAnsi="Arial" w:cs="Arial"/>
          <w:i/>
          <w:color w:val="000000"/>
          <w:sz w:val="20"/>
        </w:rPr>
        <w:t>Elliott v. Lynn</w:t>
      </w:r>
      <w:r>
        <w:rPr>
          <w:rFonts w:ascii="Arial" w:eastAsia="Arial" w:hAnsi="Arial" w:cs="Arial"/>
          <w:color w:val="000000"/>
          <w:sz w:val="20"/>
        </w:rPr>
        <w:t>, 38 F.3d 188, 190-91 (5th Cir. 1994). We, therefore, conclude that Wells fails to offer evidence creating an issue of fact on his Title II claim as it applies to the law library.</w:t>
      </w:r>
    </w:p>
    <w:p w14:paraId="0D21231A" w14:textId="77777777" w:rsidR="00D041A2" w:rsidRDefault="00000000">
      <w:pPr>
        <w:pStyle w:val="Normal23"/>
        <w:widowControl w:val="0"/>
        <w:spacing w:before="200" w:line="260" w:lineRule="atLeast"/>
        <w:jc w:val="both"/>
      </w:pPr>
      <w:bookmarkStart w:id="2964" w:name="Bookmark_para_33_9"/>
      <w:bookmarkEnd w:id="2964"/>
      <w:r>
        <w:rPr>
          <w:rFonts w:ascii="Arial" w:eastAsia="Arial" w:hAnsi="Arial" w:cs="Arial"/>
          <w:color w:val="000000"/>
          <w:sz w:val="20"/>
        </w:rPr>
        <w:t>Second, Wells argues that he was unable to effectively write and receive mail due to his disability. Wells requested that the Adaptive Resources Clinic provide JAWS software so he could read and write letters independently and privately. Again, the Defendants-Appellees offer evidence showing that the existing resources were effective, and Wells  [**30] offers no evidence indicating that the existing resources are inadequate or did not meet his needs. The record also shows that Wells failed to take advantage of those resources, and it is not even clear that JAWS software, his requested accommodation, could help him read mail. Thus, Wells's claim under Title II for access to the mail also fails.</w:t>
      </w:r>
    </w:p>
    <w:p w14:paraId="4B4C5398" w14:textId="77777777" w:rsidR="00D041A2" w:rsidRDefault="00000000">
      <w:pPr>
        <w:pStyle w:val="Normal23"/>
        <w:widowControl w:val="0"/>
        <w:spacing w:before="200" w:line="260" w:lineRule="atLeast"/>
        <w:jc w:val="both"/>
      </w:pPr>
      <w:bookmarkStart w:id="2965" w:name="Bookmark_para_34_9"/>
      <w:bookmarkStart w:id="2966" w:name="Bookmark_I5535SN32D6NKY0030000400"/>
      <w:bookmarkEnd w:id="2965"/>
      <w:bookmarkEnd w:id="2966"/>
      <w:r>
        <w:rPr>
          <w:rFonts w:ascii="Arial" w:eastAsia="Arial" w:hAnsi="Arial" w:cs="Arial"/>
          <w:color w:val="000000"/>
          <w:sz w:val="20"/>
        </w:rPr>
        <w:t xml:space="preserve">Because we find that Wells has failed to raise an issue of material fact on his claims under Title II of the ADA, we hold that the state is entitled to immunity and we conclude that the claims for damages were properly dismissed. </w:t>
      </w:r>
      <w:bookmarkStart w:id="2967" w:name="Bookmark_I5535SN32D6NKY0050000400"/>
      <w:bookmarkEnd w:id="2967"/>
      <w:r>
        <w:rPr>
          <w:rFonts w:ascii="Arial" w:eastAsia="Arial" w:hAnsi="Arial" w:cs="Arial"/>
          <w:vertAlign w:val="superscript"/>
        </w:rPr>
        <w:footnoteReference w:customMarkFollows="1" w:id="149"/>
        <w:t>22</w:t>
      </w:r>
      <w:r>
        <w:rPr>
          <w:rFonts w:ascii="Arial" w:eastAsia="Arial" w:hAnsi="Arial" w:cs="Arial"/>
          <w:color w:val="000000"/>
          <w:sz w:val="20"/>
        </w:rPr>
        <w:t xml:space="preserve"> Additionally, [*314]  Wells brings claims for injunctive and declaratory relief under Title II. As we noted, the relevant regulations were amended in September 2010, and the new amendments became effective on March 15, 2011. </w:t>
      </w:r>
      <w:bookmarkStart w:id="2971" w:name="Bookmark_I5535SN32D6NKY0020000400"/>
      <w:bookmarkEnd w:id="2971"/>
      <w:r>
        <w:rPr>
          <w:rFonts w:ascii="Arial" w:eastAsia="Arial" w:hAnsi="Arial" w:cs="Arial"/>
          <w:color w:val="000000"/>
          <w:sz w:val="20"/>
        </w:rPr>
        <w:t xml:space="preserve">75 Fed. Reg. 56,164 (Sept. 15, 2010). The district court ruled prior to the publication of the amendment, and it did not consider their effect. </w:t>
      </w:r>
      <w:bookmarkStart w:id="2972" w:name="Bookmark_I5535SN32D6NKY0050000400_2"/>
      <w:bookmarkEnd w:id="2972"/>
      <w:r>
        <w:rPr>
          <w:rFonts w:ascii="Arial" w:eastAsia="Arial" w:hAnsi="Arial" w:cs="Arial"/>
          <w:color w:val="000000"/>
          <w:sz w:val="20"/>
        </w:rPr>
        <w:t xml:space="preserve">No argument is made on appeal related to whether the new amendments apply to Wells's claims for prospective relief, or whether the amendments somehow change the substantive requirements of Title II. Because the amendments were published prior to parties submitting  [**31] briefing, Wells could have addressed their effect, but did not, and he thus waives any argument he might have made based on them. </w:t>
      </w:r>
      <w:r>
        <w:rPr>
          <w:rFonts w:ascii="Arial" w:eastAsia="Arial" w:hAnsi="Arial" w:cs="Arial"/>
          <w:i/>
          <w:color w:val="000000"/>
          <w:sz w:val="20"/>
        </w:rPr>
        <w:t xml:space="preserve">See </w:t>
      </w:r>
      <w:bookmarkStart w:id="2973" w:name="Bookmark_I5535SN32D6NKY0040000400"/>
      <w:bookmarkEnd w:id="2973"/>
      <w:r>
        <w:rPr>
          <w:rFonts w:ascii="Arial" w:eastAsia="Arial" w:hAnsi="Arial" w:cs="Arial"/>
          <w:i/>
          <w:color w:val="000000"/>
          <w:sz w:val="20"/>
        </w:rPr>
        <w:t>Geiger</w:t>
      </w:r>
      <w:r>
        <w:rPr>
          <w:rFonts w:ascii="Arial" w:eastAsia="Arial" w:hAnsi="Arial" w:cs="Arial"/>
          <w:color w:val="000000"/>
          <w:sz w:val="20"/>
        </w:rPr>
        <w:t xml:space="preserve">, 404 F.3d at 373 n.6; </w:t>
      </w:r>
      <w:r>
        <w:rPr>
          <w:rFonts w:ascii="Arial" w:eastAsia="Arial" w:hAnsi="Arial" w:cs="Arial"/>
          <w:i/>
          <w:color w:val="000000"/>
          <w:sz w:val="20"/>
        </w:rPr>
        <w:t xml:space="preserve">see also </w:t>
      </w:r>
      <w:bookmarkStart w:id="2974" w:name="Bookmark_I5535SN328T4RG0010000400"/>
      <w:bookmarkEnd w:id="2974"/>
      <w:r>
        <w:rPr>
          <w:rFonts w:ascii="Arial" w:eastAsia="Arial" w:hAnsi="Arial" w:cs="Arial"/>
          <w:i/>
          <w:color w:val="000000"/>
          <w:sz w:val="20"/>
        </w:rPr>
        <w:t>United States v. Griffith</w:t>
      </w:r>
      <w:r>
        <w:rPr>
          <w:rFonts w:ascii="Arial" w:eastAsia="Arial" w:hAnsi="Arial" w:cs="Arial"/>
          <w:color w:val="000000"/>
          <w:sz w:val="20"/>
        </w:rPr>
        <w:t xml:space="preserve">, 522 F.3d 607, 610 (5th Cir. 2008) ("It is a well worn principle that </w:t>
      </w:r>
      <w:bookmarkStart w:id="2975" w:name="Bookmark_LNHNREFclscc15_9"/>
      <w:bookmarkEnd w:id="2975"/>
      <w:r>
        <w:rPr>
          <w:rFonts w:ascii="Arial" w:eastAsia="Arial" w:hAnsi="Arial" w:cs="Arial"/>
          <w:color w:val="000000"/>
          <w:sz w:val="20"/>
        </w:rPr>
        <w:t>the failure to raise an issue on appeal constitutes waiver of that argument."). Because we already found that Wells fails to submit any evidence showing a violation of Title II as it applies to his claims for damages, and because Wells waives any argument that his claims for prospective relief should be treated differently due to the amendments, we find no error in the district court's dismissal of the claims for prospective relief. We make no determination with respect to what effect, if any, these regulations would have on claims similar to Wells's where the issue is properly raised.</w:t>
      </w:r>
    </w:p>
    <w:p w14:paraId="4A2FBC12" w14:textId="77777777" w:rsidR="00D041A2" w:rsidRDefault="00000000">
      <w:pPr>
        <w:pStyle w:val="Normal23"/>
        <w:widowControl w:val="0"/>
        <w:spacing w:before="240" w:line="260" w:lineRule="atLeast"/>
      </w:pPr>
      <w:r>
        <w:br/>
      </w:r>
      <w:r>
        <w:rPr>
          <w:rFonts w:ascii="Arial" w:eastAsia="Arial" w:hAnsi="Arial" w:cs="Arial"/>
          <w:b/>
          <w:color w:val="000000"/>
          <w:sz w:val="20"/>
        </w:rPr>
        <w:t xml:space="preserve">IV. </w:t>
      </w:r>
      <w:r>
        <w:rPr>
          <w:rFonts w:ascii="Arial" w:eastAsia="Arial" w:hAnsi="Arial" w:cs="Arial"/>
          <w:b/>
          <w:smallCaps/>
          <w:color w:val="000000"/>
          <w:sz w:val="20"/>
        </w:rPr>
        <w:t>Conclusion</w:t>
      </w:r>
    </w:p>
    <w:p w14:paraId="244ECDD1" w14:textId="77777777" w:rsidR="00D041A2" w:rsidRDefault="00000000">
      <w:pPr>
        <w:pStyle w:val="Normal23"/>
        <w:widowControl w:val="0"/>
        <w:spacing w:before="200" w:line="260" w:lineRule="atLeast"/>
        <w:jc w:val="both"/>
      </w:pPr>
      <w:bookmarkStart w:id="2976" w:name="Bookmark_para_35_9"/>
      <w:bookmarkEnd w:id="2976"/>
      <w:r>
        <w:rPr>
          <w:rFonts w:ascii="Arial" w:eastAsia="Arial" w:hAnsi="Arial" w:cs="Arial"/>
          <w:color w:val="000000"/>
          <w:sz w:val="20"/>
        </w:rPr>
        <w:t>For the foregoing reasons, we AFFIRM the dismissal  [**32] of Wells's claims brought under Section 1983 and Title II of the ADA and we also DENY his motion for appointment of counsel.</w:t>
      </w:r>
    </w:p>
    <w:p w14:paraId="7E3A8524" w14:textId="77777777" w:rsidR="00D041A2" w:rsidRDefault="00D041A2">
      <w:pPr>
        <w:pStyle w:val="Normal23"/>
      </w:pPr>
    </w:p>
    <w:p w14:paraId="2612BB74" w14:textId="72FEE8BD" w:rsidR="00D041A2" w:rsidRDefault="00000000">
      <w:pPr>
        <w:pStyle w:val="Normal23"/>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09440" behindDoc="0" locked="0" layoutInCell="1" allowOverlap="1" wp14:anchorId="22250328" wp14:editId="14288EE7">
                <wp:simplePos x="0" y="0"/>
                <wp:positionH relativeFrom="column">
                  <wp:posOffset>0</wp:posOffset>
                </wp:positionH>
                <wp:positionV relativeFrom="paragraph">
                  <wp:posOffset>127000</wp:posOffset>
                </wp:positionV>
                <wp:extent cx="6502400" cy="0"/>
                <wp:effectExtent l="9525" t="12700" r="12700" b="6350"/>
                <wp:wrapNone/>
                <wp:docPr id="160848826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2886C" id="Line 51"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7AE10E8" w14:textId="77777777" w:rsidR="00D041A2" w:rsidRDefault="00D041A2">
      <w:pPr>
        <w:pStyle w:val="Normal24"/>
        <w:sectPr w:rsidR="00D041A2">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gutter="0"/>
          <w:cols w:space="720"/>
          <w:titlePg/>
        </w:sectPr>
      </w:pPr>
    </w:p>
    <w:p w14:paraId="2BCB5DDD" w14:textId="77777777" w:rsidR="00D041A2" w:rsidRDefault="00D041A2">
      <w:pPr>
        <w:pStyle w:val="Normal24"/>
      </w:pPr>
    </w:p>
    <w:p w14:paraId="33DCA900" w14:textId="77777777" w:rsidR="00D041A2" w:rsidRDefault="00000000">
      <w:pPr>
        <w:pStyle w:val="Heading123"/>
        <w:keepNext w:val="0"/>
        <w:widowControl w:val="0"/>
        <w:spacing w:after="200" w:line="340" w:lineRule="atLeast"/>
        <w:jc w:val="center"/>
      </w:pPr>
      <w:r>
        <w:rPr>
          <w:rFonts w:eastAsia="Arial"/>
          <w:color w:val="000000"/>
          <w:sz w:val="28"/>
        </w:rPr>
        <w:t>Forbes v. St. Thomas Univ., Inc.</w:t>
      </w:r>
    </w:p>
    <w:p w14:paraId="334C23F1" w14:textId="77777777" w:rsidR="00D041A2" w:rsidRDefault="00000000">
      <w:pPr>
        <w:pStyle w:val="Normal24"/>
        <w:widowControl w:val="0"/>
        <w:spacing w:before="120" w:line="260" w:lineRule="atLeast"/>
        <w:jc w:val="center"/>
      </w:pPr>
      <w:r>
        <w:rPr>
          <w:rFonts w:ascii="Arial" w:eastAsia="Arial" w:hAnsi="Arial" w:cs="Arial"/>
          <w:color w:val="000000"/>
          <w:sz w:val="20"/>
        </w:rPr>
        <w:t>United States Court of Appeals for the Eleventh Circuit</w:t>
      </w:r>
    </w:p>
    <w:p w14:paraId="0B0B9E35" w14:textId="77777777" w:rsidR="00D041A2" w:rsidRDefault="00000000">
      <w:pPr>
        <w:pStyle w:val="Normal24"/>
        <w:widowControl w:val="0"/>
        <w:spacing w:before="120" w:line="260" w:lineRule="atLeast"/>
        <w:jc w:val="center"/>
      </w:pPr>
      <w:r>
        <w:rPr>
          <w:rFonts w:ascii="Arial" w:eastAsia="Arial" w:hAnsi="Arial" w:cs="Arial"/>
          <w:color w:val="000000"/>
          <w:sz w:val="20"/>
        </w:rPr>
        <w:t>January 30, 2012, Decided; January 30, 2012, Filed</w:t>
      </w:r>
    </w:p>
    <w:p w14:paraId="57C11FEF" w14:textId="77777777" w:rsidR="00D041A2" w:rsidRDefault="00000000">
      <w:pPr>
        <w:pStyle w:val="Normal24"/>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11-12994 Non-Argument Calendar</w:t>
      </w:r>
    </w:p>
    <w:p w14:paraId="26F2F502" w14:textId="77777777" w:rsidR="00D041A2" w:rsidRDefault="00D041A2">
      <w:pPr>
        <w:pStyle w:val="Normal24"/>
        <w:widowControl w:val="0"/>
        <w:spacing w:line="240" w:lineRule="atLeast"/>
        <w:jc w:val="both"/>
      </w:pPr>
      <w:bookmarkStart w:id="2977" w:name="Bookmark_25"/>
      <w:bookmarkEnd w:id="2977"/>
    </w:p>
    <w:p w14:paraId="51AE17C1" w14:textId="77777777" w:rsidR="00D041A2" w:rsidRDefault="00000000">
      <w:pPr>
        <w:pStyle w:val="Normal24"/>
        <w:widowControl w:val="0"/>
        <w:spacing w:before="200" w:line="240" w:lineRule="atLeast"/>
      </w:pPr>
      <w:bookmarkStart w:id="2978" w:name="Reporter_23"/>
      <w:bookmarkEnd w:id="2978"/>
      <w:r>
        <w:rPr>
          <w:rFonts w:ascii="Arial" w:eastAsia="Arial" w:hAnsi="Arial" w:cs="Arial"/>
          <w:b/>
          <w:color w:val="000000"/>
          <w:sz w:val="18"/>
        </w:rPr>
        <w:t>Reporter</w:t>
      </w:r>
    </w:p>
    <w:p w14:paraId="1ED232A3" w14:textId="77777777" w:rsidR="00D041A2" w:rsidRDefault="00000000">
      <w:pPr>
        <w:pStyle w:val="Normal24"/>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456 Fed. Appx. 809 *; 2012 U.S. App. LEXIS 1686 **; 2012 WL 263377</w:t>
      </w:r>
    </w:p>
    <w:p w14:paraId="00ED63CC" w14:textId="77777777" w:rsidR="00D041A2" w:rsidRDefault="00000000">
      <w:pPr>
        <w:pStyle w:val="Normal24"/>
        <w:widowControl w:val="0"/>
        <w:spacing w:before="120" w:line="260" w:lineRule="atLeast"/>
      </w:pPr>
      <w:r>
        <w:rPr>
          <w:rFonts w:ascii="Arial" w:eastAsia="Arial" w:hAnsi="Arial" w:cs="Arial"/>
          <w:color w:val="000000"/>
          <w:sz w:val="20"/>
        </w:rPr>
        <w:t>RANDALL VANESSA FORBES, Plaintiff-Appellant, versus ST. THOMAS UNIVERSITY, INC., Defendant-Appellee.</w:t>
      </w:r>
    </w:p>
    <w:p w14:paraId="2E1A2EA6" w14:textId="77777777" w:rsidR="00D041A2" w:rsidRDefault="00000000">
      <w:pPr>
        <w:pStyle w:val="Normal24"/>
        <w:widowControl w:val="0"/>
        <w:spacing w:before="240" w:line="260" w:lineRule="atLeast"/>
        <w:jc w:val="both"/>
      </w:pPr>
      <w:bookmarkStart w:id="2979" w:name="Notice_13"/>
      <w:bookmarkEnd w:id="2979"/>
      <w:r>
        <w:rPr>
          <w:rFonts w:ascii="Arial" w:eastAsia="Arial" w:hAnsi="Arial" w:cs="Arial"/>
          <w:b/>
          <w:color w:val="000000"/>
          <w:sz w:val="20"/>
        </w:rPr>
        <w:t>Notice:</w:t>
      </w:r>
      <w:r>
        <w:rPr>
          <w:rFonts w:ascii="Arial" w:eastAsia="Arial" w:hAnsi="Arial" w:cs="Arial"/>
          <w:color w:val="000000"/>
          <w:sz w:val="20"/>
        </w:rPr>
        <w:t> </w:t>
      </w:r>
      <w:bookmarkStart w:id="2980" w:name="Bookmark_para_1_23"/>
      <w:bookmarkEnd w:id="2980"/>
      <w:r>
        <w:rPr>
          <w:rFonts w:ascii="Arial" w:eastAsia="Arial" w:hAnsi="Arial" w:cs="Arial"/>
          <w:color w:val="000000"/>
          <w:sz w:val="20"/>
        </w:rPr>
        <w:t>PLEASE REFER TO FEDERAL RULES OF APPELLATE PROCEDURE RULE 32.1 GOVERNING THE CITATION TO UNPUBLISHED OPINIONS.</w:t>
      </w:r>
    </w:p>
    <w:p w14:paraId="3D7C7038" w14:textId="77777777" w:rsidR="00D041A2" w:rsidRDefault="00000000">
      <w:pPr>
        <w:pStyle w:val="Normal24"/>
        <w:widowControl w:val="0"/>
        <w:spacing w:before="240" w:line="260" w:lineRule="atLeast"/>
        <w:jc w:val="both"/>
      </w:pPr>
      <w:bookmarkStart w:id="2981" w:name="Prior_History_23"/>
      <w:bookmarkEnd w:id="2981"/>
      <w:r>
        <w:rPr>
          <w:rFonts w:ascii="Arial" w:eastAsia="Arial" w:hAnsi="Arial" w:cs="Arial"/>
          <w:b/>
          <w:color w:val="000000"/>
          <w:sz w:val="20"/>
        </w:rPr>
        <w:t>Prior History:</w:t>
      </w:r>
      <w:r>
        <w:rPr>
          <w:rFonts w:ascii="Arial" w:eastAsia="Arial" w:hAnsi="Arial" w:cs="Arial"/>
          <w:color w:val="000000"/>
          <w:sz w:val="20"/>
        </w:rPr>
        <w:t>  [**1] </w:t>
      </w:r>
      <w:bookmarkStart w:id="2982" w:name="Bookmark_para_2_23"/>
      <w:bookmarkEnd w:id="2982"/>
      <w:r>
        <w:rPr>
          <w:rFonts w:ascii="Arial" w:eastAsia="Arial" w:hAnsi="Arial" w:cs="Arial"/>
          <w:color w:val="000000"/>
          <w:sz w:val="20"/>
        </w:rPr>
        <w:t>Appeal from the United States District Court for the Southern District of Florida. D.C. Docket No. 1:07-cv-22502-WMH.</w:t>
      </w:r>
    </w:p>
    <w:p w14:paraId="69E9F87C" w14:textId="77777777" w:rsidR="00D041A2" w:rsidRDefault="00000000">
      <w:pPr>
        <w:pStyle w:val="Normal24"/>
        <w:widowControl w:val="0"/>
        <w:spacing w:before="120" w:line="260" w:lineRule="atLeast"/>
      </w:pPr>
      <w:r>
        <w:rPr>
          <w:rFonts w:ascii="Arial" w:eastAsia="Arial" w:hAnsi="Arial" w:cs="Arial"/>
          <w:color w:val="000000"/>
          <w:sz w:val="20"/>
        </w:rPr>
        <w:t>Forbes v. St. Thomas Univ., Inc., 2011 U.S. Dist. LEXIS 57965 (S.D. Fla., May 24, 2011)</w:t>
      </w:r>
    </w:p>
    <w:p w14:paraId="4FEE9100" w14:textId="77777777" w:rsidR="00D041A2" w:rsidRDefault="00000000">
      <w:pPr>
        <w:pStyle w:val="Normal24"/>
        <w:widowControl w:val="0"/>
        <w:spacing w:before="240" w:line="260" w:lineRule="atLeast"/>
      </w:pPr>
      <w:bookmarkStart w:id="2983" w:name="Counsel_23"/>
      <w:bookmarkEnd w:id="2983"/>
      <w:r>
        <w:rPr>
          <w:rFonts w:ascii="Arial" w:eastAsia="Arial" w:hAnsi="Arial" w:cs="Arial"/>
          <w:b/>
          <w:color w:val="000000"/>
          <w:sz w:val="20"/>
        </w:rPr>
        <w:t>Counsel:</w:t>
      </w:r>
      <w:r>
        <w:rPr>
          <w:rFonts w:ascii="Arial" w:eastAsia="Arial" w:hAnsi="Arial" w:cs="Arial"/>
          <w:color w:val="000000"/>
          <w:sz w:val="20"/>
        </w:rPr>
        <w:t> For RANDALL VANESSA FORBES, Plaintiff - Appellant, Pro se, FREEPORT, NY.</w:t>
      </w:r>
    </w:p>
    <w:p w14:paraId="0E3D92AE" w14:textId="77777777" w:rsidR="00D041A2" w:rsidRDefault="00000000">
      <w:pPr>
        <w:pStyle w:val="Normal24"/>
        <w:widowControl w:val="0"/>
        <w:spacing w:before="120" w:line="260" w:lineRule="atLeast"/>
      </w:pPr>
      <w:r>
        <w:rPr>
          <w:rFonts w:ascii="Arial" w:eastAsia="Arial" w:hAnsi="Arial" w:cs="Arial"/>
          <w:color w:val="000000"/>
          <w:sz w:val="20"/>
        </w:rPr>
        <w:t>For ST. THOMAS UNIVERSITY, INC., Defendant - Appellee: Elaine Dawn Walter, Michael A. Mullen, Maximo A. Santiago, Gaebe Mullen Antonelli &amp; DiMatteo, CORAL GABLES, FL; Roberto J. Diaz, J. Patrick Fitzgerald &amp; Associates, PA, CORAL GABLES, FL; Anne Catherine Sullivan, Cole Scott &amp; Kissane, PA, MIAMI, FL.</w:t>
      </w:r>
    </w:p>
    <w:p w14:paraId="6B30E357" w14:textId="77777777" w:rsidR="00D041A2" w:rsidRDefault="00000000">
      <w:pPr>
        <w:pStyle w:val="Normal24"/>
        <w:widowControl w:val="0"/>
        <w:spacing w:before="240" w:line="260" w:lineRule="atLeast"/>
      </w:pPr>
      <w:bookmarkStart w:id="2984" w:name="Judges_23"/>
      <w:bookmarkEnd w:id="2984"/>
      <w:r>
        <w:rPr>
          <w:rFonts w:ascii="Arial" w:eastAsia="Arial" w:hAnsi="Arial" w:cs="Arial"/>
          <w:b/>
          <w:color w:val="000000"/>
          <w:sz w:val="20"/>
        </w:rPr>
        <w:t>Judges:</w:t>
      </w:r>
      <w:r>
        <w:rPr>
          <w:rFonts w:ascii="Arial" w:eastAsia="Arial" w:hAnsi="Arial" w:cs="Arial"/>
          <w:color w:val="000000"/>
          <w:sz w:val="20"/>
        </w:rPr>
        <w:t> Before HULL, PRYOR and BLACK, Circuit Judges.</w:t>
      </w:r>
    </w:p>
    <w:p w14:paraId="4D8E8168" w14:textId="77777777" w:rsidR="00D041A2" w:rsidRDefault="00000000">
      <w:pPr>
        <w:pStyle w:val="Normal24"/>
        <w:keepNext/>
        <w:widowControl w:val="0"/>
        <w:spacing w:before="240" w:line="340" w:lineRule="atLeast"/>
      </w:pPr>
      <w:bookmarkStart w:id="2985" w:name="Opinion_23"/>
      <w:bookmarkEnd w:id="2985"/>
      <w:r>
        <w:rPr>
          <w:rFonts w:ascii="Arial" w:eastAsia="Arial" w:hAnsi="Arial" w:cs="Arial"/>
          <w:b/>
          <w:color w:val="000000"/>
          <w:sz w:val="28"/>
        </w:rPr>
        <w:t>Opinion</w:t>
      </w:r>
    </w:p>
    <w:p w14:paraId="6F0755E9" w14:textId="3354C045" w:rsidR="00D041A2" w:rsidRDefault="004D4403">
      <w:pPr>
        <w:pStyle w:val="Normal24"/>
        <w:spacing w:line="60" w:lineRule="exact"/>
      </w:pPr>
      <w:r>
        <w:rPr>
          <w:noProof/>
        </w:rPr>
        <mc:AlternateContent>
          <mc:Choice Requires="wps">
            <w:drawing>
              <wp:anchor distT="0" distB="0" distL="114300" distR="114300" simplePos="0" relativeHeight="251710464" behindDoc="0" locked="0" layoutInCell="1" allowOverlap="1" wp14:anchorId="00F6C75D" wp14:editId="4B5913AD">
                <wp:simplePos x="0" y="0"/>
                <wp:positionH relativeFrom="column">
                  <wp:posOffset>0</wp:posOffset>
                </wp:positionH>
                <wp:positionV relativeFrom="paragraph">
                  <wp:posOffset>25400</wp:posOffset>
                </wp:positionV>
                <wp:extent cx="3187700" cy="0"/>
                <wp:effectExtent l="19050" t="15875" r="12700" b="12700"/>
                <wp:wrapTopAndBottom/>
                <wp:docPr id="164308100"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87A25" id="Line 5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777B167" w14:textId="77777777" w:rsidR="00D041A2" w:rsidRDefault="00D041A2">
      <w:pPr>
        <w:pStyle w:val="Normal24"/>
      </w:pPr>
    </w:p>
    <w:p w14:paraId="15DD634F" w14:textId="77777777" w:rsidR="00D041A2" w:rsidRDefault="00000000">
      <w:pPr>
        <w:pStyle w:val="Normal24"/>
        <w:widowControl w:val="0"/>
        <w:spacing w:before="200" w:line="260" w:lineRule="atLeast"/>
        <w:jc w:val="both"/>
      </w:pPr>
      <w:bookmarkStart w:id="2986" w:name="Bookmark_para_3_23"/>
      <w:bookmarkEnd w:id="2986"/>
      <w:r>
        <w:rPr>
          <w:rFonts w:ascii="Arial" w:eastAsia="Arial" w:hAnsi="Arial" w:cs="Arial"/>
          <w:color w:val="000000"/>
          <w:sz w:val="20"/>
        </w:rPr>
        <w:t> [*810]  PER CURIAM:</w:t>
      </w:r>
    </w:p>
    <w:p w14:paraId="69378B96" w14:textId="77777777" w:rsidR="00D041A2" w:rsidRDefault="00000000">
      <w:pPr>
        <w:pStyle w:val="Normal24"/>
        <w:widowControl w:val="0"/>
        <w:spacing w:before="200" w:line="260" w:lineRule="atLeast"/>
        <w:jc w:val="both"/>
      </w:pPr>
      <w:bookmarkStart w:id="2987" w:name="Bookmark_para_4_23"/>
      <w:bookmarkEnd w:id="2987"/>
      <w:r>
        <w:rPr>
          <w:rFonts w:ascii="Arial" w:eastAsia="Arial" w:hAnsi="Arial" w:cs="Arial"/>
          <w:color w:val="000000"/>
          <w:sz w:val="20"/>
        </w:rPr>
        <w:t>Randall Vanessa Forbes appeals the summary judgment against her complaint that St. Thomas University, Inc., discriminated against her in violation of Title III of the Americans with Disabilities Act, 42 U.S.C. §§ 12102, 12181, and Section 504 of the Rehabilitation Act of 1973, 29 U.S.C. § 701, et seq. Forbes alleged that, during examinations, St. Thomas School of Law failed to provide an environment that would best have accommodated Forbes's post-traumatic stress disorder and, after she failed to satisfy academic requirements, wrongfully denied her petition for readmission. We affirm.</w:t>
      </w:r>
    </w:p>
    <w:p w14:paraId="12F2FB0C" w14:textId="77777777" w:rsidR="00D041A2" w:rsidRDefault="00000000">
      <w:pPr>
        <w:pStyle w:val="Normal24"/>
        <w:widowControl w:val="0"/>
        <w:spacing w:before="200" w:line="260" w:lineRule="atLeast"/>
        <w:jc w:val="both"/>
      </w:pPr>
      <w:bookmarkStart w:id="2988" w:name="Bookmark_para_5_23"/>
      <w:bookmarkEnd w:id="2988"/>
      <w:r>
        <w:rPr>
          <w:rFonts w:ascii="Arial" w:eastAsia="Arial" w:hAnsi="Arial" w:cs="Arial"/>
          <w:color w:val="000000"/>
          <w:sz w:val="20"/>
        </w:rPr>
        <w:t>St. Thomas placed Forbes on academic probation in January 2007  [**2] and notified her that she would be "excluded" if she failed to "bring [her] cumulative grade point average up to at least a 2.0 by the end of the Spring 2007 semester." Forbes requested a meeting with John Hernandez, the Assistant Dean for Student Affairs, to request accommodations for Spring examinations because she had experienced panic attacks frequently and had been diagnosed previously with post-traumatic stress disorder. During the meeting, Forbes said that the University of Miami had given her extra time and a separate location to complete her examinations. Dean Hernandez asked [*811]  Forbes to submit a document about the accommodations that she had received at the University of Miami, and Forbes submitted a single-page letter from the University of Miami stating that, during Fall 2004, Forbes would receive "[e]xtended time (up to time and a half) for examinations" in a "distraction-reduced location." The letter did not define the phrase "distraction-reduced location." During the Spring 2007 examinations, St. Thomas granted Forbes the same accommodations she had received at the University of Miami. Forbes requested other accommodations, including extended breaks during her examinations,  [**3] but Dean Hernandez told Forbes that she would have to meet with another individual to obtain additional accommodations.</w:t>
      </w:r>
    </w:p>
    <w:p w14:paraId="0E95B103" w14:textId="77777777" w:rsidR="00D041A2" w:rsidRDefault="00000000">
      <w:pPr>
        <w:pStyle w:val="Normal24"/>
        <w:widowControl w:val="0"/>
        <w:spacing w:before="200" w:line="260" w:lineRule="atLeast"/>
        <w:jc w:val="both"/>
      </w:pPr>
      <w:bookmarkStart w:id="2989" w:name="Bookmark_para_6_23"/>
      <w:bookmarkEnd w:id="2989"/>
      <w:r>
        <w:rPr>
          <w:rFonts w:ascii="Arial" w:eastAsia="Arial" w:hAnsi="Arial" w:cs="Arial"/>
          <w:color w:val="000000"/>
          <w:sz w:val="20"/>
        </w:rPr>
        <w:t>Forbes failed to meet the minimum cumulative grade point average based on the spring examinations. St. Thomas notified Forbes that she had to appear before the Academic Standing Committee, which would decide whether Forbes could return the following year. Forbes submitted to the committee a petition for conditional readmission. Forbes later submitted to the committee a letter from Dr. Kalsner-Silver stating that Forbes had reported symptoms consistent with a diagnosis of post-traumatic stress disorder, the symptoms had an adverse effect on her academic performance, and "with proper psychiatric care and ongoing counseling . . . Forbes could potentially function more effectively as a law student." St. Thomas denied Forbes's petition for readmission.</w:t>
      </w:r>
    </w:p>
    <w:p w14:paraId="1FB475AA" w14:textId="77777777" w:rsidR="00D041A2" w:rsidRDefault="00000000">
      <w:pPr>
        <w:pStyle w:val="Normal24"/>
        <w:widowControl w:val="0"/>
        <w:spacing w:before="200" w:line="260" w:lineRule="atLeast"/>
        <w:jc w:val="both"/>
      </w:pPr>
      <w:bookmarkStart w:id="2990" w:name="Bookmark_para_7_23"/>
      <w:bookmarkEnd w:id="2990"/>
      <w:r>
        <w:rPr>
          <w:rFonts w:ascii="Arial" w:eastAsia="Arial" w:hAnsi="Arial" w:cs="Arial"/>
          <w:color w:val="000000"/>
          <w:sz w:val="20"/>
        </w:rPr>
        <w:t>Forbes filed an amended complaint that St. Thomas had discriminated against her. Forbes complained that St. Thomas failed to accommodate her disorder by failing to provide a private testing room for Spring examinations and refusing to readmit her conditionally to the law school. Forbes alleged that she had not been given the  [**4] full accommodations she had requested and she had been wrongfully denied readmission because of her disability.</w:t>
      </w:r>
    </w:p>
    <w:p w14:paraId="6912CFB9" w14:textId="77777777" w:rsidR="00D041A2" w:rsidRDefault="00000000">
      <w:pPr>
        <w:pStyle w:val="Normal24"/>
        <w:widowControl w:val="0"/>
        <w:spacing w:before="200" w:line="260" w:lineRule="atLeast"/>
        <w:jc w:val="both"/>
      </w:pPr>
      <w:bookmarkStart w:id="2991" w:name="Bookmark_para_8_22"/>
      <w:bookmarkEnd w:id="2991"/>
      <w:r>
        <w:rPr>
          <w:rFonts w:ascii="Arial" w:eastAsia="Arial" w:hAnsi="Arial" w:cs="Arial"/>
          <w:color w:val="000000"/>
          <w:sz w:val="20"/>
        </w:rPr>
        <w:t>St. Thomas moved for summary judgment, which the district court denied, but St. Thomas later filed a renewed motion for summary judgment. St. Thomas attached to its renewed motion a copy of the student handbook for 2006-07, an affidavit from Dean Hernandez about his meetings with Forbes, and affidavits from Peter Kelly and Cecile Dykas. Kelly, the Director of Student Services, stated that he had met with Forbes and knew that she had been dismissed for academic reasons, but Kelly did not know what standards the committee used to evaluate petitions for readmission. Dykas, a member of the committee, stated that decisions to readmit a student are based on set criteria used to determine whether the student can succeed academically and that the committee determined that Forbes failed to satisfy the criteria required for readmission. The Student Handbook for the 2006-07 academic year stated that a student could petition for readmission but that "[n]o petition shall be granted unless the Committee finds that the record (consisting of the petition, documents submitted in connection  [**5] with it, the petitioner's law school file and the preponderance of any credible testimony, if any, given at a hearing) affirmatively demonstrates that the student possesses the requisite ability, and that the prior disqualification . . . does not include a lack of capacity, to successfully complete the course of study at the Law School." The Handbook provided that the committee would "consider several factors, including, but not limited to . . . [t]he best interests of the law school as an educational institution, including the maintenance of high standards of academic excellence . . ."; "the student's reasonable prospect for success"; "[a]ny evidence of correctable problems or disabilities that might [*812]  have contributed to the student's academic performance"; and "[t]he extent to which it appears that a petitioner's previous medical . . . concerns . . . have been addressed and satisfactorily resolved . . . ."</w:t>
      </w:r>
    </w:p>
    <w:p w14:paraId="11B7EBAA" w14:textId="77777777" w:rsidR="00D041A2" w:rsidRDefault="00000000">
      <w:pPr>
        <w:pStyle w:val="Normal24"/>
        <w:widowControl w:val="0"/>
        <w:spacing w:before="200" w:line="260" w:lineRule="atLeast"/>
        <w:jc w:val="both"/>
      </w:pPr>
      <w:bookmarkStart w:id="2992" w:name="Bookmark_para_9_21"/>
      <w:bookmarkEnd w:id="2992"/>
      <w:r>
        <w:rPr>
          <w:rFonts w:ascii="Arial" w:eastAsia="Arial" w:hAnsi="Arial" w:cs="Arial"/>
          <w:color w:val="000000"/>
          <w:sz w:val="20"/>
        </w:rPr>
        <w:t xml:space="preserve">After an evidentiary hearing at which Forbes and her counsel failed to appear, the district court granted the renewed motion of St. Thomas. The district court explained that it had learned "[o]n the morning of the hearing" that Forbes's attorney had been suspended from practicing  [**6] law, but that Forbes's lack of representation did not prejudice her because the renewed motion had been "fully briefed" and "[t]he result would have been the same either way." The district court ruled that St. Thomas "[could not] be liable for violating the [Disability Act] or Rehabilitation Act" because it had "present[ed] unrebutted evidence . . . [that] Forbes never demonstrated that she was statutorily entitled to accommodations in the first place." The district court found that Forbes "never provided medical findings about her disability" after being placed on probation and the letter from Dr. Kalsner-Silver in support of readmission merely "recite[d] Forbes's self-reported symptoms and note[d] the symptoms [were] consistent with a diagnosis of [post-traumatic stress disorder]." Alternatively, the district court ruled that, "even if Forbes had adequately documented her disability, or shown that she was </w:t>
      </w:r>
      <w:r>
        <w:rPr>
          <w:rFonts w:ascii="Arial" w:eastAsia="Arial" w:hAnsi="Arial" w:cs="Arial"/>
          <w:color w:val="000000"/>
          <w:sz w:val="20"/>
          <w:u w:val="single"/>
        </w:rPr>
        <w:t>regarded</w:t>
      </w:r>
      <w:r>
        <w:rPr>
          <w:rFonts w:ascii="Arial" w:eastAsia="Arial" w:hAnsi="Arial" w:cs="Arial"/>
          <w:color w:val="000000"/>
          <w:sz w:val="20"/>
        </w:rPr>
        <w:t xml:space="preserve"> as disabled, St. Thomas [had] . . . presented unrebutted evidence that [it] was justified in denying her request for readmission and/or for other relief." The district court concluded that St. Thomas reasonably accommodated Forbes by balancing her request with the concerns  [**7] of the school to preserve integrity in testing, ensure fairness, and prepare students for the practice of law. The district court also concluded that St. Thomas "made a reasoned judgment that [Forbes] fell short of . . . [the] criteria" required for readmission.</w:t>
      </w:r>
    </w:p>
    <w:p w14:paraId="57D88B1C" w14:textId="77777777" w:rsidR="00D041A2" w:rsidRDefault="00000000">
      <w:pPr>
        <w:pStyle w:val="Normal24"/>
        <w:widowControl w:val="0"/>
        <w:spacing w:before="200" w:line="260" w:lineRule="atLeast"/>
        <w:jc w:val="both"/>
      </w:pPr>
      <w:bookmarkStart w:id="2993" w:name="Bookmark_para_10_21"/>
      <w:bookmarkStart w:id="2994" w:name="Bookmark_I5517TGJ2N1PWT0020000400"/>
      <w:bookmarkEnd w:id="2993"/>
      <w:bookmarkEnd w:id="2994"/>
      <w:r>
        <w:rPr>
          <w:rFonts w:ascii="Arial" w:eastAsia="Arial" w:hAnsi="Arial" w:cs="Arial"/>
          <w:color w:val="000000"/>
          <w:sz w:val="20"/>
        </w:rPr>
        <w:t xml:space="preserve">The district court did not err when it granted summary judgment in favor of St. Thomas. </w:t>
      </w:r>
      <w:bookmarkStart w:id="2995" w:name="Bookmark_LNHNREFclscc1_17"/>
      <w:bookmarkEnd w:id="2995"/>
      <w:r>
        <w:rPr>
          <w:rFonts w:ascii="Arial" w:eastAsia="Arial" w:hAnsi="Arial" w:cs="Arial"/>
          <w:color w:val="000000"/>
          <w:sz w:val="20"/>
        </w:rPr>
        <w:t xml:space="preserve">Unlawful discrimination may occur when an entity fails to "make reasonable modifications in policies, practices, or procedures, when such modifications are necessary to afford . . . accommodations to individuals with disabilities," 42 U.S.C. § 12182(b)(2)(A)(ii), but there is no genuine dispute that St. Thomas accommodated Forbes's alleged disability and that those accommodations were reasonable. Dean Hernandez met with Forbes and "provide[d] accommodations based on the information [he] possesse[d]." </w:t>
      </w:r>
      <w:bookmarkStart w:id="2996" w:name="Bookmark_I5517TGJ2N1PWT0010000400"/>
      <w:bookmarkEnd w:id="2996"/>
      <w:r>
        <w:rPr>
          <w:rFonts w:ascii="Arial" w:eastAsia="Arial" w:hAnsi="Arial" w:cs="Arial"/>
          <w:color w:val="000000"/>
          <w:sz w:val="20"/>
          <w:u w:val="single"/>
        </w:rPr>
        <w:t>Stewart v. Happy Herman's Cheshire Bridge, Inc</w:t>
      </w:r>
      <w:r>
        <w:rPr>
          <w:rFonts w:ascii="Arial" w:eastAsia="Arial" w:hAnsi="Arial" w:cs="Arial"/>
          <w:color w:val="000000"/>
          <w:sz w:val="20"/>
        </w:rPr>
        <w:t xml:space="preserve">., 117 F.3d 1278, 1287 (11th Cir. 1997). </w:t>
      </w:r>
      <w:bookmarkStart w:id="2997" w:name="Bookmark_I5517TGJ2N1PWT0040000400"/>
      <w:bookmarkEnd w:id="2997"/>
      <w:r>
        <w:rPr>
          <w:rFonts w:ascii="Arial" w:eastAsia="Arial" w:hAnsi="Arial" w:cs="Arial"/>
          <w:color w:val="000000"/>
          <w:sz w:val="20"/>
        </w:rPr>
        <w:t xml:space="preserve">Forbes argues that she was entitled to a private examination room, but Forbes failed to provide St. Thomas any information that her alleged disability required a private room. Forbes did not complain about taking her Spring 2007 examinations in a room with  [**8] four classmates and a proctor. Forbes also argues that she was entitled to a conditional readmission, but St. Thomas was entitled to deny Forbes's petition for readmission after she had failed to satisfy academic standards under the testing conditions that she had requested. </w:t>
      </w:r>
      <w:r>
        <w:rPr>
          <w:rFonts w:ascii="Arial" w:eastAsia="Arial" w:hAnsi="Arial" w:cs="Arial"/>
          <w:color w:val="000000"/>
          <w:sz w:val="20"/>
          <w:u w:val="single"/>
        </w:rPr>
        <w:t xml:space="preserve">See </w:t>
      </w:r>
      <w:bookmarkStart w:id="2998" w:name="Bookmark_I5517TGJ2N1PWT0030000400"/>
      <w:bookmarkEnd w:id="2998"/>
      <w:r>
        <w:rPr>
          <w:rFonts w:ascii="Arial" w:eastAsia="Arial" w:hAnsi="Arial" w:cs="Arial"/>
          <w:color w:val="000000"/>
          <w:sz w:val="20"/>
          <w:u w:val="single"/>
        </w:rPr>
        <w:t>Wood v. President and Trs. of Spring Hill Coll. in the City of Mobile</w:t>
      </w:r>
      <w:r>
        <w:rPr>
          <w:rFonts w:ascii="Arial" w:eastAsia="Arial" w:hAnsi="Arial" w:cs="Arial"/>
          <w:color w:val="000000"/>
          <w:sz w:val="20"/>
        </w:rPr>
        <w:t>, 978 F.2d 1214, 1222-23 (11th Cir. 1992).</w:t>
      </w:r>
    </w:p>
    <w:p w14:paraId="295D8D69" w14:textId="77777777" w:rsidR="00D041A2" w:rsidRDefault="00000000">
      <w:pPr>
        <w:pStyle w:val="Normal24"/>
        <w:widowControl w:val="0"/>
        <w:spacing w:before="200" w:line="260" w:lineRule="atLeast"/>
        <w:jc w:val="both"/>
      </w:pPr>
      <w:bookmarkStart w:id="2999" w:name="Bookmark_para_11_20"/>
      <w:bookmarkStart w:id="3000" w:name="Bookmark_I5517TGJ2D6N650010000400"/>
      <w:bookmarkEnd w:id="2999"/>
      <w:bookmarkEnd w:id="3000"/>
      <w:r>
        <w:rPr>
          <w:rFonts w:ascii="Arial" w:eastAsia="Arial" w:hAnsi="Arial" w:cs="Arial"/>
          <w:color w:val="000000"/>
          <w:sz w:val="20"/>
        </w:rPr>
        <w:t>Forbes argues that she presented evidence that her academic unfitness was a pretext for discrimination in the readmission process, but we disagree. Forbes testified that Peter Kelly, the Director of Student Services, said that Forbes was denied readmission because of her disorder, but "</w:t>
      </w:r>
      <w:bookmarkStart w:id="3001" w:name="Bookmark_LNHNREFclscc2_17"/>
      <w:bookmarkEnd w:id="3001"/>
      <w:r>
        <w:rPr>
          <w:rFonts w:ascii="Arial" w:eastAsia="Arial" w:hAnsi="Arial" w:cs="Arial"/>
          <w:color w:val="000000"/>
          <w:sz w:val="20"/>
        </w:rPr>
        <w:t xml:space="preserve">'statements by nondecisionmakers, or statements by decisionmakers unrelated to the decisional process' at issue will not satisfy [Forbes's] burden." </w:t>
      </w:r>
      <w:bookmarkStart w:id="3002" w:name="Bookmark_I5517TGJ2N1PWT0050000400"/>
      <w:bookmarkEnd w:id="3002"/>
      <w:r>
        <w:rPr>
          <w:rFonts w:ascii="Arial" w:eastAsia="Arial" w:hAnsi="Arial" w:cs="Arial"/>
          <w:color w:val="000000"/>
          <w:sz w:val="20"/>
          <w:u w:val="single"/>
        </w:rPr>
        <w:t>Steger v. Gen. Elec. Co</w:t>
      </w:r>
      <w:r>
        <w:rPr>
          <w:rFonts w:ascii="Arial" w:eastAsia="Arial" w:hAnsi="Arial" w:cs="Arial"/>
          <w:color w:val="000000"/>
          <w:sz w:val="20"/>
        </w:rPr>
        <w:t xml:space="preserve">., 318 F.3d 1066, 1079 (11th Cir. 2003) (quoting </w:t>
      </w:r>
      <w:bookmarkStart w:id="3003" w:name="Bookmark_I5517TGJ2D6N650020000400"/>
      <w:bookmarkEnd w:id="3003"/>
      <w:r>
        <w:rPr>
          <w:rFonts w:ascii="Arial" w:eastAsia="Arial" w:hAnsi="Arial" w:cs="Arial"/>
          <w:color w:val="000000"/>
          <w:sz w:val="20"/>
          <w:u w:val="single"/>
        </w:rPr>
        <w:t>Price Waterhouse v. Hopkins</w:t>
      </w:r>
      <w:r>
        <w:rPr>
          <w:rFonts w:ascii="Arial" w:eastAsia="Arial" w:hAnsi="Arial" w:cs="Arial"/>
          <w:color w:val="000000"/>
          <w:sz w:val="20"/>
        </w:rPr>
        <w:t>, 490 U.S. 228, 277, 109 S. Ct. 1775, [*813]  1805, 104 L. Ed. 2d 268 (1989)). The record is undisputed that Kelly was not a member of the committee that considered Forbes's petition for readmission.</w:t>
      </w:r>
    </w:p>
    <w:p w14:paraId="0506BFA1" w14:textId="77777777" w:rsidR="00D041A2" w:rsidRDefault="00000000">
      <w:pPr>
        <w:pStyle w:val="Normal24"/>
        <w:widowControl w:val="0"/>
        <w:spacing w:before="200" w:line="260" w:lineRule="atLeast"/>
        <w:jc w:val="both"/>
      </w:pPr>
      <w:bookmarkStart w:id="3004" w:name="Bookmark_para_12_19"/>
      <w:bookmarkEnd w:id="3004"/>
      <w:r>
        <w:rPr>
          <w:rFonts w:ascii="Arial" w:eastAsia="Arial" w:hAnsi="Arial" w:cs="Arial"/>
          <w:color w:val="000000"/>
          <w:sz w:val="20"/>
        </w:rPr>
        <w:t>Forbes argues that she lacked notice and was "never given the opportunity . . . to respond to the . .  [**9] . [renewed] motion" for a summary judgment because her attorney was suspended from the practice of law, but her argument is belied by the record. Forbes was represented by Richard Brown at least through March 22, 2011, when he filed a notice that "effective February 21, 2011," his address had changed. St. Thomas served a copy of its renewed motion on Brown in November 2010, and Brown complied with the order of the district court to respond to the renewed motion by January 10, 2011. In his nine-page response, Brown argued that Forbes had a disability and that a genuine factual dispute existed about whether St. Thomas had provided reasonable accommodations for Forbes.</w:t>
      </w:r>
    </w:p>
    <w:p w14:paraId="6EF225BA" w14:textId="77777777" w:rsidR="00D041A2" w:rsidRDefault="00000000">
      <w:pPr>
        <w:pStyle w:val="Normal24"/>
        <w:widowControl w:val="0"/>
        <w:spacing w:before="200" w:line="260" w:lineRule="atLeast"/>
        <w:jc w:val="both"/>
      </w:pPr>
      <w:bookmarkStart w:id="3005" w:name="Bookmark_para_13_18"/>
      <w:bookmarkEnd w:id="3005"/>
      <w:r>
        <w:rPr>
          <w:rFonts w:ascii="Arial" w:eastAsia="Arial" w:hAnsi="Arial" w:cs="Arial"/>
          <w:color w:val="000000"/>
          <w:sz w:val="20"/>
        </w:rPr>
        <w:t xml:space="preserve">We </w:t>
      </w:r>
      <w:r>
        <w:rPr>
          <w:rFonts w:ascii="Arial" w:eastAsia="Arial" w:hAnsi="Arial" w:cs="Arial"/>
          <w:b/>
          <w:color w:val="000000"/>
          <w:sz w:val="20"/>
        </w:rPr>
        <w:t>AFFIRM</w:t>
      </w:r>
      <w:r>
        <w:rPr>
          <w:rFonts w:ascii="Arial" w:eastAsia="Arial" w:hAnsi="Arial" w:cs="Arial"/>
          <w:color w:val="000000"/>
          <w:sz w:val="20"/>
        </w:rPr>
        <w:t xml:space="preserve"> the summary judgment in favor of St. Thomas.</w:t>
      </w:r>
    </w:p>
    <w:p w14:paraId="5A9E5125" w14:textId="77777777" w:rsidR="00D041A2" w:rsidRDefault="00D041A2">
      <w:pPr>
        <w:pStyle w:val="Normal24"/>
      </w:pPr>
    </w:p>
    <w:p w14:paraId="069BECF5" w14:textId="0C861C05" w:rsidR="00D041A2" w:rsidRDefault="00000000">
      <w:pPr>
        <w:pStyle w:val="Normal24"/>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11488" behindDoc="0" locked="0" layoutInCell="1" allowOverlap="1" wp14:anchorId="164AE63F" wp14:editId="7F521F42">
                <wp:simplePos x="0" y="0"/>
                <wp:positionH relativeFrom="column">
                  <wp:posOffset>0</wp:posOffset>
                </wp:positionH>
                <wp:positionV relativeFrom="paragraph">
                  <wp:posOffset>127000</wp:posOffset>
                </wp:positionV>
                <wp:extent cx="6502400" cy="0"/>
                <wp:effectExtent l="9525" t="12700" r="12700" b="6350"/>
                <wp:wrapNone/>
                <wp:docPr id="102510045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963C0" id="Line 53"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6DE37CA" w14:textId="77777777" w:rsidR="00D041A2" w:rsidRDefault="00D041A2">
      <w:pPr>
        <w:pStyle w:val="Normal25"/>
        <w:sectPr w:rsidR="00D041A2">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gutter="0"/>
          <w:cols w:space="720"/>
          <w:titlePg/>
        </w:sectPr>
      </w:pPr>
    </w:p>
    <w:p w14:paraId="360F107B" w14:textId="77777777" w:rsidR="00D041A2" w:rsidRDefault="00D041A2">
      <w:pPr>
        <w:pStyle w:val="Normal25"/>
      </w:pPr>
    </w:p>
    <w:p w14:paraId="7AF81F30" w14:textId="77777777" w:rsidR="00D041A2" w:rsidRDefault="00000000">
      <w:pPr>
        <w:pStyle w:val="Heading124"/>
        <w:keepNext w:val="0"/>
        <w:widowControl w:val="0"/>
        <w:spacing w:after="200" w:line="340" w:lineRule="atLeast"/>
        <w:jc w:val="center"/>
      </w:pPr>
      <w:r>
        <w:rPr>
          <w:rFonts w:eastAsia="Arial"/>
          <w:color w:val="000000"/>
          <w:sz w:val="28"/>
        </w:rPr>
        <w:t>Cottrell v. Good Wheels</w:t>
      </w:r>
    </w:p>
    <w:p w14:paraId="1BD172D8" w14:textId="77777777" w:rsidR="00D041A2" w:rsidRDefault="00000000">
      <w:pPr>
        <w:pStyle w:val="Normal25"/>
        <w:widowControl w:val="0"/>
        <w:spacing w:before="120" w:line="260" w:lineRule="atLeast"/>
        <w:jc w:val="center"/>
      </w:pPr>
      <w:r>
        <w:rPr>
          <w:rFonts w:ascii="Arial" w:eastAsia="Arial" w:hAnsi="Arial" w:cs="Arial"/>
          <w:color w:val="000000"/>
          <w:sz w:val="20"/>
        </w:rPr>
        <w:t>United States Court of Appeals for the Third Circuit</w:t>
      </w:r>
    </w:p>
    <w:p w14:paraId="4D2F8C6E" w14:textId="77777777" w:rsidR="00D041A2" w:rsidRDefault="00000000">
      <w:pPr>
        <w:pStyle w:val="Normal25"/>
        <w:widowControl w:val="0"/>
        <w:spacing w:before="120" w:line="260" w:lineRule="atLeast"/>
        <w:jc w:val="center"/>
      </w:pPr>
      <w:r>
        <w:rPr>
          <w:rFonts w:ascii="Arial" w:eastAsia="Arial" w:hAnsi="Arial" w:cs="Arial"/>
          <w:color w:val="000000"/>
          <w:sz w:val="20"/>
        </w:rPr>
        <w:t>November 17, 2011, Submitted for Possible Summary Action Pursuant to Third Circuit LAR 27.4 and I.O.P. 10.6; January 23, 2012, Opinion Filed</w:t>
      </w:r>
    </w:p>
    <w:p w14:paraId="342B2823" w14:textId="77777777" w:rsidR="00D041A2" w:rsidRDefault="00000000">
      <w:pPr>
        <w:pStyle w:val="Normal25"/>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11-3409</w:t>
      </w:r>
    </w:p>
    <w:p w14:paraId="76AF87D3" w14:textId="77777777" w:rsidR="00D041A2" w:rsidRDefault="00D041A2">
      <w:pPr>
        <w:pStyle w:val="Normal25"/>
        <w:widowControl w:val="0"/>
        <w:spacing w:line="240" w:lineRule="atLeast"/>
        <w:jc w:val="both"/>
      </w:pPr>
      <w:bookmarkStart w:id="3006" w:name="Bookmark_26"/>
      <w:bookmarkEnd w:id="3006"/>
    </w:p>
    <w:p w14:paraId="46FAA3EF" w14:textId="77777777" w:rsidR="00D041A2" w:rsidRDefault="00000000">
      <w:pPr>
        <w:pStyle w:val="Normal25"/>
        <w:widowControl w:val="0"/>
        <w:spacing w:before="200" w:line="240" w:lineRule="atLeast"/>
      </w:pPr>
      <w:bookmarkStart w:id="3007" w:name="Reporter_24"/>
      <w:bookmarkEnd w:id="3007"/>
      <w:r>
        <w:rPr>
          <w:rFonts w:ascii="Arial" w:eastAsia="Arial" w:hAnsi="Arial" w:cs="Arial"/>
          <w:b/>
          <w:color w:val="000000"/>
          <w:sz w:val="18"/>
        </w:rPr>
        <w:t>Reporter</w:t>
      </w:r>
    </w:p>
    <w:p w14:paraId="186FF273" w14:textId="77777777" w:rsidR="00D041A2" w:rsidRDefault="00000000">
      <w:pPr>
        <w:pStyle w:val="Normal25"/>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458 Fed. Appx. 98 *; 2012 U.S. App. LEXIS 1319 **; 2012 WL 171941</w:t>
      </w:r>
    </w:p>
    <w:p w14:paraId="19B4EB77" w14:textId="77777777" w:rsidR="00D041A2" w:rsidRDefault="00000000">
      <w:pPr>
        <w:pStyle w:val="Normal25"/>
        <w:widowControl w:val="0"/>
        <w:spacing w:before="120" w:line="260" w:lineRule="atLeast"/>
      </w:pPr>
      <w:r>
        <w:rPr>
          <w:rFonts w:ascii="Arial" w:eastAsia="Arial" w:hAnsi="Arial" w:cs="Arial"/>
          <w:color w:val="000000"/>
          <w:sz w:val="20"/>
        </w:rPr>
        <w:t>MARYANN COTTRELL; RICHARD HOLLAND, Richard Holland, Appellant v. GOOD WHEELS; CUCUNATO INC.; CARMINE CUCUNATO; CHRISTINE CUCUNATO; SETH FOX; ABC CORPORATION, fictional; XYZ PARTNERSHIP, fictional</w:t>
      </w:r>
    </w:p>
    <w:p w14:paraId="4CB9E4DC" w14:textId="77777777" w:rsidR="00D041A2" w:rsidRDefault="00000000">
      <w:pPr>
        <w:pStyle w:val="Normal25"/>
        <w:widowControl w:val="0"/>
        <w:spacing w:before="240" w:line="260" w:lineRule="atLeast"/>
        <w:jc w:val="both"/>
      </w:pPr>
      <w:bookmarkStart w:id="3008" w:name="Notice_14"/>
      <w:bookmarkEnd w:id="3008"/>
      <w:r>
        <w:rPr>
          <w:rFonts w:ascii="Arial" w:eastAsia="Arial" w:hAnsi="Arial" w:cs="Arial"/>
          <w:b/>
          <w:color w:val="000000"/>
          <w:sz w:val="20"/>
        </w:rPr>
        <w:t>Notice:</w:t>
      </w:r>
      <w:r>
        <w:rPr>
          <w:rFonts w:ascii="Arial" w:eastAsia="Arial" w:hAnsi="Arial" w:cs="Arial"/>
          <w:color w:val="000000"/>
          <w:sz w:val="20"/>
        </w:rPr>
        <w:t> </w:t>
      </w:r>
      <w:bookmarkStart w:id="3009" w:name="Bookmark_para_1_24"/>
      <w:bookmarkEnd w:id="3009"/>
      <w:r>
        <w:rPr>
          <w:rFonts w:ascii="Arial" w:eastAsia="Arial" w:hAnsi="Arial" w:cs="Arial"/>
          <w:color w:val="000000"/>
          <w:sz w:val="20"/>
        </w:rPr>
        <w:t>NOT PRECEDENTIAL OPINION UNDER THIRD CIRCUIT INTERNAL OPERATING PROCEDURE RULE 5.7. SUCH OPINIONS ARE NOT REGARDED AS PRECEDENTS WHICH BIND THE COURT.</w:t>
      </w:r>
    </w:p>
    <w:p w14:paraId="128DA158" w14:textId="77777777" w:rsidR="00D041A2" w:rsidRDefault="00000000">
      <w:pPr>
        <w:pStyle w:val="Normal25"/>
        <w:widowControl w:val="0"/>
        <w:spacing w:before="200" w:line="260" w:lineRule="atLeast"/>
        <w:jc w:val="both"/>
      </w:pPr>
      <w:bookmarkStart w:id="3010" w:name="Bookmark_para_2_24"/>
      <w:bookmarkEnd w:id="3010"/>
      <w:r>
        <w:rPr>
          <w:rFonts w:ascii="Arial" w:eastAsia="Arial" w:hAnsi="Arial" w:cs="Arial"/>
          <w:color w:val="000000"/>
          <w:sz w:val="20"/>
        </w:rPr>
        <w:t>PLEASE REFER TO FEDERAL RULES OF APPELLATE PROCEDURE RULE 32.1 GOVERNING THE CITATION TO UNPUBLISHED OPINIONS.</w:t>
      </w:r>
    </w:p>
    <w:p w14:paraId="5E736324" w14:textId="77777777" w:rsidR="00D041A2" w:rsidRDefault="00000000">
      <w:pPr>
        <w:pStyle w:val="Normal25"/>
        <w:widowControl w:val="0"/>
        <w:spacing w:before="240" w:line="260" w:lineRule="atLeast"/>
        <w:jc w:val="both"/>
      </w:pPr>
      <w:bookmarkStart w:id="3011" w:name="Prior_History_24"/>
      <w:bookmarkEnd w:id="3011"/>
      <w:r>
        <w:rPr>
          <w:rFonts w:ascii="Arial" w:eastAsia="Arial" w:hAnsi="Arial" w:cs="Arial"/>
          <w:b/>
          <w:color w:val="000000"/>
          <w:sz w:val="20"/>
        </w:rPr>
        <w:t>Prior History:</w:t>
      </w:r>
      <w:r>
        <w:rPr>
          <w:rFonts w:ascii="Arial" w:eastAsia="Arial" w:hAnsi="Arial" w:cs="Arial"/>
          <w:color w:val="000000"/>
          <w:sz w:val="20"/>
        </w:rPr>
        <w:t>  [**1] </w:t>
      </w:r>
      <w:bookmarkStart w:id="3012" w:name="Bookmark_para_3_24"/>
      <w:bookmarkEnd w:id="3012"/>
      <w:r>
        <w:rPr>
          <w:rFonts w:ascii="Arial" w:eastAsia="Arial" w:hAnsi="Arial" w:cs="Arial"/>
          <w:color w:val="000000"/>
          <w:sz w:val="20"/>
        </w:rPr>
        <w:t>Appeal from the United States District Court for the District of New Jersey. (D.C. Civil No. 08-cv-01738). District Judge: Honorable Robert B. Kugler.</w:t>
      </w:r>
    </w:p>
    <w:p w14:paraId="0BAF426F" w14:textId="77777777" w:rsidR="00D041A2" w:rsidRDefault="00000000">
      <w:pPr>
        <w:pStyle w:val="Normal25"/>
        <w:widowControl w:val="0"/>
        <w:spacing w:before="120" w:line="260" w:lineRule="atLeast"/>
      </w:pPr>
      <w:r>
        <w:rPr>
          <w:rFonts w:ascii="Arial" w:eastAsia="Arial" w:hAnsi="Arial" w:cs="Arial"/>
          <w:color w:val="000000"/>
          <w:sz w:val="20"/>
        </w:rPr>
        <w:t>Cottrell v. Wheels, 2011 U.S. Dist. LEXIS 26646 (D.N.J., Mar. 15, 2011)</w:t>
      </w:r>
    </w:p>
    <w:p w14:paraId="5D945472" w14:textId="77777777" w:rsidR="00D041A2" w:rsidRDefault="00000000">
      <w:pPr>
        <w:pStyle w:val="Normal25"/>
        <w:widowControl w:val="0"/>
        <w:spacing w:before="240" w:line="260" w:lineRule="atLeast"/>
      </w:pPr>
      <w:bookmarkStart w:id="3013" w:name="Counsel_24"/>
      <w:bookmarkEnd w:id="3013"/>
      <w:r>
        <w:rPr>
          <w:rFonts w:ascii="Arial" w:eastAsia="Arial" w:hAnsi="Arial" w:cs="Arial"/>
          <w:b/>
          <w:color w:val="000000"/>
          <w:sz w:val="20"/>
        </w:rPr>
        <w:t>Counsel:</w:t>
      </w:r>
      <w:r>
        <w:rPr>
          <w:rFonts w:ascii="Arial" w:eastAsia="Arial" w:hAnsi="Arial" w:cs="Arial"/>
          <w:color w:val="000000"/>
          <w:sz w:val="20"/>
        </w:rPr>
        <w:t> MARYANN COTTRELL, Plaintiff - Appellee, Pro se, Glassboro, NJ.</w:t>
      </w:r>
    </w:p>
    <w:p w14:paraId="1E787521" w14:textId="77777777" w:rsidR="00D041A2" w:rsidRDefault="00000000">
      <w:pPr>
        <w:pStyle w:val="Normal25"/>
        <w:widowControl w:val="0"/>
        <w:spacing w:before="120" w:line="260" w:lineRule="atLeast"/>
      </w:pPr>
      <w:r>
        <w:rPr>
          <w:rFonts w:ascii="Arial" w:eastAsia="Arial" w:hAnsi="Arial" w:cs="Arial"/>
          <w:color w:val="000000"/>
          <w:sz w:val="20"/>
        </w:rPr>
        <w:t>RICHARD HOLLAND, Plaintiff - Appellant, Pro se, Glassboro, NJ.</w:t>
      </w:r>
    </w:p>
    <w:p w14:paraId="0E32330E" w14:textId="77777777" w:rsidR="00D041A2" w:rsidRDefault="00000000">
      <w:pPr>
        <w:pStyle w:val="Normal25"/>
        <w:widowControl w:val="0"/>
        <w:spacing w:before="120" w:line="260" w:lineRule="atLeast"/>
      </w:pPr>
      <w:r>
        <w:rPr>
          <w:rFonts w:ascii="Arial" w:eastAsia="Arial" w:hAnsi="Arial" w:cs="Arial"/>
          <w:color w:val="000000"/>
          <w:sz w:val="20"/>
        </w:rPr>
        <w:t>For GOOD WHEELS, CUCUNTAO INC, CHRISTINE CUCUNATO, SETH FOX, Defendants - Appellees: Lewis G. Adler, Esq., Woodbury, NJ; Mark P. Ciarrocca, Esq., Ciarrocca &amp; Ciarrocca, Union, NJ.</w:t>
      </w:r>
    </w:p>
    <w:p w14:paraId="36DD5F2D" w14:textId="77777777" w:rsidR="00D041A2" w:rsidRDefault="00000000">
      <w:pPr>
        <w:pStyle w:val="Normal25"/>
        <w:widowControl w:val="0"/>
        <w:spacing w:before="120" w:line="260" w:lineRule="atLeast"/>
      </w:pPr>
      <w:r>
        <w:rPr>
          <w:rFonts w:ascii="Arial" w:eastAsia="Arial" w:hAnsi="Arial" w:cs="Arial"/>
          <w:color w:val="000000"/>
          <w:sz w:val="20"/>
        </w:rPr>
        <w:t>For CARMINE CUCUNATO, ABC CORP, Defendants - Appellees: Mark P. Ciarrocca, Esq., Ciarrocca &amp; Ciarrocca, Union, NJ.</w:t>
      </w:r>
    </w:p>
    <w:p w14:paraId="659918F0" w14:textId="77777777" w:rsidR="00D041A2" w:rsidRDefault="00000000">
      <w:pPr>
        <w:pStyle w:val="Normal25"/>
        <w:widowControl w:val="0"/>
        <w:spacing w:before="240" w:line="260" w:lineRule="atLeast"/>
      </w:pPr>
      <w:bookmarkStart w:id="3014" w:name="Judges_24"/>
      <w:bookmarkEnd w:id="3014"/>
      <w:r>
        <w:rPr>
          <w:rFonts w:ascii="Arial" w:eastAsia="Arial" w:hAnsi="Arial" w:cs="Arial"/>
          <w:b/>
          <w:color w:val="000000"/>
          <w:sz w:val="20"/>
        </w:rPr>
        <w:t>Judges:</w:t>
      </w:r>
      <w:r>
        <w:rPr>
          <w:rFonts w:ascii="Arial" w:eastAsia="Arial" w:hAnsi="Arial" w:cs="Arial"/>
          <w:color w:val="000000"/>
          <w:sz w:val="20"/>
        </w:rPr>
        <w:t> Before: RENDELL, HARDIMAN and ROTH, Circuit Judges.</w:t>
      </w:r>
    </w:p>
    <w:p w14:paraId="3D5E95FD" w14:textId="77777777" w:rsidR="00D041A2" w:rsidRDefault="00000000">
      <w:pPr>
        <w:pStyle w:val="Normal25"/>
        <w:keepNext/>
        <w:widowControl w:val="0"/>
        <w:spacing w:before="240" w:line="340" w:lineRule="atLeast"/>
      </w:pPr>
      <w:bookmarkStart w:id="3015" w:name="Opinion_24"/>
      <w:bookmarkEnd w:id="3015"/>
      <w:r>
        <w:rPr>
          <w:rFonts w:ascii="Arial" w:eastAsia="Arial" w:hAnsi="Arial" w:cs="Arial"/>
          <w:b/>
          <w:color w:val="000000"/>
          <w:sz w:val="28"/>
        </w:rPr>
        <w:t>Opinion</w:t>
      </w:r>
    </w:p>
    <w:p w14:paraId="70ACECD7" w14:textId="7F2493A2" w:rsidR="00D041A2" w:rsidRDefault="004D4403">
      <w:pPr>
        <w:pStyle w:val="Normal25"/>
        <w:spacing w:line="60" w:lineRule="exact"/>
      </w:pPr>
      <w:r>
        <w:rPr>
          <w:noProof/>
        </w:rPr>
        <mc:AlternateContent>
          <mc:Choice Requires="wps">
            <w:drawing>
              <wp:anchor distT="0" distB="0" distL="114300" distR="114300" simplePos="0" relativeHeight="251712512" behindDoc="0" locked="0" layoutInCell="1" allowOverlap="1" wp14:anchorId="526FBFDA" wp14:editId="3C2F56E0">
                <wp:simplePos x="0" y="0"/>
                <wp:positionH relativeFrom="column">
                  <wp:posOffset>0</wp:posOffset>
                </wp:positionH>
                <wp:positionV relativeFrom="paragraph">
                  <wp:posOffset>25400</wp:posOffset>
                </wp:positionV>
                <wp:extent cx="3187700" cy="0"/>
                <wp:effectExtent l="19050" t="15875" r="12700" b="12700"/>
                <wp:wrapTopAndBottom/>
                <wp:docPr id="974869050"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9B814" id="Line 5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506DD75" w14:textId="77777777" w:rsidR="00D041A2" w:rsidRDefault="00D041A2">
      <w:pPr>
        <w:pStyle w:val="Normal25"/>
        <w:spacing w:line="120" w:lineRule="exact"/>
      </w:pPr>
    </w:p>
    <w:p w14:paraId="636A93F7" w14:textId="77777777" w:rsidR="00D041A2" w:rsidRDefault="00000000">
      <w:pPr>
        <w:pStyle w:val="Normal25"/>
        <w:widowControl w:val="0"/>
        <w:spacing w:before="240" w:line="260" w:lineRule="atLeast"/>
      </w:pPr>
      <w:r>
        <w:br/>
      </w:r>
      <w:r>
        <w:rPr>
          <w:rFonts w:ascii="Arial" w:eastAsia="Arial" w:hAnsi="Arial" w:cs="Arial"/>
          <w:color w:val="000000"/>
          <w:sz w:val="20"/>
        </w:rPr>
        <w:t> [*99]  OPINION OF THE COURT</w:t>
      </w:r>
    </w:p>
    <w:p w14:paraId="0ABB48FE" w14:textId="77777777" w:rsidR="00D041A2" w:rsidRDefault="00000000">
      <w:pPr>
        <w:pStyle w:val="Normal25"/>
        <w:widowControl w:val="0"/>
        <w:spacing w:before="200" w:line="260" w:lineRule="atLeast"/>
        <w:jc w:val="both"/>
      </w:pPr>
      <w:bookmarkStart w:id="3016" w:name="Bookmark_para_4_24"/>
      <w:bookmarkEnd w:id="3016"/>
      <w:r>
        <w:rPr>
          <w:rFonts w:ascii="Arial" w:eastAsia="Arial" w:hAnsi="Arial" w:cs="Arial"/>
          <w:color w:val="000000"/>
          <w:sz w:val="20"/>
        </w:rPr>
        <w:t>PER CURIAM</w:t>
      </w:r>
    </w:p>
    <w:p w14:paraId="4DEBFF15" w14:textId="77777777" w:rsidR="00D041A2" w:rsidRDefault="00000000">
      <w:pPr>
        <w:pStyle w:val="Normal25"/>
        <w:widowControl w:val="0"/>
        <w:spacing w:before="200" w:line="260" w:lineRule="atLeast"/>
        <w:jc w:val="both"/>
      </w:pPr>
      <w:bookmarkStart w:id="3017" w:name="Bookmark_para_5_24"/>
      <w:bookmarkEnd w:id="3017"/>
      <w:r>
        <w:rPr>
          <w:rFonts w:ascii="Arial" w:eastAsia="Arial" w:hAnsi="Arial" w:cs="Arial"/>
          <w:color w:val="000000"/>
          <w:sz w:val="20"/>
        </w:rPr>
        <w:t xml:space="preserve">Richard Holland appeals pro se the order of the District Court entering final judgment in favor of the defendants. Because we conclude that this appeal presents no substantial question, we will summarily affirm. </w:t>
      </w:r>
      <w:r>
        <w:rPr>
          <w:rFonts w:ascii="Arial" w:eastAsia="Arial" w:hAnsi="Arial" w:cs="Arial"/>
          <w:color w:val="000000"/>
          <w:sz w:val="20"/>
          <w:u w:val="single"/>
        </w:rPr>
        <w:t>See</w:t>
      </w:r>
      <w:r>
        <w:rPr>
          <w:rFonts w:ascii="Arial" w:eastAsia="Arial" w:hAnsi="Arial" w:cs="Arial"/>
          <w:color w:val="000000"/>
          <w:sz w:val="20"/>
        </w:rPr>
        <w:t xml:space="preserve"> 3d Cir. L.A.R. 27.4; I.O.P. 10.6.</w:t>
      </w:r>
    </w:p>
    <w:p w14:paraId="71A5950E" w14:textId="77777777" w:rsidR="00D041A2" w:rsidRDefault="00000000">
      <w:pPr>
        <w:pStyle w:val="Normal25"/>
        <w:widowControl w:val="0"/>
        <w:spacing w:before="120" w:line="260" w:lineRule="atLeast"/>
      </w:pPr>
      <w:r>
        <w:rPr>
          <w:rFonts w:ascii="Arial" w:eastAsia="Arial" w:hAnsi="Arial" w:cs="Arial"/>
          <w:color w:val="000000"/>
          <w:sz w:val="20"/>
        </w:rPr>
        <w:t>I.</w:t>
      </w:r>
    </w:p>
    <w:p w14:paraId="78541E69" w14:textId="77777777" w:rsidR="00D041A2" w:rsidRDefault="00000000">
      <w:pPr>
        <w:pStyle w:val="Normal25"/>
        <w:widowControl w:val="0"/>
        <w:spacing w:before="200" w:line="260" w:lineRule="atLeast"/>
        <w:jc w:val="both"/>
      </w:pPr>
      <w:bookmarkStart w:id="3018" w:name="Bookmark_para_6_24"/>
      <w:bookmarkEnd w:id="3018"/>
      <w:r>
        <w:rPr>
          <w:rFonts w:ascii="Arial" w:eastAsia="Arial" w:hAnsi="Arial" w:cs="Arial"/>
          <w:color w:val="000000"/>
          <w:sz w:val="20"/>
        </w:rPr>
        <w:t>In April 2008, plaintiffs Richard Holland and Maryann Cottrell filed a pro se complaint in District Court against the Good Wheels car dealership and certain employees ("Good Wheels") alleging unlawful retaliation under the Americans with Disabilities Act ("ADA") and the New Jersey Law Against Discrimination  [**2] ("NJLAD"), violations of the New Jersey Civil Rights Act ("NJCRA"), and false imprisonment. Holland and Cottrell live together and care for Cottrell's severely disable child, and are advocates for the disabled. They contact public authorities about businesses that do not provide required access for disabled persons, and lodge citizens' complaints regarding improper use of parking spaces designated for persons with disabilities.</w:t>
      </w:r>
    </w:p>
    <w:p w14:paraId="4E1FAABD" w14:textId="77777777" w:rsidR="00D041A2" w:rsidRDefault="00000000">
      <w:pPr>
        <w:pStyle w:val="Normal25"/>
        <w:widowControl w:val="0"/>
        <w:spacing w:before="200" w:line="260" w:lineRule="atLeast"/>
        <w:jc w:val="both"/>
      </w:pPr>
      <w:bookmarkStart w:id="3019" w:name="Bookmark_para_7_24"/>
      <w:bookmarkEnd w:id="3019"/>
      <w:r>
        <w:rPr>
          <w:rFonts w:ascii="Arial" w:eastAsia="Arial" w:hAnsi="Arial" w:cs="Arial"/>
          <w:color w:val="000000"/>
          <w:sz w:val="20"/>
        </w:rPr>
        <w:t> [*100]  Holland testified that he shopped at Good Wheels, a car dealership, several times. During those visits he noticed cars parked in designated spaces without proper tags. On several occasions in February and March 2006, he took photos of improperly parked vehicles and filed citizen complaints. In April 2006, Holland arranged to meet a friend at Good Wheels to help him shop for a vehicle. The friend did not arrive, but Holland spoke to a Good Wheels employee named "Seth Greene" regarding a car. While Holland was leaving, a Good Wheels salesman, Seth Fox, stopped his car in front of Holland's, walked over to Holland's car and told him that he was not welcome at Good Wheels and that he was disrupting customers by taking photos of the parking spaces.</w:t>
      </w:r>
    </w:p>
    <w:p w14:paraId="2FE5F398" w14:textId="77777777" w:rsidR="00D041A2" w:rsidRDefault="00000000">
      <w:pPr>
        <w:pStyle w:val="Normal25"/>
        <w:widowControl w:val="0"/>
        <w:spacing w:before="200" w:line="260" w:lineRule="atLeast"/>
        <w:jc w:val="both"/>
      </w:pPr>
      <w:bookmarkStart w:id="3020" w:name="Bookmark_para_8_23"/>
      <w:bookmarkEnd w:id="3020"/>
      <w:r>
        <w:rPr>
          <w:rFonts w:ascii="Arial" w:eastAsia="Arial" w:hAnsi="Arial" w:cs="Arial"/>
          <w:color w:val="000000"/>
          <w:sz w:val="20"/>
        </w:rPr>
        <w:t>Good Wheels disputed  [**3] Holland's allegation that he was on the premises to shop with a friend. It stated that if Holland had discussed a car with a sales representative, the conversation would have been logged in a "salesman report." Fox testified that Holland could still have exited the premises by driving around Fox's car.</w:t>
      </w:r>
    </w:p>
    <w:p w14:paraId="23BEED61" w14:textId="77777777" w:rsidR="00D041A2" w:rsidRDefault="00000000">
      <w:pPr>
        <w:pStyle w:val="Normal25"/>
        <w:widowControl w:val="0"/>
        <w:spacing w:before="200" w:line="260" w:lineRule="atLeast"/>
        <w:jc w:val="both"/>
      </w:pPr>
      <w:bookmarkStart w:id="3021" w:name="Bookmark_para_9_22"/>
      <w:bookmarkEnd w:id="3021"/>
      <w:r>
        <w:rPr>
          <w:rFonts w:ascii="Arial" w:eastAsia="Arial" w:hAnsi="Arial" w:cs="Arial"/>
          <w:color w:val="000000"/>
          <w:sz w:val="20"/>
        </w:rPr>
        <w:t>In September 2009, the District Court dismissed Cottrell from the suit for lack of standing, and denied Good Wheels' motion to dismiss as to Holland. Both parties moved for summary judgment, and, in March 2011, the court denied Holland's motion and granted summary judgment in favor of Good Wheels. Holland filed a motion seeking reconsideration and relief from summary judgment pursuant to Federal Rules of Civil Procedure 59(e) and 60(b), which the District Court denied in August 2011. Holland filed a timely notice of appeal.</w:t>
      </w:r>
    </w:p>
    <w:p w14:paraId="6EA56FF0" w14:textId="77777777" w:rsidR="00D041A2" w:rsidRDefault="00000000">
      <w:pPr>
        <w:pStyle w:val="Normal25"/>
        <w:widowControl w:val="0"/>
        <w:spacing w:before="120" w:line="260" w:lineRule="atLeast"/>
      </w:pPr>
      <w:r>
        <w:rPr>
          <w:rFonts w:ascii="Arial" w:eastAsia="Arial" w:hAnsi="Arial" w:cs="Arial"/>
          <w:color w:val="000000"/>
          <w:sz w:val="20"/>
        </w:rPr>
        <w:t>II.</w:t>
      </w:r>
    </w:p>
    <w:p w14:paraId="5BC431E3" w14:textId="77777777" w:rsidR="00D041A2" w:rsidRDefault="00000000">
      <w:pPr>
        <w:pStyle w:val="Normal25"/>
        <w:widowControl w:val="0"/>
        <w:spacing w:before="200" w:line="260" w:lineRule="atLeast"/>
        <w:jc w:val="both"/>
      </w:pPr>
      <w:bookmarkStart w:id="3022" w:name="Bookmark_para_10_22"/>
      <w:bookmarkStart w:id="3023" w:name="Bookmark_I54YSNNW2D6NYK0020000400"/>
      <w:bookmarkEnd w:id="3022"/>
      <w:bookmarkEnd w:id="3023"/>
      <w:r>
        <w:rPr>
          <w:rFonts w:ascii="Arial" w:eastAsia="Arial" w:hAnsi="Arial" w:cs="Arial"/>
          <w:color w:val="000000"/>
          <w:sz w:val="20"/>
        </w:rPr>
        <w:t xml:space="preserve">We have jurisdiction under 28 U.S.C. § 1291. </w:t>
      </w:r>
      <w:bookmarkStart w:id="3024" w:name="Bookmark_I54YSNNW2D6NYK0040000400"/>
      <w:bookmarkStart w:id="3025" w:name="Bookmark_LNHNREFclscc1_18"/>
      <w:bookmarkEnd w:id="3024"/>
      <w:bookmarkEnd w:id="3025"/>
      <w:r>
        <w:rPr>
          <w:rFonts w:ascii="Arial" w:eastAsia="Arial" w:hAnsi="Arial" w:cs="Arial"/>
          <w:color w:val="000000"/>
          <w:sz w:val="20"/>
        </w:rPr>
        <w:t xml:space="preserve">In reviewing a District Court's grant of summary judgment, we apply the same test the District Court applied. </w:t>
      </w:r>
      <w:bookmarkStart w:id="3026" w:name="Bookmark_I54YSNNW2HM5SC0010000400"/>
      <w:bookmarkStart w:id="3027" w:name="Bookmark_I54YSNNW2D6NYK0010000400"/>
      <w:bookmarkEnd w:id="3026"/>
      <w:bookmarkEnd w:id="3027"/>
      <w:r>
        <w:rPr>
          <w:rFonts w:ascii="Arial" w:eastAsia="Arial" w:hAnsi="Arial" w:cs="Arial"/>
          <w:color w:val="000000"/>
          <w:sz w:val="20"/>
          <w:u w:val="single"/>
        </w:rPr>
        <w:t>Saldana v. Kmart Corp.</w:t>
      </w:r>
      <w:r>
        <w:rPr>
          <w:rFonts w:ascii="Arial" w:eastAsia="Arial" w:hAnsi="Arial" w:cs="Arial"/>
          <w:color w:val="000000"/>
          <w:sz w:val="20"/>
        </w:rPr>
        <w:t xml:space="preserve">, 260 F.3d 228, 231, 43 V.I. 361 (3d Cir. 2001). </w:t>
      </w:r>
      <w:bookmarkStart w:id="3028" w:name="Bookmark_I54YSNNW2HM5SC0010000400_2"/>
      <w:bookmarkStart w:id="3029" w:name="Bookmark_I54YSNNW2D6NYK0040000400_2"/>
      <w:bookmarkStart w:id="3030" w:name="Bookmark_LNHNREFclscc2_18"/>
      <w:bookmarkEnd w:id="3028"/>
      <w:bookmarkEnd w:id="3029"/>
      <w:bookmarkEnd w:id="3030"/>
      <w:r>
        <w:rPr>
          <w:rFonts w:ascii="Arial" w:eastAsia="Arial" w:hAnsi="Arial" w:cs="Arial"/>
          <w:color w:val="000000"/>
          <w:sz w:val="20"/>
        </w:rPr>
        <w:t xml:space="preserve">Summary judgment is proper when, viewing the evidence in the light most favorable to the non-moving party and drawing all inferences in that party's favor,  [**4] there is no genuine dispute of material fact and the moving party is entitled to judgment as a matter of law. </w:t>
      </w:r>
      <w:bookmarkStart w:id="3031" w:name="Bookmark_I54YSNNW2D6NYK0030000400"/>
      <w:bookmarkEnd w:id="3031"/>
      <w:r>
        <w:rPr>
          <w:rFonts w:ascii="Arial" w:eastAsia="Arial" w:hAnsi="Arial" w:cs="Arial"/>
          <w:color w:val="000000"/>
          <w:sz w:val="20"/>
          <w:u w:val="single"/>
        </w:rPr>
        <w:t>Id.</w:t>
      </w:r>
      <w:r>
        <w:rPr>
          <w:rFonts w:ascii="Arial" w:eastAsia="Arial" w:hAnsi="Arial" w:cs="Arial"/>
          <w:color w:val="000000"/>
          <w:sz w:val="20"/>
        </w:rPr>
        <w:t xml:space="preserve"> at 232; Fed. R. Civ. P. 56(a). </w:t>
      </w:r>
      <w:bookmarkStart w:id="3032" w:name="Bookmark_LNHNREFclscc3_16"/>
      <w:bookmarkEnd w:id="3032"/>
      <w:r>
        <w:rPr>
          <w:rFonts w:ascii="Arial" w:eastAsia="Arial" w:hAnsi="Arial" w:cs="Arial"/>
          <w:color w:val="000000"/>
          <w:sz w:val="20"/>
        </w:rPr>
        <w:t xml:space="preserve">The party opposing summary judgment "may not rest upon the mere allegations or denials of the . . . pleading," but "must set forth specific facts showing that there is a genuine issue for trial." </w:t>
      </w:r>
      <w:bookmarkStart w:id="3033" w:name="Bookmark_I54YSNNW2D6NYK0050000400"/>
      <w:bookmarkEnd w:id="3033"/>
      <w:r>
        <w:rPr>
          <w:rFonts w:ascii="Arial" w:eastAsia="Arial" w:hAnsi="Arial" w:cs="Arial"/>
          <w:color w:val="000000"/>
          <w:sz w:val="20"/>
          <w:u w:val="single"/>
        </w:rPr>
        <w:t>Saldana</w:t>
      </w:r>
      <w:r>
        <w:rPr>
          <w:rFonts w:ascii="Arial" w:eastAsia="Arial" w:hAnsi="Arial" w:cs="Arial"/>
          <w:color w:val="000000"/>
          <w:sz w:val="20"/>
        </w:rPr>
        <w:t xml:space="preserve">, 260 F.3d at 232 (quoting Fed. R. Civ. P. 56(e); </w:t>
      </w:r>
      <w:bookmarkStart w:id="3034" w:name="Bookmark_I54YSNNW2HM5SC0020000400"/>
      <w:bookmarkEnd w:id="3034"/>
      <w:r>
        <w:rPr>
          <w:rFonts w:ascii="Arial" w:eastAsia="Arial" w:hAnsi="Arial" w:cs="Arial"/>
          <w:color w:val="000000"/>
          <w:sz w:val="20"/>
          <w:u w:val="single"/>
        </w:rPr>
        <w:t>Matsushita Elec. Indus. Co. v. Zenith Radio Corp.</w:t>
      </w:r>
      <w:r>
        <w:rPr>
          <w:rFonts w:ascii="Arial" w:eastAsia="Arial" w:hAnsi="Arial" w:cs="Arial"/>
          <w:color w:val="000000"/>
          <w:sz w:val="20"/>
        </w:rPr>
        <w:t>, 475 U.S. 574, 106 S. Ct. 1348, 89 L. Ed. 2d 538 (1986)).</w:t>
      </w:r>
    </w:p>
    <w:p w14:paraId="10BABA4B" w14:textId="77777777" w:rsidR="00D041A2" w:rsidRDefault="00000000">
      <w:pPr>
        <w:pStyle w:val="Normal25"/>
        <w:widowControl w:val="0"/>
        <w:spacing w:before="200" w:line="260" w:lineRule="atLeast"/>
        <w:jc w:val="both"/>
      </w:pPr>
      <w:bookmarkStart w:id="3035" w:name="Bookmark_para_11_21"/>
      <w:bookmarkStart w:id="3036" w:name="Bookmark_I54YSNNW2HM5SC0050000400"/>
      <w:bookmarkStart w:id="3037" w:name="Bookmark_LNHNREFclscc4_16"/>
      <w:bookmarkEnd w:id="3035"/>
      <w:bookmarkEnd w:id="3036"/>
      <w:bookmarkEnd w:id="3037"/>
      <w:r>
        <w:rPr>
          <w:rFonts w:ascii="Arial" w:eastAsia="Arial" w:hAnsi="Arial" w:cs="Arial"/>
          <w:color w:val="000000"/>
          <w:sz w:val="20"/>
        </w:rPr>
        <w:t xml:space="preserve">We review a denial of a motion for reconsideration for abuse of discretion, while reviewing a District Court's underlying legal determinations de novo and its factual determinations for clear error. </w:t>
      </w:r>
      <w:bookmarkStart w:id="3038" w:name="Bookmark_I54YSNNW2HM5SC0040000400"/>
      <w:bookmarkEnd w:id="3038"/>
      <w:r>
        <w:rPr>
          <w:rFonts w:ascii="Arial" w:eastAsia="Arial" w:hAnsi="Arial" w:cs="Arial"/>
          <w:color w:val="000000"/>
          <w:sz w:val="20"/>
          <w:u w:val="single"/>
        </w:rPr>
        <w:t>Max's Seafood Café ex rel. Lou-Ann, Inc. v. Quinteros</w:t>
      </w:r>
      <w:r>
        <w:rPr>
          <w:rFonts w:ascii="Arial" w:eastAsia="Arial" w:hAnsi="Arial" w:cs="Arial"/>
          <w:color w:val="000000"/>
          <w:sz w:val="20"/>
        </w:rPr>
        <w:t>, 176 F.3d 669, 673 (3d Cir. 1999).</w:t>
      </w:r>
    </w:p>
    <w:p w14:paraId="66898724" w14:textId="77777777" w:rsidR="00D041A2" w:rsidRDefault="00000000">
      <w:pPr>
        <w:pStyle w:val="Normal25"/>
        <w:widowControl w:val="0"/>
        <w:spacing w:before="120" w:line="260" w:lineRule="atLeast"/>
      </w:pPr>
      <w:r>
        <w:rPr>
          <w:rFonts w:ascii="Arial" w:eastAsia="Arial" w:hAnsi="Arial" w:cs="Arial"/>
          <w:color w:val="000000"/>
          <w:sz w:val="20"/>
        </w:rPr>
        <w:t>III.</w:t>
      </w:r>
    </w:p>
    <w:p w14:paraId="45125D40" w14:textId="77777777" w:rsidR="00D041A2" w:rsidRDefault="00000000">
      <w:pPr>
        <w:pStyle w:val="Normal25"/>
        <w:widowControl w:val="0"/>
        <w:spacing w:before="120" w:line="260" w:lineRule="atLeast"/>
      </w:pPr>
      <w:r>
        <w:rPr>
          <w:rFonts w:ascii="Arial" w:eastAsia="Arial" w:hAnsi="Arial" w:cs="Arial"/>
          <w:color w:val="000000"/>
          <w:sz w:val="20"/>
        </w:rPr>
        <w:t>A. Summary Judgment</w:t>
      </w:r>
    </w:p>
    <w:p w14:paraId="6C902CAD" w14:textId="77777777" w:rsidR="00D041A2" w:rsidRDefault="00000000">
      <w:pPr>
        <w:pStyle w:val="Normal25"/>
        <w:widowControl w:val="0"/>
        <w:spacing w:before="200" w:line="260" w:lineRule="atLeast"/>
        <w:jc w:val="both"/>
      </w:pPr>
      <w:bookmarkStart w:id="3039" w:name="Bookmark_para_12_20"/>
      <w:bookmarkEnd w:id="3039"/>
      <w:r>
        <w:rPr>
          <w:rFonts w:ascii="Arial" w:eastAsia="Arial" w:hAnsi="Arial" w:cs="Arial"/>
          <w:color w:val="000000"/>
          <w:sz w:val="20"/>
        </w:rPr>
        <w:t xml:space="preserve">The District Court first rejected Good Wheels' arguments that Holland lacked standing to bring his claims and that the ADA and NJLAD do not apply to his activities. </w:t>
      </w:r>
      <w:bookmarkStart w:id="3040" w:name="Bookmark_I54YSNNW2SF89X0020000400"/>
      <w:bookmarkEnd w:id="3040"/>
      <w:r>
        <w:rPr>
          <w:rFonts w:ascii="Arial" w:eastAsia="Arial" w:hAnsi="Arial" w:cs="Arial"/>
          <w:color w:val="000000"/>
          <w:sz w:val="20"/>
        </w:rPr>
        <w:t xml:space="preserve">It then turned to Holland's retaliation claim. </w:t>
      </w:r>
      <w:bookmarkStart w:id="3041" w:name="Bookmark_LNHNREFclscc5_16"/>
      <w:bookmarkEnd w:id="3041"/>
      <w:r>
        <w:rPr>
          <w:rFonts w:ascii="Arial" w:eastAsia="Arial" w:hAnsi="Arial" w:cs="Arial"/>
          <w:color w:val="000000"/>
          <w:sz w:val="20"/>
        </w:rPr>
        <w:t xml:space="preserve">To prove a claim of retaliation under the ADA and NJLAD, a plaintiff must first establish that (1) he was engaged in protected conduct; (2) an adverse action was taken; and (3) there is a causal link between  [**5] the protected conduct and the adverse action and applied the burden-shifting framework. </w:t>
      </w:r>
      <w:bookmarkStart w:id="3042" w:name="Bookmark_I54YSNNW28T48G0010000400"/>
      <w:bookmarkEnd w:id="3042"/>
      <w:r>
        <w:rPr>
          <w:rFonts w:ascii="Arial" w:eastAsia="Arial" w:hAnsi="Arial" w:cs="Arial"/>
          <w:color w:val="000000"/>
          <w:sz w:val="20"/>
          <w:u w:val="single"/>
        </w:rPr>
        <w:t>See e.g.</w:t>
      </w:r>
      <w:r>
        <w:rPr>
          <w:rFonts w:ascii="Arial" w:eastAsia="Arial" w:hAnsi="Arial" w:cs="Arial"/>
          <w:color w:val="000000"/>
          <w:sz w:val="20"/>
        </w:rPr>
        <w:t xml:space="preserve">, </w:t>
      </w:r>
      <w:bookmarkStart w:id="3043" w:name="Bookmark_I54YSNNW2SF89X0010000400"/>
      <w:bookmarkEnd w:id="3043"/>
      <w:r>
        <w:rPr>
          <w:rFonts w:ascii="Arial" w:eastAsia="Arial" w:hAnsi="Arial" w:cs="Arial"/>
          <w:color w:val="000000"/>
          <w:sz w:val="20"/>
          <w:u w:val="single"/>
        </w:rPr>
        <w:t>Williams v. Phila. Hous. Auth. Police Dep't</w:t>
      </w:r>
      <w:r>
        <w:rPr>
          <w:rFonts w:ascii="Arial" w:eastAsia="Arial" w:hAnsi="Arial" w:cs="Arial"/>
          <w:color w:val="000000"/>
          <w:sz w:val="20"/>
        </w:rPr>
        <w:t xml:space="preserve">, 380 F.3d 751, 757 (2004) (elements of prima facie case of retaliation in  [*101]  an ADA claim); </w:t>
      </w:r>
      <w:bookmarkStart w:id="3044" w:name="Bookmark_I54YSNNW2SF89X0030000400"/>
      <w:bookmarkEnd w:id="3044"/>
      <w:r>
        <w:rPr>
          <w:rFonts w:ascii="Arial" w:eastAsia="Arial" w:hAnsi="Arial" w:cs="Arial"/>
          <w:color w:val="000000"/>
          <w:sz w:val="20"/>
          <w:u w:val="single"/>
        </w:rPr>
        <w:t>Victor v. State</w:t>
      </w:r>
      <w:r>
        <w:rPr>
          <w:rFonts w:ascii="Arial" w:eastAsia="Arial" w:hAnsi="Arial" w:cs="Arial"/>
          <w:color w:val="000000"/>
          <w:sz w:val="20"/>
        </w:rPr>
        <w:t xml:space="preserve">, 203 N.J. 383, 4 A.3d 126, 141 (NJ 2010) (elements of a prima facie case of retaliation in a NJLAD claim). </w:t>
      </w:r>
      <w:bookmarkStart w:id="3045" w:name="Bookmark_I54YSNNW28T48G0010000400_2"/>
      <w:bookmarkStart w:id="3046" w:name="Bookmark_I54YSNNW28T48G0030000400"/>
      <w:bookmarkEnd w:id="3045"/>
      <w:bookmarkEnd w:id="3046"/>
      <w:r>
        <w:rPr>
          <w:rFonts w:ascii="Arial" w:eastAsia="Arial" w:hAnsi="Arial" w:cs="Arial"/>
          <w:color w:val="000000"/>
          <w:sz w:val="20"/>
        </w:rPr>
        <w:t xml:space="preserve">Once a prima facie case is established, the burden shifts to the defendant to present a non-discriminatory reason for the adverse action. </w:t>
      </w:r>
      <w:r>
        <w:rPr>
          <w:rFonts w:ascii="Arial" w:eastAsia="Arial" w:hAnsi="Arial" w:cs="Arial"/>
          <w:color w:val="000000"/>
          <w:sz w:val="20"/>
          <w:u w:val="single"/>
        </w:rPr>
        <w:t xml:space="preserve">See </w:t>
      </w:r>
      <w:bookmarkStart w:id="3047" w:name="Bookmark_I54YSNNW2SF89X0050000400"/>
      <w:bookmarkEnd w:id="3047"/>
      <w:r>
        <w:rPr>
          <w:rFonts w:ascii="Arial" w:eastAsia="Arial" w:hAnsi="Arial" w:cs="Arial"/>
          <w:color w:val="000000"/>
          <w:sz w:val="20"/>
          <w:u w:val="single"/>
        </w:rPr>
        <w:t>McDonnell Douglas Corp. v. Green</w:t>
      </w:r>
      <w:r>
        <w:rPr>
          <w:rFonts w:ascii="Arial" w:eastAsia="Arial" w:hAnsi="Arial" w:cs="Arial"/>
          <w:color w:val="000000"/>
          <w:sz w:val="20"/>
        </w:rPr>
        <w:t xml:space="preserve">, 411 U.S. 792, 802, 93 S. Ct. 1817, 36 L. Ed. 2d 668 (1973). </w:t>
      </w:r>
      <w:bookmarkStart w:id="3048" w:name="Bookmark_I54YSNNW28T48G0030000400_2"/>
      <w:bookmarkStart w:id="3049" w:name="Bookmark_I54YSNNW28T48G0050000400"/>
      <w:bookmarkEnd w:id="3048"/>
      <w:bookmarkEnd w:id="3049"/>
      <w:r>
        <w:rPr>
          <w:rFonts w:ascii="Arial" w:eastAsia="Arial" w:hAnsi="Arial" w:cs="Arial"/>
          <w:color w:val="000000"/>
          <w:sz w:val="20"/>
        </w:rPr>
        <w:t xml:space="preserve">The plaintiff must then prove that the defendant's proffered reasons were merely a "pretext for discrimination." </w:t>
      </w:r>
      <w:r>
        <w:rPr>
          <w:rFonts w:ascii="Arial" w:eastAsia="Arial" w:hAnsi="Arial" w:cs="Arial"/>
          <w:color w:val="000000"/>
          <w:sz w:val="20"/>
          <w:u w:val="single"/>
        </w:rPr>
        <w:t xml:space="preserve">See </w:t>
      </w:r>
      <w:bookmarkStart w:id="3050" w:name="Bookmark_I54YSNNW28T48G0020000400"/>
      <w:bookmarkEnd w:id="3050"/>
      <w:r>
        <w:rPr>
          <w:rFonts w:ascii="Arial" w:eastAsia="Arial" w:hAnsi="Arial" w:cs="Arial"/>
          <w:color w:val="000000"/>
          <w:sz w:val="20"/>
          <w:u w:val="single"/>
        </w:rPr>
        <w:t>Id.</w:t>
      </w:r>
      <w:r>
        <w:rPr>
          <w:rFonts w:ascii="Arial" w:eastAsia="Arial" w:hAnsi="Arial" w:cs="Arial"/>
          <w:color w:val="000000"/>
          <w:sz w:val="20"/>
        </w:rPr>
        <w:t xml:space="preserve"> at 804. </w:t>
      </w:r>
      <w:bookmarkStart w:id="3051" w:name="Bookmark_I54YSNNW28T48G0050000400_2"/>
      <w:bookmarkEnd w:id="3051"/>
      <w:r>
        <w:rPr>
          <w:rFonts w:ascii="Arial" w:eastAsia="Arial" w:hAnsi="Arial" w:cs="Arial"/>
          <w:color w:val="000000"/>
          <w:sz w:val="20"/>
        </w:rPr>
        <w:t xml:space="preserve">The District Court noted that this framework, though developed in the employment context, has been applied to discrimination claims regarding public accommodations. </w:t>
      </w:r>
      <w:r>
        <w:rPr>
          <w:rFonts w:ascii="Arial" w:eastAsia="Arial" w:hAnsi="Arial" w:cs="Arial"/>
          <w:color w:val="000000"/>
          <w:sz w:val="20"/>
          <w:u w:val="single"/>
        </w:rPr>
        <w:t xml:space="preserve">See </w:t>
      </w:r>
      <w:bookmarkStart w:id="3052" w:name="Bookmark_I54YSNNW28T48G0040000400"/>
      <w:bookmarkEnd w:id="3052"/>
      <w:r>
        <w:rPr>
          <w:rFonts w:ascii="Arial" w:eastAsia="Arial" w:hAnsi="Arial" w:cs="Arial"/>
          <w:color w:val="000000"/>
          <w:sz w:val="20"/>
          <w:u w:val="single"/>
        </w:rPr>
        <w:t>Fahim v. Marriott Hotel Servs.</w:t>
      </w:r>
      <w:r>
        <w:rPr>
          <w:rFonts w:ascii="Arial" w:eastAsia="Arial" w:hAnsi="Arial" w:cs="Arial"/>
          <w:color w:val="000000"/>
          <w:sz w:val="20"/>
        </w:rPr>
        <w:t>, 551 F.3d 344, 350-51 (5th Cir. 2008).</w:t>
      </w:r>
    </w:p>
    <w:p w14:paraId="720ECD2D" w14:textId="77777777" w:rsidR="00D041A2" w:rsidRDefault="00000000">
      <w:pPr>
        <w:pStyle w:val="Normal25"/>
        <w:widowControl w:val="0"/>
        <w:spacing w:before="200" w:line="260" w:lineRule="atLeast"/>
        <w:jc w:val="both"/>
      </w:pPr>
      <w:bookmarkStart w:id="3053" w:name="Bookmark_para_13_19"/>
      <w:bookmarkEnd w:id="3053"/>
      <w:r>
        <w:rPr>
          <w:rFonts w:ascii="Arial" w:eastAsia="Arial" w:hAnsi="Arial" w:cs="Arial"/>
          <w:color w:val="000000"/>
          <w:sz w:val="20"/>
        </w:rPr>
        <w:t>The District Court determined that Holland had stated a prima facie case of retaliation. The court then noted that Good Wheels had stated a legitimate, nondiscriminatory reason for banning Holland from its premises—that other Good Wheels customers were disturbed by Holland's presence and actions  [**6] and were distracted from their purpose for being at Good Wheels. The District Court then turned to Holland, but found that he offered no evidence to prove that Good Wheels' proffered reason was pretextual. Thus, the District Court granted summary judgment to Good Wheels on Holland's retaliation claim. Because Holland's NJCRA claim hinged on his retaliation claim under the ADA and NJLAD, the District Court also granted summary judgment on the NJCRA claim.</w:t>
      </w:r>
    </w:p>
    <w:p w14:paraId="3CE21994" w14:textId="77777777" w:rsidR="00D041A2" w:rsidRDefault="00000000">
      <w:pPr>
        <w:pStyle w:val="Normal25"/>
        <w:widowControl w:val="0"/>
        <w:spacing w:before="200" w:line="260" w:lineRule="atLeast"/>
        <w:jc w:val="both"/>
      </w:pPr>
      <w:bookmarkStart w:id="3054" w:name="Bookmark_para_14_17"/>
      <w:bookmarkStart w:id="3055" w:name="Bookmark_I54YSNNW2N1RTK0020000400"/>
      <w:bookmarkEnd w:id="3054"/>
      <w:bookmarkEnd w:id="3055"/>
      <w:r>
        <w:rPr>
          <w:rFonts w:ascii="Arial" w:eastAsia="Arial" w:hAnsi="Arial" w:cs="Arial"/>
          <w:color w:val="000000"/>
          <w:sz w:val="20"/>
        </w:rPr>
        <w:t xml:space="preserve">Finally, the District Court granted summary judgment to Good Wheels on Holland's false imprisonment claim. </w:t>
      </w:r>
      <w:bookmarkStart w:id="3056" w:name="Bookmark_LNHNREFclscc6_16"/>
      <w:bookmarkEnd w:id="3056"/>
      <w:r>
        <w:rPr>
          <w:rFonts w:ascii="Arial" w:eastAsia="Arial" w:hAnsi="Arial" w:cs="Arial"/>
          <w:color w:val="000000"/>
          <w:sz w:val="20"/>
        </w:rPr>
        <w:t xml:space="preserve">False imprisonment involves (1) the detention of a person against his will and (2) lack of legal authority or justification. </w:t>
      </w:r>
      <w:bookmarkStart w:id="3057" w:name="Bookmark_I54YSNNW2N1RTK0010000400"/>
      <w:bookmarkEnd w:id="3057"/>
      <w:r>
        <w:rPr>
          <w:rFonts w:ascii="Arial" w:eastAsia="Arial" w:hAnsi="Arial" w:cs="Arial"/>
          <w:color w:val="000000"/>
          <w:sz w:val="20"/>
          <w:u w:val="single"/>
        </w:rPr>
        <w:t>Leang v. Jersey City Bd. of Educ.</w:t>
      </w:r>
      <w:r>
        <w:rPr>
          <w:rFonts w:ascii="Arial" w:eastAsia="Arial" w:hAnsi="Arial" w:cs="Arial"/>
          <w:color w:val="000000"/>
          <w:sz w:val="20"/>
        </w:rPr>
        <w:t>, 198 N.J. 557, 969 A.2d 1097, 1117 (N.J. 2009) (internal questions omitted). The District Court found that Holland did not present any evidence in response to Fox's testimony that Holland could have driven around Fox's car and exited the premises through the driveway.</w:t>
      </w:r>
    </w:p>
    <w:p w14:paraId="48FC21B3" w14:textId="77777777" w:rsidR="00D041A2" w:rsidRDefault="00000000">
      <w:pPr>
        <w:pStyle w:val="Normal25"/>
        <w:widowControl w:val="0"/>
        <w:spacing w:before="120" w:line="260" w:lineRule="atLeast"/>
      </w:pPr>
      <w:r>
        <w:rPr>
          <w:rFonts w:ascii="Arial" w:eastAsia="Arial" w:hAnsi="Arial" w:cs="Arial"/>
          <w:color w:val="000000"/>
          <w:sz w:val="20"/>
        </w:rPr>
        <w:t>B. Reconsideration</w:t>
      </w:r>
    </w:p>
    <w:p w14:paraId="0BA5AF31" w14:textId="77777777" w:rsidR="00D041A2" w:rsidRDefault="00000000">
      <w:pPr>
        <w:pStyle w:val="Normal25"/>
        <w:widowControl w:val="0"/>
        <w:spacing w:before="200" w:line="260" w:lineRule="atLeast"/>
        <w:jc w:val="both"/>
      </w:pPr>
      <w:bookmarkStart w:id="3058" w:name="Bookmark_para_15_17"/>
      <w:bookmarkEnd w:id="3058"/>
      <w:r>
        <w:rPr>
          <w:rFonts w:ascii="Arial" w:eastAsia="Arial" w:hAnsi="Arial" w:cs="Arial"/>
          <w:color w:val="000000"/>
          <w:sz w:val="20"/>
        </w:rPr>
        <w:t>Holland sought reconsideration and relief from summary judgment so that the District Court could consider Good Wheels' recent acts and statements as new evidence of pretext, as well as evidence in the record  [**7] that the court did not consider. He also argued that the court misapplied the summary judgment standard, the burden-shifting analysis, and the mixed-motive analysis.</w:t>
      </w:r>
    </w:p>
    <w:p w14:paraId="6E3E9223" w14:textId="77777777" w:rsidR="00D041A2" w:rsidRDefault="00000000">
      <w:pPr>
        <w:pStyle w:val="Normal25"/>
        <w:widowControl w:val="0"/>
        <w:spacing w:before="120" w:line="260" w:lineRule="atLeast"/>
      </w:pPr>
      <w:r>
        <w:rPr>
          <w:rFonts w:ascii="Arial" w:eastAsia="Arial" w:hAnsi="Arial" w:cs="Arial"/>
          <w:color w:val="000000"/>
          <w:sz w:val="20"/>
        </w:rPr>
        <w:t>1. Rule 59(e)</w:t>
      </w:r>
    </w:p>
    <w:p w14:paraId="7179306A" w14:textId="77777777" w:rsidR="00D041A2" w:rsidRDefault="00000000">
      <w:pPr>
        <w:pStyle w:val="Normal25"/>
        <w:widowControl w:val="0"/>
        <w:spacing w:before="200" w:line="260" w:lineRule="atLeast"/>
        <w:jc w:val="both"/>
      </w:pPr>
      <w:bookmarkStart w:id="3059" w:name="Bookmark_para_16_17"/>
      <w:bookmarkStart w:id="3060" w:name="Bookmark_I54YSNNW2N1RTK0040000400"/>
      <w:bookmarkStart w:id="3061" w:name="Bookmark_LNHNREFclscc7_16"/>
      <w:bookmarkEnd w:id="3059"/>
      <w:bookmarkEnd w:id="3060"/>
      <w:bookmarkEnd w:id="3061"/>
      <w:r>
        <w:rPr>
          <w:rFonts w:ascii="Arial" w:eastAsia="Arial" w:hAnsi="Arial" w:cs="Arial"/>
          <w:color w:val="000000"/>
          <w:sz w:val="20"/>
        </w:rPr>
        <w:t xml:space="preserve">A motion for reconsideration under Rule 59(e) must rely on one of three grounds: (1) an intervening change in the law; (2) the availability of new evidence; or (3) the need to correct clear error of law or prevent manifest injustice. </w:t>
      </w:r>
      <w:bookmarkStart w:id="3062" w:name="Bookmark_I54YSNNW2N1RTK0030000400"/>
      <w:bookmarkEnd w:id="3062"/>
      <w:r>
        <w:rPr>
          <w:rFonts w:ascii="Arial" w:eastAsia="Arial" w:hAnsi="Arial" w:cs="Arial"/>
          <w:color w:val="000000"/>
          <w:sz w:val="20"/>
          <w:u w:val="single"/>
        </w:rPr>
        <w:t>N. River Ins. Co. v. CIGNA Reinsurance Co.</w:t>
      </w:r>
      <w:r>
        <w:rPr>
          <w:rFonts w:ascii="Arial" w:eastAsia="Arial" w:hAnsi="Arial" w:cs="Arial"/>
          <w:color w:val="000000"/>
          <w:sz w:val="20"/>
        </w:rPr>
        <w:t>, 52 F.3d 1194, 1218 (3d Cir. 1995).</w:t>
      </w:r>
    </w:p>
    <w:p w14:paraId="51433B55" w14:textId="77777777" w:rsidR="00D041A2" w:rsidRDefault="00000000">
      <w:pPr>
        <w:pStyle w:val="Normal25"/>
        <w:widowControl w:val="0"/>
        <w:spacing w:before="200" w:line="260" w:lineRule="atLeast"/>
        <w:jc w:val="both"/>
      </w:pPr>
      <w:bookmarkStart w:id="3063" w:name="Bookmark_para_17_16"/>
      <w:bookmarkEnd w:id="3063"/>
      <w:r>
        <w:rPr>
          <w:rFonts w:ascii="Arial" w:eastAsia="Arial" w:hAnsi="Arial" w:cs="Arial"/>
          <w:color w:val="000000"/>
          <w:sz w:val="20"/>
        </w:rPr>
        <w:t xml:space="preserve">Holland claimed that "material" developments in the intervening time since the parties' final submissions at the summary judgment stage demonstrate that Good Wheels' reasons for banning him were pretextual. </w:t>
      </w:r>
      <w:bookmarkStart w:id="3064" w:name="Bookmark_I54YSNNW28T48H0010000400"/>
      <w:bookmarkEnd w:id="3064"/>
      <w:r>
        <w:rPr>
          <w:rFonts w:ascii="Arial" w:eastAsia="Arial" w:hAnsi="Arial" w:cs="Arial"/>
          <w:color w:val="000000"/>
          <w:sz w:val="20"/>
        </w:rPr>
        <w:t xml:space="preserve">He pointed to the several citizen complaints he filed, his documentation of Good Wheels' further violations, and a video recording of a verbal altercation between himself and Good Wheels' employees. The District Court properly determined that it could not consider any events that took place after the time the parties completed their submissions at summary judgment. </w:t>
      </w:r>
      <w:r>
        <w:rPr>
          <w:rFonts w:ascii="Arial" w:eastAsia="Arial" w:hAnsi="Arial" w:cs="Arial"/>
          <w:color w:val="000000"/>
          <w:sz w:val="20"/>
          <w:u w:val="single"/>
        </w:rPr>
        <w:t xml:space="preserve">See </w:t>
      </w:r>
      <w:bookmarkStart w:id="3065" w:name="Bookmark_I54YSNNW2N1RTK0050000400"/>
      <w:bookmarkEnd w:id="3065"/>
      <w:r>
        <w:rPr>
          <w:rFonts w:ascii="Arial" w:eastAsia="Arial" w:hAnsi="Arial" w:cs="Arial"/>
          <w:color w:val="000000"/>
          <w:sz w:val="20"/>
          <w:u w:val="single"/>
        </w:rPr>
        <w:t>Howard Hess Dental Labs. Inc. v. Dentsply Int'l, Inc.</w:t>
      </w:r>
      <w:r>
        <w:rPr>
          <w:rFonts w:ascii="Arial" w:eastAsia="Arial" w:hAnsi="Arial" w:cs="Arial"/>
          <w:color w:val="000000"/>
          <w:sz w:val="20"/>
        </w:rPr>
        <w:t>, 602 F.3d 237, 252 (3d Cir. 2010).</w:t>
      </w:r>
    </w:p>
    <w:p w14:paraId="1B480A37" w14:textId="77777777" w:rsidR="00D041A2" w:rsidRDefault="00000000">
      <w:pPr>
        <w:pStyle w:val="Normal25"/>
        <w:widowControl w:val="0"/>
        <w:spacing w:before="200" w:line="260" w:lineRule="atLeast"/>
        <w:jc w:val="both"/>
      </w:pPr>
      <w:bookmarkStart w:id="3066" w:name="Bookmark_para_18_14"/>
      <w:bookmarkEnd w:id="3066"/>
      <w:r>
        <w:rPr>
          <w:rFonts w:ascii="Arial" w:eastAsia="Arial" w:hAnsi="Arial" w:cs="Arial"/>
          <w:color w:val="000000"/>
          <w:sz w:val="20"/>
        </w:rPr>
        <w:t> [*102]  Holland claimed that the District Court overlooked  [**8] testimony from Good Wheels employees who stated that they were aggravated by Holland's activities. However, on reconsideration, the court noted that it did consider such evidence, and reiterated that Good Wheels overcame the prima facie case of retaliation by providing a nondiscriminatory reason for banning him from the premises. Holland also argued that in dismissing his false imprisonment claim, the court failed to consider his claim that he was trapped. The District Court noted that the issue was fully briefed, that the evidence showed that Holland was not detained, and properly concluded that Holland merely disagreed with its decision.</w:t>
      </w:r>
    </w:p>
    <w:p w14:paraId="35BCADC2" w14:textId="77777777" w:rsidR="00D041A2" w:rsidRDefault="00000000">
      <w:pPr>
        <w:pStyle w:val="Normal25"/>
        <w:widowControl w:val="0"/>
        <w:spacing w:before="200" w:line="260" w:lineRule="atLeast"/>
        <w:jc w:val="both"/>
      </w:pPr>
      <w:bookmarkStart w:id="3067" w:name="Bookmark_para_19_14"/>
      <w:bookmarkStart w:id="3068" w:name="Bookmark_I54YSNNW28T48H0030000400"/>
      <w:bookmarkEnd w:id="3067"/>
      <w:bookmarkEnd w:id="3068"/>
      <w:r>
        <w:rPr>
          <w:rFonts w:ascii="Arial" w:eastAsia="Arial" w:hAnsi="Arial" w:cs="Arial"/>
          <w:color w:val="000000"/>
          <w:sz w:val="20"/>
        </w:rPr>
        <w:t xml:space="preserve">Next, Holland claimed that the District Court misapplied the summary judgment burden-shifting standard of </w:t>
      </w:r>
      <w:bookmarkStart w:id="3069" w:name="Bookmark_I54YSNNW28T48H0020000400"/>
      <w:bookmarkEnd w:id="3069"/>
      <w:r>
        <w:rPr>
          <w:rFonts w:ascii="Arial" w:eastAsia="Arial" w:hAnsi="Arial" w:cs="Arial"/>
          <w:color w:val="000000"/>
          <w:sz w:val="20"/>
          <w:u w:val="single"/>
        </w:rPr>
        <w:t>McDonnell Douglas Corp.</w:t>
      </w:r>
      <w:r>
        <w:rPr>
          <w:rFonts w:ascii="Arial" w:eastAsia="Arial" w:hAnsi="Arial" w:cs="Arial"/>
          <w:color w:val="000000"/>
          <w:sz w:val="20"/>
        </w:rPr>
        <w:t>, 411 U.S. at 802. As stated above, the District Court first found that Holland had stated a prima facie case of retaliation under the ADA and NJLAD, then determined that Good Wheels provided a nondiscriminatory reason for the action, and concluded that Holland presented no evidence demonstrating that that reason was pretextual. On reconsideration, Holland merely argued that his characterization of the facts was correct,  [**9] not that the District Court misapplied the framework. Accordingly, the court did not abuse its discretion in denying reconsideration based on this claim.</w:t>
      </w:r>
    </w:p>
    <w:p w14:paraId="2262B3C9" w14:textId="77777777" w:rsidR="00D041A2" w:rsidRDefault="00000000">
      <w:pPr>
        <w:pStyle w:val="Normal25"/>
        <w:widowControl w:val="0"/>
        <w:spacing w:before="200" w:line="260" w:lineRule="atLeast"/>
        <w:jc w:val="both"/>
      </w:pPr>
      <w:bookmarkStart w:id="3070" w:name="Bookmark_para_20_14"/>
      <w:bookmarkStart w:id="3071" w:name="Bookmark_I54YSNNW28T48H0050000400"/>
      <w:bookmarkEnd w:id="3070"/>
      <w:bookmarkEnd w:id="3071"/>
      <w:r>
        <w:rPr>
          <w:rFonts w:ascii="Arial" w:eastAsia="Arial" w:hAnsi="Arial" w:cs="Arial"/>
          <w:color w:val="000000"/>
          <w:sz w:val="20"/>
        </w:rPr>
        <w:t xml:space="preserve">Finally, Holland claims that the District Court misapplied </w:t>
      </w:r>
      <w:bookmarkStart w:id="3072" w:name="Bookmark_LNHNREFclscc8_16"/>
      <w:bookmarkEnd w:id="3072"/>
      <w:r>
        <w:rPr>
          <w:rFonts w:ascii="Arial" w:eastAsia="Arial" w:hAnsi="Arial" w:cs="Arial"/>
          <w:color w:val="000000"/>
          <w:sz w:val="20"/>
        </w:rPr>
        <w:t xml:space="preserve">the mixed-motive analysis, which applies when legitimate motives for a challenged action coexist with discriminatory motives. </w:t>
      </w:r>
      <w:r>
        <w:rPr>
          <w:rFonts w:ascii="Arial" w:eastAsia="Arial" w:hAnsi="Arial" w:cs="Arial"/>
          <w:color w:val="000000"/>
          <w:sz w:val="20"/>
          <w:u w:val="single"/>
        </w:rPr>
        <w:t xml:space="preserve">See </w:t>
      </w:r>
      <w:bookmarkStart w:id="3073" w:name="Bookmark_I54YSNNW28T48H0040000400"/>
      <w:bookmarkEnd w:id="3073"/>
      <w:r>
        <w:rPr>
          <w:rFonts w:ascii="Arial" w:eastAsia="Arial" w:hAnsi="Arial" w:cs="Arial"/>
          <w:color w:val="000000"/>
          <w:sz w:val="20"/>
          <w:u w:val="single"/>
        </w:rPr>
        <w:t>Gross v. FBL Fin. Servs.</w:t>
      </w:r>
      <w:r>
        <w:rPr>
          <w:rFonts w:ascii="Arial" w:eastAsia="Arial" w:hAnsi="Arial" w:cs="Arial"/>
          <w:color w:val="000000"/>
          <w:sz w:val="20"/>
        </w:rPr>
        <w:t xml:space="preserve">, 557 U.S. 167, 129 S. Ct. 2343, 2348, 174 L. Ed. 2d 119 (2009). If a plaintiff can show that the discriminatory motive and the challenged action are linked, the burden then shifts to the defendant to show that it is "more likely than not" that the legitimate motive was the primary reason behind the action. </w:t>
      </w:r>
      <w:r>
        <w:rPr>
          <w:rFonts w:ascii="Arial" w:eastAsia="Arial" w:hAnsi="Arial" w:cs="Arial"/>
          <w:color w:val="000000"/>
          <w:sz w:val="20"/>
          <w:u w:val="single"/>
        </w:rPr>
        <w:t>See id.</w:t>
      </w:r>
      <w:r>
        <w:rPr>
          <w:rFonts w:ascii="Arial" w:eastAsia="Arial" w:hAnsi="Arial" w:cs="Arial"/>
          <w:color w:val="000000"/>
          <w:sz w:val="20"/>
        </w:rPr>
        <w:t xml:space="preserve"> The District Court undertook the mixed-motive analysis sua sponte at summary judgment. It rejected Holland's argument that Good Wheels failed to show that their proffered nondiscriminatory reason was their primary motive. On reconsideration, the court remained convinced. As Holland failed to present any evidence that Good Wheels acted with primarily discriminatory motives, we conclude that the District Court did not abuse its discretion.</w:t>
      </w:r>
    </w:p>
    <w:p w14:paraId="3F97E45C" w14:textId="77777777" w:rsidR="00D041A2" w:rsidRDefault="00000000">
      <w:pPr>
        <w:pStyle w:val="Normal25"/>
        <w:widowControl w:val="0"/>
        <w:spacing w:before="120" w:line="260" w:lineRule="atLeast"/>
      </w:pPr>
      <w:r>
        <w:rPr>
          <w:rFonts w:ascii="Arial" w:eastAsia="Arial" w:hAnsi="Arial" w:cs="Arial"/>
          <w:color w:val="000000"/>
          <w:sz w:val="20"/>
        </w:rPr>
        <w:t>2. Rule 60(b)</w:t>
      </w:r>
    </w:p>
    <w:p w14:paraId="41207C0E" w14:textId="77777777" w:rsidR="00D041A2" w:rsidRDefault="00000000">
      <w:pPr>
        <w:pStyle w:val="Normal25"/>
        <w:widowControl w:val="0"/>
        <w:spacing w:before="200" w:line="260" w:lineRule="atLeast"/>
        <w:jc w:val="both"/>
      </w:pPr>
      <w:bookmarkStart w:id="3074" w:name="Bookmark_para_21_14"/>
      <w:bookmarkStart w:id="3075" w:name="Bookmark_I54YSNNW2HM5SD0020000400"/>
      <w:bookmarkEnd w:id="3074"/>
      <w:bookmarkEnd w:id="3075"/>
      <w:r>
        <w:rPr>
          <w:rFonts w:ascii="Arial" w:eastAsia="Arial" w:hAnsi="Arial" w:cs="Arial"/>
          <w:color w:val="000000"/>
          <w:sz w:val="20"/>
        </w:rPr>
        <w:t xml:space="preserve">Holland also sought relief from summary judgment under </w:t>
      </w:r>
      <w:bookmarkStart w:id="3076" w:name="Bookmark_LNHNREFclscc9_16"/>
      <w:bookmarkEnd w:id="3076"/>
      <w:r>
        <w:rPr>
          <w:rFonts w:ascii="Arial" w:eastAsia="Arial" w:hAnsi="Arial" w:cs="Arial"/>
          <w:color w:val="000000"/>
          <w:sz w:val="20"/>
        </w:rPr>
        <w:t xml:space="preserve">Rule 60(b)(1), which provides that a court  [**10] may relieve a party from a final judgment for "mistake, inadvertence, or excusable neglect." He claimed that counsel misread Good Wheels' brief and failed to address relevant portions of the record. The District Court properly determined that such an error is not a special circumstance that requires the extraordinary relief provided by Rule 60(b). </w:t>
      </w:r>
      <w:r>
        <w:rPr>
          <w:rFonts w:ascii="Arial" w:eastAsia="Arial" w:hAnsi="Arial" w:cs="Arial"/>
          <w:color w:val="000000"/>
          <w:sz w:val="20"/>
          <w:u w:val="single"/>
        </w:rPr>
        <w:t xml:space="preserve">See </w:t>
      </w:r>
      <w:bookmarkStart w:id="3077" w:name="Bookmark_I54YSNNW2HM5SD0010000400"/>
      <w:bookmarkEnd w:id="3077"/>
      <w:r>
        <w:rPr>
          <w:rFonts w:ascii="Arial" w:eastAsia="Arial" w:hAnsi="Arial" w:cs="Arial"/>
          <w:color w:val="000000"/>
          <w:sz w:val="20"/>
          <w:u w:val="single"/>
        </w:rPr>
        <w:t>Gonzalez v. Crosby</w:t>
      </w:r>
      <w:r>
        <w:rPr>
          <w:rFonts w:ascii="Arial" w:eastAsia="Arial" w:hAnsi="Arial" w:cs="Arial"/>
          <w:color w:val="000000"/>
          <w:sz w:val="20"/>
        </w:rPr>
        <w:t>, 545 U.S. 524, 535, 125 S. Ct. 2641, 162 L. Ed. 2d 480 (2005). Accordingly, we find that the District Court did not abuse its discretion in denying relief under Rule 60(b).</w:t>
      </w:r>
    </w:p>
    <w:p w14:paraId="16440EBD" w14:textId="77777777" w:rsidR="00D041A2" w:rsidRDefault="00000000">
      <w:pPr>
        <w:pStyle w:val="Normal25"/>
        <w:widowControl w:val="0"/>
        <w:spacing w:before="120" w:line="260" w:lineRule="atLeast"/>
      </w:pPr>
      <w:r>
        <w:rPr>
          <w:rFonts w:ascii="Arial" w:eastAsia="Arial" w:hAnsi="Arial" w:cs="Arial"/>
          <w:color w:val="000000"/>
          <w:sz w:val="20"/>
        </w:rPr>
        <w:t>IV.</w:t>
      </w:r>
    </w:p>
    <w:p w14:paraId="4BF6207B" w14:textId="77777777" w:rsidR="00D041A2" w:rsidRDefault="00000000">
      <w:pPr>
        <w:pStyle w:val="Normal25"/>
        <w:widowControl w:val="0"/>
        <w:spacing w:before="200" w:line="260" w:lineRule="atLeast"/>
        <w:jc w:val="both"/>
      </w:pPr>
      <w:bookmarkStart w:id="3078" w:name="Bookmark_para_22_14"/>
      <w:bookmarkEnd w:id="3078"/>
      <w:r>
        <w:rPr>
          <w:rFonts w:ascii="Arial" w:eastAsia="Arial" w:hAnsi="Arial" w:cs="Arial"/>
          <w:color w:val="000000"/>
          <w:sz w:val="20"/>
        </w:rPr>
        <w:t xml:space="preserve">Because the appeal does not present a substantial question, we will summarily affirm the District Court's order. </w:t>
      </w:r>
      <w:r>
        <w:rPr>
          <w:rFonts w:ascii="Arial" w:eastAsia="Arial" w:hAnsi="Arial" w:cs="Arial"/>
          <w:color w:val="000000"/>
          <w:sz w:val="20"/>
          <w:u w:val="single"/>
        </w:rPr>
        <w:t>See</w:t>
      </w:r>
      <w:r>
        <w:rPr>
          <w:rFonts w:ascii="Arial" w:eastAsia="Arial" w:hAnsi="Arial" w:cs="Arial"/>
          <w:color w:val="000000"/>
          <w:sz w:val="20"/>
        </w:rPr>
        <w:t xml:space="preserve"> 3d Cir. L.A.R. 27.4; 3d Cir. I.O.P. 10.6.</w:t>
      </w:r>
    </w:p>
    <w:p w14:paraId="3C48F4E3" w14:textId="77777777" w:rsidR="00D041A2" w:rsidRDefault="00D041A2">
      <w:pPr>
        <w:pStyle w:val="Normal25"/>
      </w:pPr>
    </w:p>
    <w:p w14:paraId="55E77903" w14:textId="368D848A" w:rsidR="00D041A2" w:rsidRDefault="00000000">
      <w:pPr>
        <w:pStyle w:val="Normal25"/>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13536" behindDoc="0" locked="0" layoutInCell="1" allowOverlap="1" wp14:anchorId="241FDFAF" wp14:editId="73058A0A">
                <wp:simplePos x="0" y="0"/>
                <wp:positionH relativeFrom="column">
                  <wp:posOffset>0</wp:posOffset>
                </wp:positionH>
                <wp:positionV relativeFrom="paragraph">
                  <wp:posOffset>127000</wp:posOffset>
                </wp:positionV>
                <wp:extent cx="6502400" cy="0"/>
                <wp:effectExtent l="9525" t="12700" r="12700" b="6350"/>
                <wp:wrapNone/>
                <wp:docPr id="7691233"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3DC7B" id="Line 55"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C1A4C0C" w14:textId="77777777" w:rsidR="00D041A2" w:rsidRDefault="00D041A2">
      <w:pPr>
        <w:pStyle w:val="Normal26"/>
        <w:sectPr w:rsidR="00D041A2">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gutter="0"/>
          <w:cols w:space="720"/>
          <w:titlePg/>
        </w:sectPr>
      </w:pPr>
    </w:p>
    <w:p w14:paraId="07E427AD" w14:textId="77777777" w:rsidR="00D041A2" w:rsidRDefault="00D041A2">
      <w:pPr>
        <w:pStyle w:val="Normal26"/>
      </w:pPr>
    </w:p>
    <w:p w14:paraId="56D2DDFB" w14:textId="77777777" w:rsidR="00D041A2" w:rsidRDefault="00000000">
      <w:pPr>
        <w:pStyle w:val="Heading125"/>
        <w:keepNext w:val="0"/>
        <w:widowControl w:val="0"/>
        <w:spacing w:after="200" w:line="340" w:lineRule="atLeast"/>
        <w:jc w:val="center"/>
      </w:pPr>
      <w:r>
        <w:rPr>
          <w:rFonts w:eastAsia="Arial"/>
          <w:color w:val="000000"/>
          <w:sz w:val="28"/>
        </w:rPr>
        <w:t>Shaw v. New York Dep't of Corr. Servs.</w:t>
      </w:r>
    </w:p>
    <w:p w14:paraId="729AC09F" w14:textId="77777777" w:rsidR="00D041A2" w:rsidRDefault="00000000">
      <w:pPr>
        <w:pStyle w:val="Normal26"/>
        <w:widowControl w:val="0"/>
        <w:spacing w:before="120" w:line="260" w:lineRule="atLeast"/>
        <w:jc w:val="center"/>
      </w:pPr>
      <w:r>
        <w:rPr>
          <w:rFonts w:ascii="Arial" w:eastAsia="Arial" w:hAnsi="Arial" w:cs="Arial"/>
          <w:color w:val="000000"/>
          <w:sz w:val="20"/>
        </w:rPr>
        <w:t>United States Court of Appeals for the Second Circuit</w:t>
      </w:r>
    </w:p>
    <w:p w14:paraId="35DC76D1" w14:textId="77777777" w:rsidR="00D041A2" w:rsidRDefault="00000000">
      <w:pPr>
        <w:pStyle w:val="Normal26"/>
        <w:widowControl w:val="0"/>
        <w:spacing w:before="120" w:line="260" w:lineRule="atLeast"/>
        <w:jc w:val="center"/>
      </w:pPr>
      <w:r>
        <w:rPr>
          <w:rFonts w:ascii="Arial" w:eastAsia="Arial" w:hAnsi="Arial" w:cs="Arial"/>
          <w:color w:val="000000"/>
          <w:sz w:val="20"/>
        </w:rPr>
        <w:t>December 15, 2011, Decided</w:t>
      </w:r>
    </w:p>
    <w:p w14:paraId="65C70EDC" w14:textId="77777777" w:rsidR="00D041A2" w:rsidRDefault="00000000">
      <w:pPr>
        <w:pStyle w:val="Normal26"/>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10-3030-pr</w:t>
      </w:r>
    </w:p>
    <w:p w14:paraId="2091ED15" w14:textId="77777777" w:rsidR="00D041A2" w:rsidRDefault="00D041A2">
      <w:pPr>
        <w:pStyle w:val="Normal26"/>
        <w:widowControl w:val="0"/>
        <w:spacing w:line="240" w:lineRule="atLeast"/>
        <w:jc w:val="both"/>
      </w:pPr>
      <w:bookmarkStart w:id="3079" w:name="Bookmark_27"/>
      <w:bookmarkEnd w:id="3079"/>
    </w:p>
    <w:p w14:paraId="19410C55" w14:textId="77777777" w:rsidR="00D041A2" w:rsidRDefault="00000000">
      <w:pPr>
        <w:pStyle w:val="Normal26"/>
        <w:widowControl w:val="0"/>
        <w:spacing w:before="200" w:line="240" w:lineRule="atLeast"/>
      </w:pPr>
      <w:bookmarkStart w:id="3080" w:name="Reporter_25"/>
      <w:bookmarkEnd w:id="3080"/>
      <w:r>
        <w:rPr>
          <w:rFonts w:ascii="Arial" w:eastAsia="Arial" w:hAnsi="Arial" w:cs="Arial"/>
          <w:b/>
          <w:color w:val="000000"/>
          <w:sz w:val="18"/>
        </w:rPr>
        <w:t>Reporter</w:t>
      </w:r>
    </w:p>
    <w:p w14:paraId="6F82DA37" w14:textId="77777777" w:rsidR="00D041A2" w:rsidRDefault="00000000">
      <w:pPr>
        <w:pStyle w:val="Normal26"/>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451 Fed. Appx. 18 *; 2011 U.S. App. LEXIS 24917 **</w:t>
      </w:r>
    </w:p>
    <w:p w14:paraId="09FA58CF" w14:textId="77777777" w:rsidR="00D041A2" w:rsidRDefault="00000000">
      <w:pPr>
        <w:pStyle w:val="Normal26"/>
        <w:widowControl w:val="0"/>
        <w:spacing w:before="120" w:line="260" w:lineRule="atLeast"/>
      </w:pPr>
      <w:r>
        <w:rPr>
          <w:rFonts w:ascii="Arial" w:eastAsia="Arial" w:hAnsi="Arial" w:cs="Arial"/>
          <w:color w:val="000000"/>
          <w:sz w:val="20"/>
        </w:rPr>
        <w:t>RICHARD SHAW, Plaintiff-Appellant, v. THE NEW YORK DEPARTMENT OF CORRECTIONAL SERVICES, BRIAN FISHER, Commissioner; KAREN BELLAMY, Director of Inmate Grievance Program; ROBERT ERCOLE, Superintendent of Green Haven Correctional Facility; and T. ELLERT, Academic Educational Supervisor, Defendants-Appellees</w:t>
      </w:r>
    </w:p>
    <w:p w14:paraId="642DB52B" w14:textId="77777777" w:rsidR="00D041A2" w:rsidRDefault="00000000">
      <w:pPr>
        <w:pStyle w:val="Normal26"/>
        <w:widowControl w:val="0"/>
        <w:spacing w:before="240" w:line="260" w:lineRule="atLeast"/>
        <w:jc w:val="both"/>
      </w:pPr>
      <w:bookmarkStart w:id="3081" w:name="Notice_15"/>
      <w:bookmarkEnd w:id="3081"/>
      <w:r>
        <w:rPr>
          <w:rFonts w:ascii="Arial" w:eastAsia="Arial" w:hAnsi="Arial" w:cs="Arial"/>
          <w:b/>
          <w:color w:val="000000"/>
          <w:sz w:val="20"/>
        </w:rPr>
        <w:t>Notice:</w:t>
      </w:r>
      <w:r>
        <w:rPr>
          <w:rFonts w:ascii="Arial" w:eastAsia="Arial" w:hAnsi="Arial" w:cs="Arial"/>
          <w:color w:val="000000"/>
          <w:sz w:val="20"/>
        </w:rPr>
        <w:t> </w:t>
      </w:r>
      <w:bookmarkStart w:id="3082" w:name="Bookmark_para_1_25"/>
      <w:bookmarkEnd w:id="3082"/>
      <w:r>
        <w:rPr>
          <w:rFonts w:ascii="Arial" w:eastAsia="Arial" w:hAnsi="Arial" w:cs="Arial"/>
          <w:color w:val="000000"/>
          <w:sz w:val="20"/>
        </w:rPr>
        <w:t>PLEASE REFER TO FEDERAL RULES OF APPELLATE PROCEDURE RULE 32.1 GOVERNING THE CITATION TO UNPUBLISHED OPINIONS.</w:t>
      </w:r>
    </w:p>
    <w:p w14:paraId="488C26C2" w14:textId="77777777" w:rsidR="00D041A2" w:rsidRDefault="00000000">
      <w:pPr>
        <w:pStyle w:val="Normal26"/>
        <w:widowControl w:val="0"/>
        <w:spacing w:before="240" w:line="260" w:lineRule="atLeast"/>
      </w:pPr>
      <w:bookmarkStart w:id="3083" w:name="Prior_History_25"/>
      <w:bookmarkEnd w:id="3083"/>
      <w:r>
        <w:rPr>
          <w:rFonts w:ascii="Arial" w:eastAsia="Arial" w:hAnsi="Arial" w:cs="Arial"/>
          <w:b/>
          <w:color w:val="000000"/>
          <w:sz w:val="20"/>
        </w:rPr>
        <w:t>Prior History:</w:t>
      </w:r>
      <w:r>
        <w:rPr>
          <w:rFonts w:ascii="Arial" w:eastAsia="Arial" w:hAnsi="Arial" w:cs="Arial"/>
          <w:color w:val="000000"/>
          <w:sz w:val="20"/>
        </w:rPr>
        <w:t> Shaw v. New York State Dep't of Corr. Servs., 2010 U.S. Dist. LEXIS 53330 (S.D.N.Y., May 27, 2010)</w:t>
      </w:r>
    </w:p>
    <w:p w14:paraId="43B7CF25" w14:textId="77777777" w:rsidR="00D041A2" w:rsidRDefault="00000000">
      <w:pPr>
        <w:pStyle w:val="Normal26"/>
        <w:widowControl w:val="0"/>
        <w:spacing w:before="240" w:line="260" w:lineRule="atLeast"/>
      </w:pPr>
      <w:bookmarkStart w:id="3084" w:name="Counsel_25"/>
      <w:bookmarkEnd w:id="3084"/>
      <w:r>
        <w:rPr>
          <w:rFonts w:ascii="Arial" w:eastAsia="Arial" w:hAnsi="Arial" w:cs="Arial"/>
          <w:b/>
          <w:color w:val="000000"/>
          <w:sz w:val="20"/>
        </w:rPr>
        <w:t>Counsel:</w:t>
      </w:r>
      <w:r>
        <w:rPr>
          <w:rFonts w:ascii="Arial" w:eastAsia="Arial" w:hAnsi="Arial" w:cs="Arial"/>
          <w:color w:val="000000"/>
          <w:sz w:val="20"/>
        </w:rPr>
        <w:t>  [**1] FOR APPELLANT: Veronica Vela, The Legal Aid Society, Prisoners' Right Project, New York, N.Y.</w:t>
      </w:r>
    </w:p>
    <w:p w14:paraId="7D92A324" w14:textId="77777777" w:rsidR="00D041A2" w:rsidRDefault="00000000">
      <w:pPr>
        <w:pStyle w:val="Normal26"/>
        <w:widowControl w:val="0"/>
        <w:spacing w:before="120" w:line="260" w:lineRule="atLeast"/>
      </w:pPr>
      <w:r>
        <w:rPr>
          <w:rFonts w:ascii="Arial" w:eastAsia="Arial" w:hAnsi="Arial" w:cs="Arial"/>
          <w:color w:val="000000"/>
          <w:sz w:val="20"/>
        </w:rPr>
        <w:t>FOR APPELLEES: Sudarsana Srinivasan, Assistant Solicitor General, Office of the N.Y. State Attorney General, New York, N.Y.</w:t>
      </w:r>
    </w:p>
    <w:p w14:paraId="7D89A113" w14:textId="77777777" w:rsidR="00D041A2" w:rsidRDefault="00000000">
      <w:pPr>
        <w:pStyle w:val="Normal26"/>
        <w:widowControl w:val="0"/>
        <w:spacing w:before="240" w:line="260" w:lineRule="atLeast"/>
      </w:pPr>
      <w:bookmarkStart w:id="3085" w:name="Judges_25"/>
      <w:bookmarkEnd w:id="3085"/>
      <w:r>
        <w:rPr>
          <w:rFonts w:ascii="Arial" w:eastAsia="Arial" w:hAnsi="Arial" w:cs="Arial"/>
          <w:b/>
          <w:color w:val="000000"/>
          <w:sz w:val="20"/>
        </w:rPr>
        <w:t>Judges:</w:t>
      </w:r>
      <w:r>
        <w:rPr>
          <w:rFonts w:ascii="Arial" w:eastAsia="Arial" w:hAnsi="Arial" w:cs="Arial"/>
          <w:color w:val="000000"/>
          <w:sz w:val="20"/>
        </w:rPr>
        <w:t xml:space="preserve"> PRESENT: JON O. NEWMAN, PETER W. HALL, Circuit Judges. PAUL G. GARDEPHE, </w:t>
      </w:r>
      <w:r>
        <w:rPr>
          <w:rFonts w:ascii="Arial" w:eastAsia="Arial" w:hAnsi="Arial" w:cs="Arial"/>
          <w:vertAlign w:val="superscript"/>
        </w:rPr>
        <w:footnoteReference w:customMarkFollows="1" w:id="150"/>
        <w:t>*</w:t>
      </w:r>
      <w:r>
        <w:rPr>
          <w:rFonts w:ascii="Arial" w:eastAsia="Arial" w:hAnsi="Arial" w:cs="Arial"/>
          <w:color w:val="000000"/>
          <w:sz w:val="20"/>
        </w:rPr>
        <w:t xml:space="preserve"> District Judge.</w:t>
      </w:r>
    </w:p>
    <w:p w14:paraId="23F53FA1" w14:textId="77777777" w:rsidR="00D041A2" w:rsidRDefault="00000000">
      <w:pPr>
        <w:pStyle w:val="Normal26"/>
        <w:keepNext/>
        <w:widowControl w:val="0"/>
        <w:spacing w:before="240" w:line="340" w:lineRule="atLeast"/>
      </w:pPr>
      <w:bookmarkStart w:id="3087" w:name="Opinion_25"/>
      <w:bookmarkEnd w:id="3087"/>
      <w:r>
        <w:rPr>
          <w:rFonts w:ascii="Arial" w:eastAsia="Arial" w:hAnsi="Arial" w:cs="Arial"/>
          <w:b/>
          <w:color w:val="000000"/>
          <w:sz w:val="28"/>
        </w:rPr>
        <w:t>Opinion</w:t>
      </w:r>
    </w:p>
    <w:p w14:paraId="1296C25B" w14:textId="2464BD4B" w:rsidR="00D041A2" w:rsidRDefault="004D4403">
      <w:pPr>
        <w:pStyle w:val="Normal26"/>
        <w:spacing w:line="60" w:lineRule="exact"/>
      </w:pPr>
      <w:r>
        <w:rPr>
          <w:noProof/>
        </w:rPr>
        <mc:AlternateContent>
          <mc:Choice Requires="wps">
            <w:drawing>
              <wp:anchor distT="0" distB="0" distL="114300" distR="114300" simplePos="0" relativeHeight="251714560" behindDoc="0" locked="0" layoutInCell="1" allowOverlap="1" wp14:anchorId="75D4F152" wp14:editId="746D6912">
                <wp:simplePos x="0" y="0"/>
                <wp:positionH relativeFrom="column">
                  <wp:posOffset>0</wp:posOffset>
                </wp:positionH>
                <wp:positionV relativeFrom="paragraph">
                  <wp:posOffset>25400</wp:posOffset>
                </wp:positionV>
                <wp:extent cx="3187700" cy="0"/>
                <wp:effectExtent l="19050" t="15875" r="12700" b="12700"/>
                <wp:wrapTopAndBottom/>
                <wp:docPr id="30605508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23E74" id="Line 56"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CAADFBF" w14:textId="77777777" w:rsidR="00D041A2" w:rsidRDefault="00D041A2">
      <w:pPr>
        <w:pStyle w:val="Normal26"/>
        <w:spacing w:line="120" w:lineRule="exact"/>
      </w:pPr>
    </w:p>
    <w:p w14:paraId="02566F31" w14:textId="77777777" w:rsidR="00D041A2" w:rsidRDefault="00000000">
      <w:pPr>
        <w:pStyle w:val="Normal26"/>
        <w:widowControl w:val="0"/>
        <w:spacing w:before="240" w:line="260" w:lineRule="atLeast"/>
      </w:pPr>
      <w:r>
        <w:br/>
      </w:r>
      <w:r>
        <w:rPr>
          <w:rFonts w:ascii="Arial" w:eastAsia="Arial" w:hAnsi="Arial" w:cs="Arial"/>
          <w:color w:val="000000"/>
          <w:sz w:val="20"/>
        </w:rPr>
        <w:t xml:space="preserve"> [*19]  </w:t>
      </w:r>
      <w:r>
        <w:rPr>
          <w:rFonts w:ascii="Arial" w:eastAsia="Arial" w:hAnsi="Arial" w:cs="Arial"/>
          <w:b/>
          <w:color w:val="000000"/>
          <w:sz w:val="20"/>
          <w:u w:val="single"/>
        </w:rPr>
        <w:t>SUMMARY ORDER</w:t>
      </w:r>
    </w:p>
    <w:p w14:paraId="48F4653F" w14:textId="77777777" w:rsidR="00D041A2" w:rsidRDefault="00000000">
      <w:pPr>
        <w:pStyle w:val="Normal26"/>
        <w:widowControl w:val="0"/>
        <w:spacing w:before="200" w:line="260" w:lineRule="atLeast"/>
        <w:jc w:val="both"/>
      </w:pPr>
      <w:bookmarkStart w:id="3088" w:name="Bookmark_para_2_25"/>
      <w:bookmarkEnd w:id="3088"/>
      <w:r>
        <w:rPr>
          <w:rFonts w:ascii="Arial" w:eastAsia="Arial" w:hAnsi="Arial" w:cs="Arial"/>
          <w:color w:val="000000"/>
          <w:sz w:val="20"/>
        </w:rPr>
        <w:t>UPON DUE CONSIDERATION, it is hereby ordered that the order of the District Court is VACATED, and the case is REMANDED with directions to stay further Court proceedings pending further administrative proceedings.</w:t>
      </w:r>
    </w:p>
    <w:p w14:paraId="62DCEF70" w14:textId="77777777" w:rsidR="00D041A2" w:rsidRDefault="00000000">
      <w:pPr>
        <w:pStyle w:val="Normal26"/>
        <w:widowControl w:val="0"/>
        <w:spacing w:before="200" w:line="260" w:lineRule="atLeast"/>
        <w:jc w:val="both"/>
      </w:pPr>
      <w:bookmarkStart w:id="3089" w:name="Bookmark_para_3_25"/>
      <w:bookmarkEnd w:id="3089"/>
      <w:r>
        <w:rPr>
          <w:rFonts w:ascii="Arial" w:eastAsia="Arial" w:hAnsi="Arial" w:cs="Arial"/>
          <w:color w:val="000000"/>
          <w:sz w:val="20"/>
        </w:rPr>
        <w:t>Plaintiff-Appellant Richard Shaw, incarcerated at the Green Haven Correctional Facility, appeals an order dismissing his complaint with prejudice pursuant to Rule 12(b)(6) of the Federal Rules of Civil Procedure for failure to state a claim. Shaw's complaint against the Defendants-Appellees prison officials alleged violations of the Americans with Disabilities Act ("ADA") and the Rehabilitation Act, among others. He contended that the Defendants failed to make reasonable accommodation for him in his effort to obtain a GED certificate,  [**2] which he alleged was rendered difficult because of his dyslexia.</w:t>
      </w:r>
    </w:p>
    <w:p w14:paraId="50DA8C74" w14:textId="77777777" w:rsidR="00D041A2" w:rsidRDefault="00000000">
      <w:pPr>
        <w:pStyle w:val="Normal26"/>
        <w:widowControl w:val="0"/>
        <w:spacing w:before="200" w:line="260" w:lineRule="atLeast"/>
        <w:jc w:val="both"/>
      </w:pPr>
      <w:bookmarkStart w:id="3090" w:name="Bookmark_para_4_25"/>
      <w:bookmarkEnd w:id="3090"/>
      <w:r>
        <w:rPr>
          <w:rFonts w:ascii="Arial" w:eastAsia="Arial" w:hAnsi="Arial" w:cs="Arial"/>
          <w:color w:val="000000"/>
          <w:sz w:val="20"/>
        </w:rPr>
        <w:t>We assume the parties' familiarity with the facts and the procedural aspects of this case.</w:t>
      </w:r>
    </w:p>
    <w:p w14:paraId="6B4B2624" w14:textId="77777777" w:rsidR="00D041A2" w:rsidRDefault="00000000">
      <w:pPr>
        <w:pStyle w:val="Normal26"/>
        <w:widowControl w:val="0"/>
        <w:spacing w:before="200" w:line="260" w:lineRule="atLeast"/>
        <w:jc w:val="both"/>
      </w:pPr>
      <w:bookmarkStart w:id="3091" w:name="Bookmark_para_5_25"/>
      <w:bookmarkEnd w:id="3091"/>
      <w:r>
        <w:rPr>
          <w:rFonts w:ascii="Arial" w:eastAsia="Arial" w:hAnsi="Arial" w:cs="Arial"/>
          <w:color w:val="000000"/>
          <w:sz w:val="20"/>
        </w:rPr>
        <w:t>Shaw first sought assistance for his learning disability from the prison medical staff. Notes made by Dr. Bendheim on an "ambulatory health record" indicate that Shaw "want[ed] resolution of his desire to establish the existence of dyslexia in himself. . . . His teacher and counselor have told him that they do not have a test for dyslexia and furthermore that they have no accommodations learning program for students who are dyslexic." However, according  [*20]  to the document, Dr. Bendheim was not able to assist Shaw due to the doctor's lack of training in the area of dyslexia.</w:t>
      </w:r>
    </w:p>
    <w:p w14:paraId="3D03116A" w14:textId="77777777" w:rsidR="00D041A2" w:rsidRDefault="00000000">
      <w:pPr>
        <w:pStyle w:val="Normal26"/>
        <w:widowControl w:val="0"/>
        <w:spacing w:before="200" w:line="260" w:lineRule="atLeast"/>
        <w:jc w:val="both"/>
      </w:pPr>
      <w:bookmarkStart w:id="3092" w:name="Bookmark_para_6_25"/>
      <w:bookmarkEnd w:id="3092"/>
      <w:r>
        <w:rPr>
          <w:rFonts w:ascii="Arial" w:eastAsia="Arial" w:hAnsi="Arial" w:cs="Arial"/>
          <w:color w:val="000000"/>
          <w:sz w:val="20"/>
        </w:rPr>
        <w:t xml:space="preserve">Shaw next sought help from the prison's educational supervisor, Frank Meeuwisse. In response to Shaw's "several requests," Meeuwisse wrote to Shaw, informing him: "Green Haven does not have a qualified person to test dyslexia. . . . There is </w:t>
      </w:r>
      <w:r>
        <w:rPr>
          <w:rFonts w:ascii="Arial" w:eastAsia="Arial" w:hAnsi="Arial" w:cs="Arial"/>
          <w:color w:val="000000"/>
          <w:sz w:val="20"/>
          <w:u w:val="single"/>
        </w:rPr>
        <w:t>no</w:t>
      </w:r>
      <w:r>
        <w:rPr>
          <w:rFonts w:ascii="Arial" w:eastAsia="Arial" w:hAnsi="Arial" w:cs="Arial"/>
          <w:color w:val="000000"/>
          <w:sz w:val="20"/>
        </w:rPr>
        <w:t xml:space="preserve"> special help available, nor has there ever been at [Green Haven]." (double underlining in original)</w:t>
      </w:r>
    </w:p>
    <w:p w14:paraId="39BFDD5C" w14:textId="77777777" w:rsidR="00D041A2" w:rsidRDefault="00000000">
      <w:pPr>
        <w:pStyle w:val="Normal26"/>
        <w:widowControl w:val="0"/>
        <w:spacing w:before="200" w:line="260" w:lineRule="atLeast"/>
        <w:jc w:val="both"/>
      </w:pPr>
      <w:bookmarkStart w:id="3093" w:name="Bookmark_para_7_25"/>
      <w:bookmarkEnd w:id="3093"/>
      <w:r>
        <w:rPr>
          <w:rFonts w:ascii="Arial" w:eastAsia="Arial" w:hAnsi="Arial" w:cs="Arial"/>
          <w:color w:val="000000"/>
          <w:sz w:val="20"/>
        </w:rPr>
        <w:t>Shaw filed a formal complaint with the Grievance Committee regarding his "prolong[ed] learning disability." According to Shaw's  [**3] grievance complaint, because his learning disability had "a direct effect [on his] earning his GED," he sought "policy and procedures allowing those with dyslexia a beneficiary [</w:t>
      </w:r>
      <w:r>
        <w:rPr>
          <w:rFonts w:ascii="Arial" w:eastAsia="Arial" w:hAnsi="Arial" w:cs="Arial"/>
          <w:i/>
          <w:color w:val="000000"/>
          <w:sz w:val="20"/>
        </w:rPr>
        <w:t>sic</w:t>
      </w:r>
      <w:r>
        <w:rPr>
          <w:rFonts w:ascii="Arial" w:eastAsia="Arial" w:hAnsi="Arial" w:cs="Arial"/>
          <w:color w:val="000000"/>
          <w:sz w:val="20"/>
        </w:rPr>
        <w:t>] earning a (GED)," and "accommodating all inmates with learning disabilities." An investigation was apparently conducted by the Inmate Grievance Review Committee. The result was a "split" decision, with "two reps recommend[ing] that [the] educational supervisor and applicant[']s teacher's refusal to make a referral for special education testing and applicant[']s request for dyslexia testing has hindered applicant from educating himself further." The Central Office Review Committee denied Shaw's requested action.</w:t>
      </w:r>
    </w:p>
    <w:p w14:paraId="109BE1B3" w14:textId="77777777" w:rsidR="00D041A2" w:rsidRDefault="00000000">
      <w:pPr>
        <w:pStyle w:val="Normal26"/>
        <w:widowControl w:val="0"/>
        <w:spacing w:before="200" w:line="260" w:lineRule="atLeast"/>
        <w:jc w:val="both"/>
      </w:pPr>
      <w:bookmarkStart w:id="3094" w:name="Bookmark_para_8_24"/>
      <w:bookmarkEnd w:id="3094"/>
      <w:r>
        <w:rPr>
          <w:rFonts w:ascii="Arial" w:eastAsia="Arial" w:hAnsi="Arial" w:cs="Arial"/>
          <w:color w:val="000000"/>
          <w:sz w:val="20"/>
        </w:rPr>
        <w:t xml:space="preserve">Shaw filed suit </w:t>
      </w:r>
      <w:r>
        <w:rPr>
          <w:rFonts w:ascii="Arial" w:eastAsia="Arial" w:hAnsi="Arial" w:cs="Arial"/>
          <w:i/>
          <w:color w:val="000000"/>
          <w:sz w:val="20"/>
        </w:rPr>
        <w:t>pro se</w:t>
      </w:r>
      <w:r>
        <w:rPr>
          <w:rFonts w:ascii="Arial" w:eastAsia="Arial" w:hAnsi="Arial" w:cs="Arial"/>
          <w:color w:val="000000"/>
          <w:sz w:val="20"/>
        </w:rPr>
        <w:t xml:space="preserve"> in the District Court, raising claims under the ADA, the Rehabilitation Act, the Individuals with Disabilities Education Act, the Equal Protection Clause of the Fourteenth Amendment, and 42 U.S.C. § 1983, seeking a declaratory judgment, injunctive relief, and monetary damages. His complaint specifically alleged, among other things, the prison officials' refusal "to accommodate Plaintiff who suffer[s] from dyslexia." The complaint most frequently described the accommodation  [**4] sought as a "special education program" for disabled prisoners. However, the complaint also identified various other means of accommodating his condition, including "teachers[] certified or licensed to teach students with disabilities," and "an expert best qualified to make a diagnos[is] of dyslexia."</w:t>
      </w:r>
    </w:p>
    <w:p w14:paraId="472E4A3F" w14:textId="77777777" w:rsidR="00D041A2" w:rsidRDefault="00000000">
      <w:pPr>
        <w:pStyle w:val="Normal26"/>
        <w:widowControl w:val="0"/>
        <w:spacing w:before="200" w:line="260" w:lineRule="atLeast"/>
        <w:jc w:val="both"/>
      </w:pPr>
      <w:bookmarkStart w:id="3095" w:name="Bookmark_para_9_23"/>
      <w:bookmarkEnd w:id="3095"/>
      <w:r>
        <w:rPr>
          <w:rFonts w:ascii="Arial" w:eastAsia="Arial" w:hAnsi="Arial" w:cs="Arial"/>
          <w:color w:val="000000"/>
          <w:sz w:val="20"/>
        </w:rPr>
        <w:t>The District Court granted the Defendants' motion to dismiss. The District Court read Shaw's complaint as requesting not reasonable accommodation within the existing educational program but "an additional or different substantive educational program tailored to inmates with dyslexia."</w:t>
      </w:r>
    </w:p>
    <w:p w14:paraId="55E331E5" w14:textId="77777777" w:rsidR="00D041A2" w:rsidRDefault="00000000">
      <w:pPr>
        <w:pStyle w:val="Normal26"/>
        <w:widowControl w:val="0"/>
        <w:spacing w:before="200" w:line="260" w:lineRule="atLeast"/>
        <w:jc w:val="both"/>
      </w:pPr>
      <w:bookmarkStart w:id="3096" w:name="Bookmark_para_10_23"/>
      <w:bookmarkStart w:id="3097" w:name="Bookmark_I54N7D242SF7W80020000400"/>
      <w:bookmarkStart w:id="3098" w:name="Bookmark_LNHNREFclscc1_19"/>
      <w:bookmarkEnd w:id="3096"/>
      <w:bookmarkEnd w:id="3097"/>
      <w:bookmarkEnd w:id="3098"/>
      <w:r>
        <w:rPr>
          <w:rFonts w:ascii="Arial" w:eastAsia="Arial" w:hAnsi="Arial" w:cs="Arial"/>
          <w:color w:val="000000"/>
          <w:sz w:val="20"/>
        </w:rPr>
        <w:t xml:space="preserve">This Court reviews </w:t>
      </w:r>
      <w:r>
        <w:rPr>
          <w:rFonts w:ascii="Arial" w:eastAsia="Arial" w:hAnsi="Arial" w:cs="Arial"/>
          <w:i/>
          <w:color w:val="000000"/>
          <w:sz w:val="20"/>
        </w:rPr>
        <w:t>de novo</w:t>
      </w:r>
      <w:r>
        <w:rPr>
          <w:rFonts w:ascii="Arial" w:eastAsia="Arial" w:hAnsi="Arial" w:cs="Arial"/>
          <w:color w:val="000000"/>
          <w:sz w:val="20"/>
        </w:rPr>
        <w:t xml:space="preserve"> a district court's decision to grant a motion to dismiss for failure to state a claim under Rule 12(b)(6). </w:t>
      </w:r>
      <w:bookmarkStart w:id="3099" w:name="Bookmark_I54N7D242SF7W80010000400"/>
      <w:bookmarkEnd w:id="3099"/>
      <w:r>
        <w:rPr>
          <w:rFonts w:ascii="Arial" w:eastAsia="Arial" w:hAnsi="Arial" w:cs="Arial"/>
          <w:i/>
          <w:color w:val="000000"/>
          <w:sz w:val="20"/>
        </w:rPr>
        <w:t>Shomo v. City of New York</w:t>
      </w:r>
      <w:r>
        <w:rPr>
          <w:rFonts w:ascii="Arial" w:eastAsia="Arial" w:hAnsi="Arial" w:cs="Arial"/>
          <w:color w:val="000000"/>
          <w:sz w:val="20"/>
        </w:rPr>
        <w:t xml:space="preserve">, 579 F.3d 176, 183 (2d Cir. 2009). A </w:t>
      </w:r>
      <w:r>
        <w:rPr>
          <w:rFonts w:ascii="Arial" w:eastAsia="Arial" w:hAnsi="Arial" w:cs="Arial"/>
          <w:i/>
          <w:color w:val="000000"/>
          <w:sz w:val="20"/>
        </w:rPr>
        <w:t>pro se</w:t>
      </w:r>
      <w:r>
        <w:rPr>
          <w:rFonts w:ascii="Arial" w:eastAsia="Arial" w:hAnsi="Arial" w:cs="Arial"/>
          <w:color w:val="000000"/>
          <w:sz w:val="20"/>
        </w:rPr>
        <w:t xml:space="preserve"> complaint should generally "be read liberally" and should not be dismissed if there is "any indication that a valid claim might be stated." </w:t>
      </w:r>
      <w:r>
        <w:rPr>
          <w:rFonts w:ascii="Arial" w:eastAsia="Arial" w:hAnsi="Arial" w:cs="Arial"/>
          <w:i/>
          <w:color w:val="000000"/>
          <w:sz w:val="20"/>
        </w:rPr>
        <w:t>Id.</w:t>
      </w:r>
    </w:p>
    <w:p w14:paraId="07FE0453" w14:textId="77777777" w:rsidR="00D041A2" w:rsidRDefault="00000000">
      <w:pPr>
        <w:pStyle w:val="Normal26"/>
        <w:widowControl w:val="0"/>
        <w:spacing w:before="200" w:line="260" w:lineRule="atLeast"/>
        <w:jc w:val="both"/>
      </w:pPr>
      <w:bookmarkStart w:id="3100" w:name="Bookmark_para_11_22"/>
      <w:bookmarkStart w:id="3101" w:name="Bookmark_I54N7D242SF7W80040000400"/>
      <w:bookmarkStart w:id="3102" w:name="Bookmark_LNHNREFclscc2_19"/>
      <w:bookmarkEnd w:id="3100"/>
      <w:bookmarkEnd w:id="3101"/>
      <w:bookmarkEnd w:id="3102"/>
      <w:r>
        <w:rPr>
          <w:rFonts w:ascii="Arial" w:eastAsia="Arial" w:hAnsi="Arial" w:cs="Arial"/>
          <w:color w:val="000000"/>
          <w:sz w:val="20"/>
        </w:rPr>
        <w:t xml:space="preserve">Under the ADA and the Rehabilitation Act, a demand for "reasonable accommodations to assure access to an existing program" is cognizable, but a demand for "additional or different substantive benefits" is not. </w:t>
      </w:r>
      <w:bookmarkStart w:id="3103" w:name="Bookmark_I54N7D242SF7W80030000400"/>
      <w:bookmarkEnd w:id="3103"/>
      <w:r>
        <w:rPr>
          <w:rFonts w:ascii="Arial" w:eastAsia="Arial" w:hAnsi="Arial" w:cs="Arial"/>
          <w:i/>
          <w:color w:val="000000"/>
          <w:sz w:val="20"/>
        </w:rPr>
        <w:t>Wright v. Giuliani</w:t>
      </w:r>
      <w:r>
        <w:rPr>
          <w:rFonts w:ascii="Arial" w:eastAsia="Arial" w:hAnsi="Arial" w:cs="Arial"/>
          <w:color w:val="000000"/>
          <w:sz w:val="20"/>
        </w:rPr>
        <w:t xml:space="preserve">, 230 F.3d 543, 548 (2d Cir. 2000). The  [**5] District Court characterized Shaw's claims as requesting substantially different educational services from those already offered at the prison. The lack of clarity of the </w:t>
      </w:r>
      <w:r>
        <w:rPr>
          <w:rFonts w:ascii="Arial" w:eastAsia="Arial" w:hAnsi="Arial" w:cs="Arial"/>
          <w:i/>
          <w:color w:val="000000"/>
          <w:sz w:val="20"/>
        </w:rPr>
        <w:t>pro se</w:t>
      </w:r>
      <w:r>
        <w:rPr>
          <w:rFonts w:ascii="Arial" w:eastAsia="Arial" w:hAnsi="Arial" w:cs="Arial"/>
          <w:color w:val="000000"/>
          <w:sz w:val="20"/>
        </w:rPr>
        <w:t xml:space="preserve"> complaint undoubtedly led the Court to this understanding. However, the complaint referred to failure to "accommodate," and counsel on appeal has elaborated that contention by listing a number of possible accommodations, including oral examinations, recorded lectures, and providing Plaintiff lecture notes. </w:t>
      </w:r>
      <w:bookmarkStart w:id="3104" w:name="Bookmark_I54N7D242D6MSD0010000400"/>
      <w:bookmarkEnd w:id="3104"/>
      <w:r>
        <w:rPr>
          <w:rFonts w:ascii="Arial" w:eastAsia="Arial" w:hAnsi="Arial" w:cs="Arial"/>
          <w:color w:val="000000"/>
          <w:sz w:val="20"/>
        </w:rPr>
        <w:t xml:space="preserve">Other possibilities that might be especially suitable for a person afflicted with dyslexia are additional  [*21]  time for test-taking and allowing the student to dictate answers to essay questions. Generously read, the complaint was sufficient to survive a motion to dismiss. </w:t>
      </w:r>
      <w:r>
        <w:rPr>
          <w:rFonts w:ascii="Arial" w:eastAsia="Arial" w:hAnsi="Arial" w:cs="Arial"/>
          <w:i/>
          <w:color w:val="000000"/>
          <w:sz w:val="20"/>
        </w:rPr>
        <w:t xml:space="preserve">See </w:t>
      </w:r>
      <w:bookmarkStart w:id="3105" w:name="Bookmark_I54N7D242SF7W80050000400"/>
      <w:bookmarkEnd w:id="3105"/>
      <w:r>
        <w:rPr>
          <w:rFonts w:ascii="Arial" w:eastAsia="Arial" w:hAnsi="Arial" w:cs="Arial"/>
          <w:i/>
          <w:color w:val="000000"/>
          <w:sz w:val="20"/>
        </w:rPr>
        <w:t>Fulton v. Goord</w:t>
      </w:r>
      <w:r>
        <w:rPr>
          <w:rFonts w:ascii="Arial" w:eastAsia="Arial" w:hAnsi="Arial" w:cs="Arial"/>
          <w:color w:val="000000"/>
          <w:sz w:val="20"/>
        </w:rPr>
        <w:t xml:space="preserve">, 591 F.3d 37, 44 (2d Cir. 2009); </w:t>
      </w:r>
      <w:bookmarkStart w:id="3106" w:name="Bookmark_I54N7D242D6MSD0020000400"/>
      <w:bookmarkEnd w:id="3106"/>
      <w:r>
        <w:rPr>
          <w:rFonts w:ascii="Arial" w:eastAsia="Arial" w:hAnsi="Arial" w:cs="Arial"/>
          <w:i/>
          <w:color w:val="000000"/>
          <w:sz w:val="20"/>
        </w:rPr>
        <w:t>Henrietta D. v. Bloomberg</w:t>
      </w:r>
      <w:r>
        <w:rPr>
          <w:rFonts w:ascii="Arial" w:eastAsia="Arial" w:hAnsi="Arial" w:cs="Arial"/>
          <w:color w:val="000000"/>
          <w:sz w:val="20"/>
        </w:rPr>
        <w:t>, 331 F.3d 261, 276-77 (2d Cir. 2003) (</w:t>
      </w:r>
      <w:bookmarkStart w:id="3107" w:name="Bookmark_LNHNREFclscc3_17"/>
      <w:bookmarkEnd w:id="3107"/>
      <w:r>
        <w:rPr>
          <w:rFonts w:ascii="Arial" w:eastAsia="Arial" w:hAnsi="Arial" w:cs="Arial"/>
          <w:color w:val="000000"/>
          <w:sz w:val="20"/>
        </w:rPr>
        <w:t>"[T]he demonstration that a disability makes it difficult for a plaintiff to access benefits that are available to both those with and without disabilities is sufficient to sustain a claim for a reasonable accommodation.").</w:t>
      </w:r>
    </w:p>
    <w:p w14:paraId="36F8875F" w14:textId="77777777" w:rsidR="00D041A2" w:rsidRDefault="00000000">
      <w:pPr>
        <w:pStyle w:val="Normal26"/>
        <w:widowControl w:val="0"/>
        <w:spacing w:before="200" w:line="260" w:lineRule="atLeast"/>
        <w:jc w:val="both"/>
      </w:pPr>
      <w:bookmarkStart w:id="3108" w:name="Bookmark_para_12_21"/>
      <w:bookmarkEnd w:id="3108"/>
      <w:r>
        <w:rPr>
          <w:rFonts w:ascii="Arial" w:eastAsia="Arial" w:hAnsi="Arial" w:cs="Arial"/>
          <w:color w:val="000000"/>
          <w:sz w:val="20"/>
        </w:rPr>
        <w:t>The Defendants-Appellees contend that, even if the complaint could fairly be read to request reasonable accommodation,  [**6] Shaw has not exhausted his administrative remedies with regard to that request. We disagree. Shaw's formal grievance complaint sought "accommodati[on]" in the educational program, and he provided prison officials with a sufficient opportunity to understand and remedy his grievance.</w:t>
      </w:r>
    </w:p>
    <w:p w14:paraId="776E0939" w14:textId="77777777" w:rsidR="00D041A2" w:rsidRDefault="00000000">
      <w:pPr>
        <w:pStyle w:val="Normal26"/>
        <w:widowControl w:val="0"/>
        <w:spacing w:before="200" w:line="260" w:lineRule="atLeast"/>
        <w:jc w:val="both"/>
      </w:pPr>
      <w:bookmarkStart w:id="3109" w:name="Bookmark_para_13_20"/>
      <w:bookmarkEnd w:id="3109"/>
      <w:r>
        <w:rPr>
          <w:rFonts w:ascii="Arial" w:eastAsia="Arial" w:hAnsi="Arial" w:cs="Arial"/>
          <w:color w:val="000000"/>
          <w:sz w:val="20"/>
        </w:rPr>
        <w:t>At oral argument, we were advised that within the grievance review procedure there are two offices with authority to consider a grievance such as Shaw's and that, through no fault of Shaw's, the matter was considered by only one of them. Oral argument further developed the desirability of affording the other office an opportunity to consider Shaw's grievance and determine whether some accommodation can reasonably be made.</w:t>
      </w:r>
    </w:p>
    <w:p w14:paraId="5364B502" w14:textId="77777777" w:rsidR="00D041A2" w:rsidRDefault="00000000">
      <w:pPr>
        <w:pStyle w:val="Normal26"/>
        <w:widowControl w:val="0"/>
        <w:spacing w:before="200" w:line="260" w:lineRule="atLeast"/>
        <w:jc w:val="both"/>
      </w:pPr>
      <w:bookmarkStart w:id="3110" w:name="Bookmark_para_14_18"/>
      <w:bookmarkStart w:id="3111" w:name="Bookmark_I54N7D242D6MSD0050000400"/>
      <w:bookmarkEnd w:id="3110"/>
      <w:bookmarkEnd w:id="3111"/>
      <w:r>
        <w:rPr>
          <w:rFonts w:ascii="Arial" w:eastAsia="Arial" w:hAnsi="Arial" w:cs="Arial"/>
          <w:color w:val="000000"/>
          <w:sz w:val="20"/>
        </w:rPr>
        <w:t xml:space="preserve">Accordingly, we will vacate the District Court's order and remand the case with directions to stay further court proceedings until Shaw's request for accommodation has been more fully reviewed within the prison grievance system. </w:t>
      </w:r>
      <w:r>
        <w:rPr>
          <w:rFonts w:ascii="Arial" w:eastAsia="Arial" w:hAnsi="Arial" w:cs="Arial"/>
          <w:i/>
          <w:color w:val="000000"/>
          <w:sz w:val="20"/>
        </w:rPr>
        <w:t xml:space="preserve">See </w:t>
      </w:r>
      <w:bookmarkStart w:id="3112" w:name="Bookmark_I54N7D242D6MSD0040000400"/>
      <w:bookmarkEnd w:id="3112"/>
      <w:r>
        <w:rPr>
          <w:rFonts w:ascii="Arial" w:eastAsia="Arial" w:hAnsi="Arial" w:cs="Arial"/>
          <w:i/>
          <w:color w:val="000000"/>
          <w:sz w:val="20"/>
        </w:rPr>
        <w:t>WorldCrisa Corp. v. Armstrong</w:t>
      </w:r>
      <w:r>
        <w:rPr>
          <w:rFonts w:ascii="Arial" w:eastAsia="Arial" w:hAnsi="Arial" w:cs="Arial"/>
          <w:color w:val="000000"/>
          <w:sz w:val="20"/>
        </w:rPr>
        <w:t>, 129 F.3d 71, 76 (2d Cir. 1997). If the matter is not resolved administratively within 120 days, Shaw may return to the District Court to pursue his claim, at which time the District Court might wish to consider affording him the  [**7] opportunity to amend his complaint. We will expect counsel for the Defendants-Appellants to render assistance in assuring that Shaw's grievance is promptly considered by the appropriate prison officials.</w:t>
      </w:r>
    </w:p>
    <w:p w14:paraId="5980FDBE" w14:textId="77777777" w:rsidR="00D041A2" w:rsidRDefault="00D041A2">
      <w:pPr>
        <w:pStyle w:val="Normal26"/>
      </w:pPr>
    </w:p>
    <w:p w14:paraId="44935111" w14:textId="04F155BD" w:rsidR="00D041A2" w:rsidRDefault="00000000">
      <w:pPr>
        <w:pStyle w:val="Normal26"/>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15584" behindDoc="0" locked="0" layoutInCell="1" allowOverlap="1" wp14:anchorId="053AD233" wp14:editId="3B569DD2">
                <wp:simplePos x="0" y="0"/>
                <wp:positionH relativeFrom="column">
                  <wp:posOffset>0</wp:posOffset>
                </wp:positionH>
                <wp:positionV relativeFrom="paragraph">
                  <wp:posOffset>127000</wp:posOffset>
                </wp:positionV>
                <wp:extent cx="6502400" cy="0"/>
                <wp:effectExtent l="9525" t="12700" r="12700" b="6350"/>
                <wp:wrapNone/>
                <wp:docPr id="1828134204"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6069C" id="Line 5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299DA5B" w14:textId="77777777" w:rsidR="00D041A2" w:rsidRDefault="00D041A2">
      <w:pPr>
        <w:pStyle w:val="Normal27"/>
        <w:sectPr w:rsidR="00D041A2">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gutter="0"/>
          <w:cols w:space="720"/>
          <w:titlePg/>
        </w:sectPr>
      </w:pPr>
    </w:p>
    <w:p w14:paraId="435AC573" w14:textId="77777777" w:rsidR="00D041A2" w:rsidRDefault="00D041A2">
      <w:pPr>
        <w:pStyle w:val="Normal27"/>
      </w:pPr>
    </w:p>
    <w:p w14:paraId="0C55B84E" w14:textId="77777777" w:rsidR="00D041A2" w:rsidRDefault="00000000">
      <w:pPr>
        <w:pStyle w:val="Heading126"/>
        <w:keepNext w:val="0"/>
        <w:widowControl w:val="0"/>
        <w:spacing w:after="200" w:line="340" w:lineRule="atLeast"/>
        <w:jc w:val="center"/>
      </w:pPr>
      <w:r>
        <w:rPr>
          <w:rFonts w:eastAsia="Arial"/>
          <w:color w:val="000000"/>
          <w:sz w:val="28"/>
        </w:rPr>
        <w:t>Norkunas v. Seahorse NB, LLC</w:t>
      </w:r>
    </w:p>
    <w:p w14:paraId="4F8C2E8C" w14:textId="77777777" w:rsidR="00D041A2" w:rsidRDefault="00000000">
      <w:pPr>
        <w:pStyle w:val="Normal27"/>
        <w:widowControl w:val="0"/>
        <w:spacing w:before="120" w:line="260" w:lineRule="atLeast"/>
        <w:jc w:val="center"/>
      </w:pPr>
      <w:r>
        <w:rPr>
          <w:rFonts w:ascii="Arial" w:eastAsia="Arial" w:hAnsi="Arial" w:cs="Arial"/>
          <w:color w:val="000000"/>
          <w:sz w:val="20"/>
        </w:rPr>
        <w:t>United States Court of Appeals for the Eleventh Circuit</w:t>
      </w:r>
    </w:p>
    <w:p w14:paraId="4FE2A320" w14:textId="77777777" w:rsidR="00D041A2" w:rsidRDefault="00000000">
      <w:pPr>
        <w:pStyle w:val="Normal27"/>
        <w:widowControl w:val="0"/>
        <w:spacing w:before="120" w:line="260" w:lineRule="atLeast"/>
        <w:jc w:val="center"/>
      </w:pPr>
      <w:r>
        <w:rPr>
          <w:rFonts w:ascii="Arial" w:eastAsia="Arial" w:hAnsi="Arial" w:cs="Arial"/>
          <w:color w:val="000000"/>
          <w:sz w:val="20"/>
        </w:rPr>
        <w:t>October 25, 2011, Decided; October 25, 2011, Filed</w:t>
      </w:r>
    </w:p>
    <w:p w14:paraId="4498DC8A" w14:textId="77777777" w:rsidR="00D041A2" w:rsidRDefault="00000000">
      <w:pPr>
        <w:pStyle w:val="Normal27"/>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11-12402 Non-Argument Calendar</w:t>
      </w:r>
    </w:p>
    <w:p w14:paraId="375172C6" w14:textId="77777777" w:rsidR="00D041A2" w:rsidRDefault="00D041A2">
      <w:pPr>
        <w:pStyle w:val="Normal27"/>
        <w:widowControl w:val="0"/>
        <w:spacing w:line="240" w:lineRule="atLeast"/>
        <w:jc w:val="both"/>
      </w:pPr>
      <w:bookmarkStart w:id="3113" w:name="Bookmark_28"/>
      <w:bookmarkEnd w:id="3113"/>
    </w:p>
    <w:p w14:paraId="4AACEB33" w14:textId="77777777" w:rsidR="00D041A2" w:rsidRDefault="00000000">
      <w:pPr>
        <w:pStyle w:val="Normal27"/>
        <w:widowControl w:val="0"/>
        <w:spacing w:before="200" w:line="240" w:lineRule="atLeast"/>
      </w:pPr>
      <w:bookmarkStart w:id="3114" w:name="Reporter_26"/>
      <w:bookmarkEnd w:id="3114"/>
      <w:r>
        <w:rPr>
          <w:rFonts w:ascii="Arial" w:eastAsia="Arial" w:hAnsi="Arial" w:cs="Arial"/>
          <w:b/>
          <w:color w:val="000000"/>
          <w:sz w:val="18"/>
        </w:rPr>
        <w:t>Reporter</w:t>
      </w:r>
    </w:p>
    <w:p w14:paraId="66C7D220" w14:textId="77777777" w:rsidR="00D041A2" w:rsidRDefault="00000000">
      <w:pPr>
        <w:pStyle w:val="Normal27"/>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444 Fed. Appx. 412 *; 2011 U.S. App. LEXIS 21728 **</w:t>
      </w:r>
    </w:p>
    <w:p w14:paraId="1AD50439" w14:textId="77777777" w:rsidR="00D041A2" w:rsidRDefault="00000000">
      <w:pPr>
        <w:pStyle w:val="Normal27"/>
        <w:widowControl w:val="0"/>
        <w:spacing w:before="120" w:line="260" w:lineRule="atLeast"/>
      </w:pPr>
      <w:r>
        <w:rPr>
          <w:rFonts w:ascii="Arial" w:eastAsia="Arial" w:hAnsi="Arial" w:cs="Arial"/>
          <w:color w:val="000000"/>
          <w:sz w:val="20"/>
        </w:rPr>
        <w:t>BILL NORKUNAS, Individually, Plaintiff-Appellant, versus SEAHORSE NB, LLC, A Florida Limited Liability Company, Defendant-Appellee.</w:t>
      </w:r>
    </w:p>
    <w:p w14:paraId="790FB613" w14:textId="77777777" w:rsidR="00D041A2" w:rsidRDefault="00000000">
      <w:pPr>
        <w:pStyle w:val="Normal27"/>
        <w:widowControl w:val="0"/>
        <w:spacing w:before="240" w:line="260" w:lineRule="atLeast"/>
        <w:jc w:val="both"/>
      </w:pPr>
      <w:bookmarkStart w:id="3115" w:name="Notice_16"/>
      <w:bookmarkEnd w:id="3115"/>
      <w:r>
        <w:rPr>
          <w:rFonts w:ascii="Arial" w:eastAsia="Arial" w:hAnsi="Arial" w:cs="Arial"/>
          <w:b/>
          <w:color w:val="000000"/>
          <w:sz w:val="20"/>
        </w:rPr>
        <w:t>Notice:</w:t>
      </w:r>
      <w:r>
        <w:rPr>
          <w:rFonts w:ascii="Arial" w:eastAsia="Arial" w:hAnsi="Arial" w:cs="Arial"/>
          <w:color w:val="000000"/>
          <w:sz w:val="20"/>
        </w:rPr>
        <w:t> </w:t>
      </w:r>
      <w:bookmarkStart w:id="3116" w:name="Bookmark_para_1_26"/>
      <w:bookmarkEnd w:id="3116"/>
      <w:r>
        <w:rPr>
          <w:rFonts w:ascii="Arial" w:eastAsia="Arial" w:hAnsi="Arial" w:cs="Arial"/>
          <w:color w:val="000000"/>
          <w:sz w:val="20"/>
        </w:rPr>
        <w:t>PLEASE REFER TO FEDERAL RULES OF APPELLATE PROCEDURE RULE 32.1 GOVERNING THE CITATION TO UNPUBLISHED OPINIONS.</w:t>
      </w:r>
    </w:p>
    <w:p w14:paraId="6AC90005" w14:textId="77777777" w:rsidR="00D041A2" w:rsidRDefault="00000000">
      <w:pPr>
        <w:pStyle w:val="Normal27"/>
        <w:widowControl w:val="0"/>
        <w:spacing w:before="240" w:line="260" w:lineRule="atLeast"/>
        <w:jc w:val="both"/>
      </w:pPr>
      <w:bookmarkStart w:id="3117" w:name="Prior_History_26"/>
      <w:bookmarkEnd w:id="3117"/>
      <w:r>
        <w:rPr>
          <w:rFonts w:ascii="Arial" w:eastAsia="Arial" w:hAnsi="Arial" w:cs="Arial"/>
          <w:b/>
          <w:color w:val="000000"/>
          <w:sz w:val="20"/>
        </w:rPr>
        <w:t>Prior History:</w:t>
      </w:r>
      <w:r>
        <w:rPr>
          <w:rFonts w:ascii="Arial" w:eastAsia="Arial" w:hAnsi="Arial" w:cs="Arial"/>
          <w:color w:val="000000"/>
          <w:sz w:val="20"/>
        </w:rPr>
        <w:t>  [**1] </w:t>
      </w:r>
      <w:bookmarkStart w:id="3118" w:name="Bookmark_para_2_26"/>
      <w:bookmarkEnd w:id="3118"/>
      <w:r>
        <w:rPr>
          <w:rFonts w:ascii="Arial" w:eastAsia="Arial" w:hAnsi="Arial" w:cs="Arial"/>
          <w:color w:val="000000"/>
          <w:sz w:val="20"/>
        </w:rPr>
        <w:t>Appeal from the United States District Court for the Middle District of Florida. D.C. Docket No. 3:09-cv-00934-TJC-MCR.</w:t>
      </w:r>
    </w:p>
    <w:p w14:paraId="3C12A93E" w14:textId="77777777" w:rsidR="00D041A2" w:rsidRDefault="00000000">
      <w:pPr>
        <w:pStyle w:val="Normal27"/>
        <w:widowControl w:val="0"/>
        <w:spacing w:before="120" w:line="260" w:lineRule="atLeast"/>
      </w:pPr>
      <w:r>
        <w:rPr>
          <w:rFonts w:ascii="Arial" w:eastAsia="Arial" w:hAnsi="Arial" w:cs="Arial"/>
          <w:color w:val="000000"/>
          <w:sz w:val="20"/>
        </w:rPr>
        <w:t>Norkunas v. Seahorse NB, LLC, 2011 U.S. Dist. LEXIS 54555 (M.D. Fla., May 23, 2011)</w:t>
      </w:r>
    </w:p>
    <w:p w14:paraId="32F378E1" w14:textId="77777777" w:rsidR="00D041A2" w:rsidRDefault="00000000">
      <w:pPr>
        <w:pStyle w:val="Normal27"/>
        <w:widowControl w:val="0"/>
        <w:spacing w:before="240" w:line="260" w:lineRule="atLeast"/>
        <w:jc w:val="both"/>
      </w:pPr>
      <w:bookmarkStart w:id="3119" w:name="Disposition_7"/>
      <w:bookmarkEnd w:id="3119"/>
      <w:r>
        <w:rPr>
          <w:rFonts w:ascii="Arial" w:eastAsia="Arial" w:hAnsi="Arial" w:cs="Arial"/>
          <w:b/>
          <w:color w:val="000000"/>
          <w:sz w:val="20"/>
        </w:rPr>
        <w:t>Disposition:</w:t>
      </w:r>
      <w:r>
        <w:rPr>
          <w:rFonts w:ascii="Arial" w:eastAsia="Arial" w:hAnsi="Arial" w:cs="Arial"/>
          <w:color w:val="000000"/>
          <w:sz w:val="20"/>
        </w:rPr>
        <w:t> </w:t>
      </w:r>
      <w:bookmarkStart w:id="3120" w:name="Bookmark_clspara_5_3"/>
      <w:bookmarkEnd w:id="3120"/>
      <w:r>
        <w:rPr>
          <w:rFonts w:ascii="Arial" w:eastAsia="Arial" w:hAnsi="Arial" w:cs="Arial"/>
          <w:color w:val="000000"/>
          <w:sz w:val="20"/>
        </w:rPr>
        <w:t>AFFIRMED.</w:t>
      </w:r>
    </w:p>
    <w:p w14:paraId="417122E9" w14:textId="77777777" w:rsidR="00D041A2" w:rsidRDefault="00000000">
      <w:pPr>
        <w:pStyle w:val="Normal27"/>
        <w:widowControl w:val="0"/>
        <w:spacing w:before="240" w:line="260" w:lineRule="atLeast"/>
      </w:pPr>
      <w:bookmarkStart w:id="3121" w:name="Counsel_26"/>
      <w:bookmarkEnd w:id="3121"/>
      <w:r>
        <w:rPr>
          <w:rFonts w:ascii="Arial" w:eastAsia="Arial" w:hAnsi="Arial" w:cs="Arial"/>
          <w:b/>
          <w:color w:val="000000"/>
          <w:sz w:val="20"/>
        </w:rPr>
        <w:t>Counsel:</w:t>
      </w:r>
      <w:r>
        <w:rPr>
          <w:rFonts w:ascii="Arial" w:eastAsia="Arial" w:hAnsi="Arial" w:cs="Arial"/>
          <w:color w:val="000000"/>
          <w:sz w:val="20"/>
        </w:rPr>
        <w:t> For BILL NORKUNAS, Plaintiff - Appellant: Thomas B. Bacon, Thomas B. Bacon, PA, COOPER CITY, FL.</w:t>
      </w:r>
    </w:p>
    <w:p w14:paraId="2C550FF3" w14:textId="77777777" w:rsidR="00D041A2" w:rsidRDefault="00000000">
      <w:pPr>
        <w:pStyle w:val="Normal27"/>
        <w:widowControl w:val="0"/>
        <w:spacing w:before="120" w:line="260" w:lineRule="atLeast"/>
      </w:pPr>
      <w:r>
        <w:rPr>
          <w:rFonts w:ascii="Arial" w:eastAsia="Arial" w:hAnsi="Arial" w:cs="Arial"/>
          <w:color w:val="000000"/>
          <w:sz w:val="20"/>
        </w:rPr>
        <w:t>For SEAHORSE NB, LLC, A Florida Limited Liability Company, Defendant - Appellee: C. Rufus Pennington, III, Margol &amp; Pennington, PA, JACKSONVILLE, FL.</w:t>
      </w:r>
    </w:p>
    <w:p w14:paraId="5651A5CF" w14:textId="77777777" w:rsidR="00D041A2" w:rsidRDefault="00000000">
      <w:pPr>
        <w:pStyle w:val="Normal27"/>
        <w:widowControl w:val="0"/>
        <w:spacing w:before="240" w:line="260" w:lineRule="atLeast"/>
      </w:pPr>
      <w:bookmarkStart w:id="3122" w:name="Judges_26"/>
      <w:bookmarkEnd w:id="3122"/>
      <w:r>
        <w:rPr>
          <w:rFonts w:ascii="Arial" w:eastAsia="Arial" w:hAnsi="Arial" w:cs="Arial"/>
          <w:b/>
          <w:color w:val="000000"/>
          <w:sz w:val="20"/>
        </w:rPr>
        <w:t>Judges:</w:t>
      </w:r>
      <w:r>
        <w:rPr>
          <w:rFonts w:ascii="Arial" w:eastAsia="Arial" w:hAnsi="Arial" w:cs="Arial"/>
          <w:color w:val="000000"/>
          <w:sz w:val="20"/>
        </w:rPr>
        <w:t> Before HULL, WILSON and PRYOR, Circuit Judges.</w:t>
      </w:r>
    </w:p>
    <w:p w14:paraId="1552C973" w14:textId="77777777" w:rsidR="00D041A2" w:rsidRDefault="00000000">
      <w:pPr>
        <w:pStyle w:val="Normal27"/>
        <w:keepNext/>
        <w:widowControl w:val="0"/>
        <w:spacing w:before="240" w:line="340" w:lineRule="atLeast"/>
      </w:pPr>
      <w:bookmarkStart w:id="3123" w:name="Opinion_26"/>
      <w:bookmarkEnd w:id="3123"/>
      <w:r>
        <w:rPr>
          <w:rFonts w:ascii="Arial" w:eastAsia="Arial" w:hAnsi="Arial" w:cs="Arial"/>
          <w:b/>
          <w:color w:val="000000"/>
          <w:sz w:val="28"/>
        </w:rPr>
        <w:t>Opinion</w:t>
      </w:r>
    </w:p>
    <w:p w14:paraId="2406ECB0" w14:textId="57902F5A" w:rsidR="00D041A2" w:rsidRDefault="004D4403">
      <w:pPr>
        <w:pStyle w:val="Normal27"/>
        <w:spacing w:line="60" w:lineRule="exact"/>
      </w:pPr>
      <w:r>
        <w:rPr>
          <w:noProof/>
        </w:rPr>
        <mc:AlternateContent>
          <mc:Choice Requires="wps">
            <w:drawing>
              <wp:anchor distT="0" distB="0" distL="114300" distR="114300" simplePos="0" relativeHeight="251716608" behindDoc="0" locked="0" layoutInCell="1" allowOverlap="1" wp14:anchorId="3C9EA84C" wp14:editId="090673AB">
                <wp:simplePos x="0" y="0"/>
                <wp:positionH relativeFrom="column">
                  <wp:posOffset>0</wp:posOffset>
                </wp:positionH>
                <wp:positionV relativeFrom="paragraph">
                  <wp:posOffset>25400</wp:posOffset>
                </wp:positionV>
                <wp:extent cx="3187700" cy="0"/>
                <wp:effectExtent l="19050" t="15875" r="12700" b="12700"/>
                <wp:wrapTopAndBottom/>
                <wp:docPr id="1743263214"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E6F20" id="Line 5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8B2E059" w14:textId="77777777" w:rsidR="00D041A2" w:rsidRDefault="00D041A2">
      <w:pPr>
        <w:pStyle w:val="Normal27"/>
      </w:pPr>
    </w:p>
    <w:p w14:paraId="415589F4" w14:textId="77777777" w:rsidR="00D041A2" w:rsidRDefault="00000000">
      <w:pPr>
        <w:pStyle w:val="Normal27"/>
        <w:widowControl w:val="0"/>
        <w:spacing w:before="200" w:line="260" w:lineRule="atLeast"/>
        <w:jc w:val="both"/>
      </w:pPr>
      <w:bookmarkStart w:id="3124" w:name="Bookmark_para_3_26"/>
      <w:bookmarkEnd w:id="3124"/>
      <w:r>
        <w:rPr>
          <w:rFonts w:ascii="Arial" w:eastAsia="Arial" w:hAnsi="Arial" w:cs="Arial"/>
          <w:color w:val="000000"/>
          <w:sz w:val="20"/>
        </w:rPr>
        <w:t> [*414]  PER CURIAM:</w:t>
      </w:r>
    </w:p>
    <w:p w14:paraId="099A2465" w14:textId="77777777" w:rsidR="00D041A2" w:rsidRDefault="00000000">
      <w:pPr>
        <w:pStyle w:val="Normal27"/>
        <w:widowControl w:val="0"/>
        <w:spacing w:before="200" w:line="260" w:lineRule="atLeast"/>
        <w:jc w:val="both"/>
      </w:pPr>
      <w:bookmarkStart w:id="3125" w:name="Bookmark_para_4_26"/>
      <w:bookmarkEnd w:id="3125"/>
      <w:r>
        <w:rPr>
          <w:rFonts w:ascii="Arial" w:eastAsia="Arial" w:hAnsi="Arial" w:cs="Arial"/>
          <w:color w:val="000000"/>
          <w:sz w:val="20"/>
        </w:rPr>
        <w:t>Bill Norkunas, who suffers from post-polio syndrome, brought an action under Title III of the Americans with Disabilities Act ("ADA") 42 U.S.C. §§ 12181-12189 against Seahorse NB, LLC ("Seahorse"), alleging the existence of barriers at its property, the Seahorse Oceanfront Inn ("the Seahorse Inn"). The Seahorse Inn was built in the 1950s prior to the enactment of the ADA, and Seahorse constructed a non-accessible walkway to the beach in 1999. On June 16, 2010, the district court partially granted Seahorse's Motion to Dismiss based on lack of standing and limited the scope of the suit to exclude the two designated accessible motel rooms. The district court conducted a bench trial on February 14, 2011. On May 23, 2011, the district court found that Norkunas failed  [**2] to establish continuing discrimination under Title III of the ADA and so entered judgment for Seahorse.</w:t>
      </w:r>
    </w:p>
    <w:p w14:paraId="7972E67E" w14:textId="77777777" w:rsidR="00D041A2" w:rsidRDefault="00000000">
      <w:pPr>
        <w:pStyle w:val="Normal27"/>
        <w:widowControl w:val="0"/>
        <w:spacing w:before="200" w:line="260" w:lineRule="atLeast"/>
        <w:jc w:val="both"/>
      </w:pPr>
      <w:bookmarkStart w:id="3126" w:name="Bookmark_para_5_26"/>
      <w:bookmarkEnd w:id="3126"/>
      <w:r>
        <w:rPr>
          <w:rFonts w:ascii="Arial" w:eastAsia="Arial" w:hAnsi="Arial" w:cs="Arial"/>
          <w:color w:val="000000"/>
          <w:sz w:val="20"/>
        </w:rPr>
        <w:t>Norkunas raises five issues on appeal: (1) whether the district court erred in ruling that the Plaintiff lacked standing to seek injunctive relief over the designated accessible rooms; (2) whether the district court applied the proper standard and burden of proof in its analysis of the dune walkway claim; (3) whether the district court applied the proper standard and burden of proof when analyzing claims involving elements of the Seahorse Inn constructed before the enactment of the ADA; (4) whether the district court properly admitted testimony from Seahorse's owner and expert at trial; and (5) whether the district court erred in finding that the Seahorse Inn's parking was ADA compliant.</w:t>
      </w:r>
    </w:p>
    <w:p w14:paraId="48016BA1" w14:textId="77777777" w:rsidR="00D041A2" w:rsidRDefault="00000000">
      <w:pPr>
        <w:pStyle w:val="Normal27"/>
        <w:widowControl w:val="0"/>
        <w:spacing w:before="240" w:line="260" w:lineRule="atLeast"/>
      </w:pPr>
      <w:r>
        <w:br/>
      </w:r>
      <w:r>
        <w:rPr>
          <w:rFonts w:ascii="Arial" w:eastAsia="Arial" w:hAnsi="Arial" w:cs="Arial"/>
          <w:b/>
          <w:color w:val="000000"/>
          <w:sz w:val="20"/>
        </w:rPr>
        <w:t>DISCUSSION</w:t>
      </w:r>
    </w:p>
    <w:p w14:paraId="798AE311" w14:textId="77777777" w:rsidR="00D041A2" w:rsidRDefault="00000000">
      <w:pPr>
        <w:pStyle w:val="Normal27"/>
        <w:widowControl w:val="0"/>
        <w:spacing w:before="200" w:line="260" w:lineRule="atLeast"/>
        <w:jc w:val="both"/>
      </w:pPr>
      <w:bookmarkStart w:id="3127" w:name="Bookmark_para_6_26"/>
      <w:bookmarkEnd w:id="3127"/>
      <w:r>
        <w:rPr>
          <w:rFonts w:ascii="Arial" w:eastAsia="Arial" w:hAnsi="Arial" w:cs="Arial"/>
          <w:color w:val="000000"/>
          <w:sz w:val="20"/>
        </w:rPr>
        <w:t>Title III of the ADA provides that:</w:t>
      </w:r>
    </w:p>
    <w:p w14:paraId="6035EC60" w14:textId="77777777" w:rsidR="00D041A2" w:rsidRDefault="00000000">
      <w:pPr>
        <w:pStyle w:val="Normal27"/>
        <w:widowControl w:val="0"/>
        <w:spacing w:line="260" w:lineRule="atLeast"/>
        <w:ind w:left="400"/>
        <w:jc w:val="both"/>
      </w:pPr>
      <w:bookmarkStart w:id="3128" w:name="Bookmark_para_7_26"/>
      <w:bookmarkStart w:id="3129" w:name="Bookmark_LNHNREFclscc1_20"/>
      <w:bookmarkEnd w:id="3128"/>
      <w:bookmarkEnd w:id="3129"/>
      <w:r>
        <w:rPr>
          <w:rFonts w:ascii="Arial" w:eastAsia="Arial" w:hAnsi="Arial" w:cs="Arial"/>
          <w:color w:val="000000"/>
          <w:sz w:val="20"/>
        </w:rPr>
        <w:t>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14:paraId="0FB9F99E" w14:textId="77777777" w:rsidR="00D041A2" w:rsidRDefault="00000000">
      <w:pPr>
        <w:pStyle w:val="Normal27"/>
        <w:widowControl w:val="0"/>
        <w:spacing w:line="260" w:lineRule="atLeast"/>
        <w:jc w:val="both"/>
      </w:pPr>
      <w:r>
        <w:rPr>
          <w:rFonts w:ascii="Arial" w:eastAsia="Arial" w:hAnsi="Arial" w:cs="Arial"/>
          <w:color w:val="000000"/>
          <w:sz w:val="20"/>
        </w:rPr>
        <w:t>42 U.S.C. § 12182(a).</w:t>
      </w:r>
    </w:p>
    <w:p w14:paraId="6CA9D499" w14:textId="77777777" w:rsidR="00D041A2" w:rsidRDefault="00000000">
      <w:pPr>
        <w:pStyle w:val="Normal27"/>
        <w:widowControl w:val="0"/>
        <w:spacing w:before="200" w:line="260" w:lineRule="atLeast"/>
        <w:jc w:val="both"/>
      </w:pPr>
      <w:bookmarkStart w:id="3130" w:name="Bookmark_para_8_25"/>
      <w:bookmarkStart w:id="3131" w:name="Bookmark_LNHNREFclscc2_20"/>
      <w:bookmarkEnd w:id="3130"/>
      <w:bookmarkEnd w:id="3131"/>
      <w:r>
        <w:rPr>
          <w:rFonts w:ascii="Arial" w:eastAsia="Arial" w:hAnsi="Arial" w:cs="Arial"/>
          <w:color w:val="000000"/>
          <w:sz w:val="20"/>
        </w:rPr>
        <w:t>Congress created two standards  [**3] of compliance for the accessibility of public accommodations by defining the term "discrimination" based on the age of the building. Buildings that pre-existed the enactment of the ADA must meet the "readily achievable" standard, and buildings constructed after the enactment of the ADA must meet the new construction or alterations standard. 42 U.S.C. §§ 12182(a), 12182(b)(2)(A)(iv), 12183(a).</w:t>
      </w:r>
    </w:p>
    <w:p w14:paraId="4A4DE63F" w14:textId="77777777" w:rsidR="00D041A2" w:rsidRDefault="00000000">
      <w:pPr>
        <w:pStyle w:val="Normal27"/>
        <w:widowControl w:val="0"/>
        <w:spacing w:before="200" w:line="260" w:lineRule="atLeast"/>
        <w:jc w:val="both"/>
      </w:pPr>
      <w:bookmarkStart w:id="3132" w:name="Bookmark_para_9_24"/>
      <w:bookmarkStart w:id="3133" w:name="Bookmark_LNHNREFclscc3_18"/>
      <w:bookmarkEnd w:id="3132"/>
      <w:bookmarkEnd w:id="3133"/>
      <w:r>
        <w:rPr>
          <w:rFonts w:ascii="Arial" w:eastAsia="Arial" w:hAnsi="Arial" w:cs="Arial"/>
          <w:color w:val="000000"/>
          <w:sz w:val="20"/>
        </w:rPr>
        <w:t xml:space="preserve">For pre-existing places of public accommodation, failure to remove architectural and structural barriers "where such removal is readily achievable" constitutes discrimination. </w:t>
      </w:r>
      <w:r>
        <w:rPr>
          <w:rFonts w:ascii="Arial" w:eastAsia="Arial" w:hAnsi="Arial" w:cs="Arial"/>
          <w:i/>
          <w:color w:val="000000"/>
          <w:sz w:val="20"/>
        </w:rPr>
        <w:t>Id</w:t>
      </w:r>
      <w:r>
        <w:rPr>
          <w:rFonts w:ascii="Arial" w:eastAsia="Arial" w:hAnsi="Arial" w:cs="Arial"/>
          <w:color w:val="000000"/>
          <w:sz w:val="20"/>
        </w:rPr>
        <w:t xml:space="preserve">. § 12182(b)(2)(A)(iv). "Readily achievable" is defined as "easily accomplishable and able to be carried out without much difficulty or expense." </w:t>
      </w:r>
      <w:r>
        <w:rPr>
          <w:rFonts w:ascii="Arial" w:eastAsia="Arial" w:hAnsi="Arial" w:cs="Arial"/>
          <w:i/>
          <w:color w:val="000000"/>
          <w:sz w:val="20"/>
        </w:rPr>
        <w:t>Id</w:t>
      </w:r>
      <w:r>
        <w:rPr>
          <w:rFonts w:ascii="Arial" w:eastAsia="Arial" w:hAnsi="Arial" w:cs="Arial"/>
          <w:color w:val="000000"/>
          <w:sz w:val="20"/>
        </w:rPr>
        <w:t xml:space="preserve">. § 12181(9). When removing barriers, an entity should strive to meet the new construction standard if readily achievable. If it is not readily achievable, the entity may make its accommodations available through alternative readily achievable means. </w:t>
      </w:r>
      <w:r>
        <w:rPr>
          <w:rFonts w:ascii="Arial" w:eastAsia="Arial" w:hAnsi="Arial" w:cs="Arial"/>
          <w:i/>
          <w:color w:val="000000"/>
          <w:sz w:val="20"/>
        </w:rPr>
        <w:t>Id</w:t>
      </w:r>
      <w:r>
        <w:rPr>
          <w:rFonts w:ascii="Arial" w:eastAsia="Arial" w:hAnsi="Arial" w:cs="Arial"/>
          <w:color w:val="000000"/>
          <w:sz w:val="20"/>
        </w:rPr>
        <w:t>. § 12182(b)(2)(A)(v); 28 C.F.R. § 36.304(d)(3).  [*415]  No public accommodation is required to make a modification or alteration if permitting an individual to participate in or benefit from the facilities would pose a "direct threat  [**4] to the health or safety of others." 42 U.S.C. § 12182(b)(3).</w:t>
      </w:r>
    </w:p>
    <w:p w14:paraId="2986D1AF" w14:textId="77777777" w:rsidR="00D041A2" w:rsidRDefault="00000000">
      <w:pPr>
        <w:pStyle w:val="Normal27"/>
        <w:widowControl w:val="0"/>
        <w:spacing w:before="200" w:line="260" w:lineRule="atLeast"/>
        <w:jc w:val="both"/>
      </w:pPr>
      <w:bookmarkStart w:id="3134" w:name="Bookmark_para_10_24"/>
      <w:bookmarkStart w:id="3135" w:name="Bookmark_LNHNREFclscc4_17"/>
      <w:bookmarkEnd w:id="3134"/>
      <w:bookmarkEnd w:id="3135"/>
      <w:r>
        <w:rPr>
          <w:rFonts w:ascii="Arial" w:eastAsia="Arial" w:hAnsi="Arial" w:cs="Arial"/>
          <w:color w:val="000000"/>
          <w:sz w:val="20"/>
        </w:rPr>
        <w:t>New construction (and alterations</w:t>
      </w:r>
      <w:r>
        <w:rPr>
          <w:rFonts w:ascii="Arial" w:eastAsia="Arial" w:hAnsi="Arial" w:cs="Arial"/>
          <w:vertAlign w:val="superscript"/>
        </w:rPr>
        <w:footnoteReference w:customMarkFollows="1" w:id="151"/>
        <w:t>1</w:t>
      </w:r>
      <w:r>
        <w:rPr>
          <w:rFonts w:ascii="Arial" w:eastAsia="Arial" w:hAnsi="Arial" w:cs="Arial"/>
          <w:color w:val="000000"/>
          <w:sz w:val="20"/>
        </w:rPr>
        <w:t xml:space="preserve"> to a facility affecting its usability) built after the enactment of the ADA must be designed to make the facility "readily accessible to and usable by individuals with disabilities, including individuals who use wheelchairs" to the maximum extent feasible. </w:t>
      </w:r>
      <w:r>
        <w:rPr>
          <w:rFonts w:ascii="Arial" w:eastAsia="Arial" w:hAnsi="Arial" w:cs="Arial"/>
          <w:i/>
          <w:color w:val="000000"/>
          <w:sz w:val="20"/>
        </w:rPr>
        <w:t>Id</w:t>
      </w:r>
      <w:r>
        <w:rPr>
          <w:rFonts w:ascii="Arial" w:eastAsia="Arial" w:hAnsi="Arial" w:cs="Arial"/>
          <w:color w:val="000000"/>
          <w:sz w:val="20"/>
        </w:rPr>
        <w:t xml:space="preserve">. § 12183(a)(2). Failure to make such construction (and alterations) accessible constitutes intentional discrimination. </w:t>
      </w:r>
      <w:r>
        <w:rPr>
          <w:rFonts w:ascii="Arial" w:eastAsia="Arial" w:hAnsi="Arial" w:cs="Arial"/>
          <w:i/>
          <w:color w:val="000000"/>
          <w:sz w:val="20"/>
        </w:rPr>
        <w:t>Id</w:t>
      </w:r>
      <w:r>
        <w:rPr>
          <w:rFonts w:ascii="Arial" w:eastAsia="Arial" w:hAnsi="Arial" w:cs="Arial"/>
          <w:color w:val="000000"/>
          <w:sz w:val="20"/>
        </w:rPr>
        <w:t>.</w:t>
      </w:r>
    </w:p>
    <w:p w14:paraId="3426F566" w14:textId="77777777" w:rsidR="00D041A2" w:rsidRDefault="00000000">
      <w:pPr>
        <w:pStyle w:val="Normal27"/>
        <w:widowControl w:val="0"/>
        <w:spacing w:before="200" w:line="260" w:lineRule="atLeast"/>
        <w:jc w:val="both"/>
      </w:pPr>
      <w:bookmarkStart w:id="3138" w:name="Bookmark_para_11_23"/>
      <w:bookmarkStart w:id="3139" w:name="Bookmark_I548C05F2HM6TK0020000400"/>
      <w:bookmarkStart w:id="3140" w:name="Bookmark_I548C05F2HM6TK0040000400"/>
      <w:bookmarkStart w:id="3141" w:name="Bookmark_LNHNREFclscc6_17"/>
      <w:bookmarkEnd w:id="3138"/>
      <w:bookmarkEnd w:id="3139"/>
      <w:bookmarkEnd w:id="3140"/>
      <w:bookmarkEnd w:id="3141"/>
      <w:r>
        <w:rPr>
          <w:rFonts w:ascii="Arial" w:eastAsia="Arial" w:hAnsi="Arial" w:cs="Arial"/>
          <w:color w:val="000000"/>
          <w:sz w:val="20"/>
        </w:rPr>
        <w:t xml:space="preserve">We review findings of fact for clear error. </w:t>
      </w:r>
      <w:bookmarkStart w:id="3142" w:name="Bookmark_I548C05F2HM6TK0010000400"/>
      <w:bookmarkEnd w:id="3142"/>
      <w:r>
        <w:rPr>
          <w:rFonts w:ascii="Arial" w:eastAsia="Arial" w:hAnsi="Arial" w:cs="Arial"/>
          <w:i/>
          <w:color w:val="000000"/>
          <w:sz w:val="20"/>
        </w:rPr>
        <w:t>Morrissette-Brown v. Mobile Infirmary Med. Ctr</w:t>
      </w:r>
      <w:r>
        <w:rPr>
          <w:rFonts w:ascii="Arial" w:eastAsia="Arial" w:hAnsi="Arial" w:cs="Arial"/>
          <w:color w:val="000000"/>
          <w:sz w:val="20"/>
        </w:rPr>
        <w:t xml:space="preserve">., 506 F.3d 1317, 1319 (11th Cir. 2007). </w:t>
      </w:r>
      <w:bookmarkStart w:id="3143" w:name="Bookmark_LNHNREFclscc7_17"/>
      <w:bookmarkEnd w:id="3143"/>
      <w:r>
        <w:rPr>
          <w:rFonts w:ascii="Arial" w:eastAsia="Arial" w:hAnsi="Arial" w:cs="Arial"/>
          <w:color w:val="000000"/>
          <w:sz w:val="20"/>
        </w:rPr>
        <w:t xml:space="preserve">We review questions of law, including statutory interpretation, </w:t>
      </w:r>
      <w:r>
        <w:rPr>
          <w:rFonts w:ascii="Arial" w:eastAsia="Arial" w:hAnsi="Arial" w:cs="Arial"/>
          <w:i/>
          <w:color w:val="000000"/>
          <w:sz w:val="20"/>
        </w:rPr>
        <w:t xml:space="preserve">de novo. </w:t>
      </w:r>
      <w:bookmarkStart w:id="3144" w:name="Bookmark_I548C05F2HM6TK0030000400"/>
      <w:bookmarkEnd w:id="3144"/>
      <w:r>
        <w:rPr>
          <w:rFonts w:ascii="Arial" w:eastAsia="Arial" w:hAnsi="Arial" w:cs="Arial"/>
          <w:i/>
          <w:color w:val="000000"/>
          <w:sz w:val="20"/>
        </w:rPr>
        <w:t>Corporate Mgmt. Advisors, Inc. v. Artjen Complexus, Inc</w:t>
      </w:r>
      <w:r>
        <w:rPr>
          <w:rFonts w:ascii="Arial" w:eastAsia="Arial" w:hAnsi="Arial" w:cs="Arial"/>
          <w:color w:val="000000"/>
          <w:sz w:val="20"/>
        </w:rPr>
        <w:t>., 561 F.3d 1294, 1296 (11th Cir. 2009).</w:t>
      </w:r>
    </w:p>
    <w:p w14:paraId="55A12731" w14:textId="77777777" w:rsidR="00D041A2" w:rsidRDefault="00000000">
      <w:pPr>
        <w:pStyle w:val="Normal27"/>
        <w:widowControl w:val="0"/>
        <w:spacing w:before="240" w:line="260" w:lineRule="atLeast"/>
      </w:pPr>
      <w:r>
        <w:br/>
      </w:r>
      <w:r>
        <w:rPr>
          <w:rFonts w:ascii="Arial" w:eastAsia="Arial" w:hAnsi="Arial" w:cs="Arial"/>
          <w:b/>
          <w:color w:val="000000"/>
          <w:sz w:val="20"/>
        </w:rPr>
        <w:t>A. STANDING Article</w:t>
      </w:r>
    </w:p>
    <w:p w14:paraId="2269542D" w14:textId="77777777" w:rsidR="00D041A2" w:rsidRDefault="00000000">
      <w:pPr>
        <w:pStyle w:val="Normal27"/>
        <w:widowControl w:val="0"/>
        <w:spacing w:before="200" w:line="260" w:lineRule="atLeast"/>
        <w:jc w:val="both"/>
      </w:pPr>
      <w:bookmarkStart w:id="3145" w:name="Bookmark_para_12_22"/>
      <w:bookmarkStart w:id="3146" w:name="Bookmark_I548C05F2HM6TM0010000400"/>
      <w:bookmarkStart w:id="3147" w:name="Bookmark_LNHNREFclscc8_17"/>
      <w:bookmarkEnd w:id="3145"/>
      <w:bookmarkEnd w:id="3146"/>
      <w:bookmarkEnd w:id="3147"/>
      <w:r>
        <w:rPr>
          <w:rFonts w:ascii="Arial" w:eastAsia="Arial" w:hAnsi="Arial" w:cs="Arial"/>
          <w:color w:val="000000"/>
          <w:sz w:val="20"/>
        </w:rPr>
        <w:t>III judicial power extends only to cases or controversies.</w:t>
      </w:r>
      <w:r>
        <w:rPr>
          <w:rFonts w:ascii="Arial" w:eastAsia="Arial" w:hAnsi="Arial" w:cs="Arial"/>
          <w:vertAlign w:val="superscript"/>
        </w:rPr>
        <w:footnoteReference w:customMarkFollows="1" w:id="152"/>
        <w:t>2</w:t>
      </w:r>
      <w:r>
        <w:rPr>
          <w:rFonts w:ascii="Arial" w:eastAsia="Arial" w:hAnsi="Arial" w:cs="Arial"/>
          <w:color w:val="000000"/>
          <w:sz w:val="20"/>
        </w:rPr>
        <w:t xml:space="preserve"> </w:t>
      </w:r>
      <w:r>
        <w:rPr>
          <w:rFonts w:ascii="Arial" w:eastAsia="Arial" w:hAnsi="Arial" w:cs="Arial"/>
          <w:smallCaps/>
          <w:color w:val="000000"/>
          <w:sz w:val="20"/>
        </w:rPr>
        <w:t>U.S. Const.</w:t>
      </w:r>
      <w:r>
        <w:rPr>
          <w:rFonts w:ascii="Arial" w:eastAsia="Arial" w:hAnsi="Arial" w:cs="Arial"/>
          <w:color w:val="000000"/>
          <w:sz w:val="20"/>
        </w:rPr>
        <w:t xml:space="preserve"> art. III, § 2. </w:t>
      </w:r>
      <w:bookmarkStart w:id="3149" w:name="Bookmark_I548C05F2HM6TM0030000400"/>
      <w:bookmarkStart w:id="3150" w:name="Bookmark_LNHNREFclscc9_17"/>
      <w:bookmarkEnd w:id="3149"/>
      <w:bookmarkEnd w:id="3150"/>
      <w:r>
        <w:rPr>
          <w:rFonts w:ascii="Arial" w:eastAsia="Arial" w:hAnsi="Arial" w:cs="Arial"/>
          <w:color w:val="000000"/>
          <w:sz w:val="20"/>
        </w:rPr>
        <w:t xml:space="preserve">A federal court  [**5] has an obligation to assure itself that a litigant seeking an injunction has standing to do so. </w:t>
      </w:r>
      <w:bookmarkStart w:id="3151" w:name="Bookmark_I548C05F2HM6TK0050000400"/>
      <w:bookmarkEnd w:id="3151"/>
      <w:r>
        <w:rPr>
          <w:rFonts w:ascii="Arial" w:eastAsia="Arial" w:hAnsi="Arial" w:cs="Arial"/>
          <w:i/>
          <w:color w:val="000000"/>
          <w:sz w:val="20"/>
        </w:rPr>
        <w:t>Friends of the Earth, Inc. v. Laidlaw Envtl. Servs., Inc</w:t>
      </w:r>
      <w:r>
        <w:rPr>
          <w:rFonts w:ascii="Arial" w:eastAsia="Arial" w:hAnsi="Arial" w:cs="Arial"/>
          <w:color w:val="000000"/>
          <w:sz w:val="20"/>
        </w:rPr>
        <w:t xml:space="preserve">., 528 U.S. 167, 180, 120 S. Ct. 693, 703-04, 145 L. Ed. 2d 610 (2000). </w:t>
      </w:r>
      <w:bookmarkStart w:id="3152" w:name="Bookmark_LNHNREFclscc10_15"/>
      <w:bookmarkEnd w:id="3152"/>
      <w:r>
        <w:rPr>
          <w:rFonts w:ascii="Arial" w:eastAsia="Arial" w:hAnsi="Arial" w:cs="Arial"/>
          <w:color w:val="000000"/>
          <w:sz w:val="20"/>
        </w:rPr>
        <w:t xml:space="preserve">To satisfy the requirements of standing, a plaintiff must demonstrate: (1) an injury in fact; (2) a causal connection between the injury and conduct complained of; and (3) that a favorable court ruling could redress the injury. </w:t>
      </w:r>
      <w:bookmarkStart w:id="3153" w:name="Bookmark_I548C05F2HM6TM0030000400_2"/>
      <w:bookmarkStart w:id="3154" w:name="Bookmark_I548C05F2HM6TM0050000400"/>
      <w:bookmarkStart w:id="3155" w:name="Bookmark_I548C05F2HM6TM0020000400"/>
      <w:bookmarkEnd w:id="3153"/>
      <w:bookmarkEnd w:id="3154"/>
      <w:bookmarkEnd w:id="3155"/>
      <w:r>
        <w:rPr>
          <w:rFonts w:ascii="Arial" w:eastAsia="Arial" w:hAnsi="Arial" w:cs="Arial"/>
          <w:i/>
          <w:color w:val="000000"/>
          <w:sz w:val="20"/>
        </w:rPr>
        <w:t>Lujan v. Defenders of Wildlife</w:t>
      </w:r>
      <w:r>
        <w:rPr>
          <w:rFonts w:ascii="Arial" w:eastAsia="Arial" w:hAnsi="Arial" w:cs="Arial"/>
          <w:color w:val="000000"/>
          <w:sz w:val="20"/>
        </w:rPr>
        <w:t xml:space="preserve">, 504 U.S. 555, 560-61, 112 S. Ct. 2130, 2136, 119 L. Ed. 2d 351 (1992). </w:t>
      </w:r>
      <w:bookmarkStart w:id="3156" w:name="Bookmark_I548C05F2HM6TM0050000400_2"/>
      <w:bookmarkEnd w:id="3156"/>
      <w:r>
        <w:rPr>
          <w:rFonts w:ascii="Arial" w:eastAsia="Arial" w:hAnsi="Arial" w:cs="Arial"/>
          <w:color w:val="000000"/>
          <w:sz w:val="20"/>
        </w:rPr>
        <w:t xml:space="preserve">Injunctive relief requires a further showing of a plaintiff's actual or imminent injury. </w:t>
      </w:r>
      <w:bookmarkStart w:id="3157" w:name="Bookmark_I548C05F2HM6TM0040000400"/>
      <w:bookmarkEnd w:id="3157"/>
      <w:r>
        <w:rPr>
          <w:rFonts w:ascii="Arial" w:eastAsia="Arial" w:hAnsi="Arial" w:cs="Arial"/>
          <w:i/>
          <w:color w:val="000000"/>
          <w:sz w:val="20"/>
        </w:rPr>
        <w:t>Id</w:t>
      </w:r>
      <w:r>
        <w:rPr>
          <w:rFonts w:ascii="Arial" w:eastAsia="Arial" w:hAnsi="Arial" w:cs="Arial"/>
          <w:color w:val="000000"/>
          <w:sz w:val="20"/>
        </w:rPr>
        <w:t>. at 564, 112 S. Ct. at 2138.</w:t>
      </w:r>
    </w:p>
    <w:p w14:paraId="3DCEFFDD" w14:textId="77777777" w:rsidR="00D041A2" w:rsidRDefault="00000000">
      <w:pPr>
        <w:pStyle w:val="Normal27"/>
        <w:widowControl w:val="0"/>
        <w:spacing w:before="200" w:line="260" w:lineRule="atLeast"/>
        <w:jc w:val="both"/>
      </w:pPr>
      <w:bookmarkStart w:id="3158" w:name="Bookmark_para_13_21"/>
      <w:bookmarkEnd w:id="3158"/>
      <w:r>
        <w:rPr>
          <w:rFonts w:ascii="Arial" w:eastAsia="Arial" w:hAnsi="Arial" w:cs="Arial"/>
          <w:color w:val="000000"/>
          <w:sz w:val="20"/>
        </w:rPr>
        <w:t>After an evidentiary hearing, the district court found that in addition to his pre-filing visit, Norkunas attempted to visit the Seahorse Inn once after he filed suit but was unable to stay due to a lack of available rooms. It further  [**6] found that Norkunas visited the Lemon Bar, located within the motel, on four separate occasions. Additionally, the district court found that Norkunas sufficiently demonstrated that he regularly travels to and through Jacksonville, and will continue to do so. These findings are not clearly erroneous. Thus, we find that Norkunas had standing to bring this suit.</w:t>
      </w:r>
      <w:r>
        <w:rPr>
          <w:rFonts w:ascii="Arial" w:eastAsia="Arial" w:hAnsi="Arial" w:cs="Arial"/>
          <w:vertAlign w:val="superscript"/>
        </w:rPr>
        <w:footnoteReference w:customMarkFollows="1" w:id="153"/>
        <w:t>3</w:t>
      </w:r>
    </w:p>
    <w:p w14:paraId="493A9FFF" w14:textId="77777777" w:rsidR="00D041A2" w:rsidRDefault="00000000">
      <w:pPr>
        <w:pStyle w:val="Normal27"/>
        <w:widowControl w:val="0"/>
        <w:spacing w:before="200" w:line="260" w:lineRule="atLeast"/>
        <w:jc w:val="both"/>
      </w:pPr>
      <w:bookmarkStart w:id="3160" w:name="Bookmark_para_14_19"/>
      <w:bookmarkStart w:id="3161" w:name="Bookmark_I548C05F2D6MS50020000400"/>
      <w:bookmarkStart w:id="3162" w:name="Bookmark_LNHNREFclscc11_14"/>
      <w:bookmarkEnd w:id="3160"/>
      <w:bookmarkEnd w:id="3161"/>
      <w:bookmarkEnd w:id="3162"/>
      <w:r>
        <w:rPr>
          <w:rFonts w:ascii="Arial" w:eastAsia="Arial" w:hAnsi="Arial" w:cs="Arial"/>
          <w:color w:val="000000"/>
          <w:sz w:val="20"/>
        </w:rPr>
        <w:t xml:space="preserve">In addition to standing to bring suit, plaintiffs must have standing to bring each claim in the lawsuit. </w:t>
      </w:r>
      <w:bookmarkStart w:id="3163" w:name="Bookmark_I548C05F2D6MS50010000400"/>
      <w:bookmarkEnd w:id="3163"/>
      <w:r>
        <w:rPr>
          <w:rFonts w:ascii="Arial" w:eastAsia="Arial" w:hAnsi="Arial" w:cs="Arial"/>
          <w:i/>
          <w:color w:val="000000"/>
          <w:sz w:val="20"/>
        </w:rPr>
        <w:t xml:space="preserve">Parker v. Scrap </w:t>
      </w:r>
      <w:r>
        <w:rPr>
          <w:rFonts w:ascii="Arial" w:eastAsia="Arial" w:hAnsi="Arial" w:cs="Arial"/>
          <w:color w:val="000000"/>
          <w:sz w:val="20"/>
        </w:rPr>
        <w:t> [*416] </w:t>
      </w:r>
      <w:r>
        <w:rPr>
          <w:rFonts w:ascii="Arial" w:eastAsia="Arial" w:hAnsi="Arial" w:cs="Arial"/>
          <w:i/>
          <w:color w:val="000000"/>
          <w:sz w:val="20"/>
        </w:rPr>
        <w:t xml:space="preserve"> Metal Processors, Inc</w:t>
      </w:r>
      <w:r>
        <w:rPr>
          <w:rFonts w:ascii="Arial" w:eastAsia="Arial" w:hAnsi="Arial" w:cs="Arial"/>
          <w:color w:val="000000"/>
          <w:sz w:val="20"/>
        </w:rPr>
        <w:t>., 386 F.3d 993, 1002-03 (11th Cir. 2004) ("[S]tanding must exist with respect to each claim."). Norkunas appeals the district court's finding that  [**7] he did not have standing to bring claims involving two designated accessible rooms. At the evidentiary hearing on standing, the district court accepted Seahorse's testimony that an accessible room would have been available to Norkunas, but he did not request one. Based on this testimony, the district court found that Norkunas could not have encountered discrimination in the accessible rooms, and he therefore does not have standing to include those rooms in his discrimination case.</w:t>
      </w:r>
    </w:p>
    <w:p w14:paraId="6918C3E3" w14:textId="77777777" w:rsidR="00D041A2" w:rsidRDefault="00000000">
      <w:pPr>
        <w:pStyle w:val="Normal27"/>
        <w:widowControl w:val="0"/>
        <w:spacing w:before="200" w:line="260" w:lineRule="atLeast"/>
        <w:jc w:val="both"/>
      </w:pPr>
      <w:bookmarkStart w:id="3164" w:name="Bookmark_para_15_18"/>
      <w:bookmarkEnd w:id="3164"/>
      <w:r>
        <w:rPr>
          <w:rFonts w:ascii="Arial" w:eastAsia="Arial" w:hAnsi="Arial" w:cs="Arial"/>
          <w:color w:val="000000"/>
          <w:sz w:val="20"/>
        </w:rPr>
        <w:t xml:space="preserve">Norkunas argues that the statutory language of the ADA allows for standing to bring an entire facility into compliance once one barrier is encountered. </w:t>
      </w:r>
      <w:bookmarkStart w:id="3165" w:name="Bookmark_I548C05F2D6MS50040000400"/>
      <w:bookmarkEnd w:id="3165"/>
      <w:r>
        <w:rPr>
          <w:rFonts w:ascii="Arial" w:eastAsia="Arial" w:hAnsi="Arial" w:cs="Arial"/>
          <w:color w:val="000000"/>
          <w:sz w:val="20"/>
        </w:rPr>
        <w:t xml:space="preserve">We reject this construction. While the nature of a motel only allows people to stay in one room per night, in this case Norkunas did not attempt to avail himself of an accessible room. Because he did not experience discrimination as a result of his stay in a designated accessible room, he was not discriminated against through barriers contained therein and he does not meet the injury in fact requisite for standing. </w:t>
      </w:r>
      <w:r>
        <w:rPr>
          <w:rFonts w:ascii="Arial" w:eastAsia="Arial" w:hAnsi="Arial" w:cs="Arial"/>
          <w:i/>
          <w:color w:val="000000"/>
          <w:sz w:val="20"/>
        </w:rPr>
        <w:t xml:space="preserve">See </w:t>
      </w:r>
      <w:bookmarkStart w:id="3166" w:name="Bookmark_I548C05F2D6MS50030000400"/>
      <w:bookmarkEnd w:id="3166"/>
      <w:r>
        <w:rPr>
          <w:rFonts w:ascii="Arial" w:eastAsia="Arial" w:hAnsi="Arial" w:cs="Arial"/>
          <w:i/>
          <w:color w:val="000000"/>
          <w:sz w:val="20"/>
        </w:rPr>
        <w:t>Lujan</w:t>
      </w:r>
      <w:r>
        <w:rPr>
          <w:rFonts w:ascii="Arial" w:eastAsia="Arial" w:hAnsi="Arial" w:cs="Arial"/>
          <w:color w:val="000000"/>
          <w:sz w:val="20"/>
        </w:rPr>
        <w:t>, 504 U.S. at 560-61, 112 S. Ct. at 2136.</w:t>
      </w:r>
    </w:p>
    <w:p w14:paraId="761FDBE4" w14:textId="77777777" w:rsidR="00D041A2" w:rsidRDefault="00000000">
      <w:pPr>
        <w:pStyle w:val="Normal27"/>
        <w:widowControl w:val="0"/>
        <w:spacing w:before="240" w:line="260" w:lineRule="atLeast"/>
      </w:pPr>
      <w:r>
        <w:br/>
      </w:r>
      <w:r>
        <w:rPr>
          <w:rFonts w:ascii="Arial" w:eastAsia="Arial" w:hAnsi="Arial" w:cs="Arial"/>
          <w:b/>
          <w:color w:val="000000"/>
          <w:sz w:val="20"/>
        </w:rPr>
        <w:t>B. DUNE WALKOVER</w:t>
      </w:r>
    </w:p>
    <w:p w14:paraId="3F43A068" w14:textId="77777777" w:rsidR="00D041A2" w:rsidRDefault="00000000">
      <w:pPr>
        <w:pStyle w:val="Normal27"/>
        <w:widowControl w:val="0"/>
        <w:spacing w:before="200" w:line="260" w:lineRule="atLeast"/>
        <w:jc w:val="both"/>
      </w:pPr>
      <w:bookmarkStart w:id="3167" w:name="Bookmark_para_16_18"/>
      <w:bookmarkStart w:id="3168" w:name="Bookmark_LNHNREFclscc12_13"/>
      <w:bookmarkEnd w:id="3167"/>
      <w:bookmarkEnd w:id="3168"/>
      <w:r>
        <w:rPr>
          <w:rFonts w:ascii="Arial" w:eastAsia="Arial" w:hAnsi="Arial" w:cs="Arial"/>
          <w:color w:val="000000"/>
          <w:sz w:val="20"/>
        </w:rPr>
        <w:t xml:space="preserve">A plaintiff alleging Title III ADA discrimination must initially prove that (1)  [**8] he is a disabled individual; (2) the defendants own, lease, or operate a place of public accommodation; and (3) the defendants discriminated against the plaintiff within the meaning of the ADA. 42 U.S.C. § 12182(a). For alterations of premises, the ADA defines discrimination as "a failure to make alterations in such a manner that, to the maximum extent feasible, the altered portions of the facility are readily accessible to and usable by individuals with disabilities, including individuals who use wheelchairs." </w:t>
      </w:r>
      <w:r>
        <w:rPr>
          <w:rFonts w:ascii="Arial" w:eastAsia="Arial" w:hAnsi="Arial" w:cs="Arial"/>
          <w:i/>
          <w:color w:val="000000"/>
          <w:sz w:val="20"/>
        </w:rPr>
        <w:t>Id</w:t>
      </w:r>
      <w:r>
        <w:rPr>
          <w:rFonts w:ascii="Arial" w:eastAsia="Arial" w:hAnsi="Arial" w:cs="Arial"/>
          <w:color w:val="000000"/>
          <w:sz w:val="20"/>
        </w:rPr>
        <w:t xml:space="preserve">. § 12183(a)(2). For new construction and alterations, the Attorney General's ADA Accessibility Guidelines are construction guidelines offering a safe harbor for new construction such that compliance with the Accessibility Guidelines means compliance with the ADA. All new construction should comply with the Attorney General's regulations, and the regulations require that all new construction (and alterations) shall comply with the issued standards. </w:t>
      </w:r>
      <w:r>
        <w:rPr>
          <w:rFonts w:ascii="Arial" w:eastAsia="Arial" w:hAnsi="Arial" w:cs="Arial"/>
          <w:i/>
          <w:color w:val="000000"/>
          <w:sz w:val="20"/>
        </w:rPr>
        <w:t>Id</w:t>
      </w:r>
      <w:r>
        <w:rPr>
          <w:rFonts w:ascii="Arial" w:eastAsia="Arial" w:hAnsi="Arial" w:cs="Arial"/>
          <w:color w:val="000000"/>
          <w:sz w:val="20"/>
        </w:rPr>
        <w:t>. § 12186(b); 28 C.F.R. § 36.406(a).</w:t>
      </w:r>
    </w:p>
    <w:p w14:paraId="206D82E2" w14:textId="77777777" w:rsidR="00D041A2" w:rsidRDefault="00000000">
      <w:pPr>
        <w:pStyle w:val="Normal27"/>
        <w:widowControl w:val="0"/>
        <w:spacing w:before="200" w:line="260" w:lineRule="atLeast"/>
        <w:jc w:val="both"/>
      </w:pPr>
      <w:bookmarkStart w:id="3169" w:name="Bookmark_para_17_17"/>
      <w:bookmarkEnd w:id="3169"/>
      <w:r>
        <w:rPr>
          <w:rFonts w:ascii="Arial" w:eastAsia="Arial" w:hAnsi="Arial" w:cs="Arial"/>
          <w:color w:val="000000"/>
          <w:sz w:val="20"/>
        </w:rPr>
        <w:t>The district court found that no federal or state regulations exist governing the accessibility standards for beach access walkways. Seahorse argues that the dune walkover did not have to be  [**9] made accessible because it is not a path of travel or a required accessible route. Absent federal or state scoping regulations requiring accessible beach walkways, the district court could not find a legal basis on which to require the walkway to be made accessible.</w:t>
      </w:r>
    </w:p>
    <w:p w14:paraId="2442EE6C" w14:textId="77777777" w:rsidR="00D041A2" w:rsidRDefault="00000000">
      <w:pPr>
        <w:pStyle w:val="Normal27"/>
        <w:widowControl w:val="0"/>
        <w:spacing w:before="200" w:line="260" w:lineRule="atLeast"/>
        <w:jc w:val="both"/>
      </w:pPr>
      <w:bookmarkStart w:id="3170" w:name="Bookmark_para_18_15"/>
      <w:bookmarkEnd w:id="3170"/>
      <w:r>
        <w:rPr>
          <w:rFonts w:ascii="Arial" w:eastAsia="Arial" w:hAnsi="Arial" w:cs="Arial"/>
          <w:color w:val="000000"/>
          <w:sz w:val="20"/>
        </w:rPr>
        <w:t xml:space="preserve">After a thorough review of the relevant laws and regulations, we agree. Therefore, it is not necessary for Seahorse to bring the dune walkover into compliance with the ADA, for </w:t>
      </w:r>
      <w:bookmarkStart w:id="3171" w:name="Bookmark_LNHNREFclscc13_12"/>
      <w:bookmarkEnd w:id="3171"/>
      <w:r>
        <w:rPr>
          <w:rFonts w:ascii="Arial" w:eastAsia="Arial" w:hAnsi="Arial" w:cs="Arial"/>
          <w:color w:val="000000"/>
          <w:sz w:val="20"/>
        </w:rPr>
        <w:t>regulations governing beach walkways do not exist.</w:t>
      </w:r>
    </w:p>
    <w:p w14:paraId="36C1624D" w14:textId="77777777" w:rsidR="00D041A2" w:rsidRDefault="00000000">
      <w:pPr>
        <w:pStyle w:val="Normal27"/>
        <w:widowControl w:val="0"/>
        <w:spacing w:before="240" w:line="260" w:lineRule="atLeast"/>
      </w:pPr>
      <w:r>
        <w:br/>
      </w:r>
      <w:r>
        <w:rPr>
          <w:rFonts w:ascii="Arial" w:eastAsia="Arial" w:hAnsi="Arial" w:cs="Arial"/>
          <w:b/>
          <w:color w:val="000000"/>
          <w:sz w:val="20"/>
        </w:rPr>
        <w:t>C. PRE-EXISTING BARRIERS</w:t>
      </w:r>
    </w:p>
    <w:p w14:paraId="33E4FF3D" w14:textId="77777777" w:rsidR="00D041A2" w:rsidRDefault="00000000">
      <w:pPr>
        <w:pStyle w:val="Normal27"/>
        <w:widowControl w:val="0"/>
        <w:spacing w:before="120" w:line="260" w:lineRule="atLeast"/>
      </w:pPr>
      <w:r>
        <w:rPr>
          <w:rFonts w:ascii="Arial" w:eastAsia="Arial" w:hAnsi="Arial" w:cs="Arial"/>
          <w:color w:val="000000"/>
          <w:sz w:val="20"/>
        </w:rPr>
        <w:t>1. Applicable Standard</w:t>
      </w:r>
    </w:p>
    <w:p w14:paraId="732083C6" w14:textId="77777777" w:rsidR="00D041A2" w:rsidRDefault="00000000">
      <w:pPr>
        <w:pStyle w:val="Normal27"/>
        <w:widowControl w:val="0"/>
        <w:spacing w:before="200" w:line="260" w:lineRule="atLeast"/>
        <w:jc w:val="both"/>
      </w:pPr>
      <w:bookmarkStart w:id="3172" w:name="Bookmark_para_19_15"/>
      <w:bookmarkEnd w:id="3172"/>
      <w:r>
        <w:rPr>
          <w:rFonts w:ascii="Arial" w:eastAsia="Arial" w:hAnsi="Arial" w:cs="Arial"/>
          <w:color w:val="000000"/>
          <w:sz w:val="20"/>
        </w:rPr>
        <w:t xml:space="preserve">While </w:t>
      </w:r>
      <w:bookmarkStart w:id="3173" w:name="Bookmark_LNHNREFclscc14_11"/>
      <w:bookmarkEnd w:id="3173"/>
      <w:r>
        <w:rPr>
          <w:rFonts w:ascii="Arial" w:eastAsia="Arial" w:hAnsi="Arial" w:cs="Arial"/>
          <w:color w:val="000000"/>
          <w:sz w:val="20"/>
        </w:rPr>
        <w:t xml:space="preserve">the plaintiff has the burden of proving discrimination in an ADA claim, Norkunas argues that the burden shifts here because Seahorse completed remedial measures before trial. We disagree. </w:t>
      </w:r>
      <w:bookmarkStart w:id="3174" w:name="Bookmark_LNHNREFclscc15_10"/>
      <w:bookmarkEnd w:id="3174"/>
      <w:r>
        <w:rPr>
          <w:rFonts w:ascii="Arial" w:eastAsia="Arial" w:hAnsi="Arial" w:cs="Arial"/>
          <w:color w:val="000000"/>
          <w:sz w:val="20"/>
        </w:rPr>
        <w:t>The ADA provides only prospective injunctive relief for violations, and does not allow for damages for past discrimination or past remedied violations. 42 U.S.C. § 12188(a)(1). Seahorse's remedial work  [*417]  did not diminish or shift Norkunas's burden of proof, and the district court did not err in requiring Norkunas to prove discrimination.</w:t>
      </w:r>
    </w:p>
    <w:p w14:paraId="416C411C" w14:textId="77777777" w:rsidR="00D041A2" w:rsidRDefault="00000000">
      <w:pPr>
        <w:pStyle w:val="Normal27"/>
        <w:widowControl w:val="0"/>
        <w:spacing w:before="120" w:line="260" w:lineRule="atLeast"/>
      </w:pPr>
      <w:r>
        <w:rPr>
          <w:rFonts w:ascii="Arial" w:eastAsia="Arial" w:hAnsi="Arial" w:cs="Arial"/>
          <w:color w:val="000000"/>
          <w:sz w:val="20"/>
        </w:rPr>
        <w:t>2. Burden of Proof</w:t>
      </w:r>
    </w:p>
    <w:p w14:paraId="710AA483" w14:textId="77777777" w:rsidR="00D041A2" w:rsidRDefault="00000000">
      <w:pPr>
        <w:pStyle w:val="Normal27"/>
        <w:widowControl w:val="0"/>
        <w:spacing w:before="200" w:line="260" w:lineRule="atLeast"/>
        <w:jc w:val="both"/>
      </w:pPr>
      <w:bookmarkStart w:id="3175" w:name="Bookmark_para_20_15"/>
      <w:bookmarkStart w:id="3176" w:name="Bookmark_I3FJ7YGRKFP000BV4MN002K0"/>
      <w:bookmarkStart w:id="3177" w:name="Bookmark_I548C05F2SF7TC0010000400"/>
      <w:bookmarkEnd w:id="3175"/>
      <w:bookmarkEnd w:id="3176"/>
      <w:bookmarkEnd w:id="3177"/>
      <w:r>
        <w:rPr>
          <w:rFonts w:ascii="Arial" w:eastAsia="Arial" w:hAnsi="Arial" w:cs="Arial"/>
          <w:color w:val="000000"/>
          <w:sz w:val="20"/>
        </w:rPr>
        <w:t xml:space="preserve">As with the dune walkover, </w:t>
      </w:r>
      <w:bookmarkStart w:id="3178" w:name="Bookmark_LNHNREFclscc16_7"/>
      <w:bookmarkEnd w:id="3178"/>
      <w:r>
        <w:rPr>
          <w:rFonts w:ascii="Arial" w:eastAsia="Arial" w:hAnsi="Arial" w:cs="Arial"/>
          <w:color w:val="000000"/>
          <w:sz w:val="20"/>
        </w:rPr>
        <w:t xml:space="preserve">any plaintiff alleging Title III ADA discrimination must make an initial showing of discrimination  [**10] under the ADA. To meet their burden of proof in discrimination cases focused on pre-existing buildings, plaintiffs must present evidence of a barrier, and "sufficient evidence so that a defendant can evaluate the proposed solution to a barrier, the difficulty of accomplishing it, the cost [of] implementation, and the economic operation of the facility." </w:t>
      </w:r>
      <w:bookmarkStart w:id="3179" w:name="Bookmark_I548C05F2D6MS50050000400"/>
      <w:bookmarkEnd w:id="3179"/>
      <w:r>
        <w:rPr>
          <w:rFonts w:ascii="Arial" w:eastAsia="Arial" w:hAnsi="Arial" w:cs="Arial"/>
          <w:i/>
          <w:color w:val="000000"/>
          <w:sz w:val="20"/>
        </w:rPr>
        <w:t>Garthright-Dietrich v. Atlanta Landmarks, Inc.</w:t>
      </w:r>
      <w:r>
        <w:rPr>
          <w:rFonts w:ascii="Arial" w:eastAsia="Arial" w:hAnsi="Arial" w:cs="Arial"/>
          <w:color w:val="000000"/>
          <w:sz w:val="20"/>
        </w:rPr>
        <w:t xml:space="preserve">. 452 F.3d 1269, 1274 (11th Cir. 2006). When plaintiffs meet the burden of production showing that the removal of barriers is "readily achievable," the burden then shifts to the defendant to prove the affirmative defense that the removal of a barrier is not readily achievable. </w:t>
      </w:r>
      <w:r>
        <w:rPr>
          <w:rFonts w:ascii="Arial" w:eastAsia="Arial" w:hAnsi="Arial" w:cs="Arial"/>
          <w:i/>
          <w:color w:val="000000"/>
          <w:sz w:val="20"/>
        </w:rPr>
        <w:t>Id</w:t>
      </w:r>
      <w:r>
        <w:rPr>
          <w:rFonts w:ascii="Arial" w:eastAsia="Arial" w:hAnsi="Arial" w:cs="Arial"/>
          <w:color w:val="000000"/>
          <w:sz w:val="20"/>
        </w:rPr>
        <w:t xml:space="preserve">. Typically, litigation focuses on whether barrier removal is readily achievable or not. Here, the focus is the continued existence of barriers at the time of trial. The burden of proof does not change when remedial measures are accomplished before trial. Evidence presented regarding the changes at the Seahorse Inn is counter-evidence for the finder of fact to weigh in determining the existence of the barriers—not an argument of mootness as the plaintiff contends. The district court did not err in applying the </w:t>
      </w:r>
      <w:r>
        <w:rPr>
          <w:rFonts w:ascii="Arial" w:eastAsia="Arial" w:hAnsi="Arial" w:cs="Arial"/>
          <w:i/>
          <w:color w:val="000000"/>
          <w:sz w:val="20"/>
        </w:rPr>
        <w:t>Gathright-Dietrich</w:t>
      </w:r>
      <w:r>
        <w:rPr>
          <w:rFonts w:ascii="Arial" w:eastAsia="Arial" w:hAnsi="Arial" w:cs="Arial"/>
          <w:color w:val="000000"/>
          <w:sz w:val="20"/>
        </w:rPr>
        <w:t xml:space="preserve">  [**11] burden-shifting standard.</w:t>
      </w:r>
    </w:p>
    <w:p w14:paraId="40563186" w14:textId="77777777" w:rsidR="00D041A2" w:rsidRDefault="00000000">
      <w:pPr>
        <w:pStyle w:val="Normal27"/>
        <w:widowControl w:val="0"/>
        <w:spacing w:before="120" w:line="260" w:lineRule="atLeast"/>
      </w:pPr>
      <w:r>
        <w:rPr>
          <w:rFonts w:ascii="Arial" w:eastAsia="Arial" w:hAnsi="Arial" w:cs="Arial"/>
          <w:color w:val="000000"/>
          <w:sz w:val="20"/>
        </w:rPr>
        <w:t>3. Sufficiency of Seahorse's Evidence</w:t>
      </w:r>
    </w:p>
    <w:p w14:paraId="45B6A5F0" w14:textId="77777777" w:rsidR="00D041A2" w:rsidRDefault="00000000">
      <w:pPr>
        <w:pStyle w:val="Normal27"/>
        <w:widowControl w:val="0"/>
        <w:spacing w:before="200" w:line="260" w:lineRule="atLeast"/>
        <w:jc w:val="both"/>
      </w:pPr>
      <w:bookmarkStart w:id="3180" w:name="Bookmark_para_21_15"/>
      <w:bookmarkStart w:id="3181" w:name="Bookmark_LNHNREFclscc17_6"/>
      <w:bookmarkEnd w:id="3180"/>
      <w:bookmarkEnd w:id="3181"/>
      <w:r>
        <w:rPr>
          <w:rFonts w:ascii="Arial" w:eastAsia="Arial" w:hAnsi="Arial" w:cs="Arial"/>
          <w:color w:val="000000"/>
          <w:sz w:val="20"/>
        </w:rPr>
        <w:t xml:space="preserve">All relevant evidence is generally admissible. </w:t>
      </w:r>
      <w:bookmarkStart w:id="3182" w:name="Bookmark_I548C05F2SF7TC0030000400"/>
      <w:bookmarkEnd w:id="3182"/>
      <w:r>
        <w:rPr>
          <w:rFonts w:ascii="Arial" w:eastAsia="Arial" w:hAnsi="Arial" w:cs="Arial"/>
          <w:smallCaps/>
          <w:color w:val="000000"/>
          <w:sz w:val="20"/>
        </w:rPr>
        <w:t>Fed. R. Evid.</w:t>
      </w:r>
      <w:r>
        <w:rPr>
          <w:rFonts w:ascii="Arial" w:eastAsia="Arial" w:hAnsi="Arial" w:cs="Arial"/>
          <w:color w:val="000000"/>
          <w:sz w:val="20"/>
        </w:rPr>
        <w:t xml:space="preserve"> 402. </w:t>
      </w:r>
      <w:bookmarkStart w:id="3183" w:name="Bookmark_LNHNREFclscc18_4"/>
      <w:bookmarkEnd w:id="3183"/>
      <w:r>
        <w:rPr>
          <w:rFonts w:ascii="Arial" w:eastAsia="Arial" w:hAnsi="Arial" w:cs="Arial"/>
          <w:color w:val="000000"/>
          <w:sz w:val="20"/>
        </w:rPr>
        <w:t xml:space="preserve">We review the admission of evidence by the district court for abuse of discretion. </w:t>
      </w:r>
      <w:bookmarkStart w:id="3184" w:name="Bookmark_I548C05F2SF7TC0050000400"/>
      <w:bookmarkStart w:id="3185" w:name="Bookmark_I548C05F2SF7TC0020000400"/>
      <w:bookmarkEnd w:id="3184"/>
      <w:bookmarkEnd w:id="3185"/>
      <w:r>
        <w:rPr>
          <w:rFonts w:ascii="Arial" w:eastAsia="Arial" w:hAnsi="Arial" w:cs="Arial"/>
          <w:i/>
          <w:color w:val="000000"/>
          <w:sz w:val="20"/>
        </w:rPr>
        <w:t>Chrysler Int'l Corp. v. Chemaly</w:t>
      </w:r>
      <w:r>
        <w:rPr>
          <w:rFonts w:ascii="Arial" w:eastAsia="Arial" w:hAnsi="Arial" w:cs="Arial"/>
          <w:color w:val="000000"/>
          <w:sz w:val="20"/>
        </w:rPr>
        <w:t xml:space="preserve">, 280 F.3d 1358, 1362 (11th Cir. 2002). </w:t>
      </w:r>
      <w:bookmarkStart w:id="3186" w:name="Bookmark_I548C05F2SF7TC0050000400_2"/>
      <w:bookmarkStart w:id="3187" w:name="Bookmark_I548C05F2HM6TN0020000400"/>
      <w:bookmarkStart w:id="3188" w:name="Bookmark_LNHNREFclscc19_3"/>
      <w:bookmarkEnd w:id="3186"/>
      <w:bookmarkEnd w:id="3187"/>
      <w:bookmarkEnd w:id="3188"/>
      <w:r>
        <w:rPr>
          <w:rFonts w:ascii="Arial" w:eastAsia="Arial" w:hAnsi="Arial" w:cs="Arial"/>
          <w:color w:val="000000"/>
          <w:sz w:val="20"/>
        </w:rPr>
        <w:t xml:space="preserve">Generally, this Court will not consider an issue not raised in the district court. </w:t>
      </w:r>
      <w:bookmarkStart w:id="3189" w:name="Bookmark_I548C05F2SF7TC0040000400"/>
      <w:bookmarkEnd w:id="3189"/>
      <w:r>
        <w:rPr>
          <w:rFonts w:ascii="Arial" w:eastAsia="Arial" w:hAnsi="Arial" w:cs="Arial"/>
          <w:i/>
          <w:color w:val="000000"/>
          <w:sz w:val="20"/>
        </w:rPr>
        <w:t>Access Now, Inc. v. Southwest Airlines Co</w:t>
      </w:r>
      <w:r>
        <w:rPr>
          <w:rFonts w:ascii="Arial" w:eastAsia="Arial" w:hAnsi="Arial" w:cs="Arial"/>
          <w:color w:val="000000"/>
          <w:sz w:val="20"/>
        </w:rPr>
        <w:t xml:space="preserve">., 385 F.3d 1324, 1331 (11th Cir. 2004). </w:t>
      </w:r>
      <w:bookmarkStart w:id="3190" w:name="Bookmark_I548C05F2HM6TN0020000400_2"/>
      <w:bookmarkStart w:id="3191" w:name="Bookmark_I548C05F2HM6TN0040000400"/>
      <w:bookmarkEnd w:id="3190"/>
      <w:bookmarkEnd w:id="3191"/>
      <w:r>
        <w:rPr>
          <w:rFonts w:ascii="Arial" w:eastAsia="Arial" w:hAnsi="Arial" w:cs="Arial"/>
          <w:color w:val="000000"/>
          <w:sz w:val="20"/>
        </w:rPr>
        <w:t xml:space="preserve">Thus, to preserve evidentiary issues on appeal in civil cases, parties must object to the challenged testimony under the contemporaneous-objection rule. </w:t>
      </w:r>
      <w:r>
        <w:rPr>
          <w:rFonts w:ascii="Arial" w:eastAsia="Arial" w:hAnsi="Arial" w:cs="Arial"/>
          <w:i/>
          <w:color w:val="000000"/>
          <w:sz w:val="20"/>
        </w:rPr>
        <w:t xml:space="preserve">See </w:t>
      </w:r>
      <w:bookmarkStart w:id="3192" w:name="Bookmark_I548C05F2HM6TN0010000400"/>
      <w:bookmarkEnd w:id="3192"/>
      <w:r>
        <w:rPr>
          <w:rFonts w:ascii="Arial" w:eastAsia="Arial" w:hAnsi="Arial" w:cs="Arial"/>
          <w:i/>
          <w:color w:val="000000"/>
          <w:sz w:val="20"/>
        </w:rPr>
        <w:t>Sec. &amp; Exch. Comm'n v. Diversified Corp. Consulting Group</w:t>
      </w:r>
      <w:r>
        <w:rPr>
          <w:rFonts w:ascii="Arial" w:eastAsia="Arial" w:hAnsi="Arial" w:cs="Arial"/>
          <w:color w:val="000000"/>
          <w:sz w:val="20"/>
        </w:rPr>
        <w:t xml:space="preserve">, 378 F.3d 1219, 1227 (11th Cir. 2004) ("In a case such as this—where the party foregoes an opportunity to object—we do not entertain the objection on appeal."). </w:t>
      </w:r>
      <w:bookmarkStart w:id="3193" w:name="Bookmark_I548C05F2HM6TN0040000400_2"/>
      <w:bookmarkStart w:id="3194" w:name="Bookmark_I548C05F2N1R0T0010000400"/>
      <w:bookmarkEnd w:id="3193"/>
      <w:bookmarkEnd w:id="3194"/>
      <w:r>
        <w:rPr>
          <w:rFonts w:ascii="Arial" w:eastAsia="Arial" w:hAnsi="Arial" w:cs="Arial"/>
          <w:color w:val="000000"/>
          <w:sz w:val="20"/>
        </w:rPr>
        <w:t xml:space="preserve">However, in a rare, exceptional civil case, we review evidence admitted without a contemporaneous objection for plain error if the error would result in a fundamental miscarriage of justice. </w:t>
      </w:r>
      <w:bookmarkStart w:id="3195" w:name="Bookmark_I548C05F2HM6TN0030000400"/>
      <w:bookmarkEnd w:id="3195"/>
      <w:r>
        <w:rPr>
          <w:rFonts w:ascii="Arial" w:eastAsia="Arial" w:hAnsi="Arial" w:cs="Arial"/>
          <w:i/>
          <w:color w:val="000000"/>
          <w:sz w:val="20"/>
        </w:rPr>
        <w:t>Christopher v. Cutter Labs</w:t>
      </w:r>
      <w:r>
        <w:rPr>
          <w:rFonts w:ascii="Arial" w:eastAsia="Arial" w:hAnsi="Arial" w:cs="Arial"/>
          <w:color w:val="000000"/>
          <w:sz w:val="20"/>
        </w:rPr>
        <w:t xml:space="preserve">., 53 F.3d 1184, 1192 (1995). </w:t>
      </w:r>
      <w:bookmarkStart w:id="3196" w:name="Bookmark_I548C05F2N1R0T0010000400_2"/>
      <w:bookmarkEnd w:id="3196"/>
      <w:r>
        <w:rPr>
          <w:rFonts w:ascii="Arial" w:eastAsia="Arial" w:hAnsi="Arial" w:cs="Arial"/>
          <w:color w:val="000000"/>
          <w:sz w:val="20"/>
        </w:rPr>
        <w:t xml:space="preserve">"Plain  [**12] errors are obvious and substantial errors which seriously affect the fairness, integrity or public reputation of judicial proceedings." </w:t>
      </w:r>
      <w:bookmarkStart w:id="3197" w:name="Bookmark_I548C05F2HM6TN0050000400"/>
      <w:bookmarkEnd w:id="3197"/>
      <w:r>
        <w:rPr>
          <w:rFonts w:ascii="Arial" w:eastAsia="Arial" w:hAnsi="Arial" w:cs="Arial"/>
          <w:i/>
          <w:color w:val="000000"/>
          <w:sz w:val="20"/>
        </w:rPr>
        <w:t>United States v. Hope</w:t>
      </w:r>
      <w:r>
        <w:rPr>
          <w:rFonts w:ascii="Arial" w:eastAsia="Arial" w:hAnsi="Arial" w:cs="Arial"/>
          <w:color w:val="000000"/>
          <w:sz w:val="20"/>
        </w:rPr>
        <w:t>, 901 F.2d 1013, 1020 (11th Cir. 1990) (citation omitted). We need not decide if this is such a rare case because there is no plain error in any event.</w:t>
      </w:r>
    </w:p>
    <w:p w14:paraId="0B08D43D" w14:textId="77777777" w:rsidR="00D041A2" w:rsidRDefault="00000000">
      <w:pPr>
        <w:pStyle w:val="Normal27"/>
        <w:widowControl w:val="0"/>
        <w:spacing w:before="120" w:line="260" w:lineRule="atLeast"/>
      </w:pPr>
      <w:r>
        <w:rPr>
          <w:rFonts w:ascii="Arial" w:eastAsia="Arial" w:hAnsi="Arial" w:cs="Arial"/>
          <w:color w:val="000000"/>
          <w:sz w:val="20"/>
        </w:rPr>
        <w:t>a. Cole's Testimony</w:t>
      </w:r>
    </w:p>
    <w:p w14:paraId="6CC2D8C9" w14:textId="77777777" w:rsidR="00D041A2" w:rsidRDefault="00000000">
      <w:pPr>
        <w:pStyle w:val="Normal27"/>
        <w:widowControl w:val="0"/>
        <w:spacing w:before="200" w:line="260" w:lineRule="atLeast"/>
        <w:jc w:val="both"/>
      </w:pPr>
      <w:bookmarkStart w:id="3198" w:name="Bookmark_para_22_15"/>
      <w:bookmarkEnd w:id="3198"/>
      <w:r>
        <w:rPr>
          <w:rFonts w:ascii="Arial" w:eastAsia="Arial" w:hAnsi="Arial" w:cs="Arial"/>
          <w:color w:val="000000"/>
          <w:sz w:val="20"/>
        </w:rPr>
        <w:t>Norkunas argues that the district court erroneously considered the testimony of Seahorse's owner David Cole on matters of ADA compliance. Norkunas argues that ADA compliance is technical and therefore requires an expert to testify as to matters of compliance. He appeals the admission of Cole's testimony regarding the curb ramp by the registration office, the gates on the property, the door thresholds to Room 118, the alterations made to the restrooms in the Lemon Bar, and the parking space in front of the registration office.</w:t>
      </w:r>
    </w:p>
    <w:p w14:paraId="0A0392CE" w14:textId="77777777" w:rsidR="00D041A2" w:rsidRDefault="00000000">
      <w:pPr>
        <w:pStyle w:val="Normal27"/>
        <w:widowControl w:val="0"/>
        <w:spacing w:before="200" w:line="260" w:lineRule="atLeast"/>
        <w:jc w:val="both"/>
      </w:pPr>
      <w:bookmarkStart w:id="3199" w:name="Bookmark_para_23_14"/>
      <w:bookmarkEnd w:id="3199"/>
      <w:r>
        <w:rPr>
          <w:rFonts w:ascii="Arial" w:eastAsia="Arial" w:hAnsi="Arial" w:cs="Arial"/>
          <w:color w:val="000000"/>
          <w:sz w:val="20"/>
        </w:rPr>
        <w:t> [*418]  Reviewing the record and testimony appealed, we find that Cole's testimony was limited to facts within his personal knowledge, as permitted by the Rules of Evidence.</w:t>
      </w:r>
      <w:r>
        <w:rPr>
          <w:rFonts w:ascii="Arial" w:eastAsia="Arial" w:hAnsi="Arial" w:cs="Arial"/>
          <w:vertAlign w:val="superscript"/>
        </w:rPr>
        <w:footnoteReference w:customMarkFollows="1" w:id="154"/>
        <w:t>4</w:t>
      </w:r>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Fed. R. Evid</w:t>
      </w:r>
      <w:r>
        <w:rPr>
          <w:rFonts w:ascii="Arial" w:eastAsia="Arial" w:hAnsi="Arial" w:cs="Arial"/>
          <w:color w:val="000000"/>
          <w:sz w:val="20"/>
        </w:rPr>
        <w:t xml:space="preserve"> 602. The district court therefore did not commit error in admitting this testimony.</w:t>
      </w:r>
    </w:p>
    <w:p w14:paraId="46239F02" w14:textId="77777777" w:rsidR="00D041A2" w:rsidRDefault="00000000">
      <w:pPr>
        <w:pStyle w:val="Normal27"/>
        <w:widowControl w:val="0"/>
        <w:spacing w:before="120" w:line="260" w:lineRule="atLeast"/>
      </w:pPr>
      <w:r>
        <w:rPr>
          <w:rFonts w:ascii="Arial" w:eastAsia="Arial" w:hAnsi="Arial" w:cs="Arial"/>
          <w:color w:val="000000"/>
          <w:sz w:val="20"/>
        </w:rPr>
        <w:t>b. Defense Expert's Testimony</w:t>
      </w:r>
    </w:p>
    <w:p w14:paraId="5F97F614" w14:textId="77777777" w:rsidR="00D041A2" w:rsidRDefault="00000000">
      <w:pPr>
        <w:pStyle w:val="Normal27"/>
        <w:widowControl w:val="0"/>
        <w:spacing w:before="200" w:line="260" w:lineRule="atLeast"/>
        <w:jc w:val="both"/>
      </w:pPr>
      <w:bookmarkStart w:id="3201" w:name="Bookmark_para_24_13"/>
      <w:bookmarkStart w:id="3202" w:name="Bookmark_I548C05F2N1R0T0030000400"/>
      <w:bookmarkEnd w:id="3201"/>
      <w:bookmarkEnd w:id="3202"/>
      <w:r>
        <w:rPr>
          <w:rFonts w:ascii="Arial" w:eastAsia="Arial" w:hAnsi="Arial" w:cs="Arial"/>
          <w:color w:val="000000"/>
          <w:sz w:val="20"/>
        </w:rPr>
        <w:t xml:space="preserve">Here, Norkunas challenges the testimony of Seahorse's expert Barley, but no objection was raised at trial. Therefore, we review for plain error. </w:t>
      </w:r>
      <w:bookmarkStart w:id="3203" w:name="Bookmark_I548C05F2N1R0T0020000400"/>
      <w:bookmarkEnd w:id="3203"/>
      <w:r>
        <w:rPr>
          <w:rFonts w:ascii="Arial" w:eastAsia="Arial" w:hAnsi="Arial" w:cs="Arial"/>
          <w:i/>
          <w:color w:val="000000"/>
          <w:sz w:val="20"/>
        </w:rPr>
        <w:t>Christopher</w:t>
      </w:r>
      <w:r>
        <w:rPr>
          <w:rFonts w:ascii="Arial" w:eastAsia="Arial" w:hAnsi="Arial" w:cs="Arial"/>
          <w:color w:val="000000"/>
          <w:sz w:val="20"/>
        </w:rPr>
        <w:t>, 53 F.3d at 1192. Barley is a licensed architect with more than forty years of architectural experience and extensive experience in ADA compliance. He is a member of the College of Fellows of the American Institute of Architects and has served as President of AIA Florida and as a member of the AIA Board of Directors.</w:t>
      </w:r>
    </w:p>
    <w:p w14:paraId="63C83BC0" w14:textId="77777777" w:rsidR="00D041A2" w:rsidRDefault="00000000">
      <w:pPr>
        <w:pStyle w:val="Normal27"/>
        <w:widowControl w:val="0"/>
        <w:spacing w:before="200" w:line="260" w:lineRule="atLeast"/>
        <w:jc w:val="both"/>
      </w:pPr>
      <w:bookmarkStart w:id="3204" w:name="Bookmark_para_25_13"/>
      <w:bookmarkEnd w:id="3204"/>
      <w:r>
        <w:rPr>
          <w:rFonts w:ascii="Arial" w:eastAsia="Arial" w:hAnsi="Arial" w:cs="Arial"/>
          <w:color w:val="000000"/>
          <w:sz w:val="20"/>
        </w:rPr>
        <w:t>We do not find plain error in the district court's admission of Barley as an expert for the defense or in the district court's reliance on his testimony in his report and at trial.</w:t>
      </w:r>
    </w:p>
    <w:p w14:paraId="13A91077" w14:textId="77777777" w:rsidR="00D041A2" w:rsidRDefault="00000000">
      <w:pPr>
        <w:pStyle w:val="Normal27"/>
        <w:widowControl w:val="0"/>
        <w:spacing w:before="240" w:line="260" w:lineRule="atLeast"/>
      </w:pPr>
      <w:r>
        <w:br/>
      </w:r>
      <w:r>
        <w:rPr>
          <w:rFonts w:ascii="Arial" w:eastAsia="Arial" w:hAnsi="Arial" w:cs="Arial"/>
          <w:b/>
          <w:color w:val="000000"/>
          <w:sz w:val="20"/>
        </w:rPr>
        <w:t>D. PARKING</w:t>
      </w:r>
    </w:p>
    <w:p w14:paraId="57E9654B" w14:textId="77777777" w:rsidR="00D041A2" w:rsidRDefault="00000000">
      <w:pPr>
        <w:pStyle w:val="Normal27"/>
        <w:widowControl w:val="0"/>
        <w:spacing w:before="200" w:line="260" w:lineRule="atLeast"/>
        <w:jc w:val="both"/>
      </w:pPr>
      <w:bookmarkStart w:id="3205" w:name="Bookmark_para_26_12"/>
      <w:bookmarkEnd w:id="3205"/>
      <w:r>
        <w:rPr>
          <w:rFonts w:ascii="Arial" w:eastAsia="Arial" w:hAnsi="Arial" w:cs="Arial"/>
          <w:color w:val="000000"/>
          <w:sz w:val="20"/>
        </w:rPr>
        <w:t>Norkunas also appeals the district court's finding that the Seahorse Inn's parking complied with the ADA. The district court found that Seahorse owned two parking  [**14] lots: one exclusively for the use of guests of the Seahorse Inn containing twenty-three spaces ("the close lot"); and the other for use by the public, guests of the Seahorse Inn, and patrons of the Lemon Bar, containing sixty spaces ("the far lot"). Norkunas argues that these lots should be considered together when determining the number of required accessible parking spaces for the Seahorse Inn.</w:t>
      </w:r>
    </w:p>
    <w:p w14:paraId="2FDFD3B3" w14:textId="77777777" w:rsidR="00D041A2" w:rsidRDefault="00000000">
      <w:pPr>
        <w:pStyle w:val="Normal27"/>
        <w:widowControl w:val="0"/>
        <w:spacing w:before="200" w:line="260" w:lineRule="atLeast"/>
        <w:jc w:val="both"/>
      </w:pPr>
      <w:bookmarkStart w:id="3206" w:name="Bookmark_para_27_12"/>
      <w:bookmarkEnd w:id="3206"/>
      <w:r>
        <w:rPr>
          <w:rFonts w:ascii="Arial" w:eastAsia="Arial" w:hAnsi="Arial" w:cs="Arial"/>
          <w:color w:val="000000"/>
          <w:sz w:val="20"/>
        </w:rPr>
        <w:t xml:space="preserve">The district court found that the two accessible parking spaces in the close lot satisfied the requirements of the ADA. The district court's conclusion analyzes the close lot as the Seahorse Inn's only parking lot and the far lot as a separate entity. </w:t>
      </w:r>
      <w:bookmarkStart w:id="3207" w:name="Bookmark_I548C05F2N1R0T0050000400"/>
      <w:bookmarkEnd w:id="3207"/>
      <w:r>
        <w:rPr>
          <w:rFonts w:ascii="Arial" w:eastAsia="Arial" w:hAnsi="Arial" w:cs="Arial"/>
          <w:color w:val="000000"/>
          <w:sz w:val="20"/>
        </w:rPr>
        <w:t xml:space="preserve">There is evidence in the record indicating that even though Seahorse owns both lots, they serve different functions and can be analyzed separately. We find no clear error in the district court's conclusion that the close lot was the Seahorse Inn's parking lot for analysis of ADA compliance. </w:t>
      </w:r>
      <w:bookmarkStart w:id="3208" w:name="Bookmark_I548C05F2N1R0T0040000400"/>
      <w:bookmarkEnd w:id="3208"/>
      <w:r>
        <w:rPr>
          <w:rFonts w:ascii="Arial" w:eastAsia="Arial" w:hAnsi="Arial" w:cs="Arial"/>
          <w:i/>
          <w:color w:val="000000"/>
          <w:sz w:val="20"/>
        </w:rPr>
        <w:t>Morrissette-Brown</w:t>
      </w:r>
      <w:r>
        <w:rPr>
          <w:rFonts w:ascii="Arial" w:eastAsia="Arial" w:hAnsi="Arial" w:cs="Arial"/>
          <w:color w:val="000000"/>
          <w:sz w:val="20"/>
        </w:rPr>
        <w:t>, 506 F.3d at 1319. We agree therefore with the district court's conclusion that the Seahorse Inn's only parking complied with the ADA.</w:t>
      </w:r>
    </w:p>
    <w:p w14:paraId="38C9519F" w14:textId="77777777" w:rsidR="00D041A2" w:rsidRDefault="00000000">
      <w:pPr>
        <w:pStyle w:val="Normal27"/>
        <w:widowControl w:val="0"/>
        <w:spacing w:before="200" w:line="260" w:lineRule="atLeast"/>
        <w:jc w:val="both"/>
      </w:pPr>
      <w:bookmarkStart w:id="3209" w:name="Bookmark_para_28_11"/>
      <w:bookmarkEnd w:id="3209"/>
      <w:r>
        <w:rPr>
          <w:rFonts w:ascii="Arial" w:eastAsia="Arial" w:hAnsi="Arial" w:cs="Arial"/>
          <w:color w:val="000000"/>
          <w:sz w:val="20"/>
        </w:rPr>
        <w:t>The district court also found that the additional accessible parking spots across the street were not improper  [**15] since they complied with the ADA requirements for size, striping, and signage. We find no clear error in the district court's finding that these additional accessible spaces in a separate lot did not violate the ADA. Since Norkunas objects only to the Seahorse Inn's parking, which the district court found to include only the close lot, we do not address the compliance of the far lot with the ADA.</w:t>
      </w:r>
    </w:p>
    <w:p w14:paraId="1E4D0134" w14:textId="77777777" w:rsidR="00D041A2" w:rsidRDefault="00000000">
      <w:pPr>
        <w:pStyle w:val="Normal27"/>
        <w:widowControl w:val="0"/>
        <w:spacing w:before="240" w:line="260" w:lineRule="atLeast"/>
      </w:pPr>
      <w:r>
        <w:br/>
      </w:r>
      <w:r>
        <w:rPr>
          <w:rFonts w:ascii="Arial" w:eastAsia="Arial" w:hAnsi="Arial" w:cs="Arial"/>
          <w:b/>
          <w:color w:val="000000"/>
          <w:sz w:val="20"/>
        </w:rPr>
        <w:t>CONCLUSION</w:t>
      </w:r>
    </w:p>
    <w:p w14:paraId="0B33E376" w14:textId="77777777" w:rsidR="00D041A2" w:rsidRDefault="00000000">
      <w:pPr>
        <w:pStyle w:val="Normal27"/>
        <w:widowControl w:val="0"/>
        <w:spacing w:before="200" w:line="260" w:lineRule="atLeast"/>
        <w:jc w:val="both"/>
      </w:pPr>
      <w:bookmarkStart w:id="3210" w:name="Bookmark_para_29_10"/>
      <w:bookmarkStart w:id="3211" w:name="Bookmark_I3FJ7YGRSJJ000BV4MN002K1"/>
      <w:bookmarkStart w:id="3212" w:name="Bookmark_I548C05F28T51K0020000400"/>
      <w:bookmarkEnd w:id="3210"/>
      <w:bookmarkEnd w:id="3211"/>
      <w:bookmarkEnd w:id="3212"/>
      <w:r>
        <w:rPr>
          <w:rFonts w:ascii="Arial" w:eastAsia="Arial" w:hAnsi="Arial" w:cs="Arial"/>
          <w:color w:val="000000"/>
          <w:sz w:val="20"/>
        </w:rPr>
        <w:t xml:space="preserve">The district court properly found that Norkunas had standing to bring this suit against Seahorse. It also properly ruled that his standing did not allow him to include the accessible rooms in his suit. The district court did not err in requiring Norkunas to prove the existence of discrimination  [*419]  under the ADA and in applying the </w:t>
      </w:r>
      <w:bookmarkStart w:id="3213" w:name="Bookmark_I548C05F28T51K0010000400"/>
      <w:bookmarkEnd w:id="3213"/>
      <w:r>
        <w:rPr>
          <w:rFonts w:ascii="Arial" w:eastAsia="Arial" w:hAnsi="Arial" w:cs="Arial"/>
          <w:i/>
          <w:color w:val="000000"/>
          <w:sz w:val="20"/>
        </w:rPr>
        <w:t>Gathright-Dietrich</w:t>
      </w:r>
      <w:r>
        <w:rPr>
          <w:rFonts w:ascii="Arial" w:eastAsia="Arial" w:hAnsi="Arial" w:cs="Arial"/>
          <w:color w:val="000000"/>
          <w:sz w:val="20"/>
        </w:rPr>
        <w:t xml:space="preserve"> burden-shifting standard of proof. The district court did not err in its finding that the dune walkway is not required to be made accessible since it is not a required accessible route, nor did it err in admitting testimony from Seahorse's owner and expert witness. The district court properly considered this testimony when considering the accessibility of the Lemon Bar restrooms, curb ramp, parking, gate latches, and door thresholds on this  [**16] testimony. The district court did not err in construing the Seahorse Inn's parking as consisting of the lot closest to the Seahorse Inn only, and in finding its parking compliant.</w:t>
      </w:r>
    </w:p>
    <w:p w14:paraId="60A9E8DA" w14:textId="77777777" w:rsidR="00D041A2" w:rsidRDefault="00000000">
      <w:pPr>
        <w:pStyle w:val="Normal27"/>
        <w:widowControl w:val="0"/>
        <w:spacing w:before="200" w:line="260" w:lineRule="atLeast"/>
        <w:jc w:val="both"/>
      </w:pPr>
      <w:bookmarkStart w:id="3214" w:name="Bookmark_para_30_10"/>
      <w:bookmarkEnd w:id="3214"/>
      <w:r>
        <w:rPr>
          <w:rFonts w:ascii="Arial" w:eastAsia="Arial" w:hAnsi="Arial" w:cs="Arial"/>
          <w:b/>
          <w:color w:val="000000"/>
          <w:sz w:val="20"/>
        </w:rPr>
        <w:t>AFFIRMED</w:t>
      </w:r>
      <w:r>
        <w:rPr>
          <w:rFonts w:ascii="Arial" w:eastAsia="Arial" w:hAnsi="Arial" w:cs="Arial"/>
          <w:color w:val="000000"/>
          <w:sz w:val="20"/>
        </w:rPr>
        <w:t>.</w:t>
      </w:r>
    </w:p>
    <w:p w14:paraId="7156DBDE" w14:textId="77777777" w:rsidR="00D041A2" w:rsidRDefault="00D041A2">
      <w:pPr>
        <w:pStyle w:val="Normal27"/>
      </w:pPr>
    </w:p>
    <w:p w14:paraId="2C3DCA56" w14:textId="7A70479A" w:rsidR="00D041A2" w:rsidRDefault="00000000">
      <w:pPr>
        <w:pStyle w:val="Normal27"/>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17632" behindDoc="0" locked="0" layoutInCell="1" allowOverlap="1" wp14:anchorId="2DAB472C" wp14:editId="44012188">
                <wp:simplePos x="0" y="0"/>
                <wp:positionH relativeFrom="column">
                  <wp:posOffset>0</wp:posOffset>
                </wp:positionH>
                <wp:positionV relativeFrom="paragraph">
                  <wp:posOffset>127000</wp:posOffset>
                </wp:positionV>
                <wp:extent cx="6502400" cy="0"/>
                <wp:effectExtent l="9525" t="12700" r="12700" b="6350"/>
                <wp:wrapNone/>
                <wp:docPr id="940438236"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B8508" id="Line 5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988144A" w14:textId="77777777" w:rsidR="00D041A2" w:rsidRDefault="00D041A2">
      <w:pPr>
        <w:pStyle w:val="Normal28"/>
        <w:sectPr w:rsidR="00D041A2">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gutter="0"/>
          <w:cols w:space="720"/>
          <w:titlePg/>
        </w:sectPr>
      </w:pPr>
    </w:p>
    <w:p w14:paraId="547F4CEC" w14:textId="77777777" w:rsidR="00D041A2" w:rsidRDefault="00D041A2">
      <w:pPr>
        <w:pStyle w:val="Normal28"/>
      </w:pPr>
    </w:p>
    <w:p w14:paraId="32B6E51C" w14:textId="77777777" w:rsidR="00D041A2" w:rsidRDefault="00000000">
      <w:pPr>
        <w:pStyle w:val="Heading127"/>
        <w:keepNext w:val="0"/>
        <w:widowControl w:val="0"/>
        <w:spacing w:after="200" w:line="340" w:lineRule="atLeast"/>
        <w:jc w:val="center"/>
      </w:pPr>
      <w:r>
        <w:rPr>
          <w:rFonts w:eastAsia="Arial"/>
          <w:color w:val="000000"/>
          <w:sz w:val="28"/>
        </w:rPr>
        <w:t>Goos v. Shell Oil Co.</w:t>
      </w:r>
    </w:p>
    <w:p w14:paraId="2D8021D0" w14:textId="77777777" w:rsidR="00D041A2" w:rsidRDefault="00000000">
      <w:pPr>
        <w:pStyle w:val="Normal28"/>
        <w:widowControl w:val="0"/>
        <w:spacing w:before="120" w:line="260" w:lineRule="atLeast"/>
        <w:jc w:val="center"/>
      </w:pPr>
      <w:r>
        <w:rPr>
          <w:rFonts w:ascii="Arial" w:eastAsia="Arial" w:hAnsi="Arial" w:cs="Arial"/>
          <w:color w:val="000000"/>
          <w:sz w:val="20"/>
        </w:rPr>
        <w:t>United States Court of Appeals for the Ninth Circuit</w:t>
      </w:r>
    </w:p>
    <w:p w14:paraId="279DFCB5" w14:textId="77777777" w:rsidR="00D041A2" w:rsidRDefault="00000000">
      <w:pPr>
        <w:pStyle w:val="Normal28"/>
        <w:widowControl w:val="0"/>
        <w:spacing w:before="120" w:line="260" w:lineRule="atLeast"/>
        <w:jc w:val="center"/>
      </w:pPr>
      <w:r>
        <w:rPr>
          <w:rFonts w:ascii="Arial" w:eastAsia="Arial" w:hAnsi="Arial" w:cs="Arial"/>
          <w:color w:val="000000"/>
          <w:sz w:val="20"/>
        </w:rPr>
        <w:t>September 2, 2011, Argued and Submitted, San Francisco, California; October 5, 2011, Filed</w:t>
      </w:r>
    </w:p>
    <w:p w14:paraId="72F484EA" w14:textId="77777777" w:rsidR="00D041A2" w:rsidRDefault="00000000">
      <w:pPr>
        <w:pStyle w:val="Normal28"/>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10-16101</w:t>
      </w:r>
    </w:p>
    <w:p w14:paraId="299C0B0E" w14:textId="77777777" w:rsidR="00D041A2" w:rsidRDefault="00D041A2">
      <w:pPr>
        <w:pStyle w:val="Normal28"/>
        <w:widowControl w:val="0"/>
        <w:spacing w:line="240" w:lineRule="atLeast"/>
        <w:jc w:val="both"/>
      </w:pPr>
      <w:bookmarkStart w:id="3215" w:name="Bookmark_29"/>
      <w:bookmarkEnd w:id="3215"/>
    </w:p>
    <w:p w14:paraId="6260F046" w14:textId="77777777" w:rsidR="00D041A2" w:rsidRDefault="00000000">
      <w:pPr>
        <w:pStyle w:val="Normal28"/>
        <w:widowControl w:val="0"/>
        <w:spacing w:before="200" w:line="240" w:lineRule="atLeast"/>
      </w:pPr>
      <w:bookmarkStart w:id="3216" w:name="Reporter_27"/>
      <w:bookmarkEnd w:id="3216"/>
      <w:r>
        <w:rPr>
          <w:rFonts w:ascii="Arial" w:eastAsia="Arial" w:hAnsi="Arial" w:cs="Arial"/>
          <w:b/>
          <w:color w:val="000000"/>
          <w:sz w:val="18"/>
        </w:rPr>
        <w:t>Reporter</w:t>
      </w:r>
    </w:p>
    <w:p w14:paraId="3BEEA59E" w14:textId="77777777" w:rsidR="00D041A2" w:rsidRDefault="00000000">
      <w:pPr>
        <w:pStyle w:val="Normal28"/>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451 Fed. Appx. 700 *; 2011 U.S. App. LEXIS 20260 **</w:t>
      </w:r>
    </w:p>
    <w:p w14:paraId="4D545F5C" w14:textId="77777777" w:rsidR="00D041A2" w:rsidRDefault="00000000">
      <w:pPr>
        <w:pStyle w:val="Normal28"/>
        <w:widowControl w:val="0"/>
        <w:spacing w:before="120" w:line="260" w:lineRule="atLeast"/>
      </w:pPr>
      <w:r>
        <w:rPr>
          <w:rFonts w:ascii="Arial" w:eastAsia="Arial" w:hAnsi="Arial" w:cs="Arial"/>
          <w:color w:val="000000"/>
          <w:sz w:val="20"/>
        </w:rPr>
        <w:t>CAROL A. GOOS, Plaintiff - Appellant, v. SHELL OIL COMPANY, doing business as SHELL OIL PRODUCTS U.S., Defendant - Appellee.</w:t>
      </w:r>
    </w:p>
    <w:p w14:paraId="38DB38C5" w14:textId="77777777" w:rsidR="00D041A2" w:rsidRDefault="00000000">
      <w:pPr>
        <w:pStyle w:val="Normal28"/>
        <w:widowControl w:val="0"/>
        <w:spacing w:before="240" w:line="260" w:lineRule="atLeast"/>
        <w:jc w:val="both"/>
      </w:pPr>
      <w:bookmarkStart w:id="3217" w:name="Notice_17"/>
      <w:bookmarkEnd w:id="3217"/>
      <w:r>
        <w:rPr>
          <w:rFonts w:ascii="Arial" w:eastAsia="Arial" w:hAnsi="Arial" w:cs="Arial"/>
          <w:b/>
          <w:color w:val="000000"/>
          <w:sz w:val="20"/>
        </w:rPr>
        <w:t>Notice:</w:t>
      </w:r>
      <w:r>
        <w:rPr>
          <w:rFonts w:ascii="Arial" w:eastAsia="Arial" w:hAnsi="Arial" w:cs="Arial"/>
          <w:color w:val="000000"/>
          <w:sz w:val="20"/>
        </w:rPr>
        <w:t> </w:t>
      </w:r>
      <w:bookmarkStart w:id="3218" w:name="Bookmark_para_1_27"/>
      <w:bookmarkEnd w:id="3218"/>
      <w:r>
        <w:rPr>
          <w:rFonts w:ascii="Arial" w:eastAsia="Arial" w:hAnsi="Arial" w:cs="Arial"/>
          <w:color w:val="000000"/>
          <w:sz w:val="20"/>
        </w:rPr>
        <w:t>PLEASE REFER TO FEDERAL RULES OF APPELLATE PROCEDURE RULE 32.1 GOVERNING THE CITATION TO UNPUBLISHED OPINIONS.</w:t>
      </w:r>
    </w:p>
    <w:p w14:paraId="4D1DAA11" w14:textId="77777777" w:rsidR="00D041A2" w:rsidRDefault="00000000">
      <w:pPr>
        <w:pStyle w:val="Normal28"/>
        <w:widowControl w:val="0"/>
        <w:spacing w:before="240" w:line="260" w:lineRule="atLeast"/>
        <w:jc w:val="both"/>
      </w:pPr>
      <w:bookmarkStart w:id="3219" w:name="Prior_History_27"/>
      <w:bookmarkEnd w:id="3219"/>
      <w:r>
        <w:rPr>
          <w:rFonts w:ascii="Arial" w:eastAsia="Arial" w:hAnsi="Arial" w:cs="Arial"/>
          <w:b/>
          <w:color w:val="000000"/>
          <w:sz w:val="20"/>
        </w:rPr>
        <w:t>Prior History:</w:t>
      </w:r>
      <w:r>
        <w:rPr>
          <w:rFonts w:ascii="Arial" w:eastAsia="Arial" w:hAnsi="Arial" w:cs="Arial"/>
          <w:color w:val="000000"/>
          <w:sz w:val="20"/>
        </w:rPr>
        <w:t>  [**1] </w:t>
      </w:r>
      <w:bookmarkStart w:id="3220" w:name="Bookmark_para_2_27"/>
      <w:bookmarkEnd w:id="3220"/>
      <w:r>
        <w:rPr>
          <w:rFonts w:ascii="Arial" w:eastAsia="Arial" w:hAnsi="Arial" w:cs="Arial"/>
          <w:color w:val="000000"/>
          <w:sz w:val="20"/>
        </w:rPr>
        <w:t>Appeal from the United States District Court for the Northern District of California. D.C. No. 3:07-cv-06130 CRB. Charles R. Breyer, District Judge, Presiding.</w:t>
      </w:r>
    </w:p>
    <w:p w14:paraId="0612397A" w14:textId="77777777" w:rsidR="00D041A2" w:rsidRDefault="00000000">
      <w:pPr>
        <w:pStyle w:val="Normal28"/>
        <w:widowControl w:val="0"/>
        <w:spacing w:before="120" w:line="260" w:lineRule="atLeast"/>
      </w:pPr>
      <w:r>
        <w:rPr>
          <w:rFonts w:ascii="Arial" w:eastAsia="Arial" w:hAnsi="Arial" w:cs="Arial"/>
          <w:color w:val="000000"/>
          <w:sz w:val="20"/>
        </w:rPr>
        <w:t>Goos v. Shell Oil Co., 2010 U.S. Dist. LEXIS 47067 (N.D. Cal., Apr. 15, 2010)</w:t>
      </w:r>
    </w:p>
    <w:p w14:paraId="0433B4FF" w14:textId="77777777" w:rsidR="00D041A2" w:rsidRDefault="00000000">
      <w:pPr>
        <w:pStyle w:val="Normal28"/>
        <w:widowControl w:val="0"/>
        <w:spacing w:before="240" w:line="260" w:lineRule="atLeast"/>
        <w:jc w:val="both"/>
      </w:pPr>
      <w:bookmarkStart w:id="3221" w:name="Disposition_8"/>
      <w:bookmarkEnd w:id="3221"/>
      <w:r>
        <w:rPr>
          <w:rFonts w:ascii="Arial" w:eastAsia="Arial" w:hAnsi="Arial" w:cs="Arial"/>
          <w:b/>
          <w:color w:val="000000"/>
          <w:sz w:val="20"/>
        </w:rPr>
        <w:t>Disposition:</w:t>
      </w:r>
      <w:r>
        <w:rPr>
          <w:rFonts w:ascii="Arial" w:eastAsia="Arial" w:hAnsi="Arial" w:cs="Arial"/>
          <w:color w:val="000000"/>
          <w:sz w:val="20"/>
        </w:rPr>
        <w:t> </w:t>
      </w:r>
      <w:bookmarkStart w:id="3222" w:name="Bookmark_clspara_1_2"/>
      <w:bookmarkEnd w:id="3222"/>
      <w:r>
        <w:rPr>
          <w:rFonts w:ascii="Arial" w:eastAsia="Arial" w:hAnsi="Arial" w:cs="Arial"/>
          <w:color w:val="000000"/>
          <w:sz w:val="20"/>
        </w:rPr>
        <w:t>AFFIRMED.</w:t>
      </w:r>
    </w:p>
    <w:p w14:paraId="4EB34C8A" w14:textId="77777777" w:rsidR="00D041A2" w:rsidRDefault="00000000">
      <w:pPr>
        <w:pStyle w:val="Normal28"/>
        <w:widowControl w:val="0"/>
        <w:spacing w:before="240" w:line="260" w:lineRule="atLeast"/>
      </w:pPr>
      <w:bookmarkStart w:id="3223" w:name="Counsel_27"/>
      <w:bookmarkEnd w:id="3223"/>
      <w:r>
        <w:rPr>
          <w:rFonts w:ascii="Arial" w:eastAsia="Arial" w:hAnsi="Arial" w:cs="Arial"/>
          <w:b/>
          <w:color w:val="000000"/>
          <w:sz w:val="20"/>
        </w:rPr>
        <w:t>Counsel:</w:t>
      </w:r>
      <w:r>
        <w:rPr>
          <w:rFonts w:ascii="Arial" w:eastAsia="Arial" w:hAnsi="Arial" w:cs="Arial"/>
          <w:color w:val="000000"/>
          <w:sz w:val="20"/>
        </w:rPr>
        <w:t> For CAROL A. GOOS, Plaintiff - Appellant: Randal M. Barnum, Esquire, Attorney, LAW OFFICES OF RANDAL M. BARNUM, Benicia, CA.</w:t>
      </w:r>
    </w:p>
    <w:p w14:paraId="4F8C22EC" w14:textId="77777777" w:rsidR="00D041A2" w:rsidRDefault="00000000">
      <w:pPr>
        <w:pStyle w:val="Normal28"/>
        <w:widowControl w:val="0"/>
        <w:spacing w:before="120" w:line="260" w:lineRule="atLeast"/>
      </w:pPr>
      <w:r>
        <w:rPr>
          <w:rFonts w:ascii="Arial" w:eastAsia="Arial" w:hAnsi="Arial" w:cs="Arial"/>
          <w:color w:val="000000"/>
          <w:sz w:val="20"/>
        </w:rPr>
        <w:t>For SHELL OIL COMPANY, DBA Shell Oil Products US, Defendant - Appellee: Brian H. Chun, Esquire, Gary Tracy Lafayette, Attorney, LAFAYETTE &amp; KUMAGAI, LLP, San Francisco, CA.</w:t>
      </w:r>
    </w:p>
    <w:p w14:paraId="4E249AF0" w14:textId="77777777" w:rsidR="00D041A2" w:rsidRDefault="00000000">
      <w:pPr>
        <w:pStyle w:val="Normal28"/>
        <w:widowControl w:val="0"/>
        <w:spacing w:before="240" w:line="260" w:lineRule="atLeast"/>
      </w:pPr>
      <w:bookmarkStart w:id="3224" w:name="Judges_27"/>
      <w:bookmarkEnd w:id="3224"/>
      <w:r>
        <w:rPr>
          <w:rFonts w:ascii="Arial" w:eastAsia="Arial" w:hAnsi="Arial" w:cs="Arial"/>
          <w:b/>
          <w:color w:val="000000"/>
          <w:sz w:val="20"/>
        </w:rPr>
        <w:t>Judges:</w:t>
      </w:r>
      <w:r>
        <w:rPr>
          <w:rFonts w:ascii="Arial" w:eastAsia="Arial" w:hAnsi="Arial" w:cs="Arial"/>
          <w:color w:val="000000"/>
          <w:sz w:val="20"/>
        </w:rPr>
        <w:t> Before: BERZON and BYBEE, Circuit Judges, and WHELAN, Senior District Judge.</w:t>
      </w:r>
      <w:r>
        <w:rPr>
          <w:rFonts w:ascii="Arial" w:eastAsia="Arial" w:hAnsi="Arial" w:cs="Arial"/>
          <w:vertAlign w:val="superscript"/>
        </w:rPr>
        <w:footnoteReference w:customMarkFollows="1" w:id="155"/>
        <w:t>**</w:t>
      </w:r>
    </w:p>
    <w:p w14:paraId="6D58D5E8" w14:textId="77777777" w:rsidR="00D041A2" w:rsidRDefault="00000000">
      <w:pPr>
        <w:pStyle w:val="Normal28"/>
        <w:keepNext/>
        <w:widowControl w:val="0"/>
        <w:spacing w:before="240" w:line="340" w:lineRule="atLeast"/>
      </w:pPr>
      <w:bookmarkStart w:id="3226" w:name="Opinion_27"/>
      <w:bookmarkEnd w:id="3226"/>
      <w:r>
        <w:rPr>
          <w:rFonts w:ascii="Arial" w:eastAsia="Arial" w:hAnsi="Arial" w:cs="Arial"/>
          <w:b/>
          <w:color w:val="000000"/>
          <w:sz w:val="28"/>
        </w:rPr>
        <w:t>Opinion</w:t>
      </w:r>
    </w:p>
    <w:p w14:paraId="041314A1" w14:textId="78E455AD" w:rsidR="00D041A2" w:rsidRDefault="004D4403">
      <w:pPr>
        <w:pStyle w:val="Normal28"/>
        <w:spacing w:line="60" w:lineRule="exact"/>
      </w:pPr>
      <w:r>
        <w:rPr>
          <w:noProof/>
        </w:rPr>
        <mc:AlternateContent>
          <mc:Choice Requires="wps">
            <w:drawing>
              <wp:anchor distT="0" distB="0" distL="114300" distR="114300" simplePos="0" relativeHeight="251718656" behindDoc="0" locked="0" layoutInCell="1" allowOverlap="1" wp14:anchorId="1ED63B7A" wp14:editId="3218B4FF">
                <wp:simplePos x="0" y="0"/>
                <wp:positionH relativeFrom="column">
                  <wp:posOffset>0</wp:posOffset>
                </wp:positionH>
                <wp:positionV relativeFrom="paragraph">
                  <wp:posOffset>25400</wp:posOffset>
                </wp:positionV>
                <wp:extent cx="3187700" cy="0"/>
                <wp:effectExtent l="19050" t="15875" r="12700" b="12700"/>
                <wp:wrapTopAndBottom/>
                <wp:docPr id="6158659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6773E"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B0B14F7" w14:textId="77777777" w:rsidR="00D041A2" w:rsidRDefault="00D041A2">
      <w:pPr>
        <w:pStyle w:val="Normal28"/>
        <w:spacing w:line="120" w:lineRule="exact"/>
      </w:pPr>
    </w:p>
    <w:p w14:paraId="23303594" w14:textId="77777777" w:rsidR="00D041A2" w:rsidRDefault="00000000">
      <w:pPr>
        <w:pStyle w:val="Normal28"/>
        <w:widowControl w:val="0"/>
        <w:spacing w:before="240" w:line="260" w:lineRule="atLeast"/>
      </w:pPr>
      <w:r>
        <w:br/>
      </w:r>
      <w:r>
        <w:rPr>
          <w:rFonts w:ascii="Arial" w:eastAsia="Arial" w:hAnsi="Arial" w:cs="Arial"/>
          <w:color w:val="000000"/>
          <w:sz w:val="20"/>
        </w:rPr>
        <w:t> [*701]  MEMORANDUM</w:t>
      </w:r>
      <w:r>
        <w:rPr>
          <w:rFonts w:ascii="Arial" w:eastAsia="Arial" w:hAnsi="Arial" w:cs="Arial"/>
          <w:vertAlign w:val="superscript"/>
        </w:rPr>
        <w:footnoteReference w:customMarkFollows="1" w:id="156"/>
        <w:t>*</w:t>
      </w:r>
    </w:p>
    <w:p w14:paraId="0B842D56" w14:textId="77777777" w:rsidR="00D041A2" w:rsidRDefault="00000000">
      <w:pPr>
        <w:pStyle w:val="Normal28"/>
        <w:widowControl w:val="0"/>
        <w:spacing w:before="200" w:line="260" w:lineRule="atLeast"/>
        <w:jc w:val="both"/>
      </w:pPr>
      <w:bookmarkStart w:id="3228" w:name="Bookmark_para_3_27"/>
      <w:bookmarkEnd w:id="3228"/>
      <w:r>
        <w:rPr>
          <w:rFonts w:ascii="Arial" w:eastAsia="Arial" w:hAnsi="Arial" w:cs="Arial"/>
          <w:color w:val="000000"/>
          <w:sz w:val="20"/>
        </w:rPr>
        <w:t>Appellant Carol Goos appeals the district court's order granting Appellee Shell Oil Company's motion for judgment as a matter of law. Because the evidence establishes that no reasonable juror could find in Goos's favor on either of her remaining claims, we affirm the district court's ruling.</w:t>
      </w:r>
    </w:p>
    <w:p w14:paraId="68CBE30E" w14:textId="77777777" w:rsidR="00D041A2" w:rsidRDefault="00000000">
      <w:pPr>
        <w:pStyle w:val="Normal28"/>
        <w:widowControl w:val="0"/>
        <w:spacing w:before="240" w:line="260" w:lineRule="atLeast"/>
      </w:pPr>
      <w:r>
        <w:br/>
      </w:r>
      <w:r>
        <w:rPr>
          <w:rFonts w:ascii="Arial" w:eastAsia="Arial" w:hAnsi="Arial" w:cs="Arial"/>
          <w:b/>
          <w:color w:val="000000"/>
          <w:sz w:val="20"/>
        </w:rPr>
        <w:t>STANDARD OF REVIEW</w:t>
      </w:r>
    </w:p>
    <w:p w14:paraId="70D26D5E" w14:textId="77777777" w:rsidR="00D041A2" w:rsidRDefault="00000000">
      <w:pPr>
        <w:pStyle w:val="Normal28"/>
        <w:widowControl w:val="0"/>
        <w:spacing w:before="200" w:line="260" w:lineRule="atLeast"/>
        <w:jc w:val="both"/>
      </w:pPr>
      <w:bookmarkStart w:id="3229" w:name="Bookmark_para_4_27"/>
      <w:bookmarkStart w:id="3230" w:name="Bookmark_I5449J6W2N1RPN0020000400"/>
      <w:bookmarkStart w:id="3231" w:name="Bookmark_I5449J6W2N1RPN0040000400"/>
      <w:bookmarkEnd w:id="3229"/>
      <w:bookmarkEnd w:id="3230"/>
      <w:bookmarkEnd w:id="3231"/>
      <w:r>
        <w:rPr>
          <w:rFonts w:ascii="Arial" w:eastAsia="Arial" w:hAnsi="Arial" w:cs="Arial"/>
          <w:color w:val="000000"/>
          <w:sz w:val="20"/>
        </w:rPr>
        <w:t xml:space="preserve">This  [**2] Court reviews de novo a district court's grant of a motion for judgment as a matter of law. </w:t>
      </w:r>
      <w:bookmarkStart w:id="3232" w:name="Bookmark_I5449J6W2N1RPN0010000400"/>
      <w:bookmarkEnd w:id="3232"/>
      <w:r>
        <w:rPr>
          <w:rFonts w:ascii="Arial" w:eastAsia="Arial" w:hAnsi="Arial" w:cs="Arial"/>
          <w:color w:val="000000"/>
          <w:sz w:val="20"/>
          <w:u w:val="single"/>
        </w:rPr>
        <w:t>Estate of Martin v. Cal. VA</w:t>
      </w:r>
      <w:r>
        <w:rPr>
          <w:rFonts w:ascii="Arial" w:eastAsia="Arial" w:hAnsi="Arial" w:cs="Arial"/>
          <w:color w:val="000000"/>
          <w:sz w:val="20"/>
        </w:rPr>
        <w:t xml:space="preserve">, 560 F.3d 1042, 1046 (9th Cir. 2009). Judgment as a matter of law is "properly granted only if no reasonable juror could find in the non-moving party's favor." </w:t>
      </w:r>
      <w:bookmarkStart w:id="3233" w:name="Bookmark_I5449J6W2N1RPN0030000400"/>
      <w:bookmarkEnd w:id="3233"/>
      <w:r>
        <w:rPr>
          <w:rFonts w:ascii="Arial" w:eastAsia="Arial" w:hAnsi="Arial" w:cs="Arial"/>
          <w:color w:val="000000"/>
          <w:sz w:val="20"/>
          <w:u w:val="single"/>
        </w:rPr>
        <w:t>Torres v. City of L.A.</w:t>
      </w:r>
      <w:r>
        <w:rPr>
          <w:rFonts w:ascii="Arial" w:eastAsia="Arial" w:hAnsi="Arial" w:cs="Arial"/>
          <w:color w:val="000000"/>
          <w:sz w:val="20"/>
        </w:rPr>
        <w:t>, 548 F.3d 1197, 1205 (9th Cir. 2008) (citation omitted).</w:t>
      </w:r>
    </w:p>
    <w:p w14:paraId="53BAB4D2" w14:textId="77777777" w:rsidR="00D041A2" w:rsidRDefault="00000000">
      <w:pPr>
        <w:pStyle w:val="Normal28"/>
        <w:widowControl w:val="0"/>
        <w:spacing w:before="240" w:line="260" w:lineRule="atLeast"/>
      </w:pPr>
      <w:r>
        <w:br/>
      </w:r>
      <w:r>
        <w:rPr>
          <w:rFonts w:ascii="Arial" w:eastAsia="Arial" w:hAnsi="Arial" w:cs="Arial"/>
          <w:b/>
          <w:color w:val="000000"/>
          <w:sz w:val="20"/>
        </w:rPr>
        <w:t>DISCUSSION</w:t>
      </w:r>
    </w:p>
    <w:p w14:paraId="3CB7B7ED" w14:textId="77777777" w:rsidR="00D041A2" w:rsidRDefault="00000000">
      <w:pPr>
        <w:pStyle w:val="Normal28"/>
        <w:widowControl w:val="0"/>
        <w:spacing w:before="200" w:line="260" w:lineRule="atLeast"/>
        <w:jc w:val="both"/>
      </w:pPr>
      <w:bookmarkStart w:id="3234" w:name="Bookmark_para_5_27"/>
      <w:bookmarkEnd w:id="3234"/>
      <w:r>
        <w:rPr>
          <w:rFonts w:ascii="Arial" w:eastAsia="Arial" w:hAnsi="Arial" w:cs="Arial"/>
          <w:color w:val="000000"/>
          <w:sz w:val="20"/>
        </w:rPr>
        <w:t>Goos raises multiple challenges to the district court's order. First, Goos argues that dismissal of the entire case was improper because her claims for discrimination and failure to prevent discrimination had not been resolved. But in opposing Shell's summary judgment motion, Goos conceded that these claims were predicated entirely on the failure to accommodate, failure to engage in the interactive process, and retaliation claims. The retaliation claim was dismissed on summary judgment, at which time the court stated that the only remaining claims were for failure to accommodate and failure to engage in the interactive process. The failure to accommodate and failure to engage in the interactive process claims were then dismissed at the close of Goos's case-in-chief. The district court, therefore, did  [**3] not err in dismissing the entire lawsuit.</w:t>
      </w:r>
    </w:p>
    <w:p w14:paraId="6F17DE8E" w14:textId="77777777" w:rsidR="00D041A2" w:rsidRDefault="00000000">
      <w:pPr>
        <w:pStyle w:val="Normal28"/>
        <w:widowControl w:val="0"/>
        <w:spacing w:before="200" w:line="260" w:lineRule="atLeast"/>
        <w:jc w:val="both"/>
      </w:pPr>
      <w:bookmarkStart w:id="3235" w:name="Bookmark_para_6_27"/>
      <w:bookmarkStart w:id="3236" w:name="Bookmark_I5449J7P2N1RW30010000400"/>
      <w:bookmarkStart w:id="3237" w:name="Bookmark_I5449J7P2N1RW30030000400"/>
      <w:bookmarkEnd w:id="3235"/>
      <w:bookmarkEnd w:id="3236"/>
      <w:bookmarkEnd w:id="3237"/>
      <w:r>
        <w:rPr>
          <w:rFonts w:ascii="Arial" w:eastAsia="Arial" w:hAnsi="Arial" w:cs="Arial"/>
          <w:color w:val="000000"/>
          <w:sz w:val="20"/>
        </w:rPr>
        <w:t xml:space="preserve">Next Goos argues that Shell's motion was procedurally defective because she was not informed of the deficiencies in her proof and given an opportunity to correct them. Goos relies on </w:t>
      </w:r>
      <w:bookmarkStart w:id="3238" w:name="Bookmark_I5449J6W2N1RPN0050000400"/>
      <w:bookmarkEnd w:id="3238"/>
      <w:r>
        <w:rPr>
          <w:rFonts w:ascii="Arial" w:eastAsia="Arial" w:hAnsi="Arial" w:cs="Arial"/>
          <w:color w:val="000000"/>
          <w:sz w:val="20"/>
          <w:u w:val="single"/>
        </w:rPr>
        <w:t>Summers v. Delta Air Lines, Inc.</w:t>
      </w:r>
      <w:r>
        <w:rPr>
          <w:rFonts w:ascii="Arial" w:eastAsia="Arial" w:hAnsi="Arial" w:cs="Arial"/>
          <w:color w:val="000000"/>
          <w:sz w:val="20"/>
        </w:rPr>
        <w:t xml:space="preserve">, 508 F.3d 923 (9th Cir. 2007). </w:t>
      </w:r>
      <w:bookmarkStart w:id="3239" w:name="Bookmark_I6WVD78KN1P000BV7M200025"/>
      <w:bookmarkStart w:id="3240" w:name="Bookmark_I5449J7P2N1RW30050000400"/>
      <w:bookmarkEnd w:id="3239"/>
      <w:bookmarkEnd w:id="3240"/>
      <w:r>
        <w:rPr>
          <w:rFonts w:ascii="Arial" w:eastAsia="Arial" w:hAnsi="Arial" w:cs="Arial"/>
          <w:color w:val="000000"/>
          <w:sz w:val="20"/>
        </w:rPr>
        <w:t xml:space="preserve">Because Goos did not raise this issue until her Reply Brief in this court, the argument was waived. </w:t>
      </w:r>
      <w:r>
        <w:rPr>
          <w:rFonts w:ascii="Arial" w:eastAsia="Arial" w:hAnsi="Arial" w:cs="Arial"/>
          <w:color w:val="000000"/>
          <w:sz w:val="20"/>
          <w:u w:val="single"/>
        </w:rPr>
        <w:t xml:space="preserve">See </w:t>
      </w:r>
      <w:bookmarkStart w:id="3241" w:name="Bookmark_I5449J7P2N1RW30020000400"/>
      <w:bookmarkEnd w:id="3241"/>
      <w:r>
        <w:rPr>
          <w:rFonts w:ascii="Arial" w:eastAsia="Arial" w:hAnsi="Arial" w:cs="Arial"/>
          <w:color w:val="000000"/>
          <w:sz w:val="20"/>
          <w:u w:val="single"/>
        </w:rPr>
        <w:t>Arpin v. Santa Clara Valley Transp. Agency</w:t>
      </w:r>
      <w:r>
        <w:rPr>
          <w:rFonts w:ascii="Arial" w:eastAsia="Arial" w:hAnsi="Arial" w:cs="Arial"/>
          <w:color w:val="000000"/>
          <w:sz w:val="20"/>
        </w:rPr>
        <w:t xml:space="preserve">, 261 F.3d 912, 919 (9th Cir. 2001) ("[I]ssues which are not specifically and distinctly argued and raised in a party's opening brief are waived."). </w:t>
      </w:r>
      <w:bookmarkStart w:id="3242" w:name="Bookmark_I5449J7P2N1RW30050000400_2"/>
      <w:bookmarkEnd w:id="3242"/>
      <w:r>
        <w:rPr>
          <w:rFonts w:ascii="Arial" w:eastAsia="Arial" w:hAnsi="Arial" w:cs="Arial"/>
          <w:color w:val="000000"/>
          <w:sz w:val="20"/>
        </w:rPr>
        <w:t xml:space="preserve">Additionally, </w:t>
      </w:r>
      <w:r>
        <w:rPr>
          <w:rFonts w:ascii="Arial" w:eastAsia="Arial" w:hAnsi="Arial" w:cs="Arial"/>
          <w:color w:val="000000"/>
          <w:sz w:val="20"/>
          <w:u w:val="single"/>
        </w:rPr>
        <w:t>Summers</w:t>
      </w:r>
      <w:r>
        <w:rPr>
          <w:rFonts w:ascii="Arial" w:eastAsia="Arial" w:hAnsi="Arial" w:cs="Arial"/>
          <w:color w:val="000000"/>
          <w:sz w:val="20"/>
        </w:rPr>
        <w:t xml:space="preserve"> involved a motion for judgment as a matter of law before the close of plaintiff's case-in-chief that was granted on grounds not raised by the moving party. </w:t>
      </w:r>
      <w:bookmarkStart w:id="3243" w:name="Bookmark_I5449J7P2N1RW30040000400"/>
      <w:bookmarkEnd w:id="3243"/>
      <w:r>
        <w:rPr>
          <w:rFonts w:ascii="Arial" w:eastAsia="Arial" w:hAnsi="Arial" w:cs="Arial"/>
          <w:color w:val="000000"/>
          <w:sz w:val="20"/>
        </w:rPr>
        <w:t>508 F.3d at 926. Neither circumstance is present here. Furthermore, Rule 50 is intended to permit a party to introduce additional facts if the facts already in evidence are insufficient. Goos, however, failed to identify any additional facts that she would have introduced.</w:t>
      </w:r>
    </w:p>
    <w:p w14:paraId="01C1D72A" w14:textId="77777777" w:rsidR="00D041A2" w:rsidRDefault="00000000">
      <w:pPr>
        <w:pStyle w:val="Normal28"/>
        <w:widowControl w:val="0"/>
        <w:spacing w:before="200" w:line="260" w:lineRule="atLeast"/>
        <w:jc w:val="both"/>
      </w:pPr>
      <w:bookmarkStart w:id="3244" w:name="Bookmark_para_7_27"/>
      <w:bookmarkEnd w:id="3244"/>
      <w:r>
        <w:rPr>
          <w:rFonts w:ascii="Arial" w:eastAsia="Arial" w:hAnsi="Arial" w:cs="Arial"/>
          <w:color w:val="000000"/>
          <w:sz w:val="20"/>
        </w:rPr>
        <w:t xml:space="preserve"> [*702]  </w:t>
      </w:r>
      <w:bookmarkStart w:id="3245" w:name="Bookmark_I5449J842N1PP80020000400"/>
      <w:bookmarkStart w:id="3246" w:name="Bookmark_I5449J842N1PP80040000400"/>
      <w:bookmarkEnd w:id="3245"/>
      <w:bookmarkEnd w:id="3246"/>
      <w:r>
        <w:rPr>
          <w:rFonts w:ascii="Arial" w:eastAsia="Arial" w:hAnsi="Arial" w:cs="Arial"/>
          <w:color w:val="000000"/>
          <w:sz w:val="20"/>
        </w:rPr>
        <w:t xml:space="preserve">Third, Goos argues that a reasonable jury could have found that Shell failed to engage in good faith in the interactive process and failed to accommodate her. The interactive  [**4] process requires </w:t>
      </w:r>
      <w:r>
        <w:rPr>
          <w:rFonts w:ascii="Arial" w:eastAsia="Arial" w:hAnsi="Arial" w:cs="Arial"/>
          <w:color w:val="000000"/>
          <w:sz w:val="20"/>
          <w:u w:val="single"/>
        </w:rPr>
        <w:t>both</w:t>
      </w:r>
      <w:r>
        <w:rPr>
          <w:rFonts w:ascii="Arial" w:eastAsia="Arial" w:hAnsi="Arial" w:cs="Arial"/>
          <w:color w:val="000000"/>
          <w:sz w:val="20"/>
        </w:rPr>
        <w:t xml:space="preserve"> the employer </w:t>
      </w:r>
      <w:r>
        <w:rPr>
          <w:rFonts w:ascii="Arial" w:eastAsia="Arial" w:hAnsi="Arial" w:cs="Arial"/>
          <w:color w:val="000000"/>
          <w:sz w:val="20"/>
          <w:u w:val="single"/>
        </w:rPr>
        <w:t>and</w:t>
      </w:r>
      <w:r>
        <w:rPr>
          <w:rFonts w:ascii="Arial" w:eastAsia="Arial" w:hAnsi="Arial" w:cs="Arial"/>
          <w:color w:val="000000"/>
          <w:sz w:val="20"/>
        </w:rPr>
        <w:t xml:space="preserve"> the employee to engage in good faith in order to "clarify what the individual needs and identify the appropriate accommodation." </w:t>
      </w:r>
      <w:bookmarkStart w:id="3247" w:name="Bookmark_I5449J842N1PP80010000400"/>
      <w:bookmarkEnd w:id="3247"/>
      <w:r>
        <w:rPr>
          <w:rFonts w:ascii="Arial" w:eastAsia="Arial" w:hAnsi="Arial" w:cs="Arial"/>
          <w:color w:val="000000"/>
          <w:sz w:val="20"/>
          <w:u w:val="single"/>
        </w:rPr>
        <w:t>Barnett v. U.S. Air, Inc.</w:t>
      </w:r>
      <w:r>
        <w:rPr>
          <w:rFonts w:ascii="Arial" w:eastAsia="Arial" w:hAnsi="Arial" w:cs="Arial"/>
          <w:color w:val="000000"/>
          <w:sz w:val="20"/>
        </w:rPr>
        <w:t xml:space="preserve">, 228 F.3d 1105, 1112 (9th Cir. 2000), </w:t>
      </w:r>
      <w:r>
        <w:rPr>
          <w:rFonts w:ascii="Arial" w:eastAsia="Arial" w:hAnsi="Arial" w:cs="Arial"/>
          <w:color w:val="000000"/>
          <w:sz w:val="20"/>
          <w:u w:val="single"/>
        </w:rPr>
        <w:t>rev'd on other grounds</w:t>
      </w:r>
      <w:r>
        <w:rPr>
          <w:rFonts w:ascii="Arial" w:eastAsia="Arial" w:hAnsi="Arial" w:cs="Arial"/>
          <w:color w:val="000000"/>
          <w:sz w:val="20"/>
        </w:rPr>
        <w:t xml:space="preserve">, 535 U.S. 391, 122 S. Ct. 1516, 152 L. Ed. 2d 589 (2002) (quoting </w:t>
      </w:r>
      <w:r>
        <w:rPr>
          <w:rFonts w:ascii="Arial" w:eastAsia="Arial" w:hAnsi="Arial" w:cs="Arial"/>
          <w:color w:val="000000"/>
          <w:sz w:val="20"/>
          <w:u w:val="single"/>
        </w:rPr>
        <w:t>Enforcement Guidance: Reasonable Accommodation and Undue Hardship Under the Americans with Disabilities Act, EEOC Compliance Manual (CCH)</w:t>
      </w:r>
      <w:r>
        <w:rPr>
          <w:rFonts w:ascii="Arial" w:eastAsia="Arial" w:hAnsi="Arial" w:cs="Arial"/>
          <w:color w:val="000000"/>
          <w:sz w:val="20"/>
        </w:rPr>
        <w:t xml:space="preserve">, § 902, No. 915.002 (Mar. 1, 1999), at 5440). While the employer's participation is necessary because it has "superior knowledge regarding the range of possible positions and can more easily perform analyses regarding the 'essential functions' of each," the employee's participation is equally important because he or she generally knows more about his or her capabilities, and "holds essential information for the assessment of the type of reasonable accommodation which would be most effective." </w:t>
      </w:r>
      <w:bookmarkStart w:id="3248" w:name="Bookmark_I5449J842N1PP80030000400"/>
      <w:bookmarkEnd w:id="3248"/>
      <w:r>
        <w:rPr>
          <w:rFonts w:ascii="Arial" w:eastAsia="Arial" w:hAnsi="Arial" w:cs="Arial"/>
          <w:color w:val="000000"/>
          <w:sz w:val="20"/>
          <w:u w:val="single"/>
        </w:rPr>
        <w:t>Id.</w:t>
      </w:r>
      <w:r>
        <w:rPr>
          <w:rFonts w:ascii="Arial" w:eastAsia="Arial" w:hAnsi="Arial" w:cs="Arial"/>
          <w:color w:val="000000"/>
          <w:sz w:val="20"/>
        </w:rPr>
        <w:t xml:space="preserve"> at 1113.</w:t>
      </w:r>
    </w:p>
    <w:p w14:paraId="04681731" w14:textId="77777777" w:rsidR="00D041A2" w:rsidRDefault="00000000">
      <w:pPr>
        <w:pStyle w:val="Normal28"/>
        <w:widowControl w:val="0"/>
        <w:spacing w:before="200" w:line="260" w:lineRule="atLeast"/>
        <w:jc w:val="both"/>
      </w:pPr>
      <w:bookmarkStart w:id="3249" w:name="Bookmark_para_8_26"/>
      <w:bookmarkStart w:id="3250" w:name="Bookmark_I5449J8P2SF8940010000400"/>
      <w:bookmarkEnd w:id="3249"/>
      <w:bookmarkEnd w:id="3250"/>
      <w:r>
        <w:rPr>
          <w:rFonts w:ascii="Arial" w:eastAsia="Arial" w:hAnsi="Arial" w:cs="Arial"/>
          <w:color w:val="000000"/>
          <w:sz w:val="20"/>
        </w:rPr>
        <w:t xml:space="preserve">The evidence introduced during Goos's case-in-chief establishes that after receiving notice that she could not work as a result of depression, Shell attempted to gather information to determine what accommodations were necessary to enable Goos to return to work. In response,  [**5] from June 2006 through October 2007, Goos and her representatives stated that Goos could not return to work because of her depression. Based on this information, Shell accommodated Goos by providing a leave of absence for several years. </w:t>
      </w:r>
      <w:r>
        <w:rPr>
          <w:rFonts w:ascii="Arial" w:eastAsia="Arial" w:hAnsi="Arial" w:cs="Arial"/>
          <w:color w:val="000000"/>
          <w:sz w:val="20"/>
          <w:u w:val="single"/>
        </w:rPr>
        <w:t xml:space="preserve">See </w:t>
      </w:r>
      <w:bookmarkStart w:id="3251" w:name="Bookmark_I5449J842N1PP80050000400"/>
      <w:bookmarkEnd w:id="3251"/>
      <w:r>
        <w:rPr>
          <w:rFonts w:ascii="Arial" w:eastAsia="Arial" w:hAnsi="Arial" w:cs="Arial"/>
          <w:color w:val="000000"/>
          <w:sz w:val="20"/>
          <w:u w:val="single"/>
        </w:rPr>
        <w:t>Surrell v. Cal. Water Serv. Co.</w:t>
      </w:r>
      <w:r>
        <w:rPr>
          <w:rFonts w:ascii="Arial" w:eastAsia="Arial" w:hAnsi="Arial" w:cs="Arial"/>
          <w:color w:val="000000"/>
          <w:sz w:val="20"/>
        </w:rPr>
        <w:t>, 518 F.3d 1097, 1109 (9th Cir. 2008) (providing disability leave is evidence of reasonable accommodation).</w:t>
      </w:r>
    </w:p>
    <w:p w14:paraId="284E575F" w14:textId="77777777" w:rsidR="00D041A2" w:rsidRDefault="00000000">
      <w:pPr>
        <w:pStyle w:val="Normal28"/>
        <w:widowControl w:val="0"/>
        <w:spacing w:before="200" w:line="260" w:lineRule="atLeast"/>
        <w:jc w:val="both"/>
      </w:pPr>
      <w:bookmarkStart w:id="3252" w:name="Bookmark_para_9_25"/>
      <w:bookmarkEnd w:id="3252"/>
      <w:r>
        <w:rPr>
          <w:rFonts w:ascii="Arial" w:eastAsia="Arial" w:hAnsi="Arial" w:cs="Arial"/>
          <w:color w:val="000000"/>
          <w:sz w:val="20"/>
        </w:rPr>
        <w:t>The evidence further establishes that Goos did not participate in good faith in the interactive process. Goos and her treating psychiatrist, Dr. Peter Brandes, believed Goos could not return to work as a machinist because of perceived discrimination in the machine shop. By withholding this information, Goos prevented Shell from learning that it should consider reassigning Goos. This problem was then compounded because Goos and her representatives never informed Shell that she wanted to be reassigned or could return to work if reassigned.</w:t>
      </w:r>
    </w:p>
    <w:p w14:paraId="607A9431" w14:textId="77777777" w:rsidR="00D041A2" w:rsidRDefault="00000000">
      <w:pPr>
        <w:pStyle w:val="Normal28"/>
        <w:widowControl w:val="0"/>
        <w:spacing w:before="200" w:line="260" w:lineRule="atLeast"/>
        <w:jc w:val="both"/>
      </w:pPr>
      <w:bookmarkStart w:id="3253" w:name="Bookmark_para_10_25"/>
      <w:bookmarkStart w:id="3254" w:name="Bookmark_I5449J8P2SF8940030000400"/>
      <w:bookmarkEnd w:id="3253"/>
      <w:bookmarkEnd w:id="3254"/>
      <w:r>
        <w:rPr>
          <w:rFonts w:ascii="Arial" w:eastAsia="Arial" w:hAnsi="Arial" w:cs="Arial"/>
          <w:color w:val="000000"/>
          <w:sz w:val="20"/>
        </w:rPr>
        <w:t xml:space="preserve">Goos argues, however, that after receiving Dr. Carol Fenner's Independent Medical Exam ("IME") report, Shell was obligated to reassign her. But shortly after Shell obtained the report, Goos sent a strong message that she was not interested in engaging in the interactive process  [**6] and wanted to leave Shell. Where a breakdown in the interactive process occurs, a "court should attempt to isolate the cause of the breakdown and then assign responsibility so that liability . . . ensues only where the employer bears responsibility for the breakdown." </w:t>
      </w:r>
      <w:bookmarkStart w:id="3255" w:name="Bookmark_I5449J8P2SF8940020000400"/>
      <w:bookmarkEnd w:id="3255"/>
      <w:r>
        <w:rPr>
          <w:rFonts w:ascii="Arial" w:eastAsia="Arial" w:hAnsi="Arial" w:cs="Arial"/>
          <w:color w:val="000000"/>
          <w:sz w:val="20"/>
          <w:u w:val="single"/>
        </w:rPr>
        <w:t>Barnett</w:t>
      </w:r>
      <w:r>
        <w:rPr>
          <w:rFonts w:ascii="Arial" w:eastAsia="Arial" w:hAnsi="Arial" w:cs="Arial"/>
          <w:color w:val="000000"/>
          <w:sz w:val="20"/>
        </w:rPr>
        <w:t xml:space="preserve">, 228 F.3d at 1115; </w:t>
      </w:r>
      <w:r>
        <w:rPr>
          <w:rFonts w:ascii="Arial" w:eastAsia="Arial" w:hAnsi="Arial" w:cs="Arial"/>
          <w:color w:val="000000"/>
          <w:sz w:val="20"/>
          <w:u w:val="single"/>
        </w:rPr>
        <w:t xml:space="preserve">see also </w:t>
      </w:r>
      <w:bookmarkStart w:id="3256" w:name="Bookmark_I5449J8P2SF8940040000400"/>
      <w:bookmarkEnd w:id="3256"/>
      <w:r>
        <w:rPr>
          <w:rFonts w:ascii="Arial" w:eastAsia="Arial" w:hAnsi="Arial" w:cs="Arial"/>
          <w:color w:val="000000"/>
          <w:sz w:val="20"/>
          <w:u w:val="single"/>
        </w:rPr>
        <w:t>Dep't of Fair Emp't &amp; Hous. v. Lucent Techs., Inc.</w:t>
      </w:r>
      <w:r>
        <w:rPr>
          <w:rFonts w:ascii="Arial" w:eastAsia="Arial" w:hAnsi="Arial" w:cs="Arial"/>
          <w:color w:val="000000"/>
          <w:sz w:val="20"/>
        </w:rPr>
        <w:t xml:space="preserve">, 642 F.3d 728, 743 (9th Cir. 2011) (holding that the employer could not be liable for failure to engage in the interactive process where the employee caused the breakdown in that process); </w:t>
      </w:r>
      <w:r>
        <w:rPr>
          <w:rFonts w:ascii="Arial" w:eastAsia="Arial" w:hAnsi="Arial" w:cs="Arial"/>
          <w:color w:val="000000"/>
          <w:sz w:val="20"/>
          <w:u w:val="single"/>
        </w:rPr>
        <w:t xml:space="preserve">cf. </w:t>
      </w:r>
      <w:bookmarkStart w:id="3257" w:name="Bookmark_I5449J932N1R040010000400"/>
      <w:bookmarkEnd w:id="3257"/>
      <w:r>
        <w:rPr>
          <w:rFonts w:ascii="Arial" w:eastAsia="Arial" w:hAnsi="Arial" w:cs="Arial"/>
          <w:color w:val="000000"/>
          <w:sz w:val="20"/>
          <w:u w:val="single"/>
        </w:rPr>
        <w:t>Jensen v. Wells Fargo Bank</w:t>
      </w:r>
      <w:r>
        <w:rPr>
          <w:rFonts w:ascii="Arial" w:eastAsia="Arial" w:hAnsi="Arial" w:cs="Arial"/>
          <w:color w:val="000000"/>
          <w:sz w:val="20"/>
        </w:rPr>
        <w:t>, 85 Cal. App. 4th 245, 102 Cal. Rptr. 2d 55, 68 (Ct. App. 2000) (an employee cannot prevail on a FEHA failure-to-accommodate claim where the evidence establishes that "the employer did everything in its power to find a reasonable accommodation, but the informal interactive process broke down because the employee failed to engage in discussions in good faith"). In this case, a reasonable juror could only conclude that Goos's lack of candor, her decision to preclude Dr. Brandes from discussing the cause of her depression with Shell, her attorney's June 28, 2007 letter accusing  [*703]  Shell of prematurely attempting to return Goos to work,</w:t>
      </w:r>
      <w:r>
        <w:rPr>
          <w:rFonts w:ascii="Arial" w:eastAsia="Arial" w:hAnsi="Arial" w:cs="Arial"/>
          <w:vertAlign w:val="superscript"/>
        </w:rPr>
        <w:footnoteReference w:customMarkFollows="1" w:id="157"/>
        <w:t>1</w:t>
      </w:r>
      <w:r>
        <w:rPr>
          <w:rFonts w:ascii="Arial" w:eastAsia="Arial" w:hAnsi="Arial" w:cs="Arial"/>
          <w:color w:val="000000"/>
          <w:sz w:val="20"/>
        </w:rPr>
        <w:t xml:space="preserve"> her attorney's  [**7] and psychiatrist's silence after receiving the IME report, and her request for a severance package or disability retirement from Shell caused the breakdown of the interactive process. Therefore, the district court properly granted Shell's motion for judgment as a matter of law.</w:t>
      </w:r>
    </w:p>
    <w:p w14:paraId="599411B3" w14:textId="77777777" w:rsidR="00D041A2" w:rsidRDefault="00000000">
      <w:pPr>
        <w:pStyle w:val="Normal28"/>
        <w:widowControl w:val="0"/>
        <w:spacing w:before="200" w:line="260" w:lineRule="atLeast"/>
        <w:jc w:val="both"/>
      </w:pPr>
      <w:bookmarkStart w:id="3259" w:name="Bookmark_para_11_24"/>
      <w:bookmarkEnd w:id="3259"/>
      <w:r>
        <w:rPr>
          <w:rFonts w:ascii="Arial" w:eastAsia="Arial" w:hAnsi="Arial" w:cs="Arial"/>
          <w:color w:val="000000"/>
          <w:sz w:val="20"/>
        </w:rPr>
        <w:t>The court did not commit prejudicial error when it refused to admit certain witness testimony. The district also properly granted Shell's motion for summary judgment as to Goos's claims for punitive damages. Finally, the district court did not err in denying Goos's motion for partial summary adjudication. Goos's remaining arguments lack merit.</w:t>
      </w:r>
    </w:p>
    <w:p w14:paraId="2077E5C8" w14:textId="77777777" w:rsidR="00D041A2" w:rsidRDefault="00000000">
      <w:pPr>
        <w:pStyle w:val="Normal28"/>
        <w:widowControl w:val="0"/>
        <w:spacing w:before="200" w:line="260" w:lineRule="atLeast"/>
        <w:jc w:val="both"/>
      </w:pPr>
      <w:bookmarkStart w:id="3260" w:name="Bookmark_para_12_23"/>
      <w:bookmarkEnd w:id="3260"/>
      <w:r>
        <w:rPr>
          <w:rFonts w:ascii="Arial" w:eastAsia="Arial" w:hAnsi="Arial" w:cs="Arial"/>
          <w:b/>
          <w:color w:val="000000"/>
          <w:sz w:val="20"/>
        </w:rPr>
        <w:t>AFFIRMED.</w:t>
      </w:r>
    </w:p>
    <w:p w14:paraId="32B6F6C2" w14:textId="77777777" w:rsidR="00D041A2" w:rsidRDefault="00D041A2">
      <w:pPr>
        <w:pStyle w:val="Normal28"/>
      </w:pPr>
    </w:p>
    <w:p w14:paraId="302546CC" w14:textId="7A1347D6" w:rsidR="00D041A2" w:rsidRDefault="00000000">
      <w:pPr>
        <w:pStyle w:val="Normal28"/>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19680" behindDoc="0" locked="0" layoutInCell="1" allowOverlap="1" wp14:anchorId="1BB47EA8" wp14:editId="4AD8CBE7">
                <wp:simplePos x="0" y="0"/>
                <wp:positionH relativeFrom="column">
                  <wp:posOffset>0</wp:posOffset>
                </wp:positionH>
                <wp:positionV relativeFrom="paragraph">
                  <wp:posOffset>127000</wp:posOffset>
                </wp:positionV>
                <wp:extent cx="6502400" cy="0"/>
                <wp:effectExtent l="9525" t="12700" r="12700" b="6350"/>
                <wp:wrapNone/>
                <wp:docPr id="95873151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51CD5" id="Line 61"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119BD2E" w14:textId="77777777" w:rsidR="00D041A2" w:rsidRDefault="00D041A2">
      <w:pPr>
        <w:pStyle w:val="Normal29"/>
        <w:sectPr w:rsidR="00D041A2">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gutter="0"/>
          <w:cols w:space="720"/>
          <w:titlePg/>
        </w:sectPr>
      </w:pPr>
    </w:p>
    <w:p w14:paraId="737B429C" w14:textId="77777777" w:rsidR="00D041A2" w:rsidRDefault="00D041A2">
      <w:pPr>
        <w:pStyle w:val="Normal29"/>
      </w:pPr>
    </w:p>
    <w:p w14:paraId="5AB73DA7" w14:textId="77777777" w:rsidR="00D041A2" w:rsidRDefault="00000000">
      <w:pPr>
        <w:pStyle w:val="Heading128"/>
        <w:keepNext w:val="0"/>
        <w:widowControl w:val="0"/>
        <w:spacing w:after="200" w:line="340" w:lineRule="atLeast"/>
        <w:jc w:val="center"/>
      </w:pPr>
      <w:r>
        <w:rPr>
          <w:rFonts w:eastAsia="Arial"/>
          <w:color w:val="000000"/>
          <w:sz w:val="28"/>
        </w:rPr>
        <w:t>Oliver v. Ralphs Grocery Co.</w:t>
      </w:r>
    </w:p>
    <w:p w14:paraId="42C5078F" w14:textId="77777777" w:rsidR="00D041A2" w:rsidRDefault="00000000">
      <w:pPr>
        <w:pStyle w:val="Normal29"/>
        <w:widowControl w:val="0"/>
        <w:spacing w:before="120" w:line="260" w:lineRule="atLeast"/>
        <w:jc w:val="center"/>
      </w:pPr>
      <w:r>
        <w:rPr>
          <w:rFonts w:ascii="Arial" w:eastAsia="Arial" w:hAnsi="Arial" w:cs="Arial"/>
          <w:color w:val="000000"/>
          <w:sz w:val="20"/>
        </w:rPr>
        <w:t>United States Court of Appeals for the Ninth Circuit</w:t>
      </w:r>
    </w:p>
    <w:p w14:paraId="1BBFD543" w14:textId="77777777" w:rsidR="00D041A2" w:rsidRDefault="00000000">
      <w:pPr>
        <w:pStyle w:val="Normal29"/>
        <w:widowControl w:val="0"/>
        <w:spacing w:before="120" w:line="260" w:lineRule="atLeast"/>
        <w:jc w:val="center"/>
      </w:pPr>
      <w:r>
        <w:rPr>
          <w:rFonts w:ascii="Arial" w:eastAsia="Arial" w:hAnsi="Arial" w:cs="Arial"/>
          <w:color w:val="000000"/>
          <w:sz w:val="20"/>
        </w:rPr>
        <w:t>March 7, 2011, Argued and Submitted, Pasadena, California; August 17, 2011, Filed</w:t>
      </w:r>
    </w:p>
    <w:p w14:paraId="29653CCA" w14:textId="77777777" w:rsidR="00D041A2" w:rsidRDefault="00000000">
      <w:pPr>
        <w:pStyle w:val="Normal29"/>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09-56447</w:t>
      </w:r>
    </w:p>
    <w:p w14:paraId="2BD9D5DE" w14:textId="77777777" w:rsidR="00D041A2" w:rsidRDefault="00D041A2">
      <w:pPr>
        <w:pStyle w:val="Normal29"/>
        <w:widowControl w:val="0"/>
        <w:spacing w:line="240" w:lineRule="atLeast"/>
        <w:jc w:val="both"/>
      </w:pPr>
      <w:bookmarkStart w:id="3261" w:name="Bookmark_30"/>
      <w:bookmarkEnd w:id="3261"/>
    </w:p>
    <w:p w14:paraId="5EEE803C" w14:textId="77777777" w:rsidR="00D041A2" w:rsidRDefault="00000000">
      <w:pPr>
        <w:pStyle w:val="Normal29"/>
        <w:widowControl w:val="0"/>
        <w:spacing w:before="200" w:line="240" w:lineRule="atLeast"/>
      </w:pPr>
      <w:bookmarkStart w:id="3262" w:name="Reporter_28"/>
      <w:bookmarkEnd w:id="3262"/>
      <w:r>
        <w:rPr>
          <w:rFonts w:ascii="Arial" w:eastAsia="Arial" w:hAnsi="Arial" w:cs="Arial"/>
          <w:b/>
          <w:color w:val="000000"/>
          <w:sz w:val="18"/>
        </w:rPr>
        <w:t>Reporter</w:t>
      </w:r>
    </w:p>
    <w:p w14:paraId="7EBA6EC9" w14:textId="77777777" w:rsidR="00D041A2" w:rsidRDefault="00000000">
      <w:pPr>
        <w:pStyle w:val="Normal29"/>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654 F.3d 903 *; 2011 U.S. App. LEXIS 17022 **; 25 Am. Disabilities Cas. (BNA) 119</w:t>
      </w:r>
    </w:p>
    <w:p w14:paraId="513911ED" w14:textId="77777777" w:rsidR="00D041A2" w:rsidRDefault="00000000">
      <w:pPr>
        <w:pStyle w:val="Normal29"/>
        <w:widowControl w:val="0"/>
        <w:spacing w:before="120" w:line="260" w:lineRule="atLeast"/>
      </w:pPr>
      <w:r>
        <w:rPr>
          <w:rFonts w:ascii="Arial" w:eastAsia="Arial" w:hAnsi="Arial" w:cs="Arial"/>
          <w:color w:val="000000"/>
          <w:sz w:val="20"/>
        </w:rPr>
        <w:t>A. J. OLIVER, Plaintiff-Appellant, v. RALPHS GROCERY COMPANY, DBA Food 4 Less No.780; CYPRESS CREEK Co., LP, DBA PTC Investments Company, Defendants-Appellees.</w:t>
      </w:r>
    </w:p>
    <w:p w14:paraId="15718326" w14:textId="77777777" w:rsidR="00D041A2" w:rsidRDefault="00000000">
      <w:pPr>
        <w:pStyle w:val="Normal29"/>
        <w:widowControl w:val="0"/>
        <w:spacing w:before="240" w:line="260" w:lineRule="atLeast"/>
        <w:jc w:val="both"/>
      </w:pPr>
      <w:bookmarkStart w:id="3263" w:name="Prior_History_28"/>
      <w:bookmarkEnd w:id="3263"/>
      <w:r>
        <w:rPr>
          <w:rFonts w:ascii="Arial" w:eastAsia="Arial" w:hAnsi="Arial" w:cs="Arial"/>
          <w:b/>
          <w:color w:val="000000"/>
          <w:sz w:val="20"/>
        </w:rPr>
        <w:t>Prior History:</w:t>
      </w:r>
      <w:r>
        <w:rPr>
          <w:rFonts w:ascii="Arial" w:eastAsia="Arial" w:hAnsi="Arial" w:cs="Arial"/>
          <w:color w:val="000000"/>
          <w:sz w:val="20"/>
        </w:rPr>
        <w:t>  [**1] </w:t>
      </w:r>
      <w:bookmarkStart w:id="3264" w:name="Bookmark_para_1_28"/>
      <w:bookmarkEnd w:id="3264"/>
      <w:r>
        <w:rPr>
          <w:rFonts w:ascii="Arial" w:eastAsia="Arial" w:hAnsi="Arial" w:cs="Arial"/>
          <w:color w:val="000000"/>
          <w:sz w:val="20"/>
        </w:rPr>
        <w:t>Appeal from the United States District Court for the Southern District of California. D.C. No. 3:07-cv-02301-JLS-POR. Janis L. Sammartino, District Judge, Presiding.</w:t>
      </w:r>
    </w:p>
    <w:p w14:paraId="3EC0F84F" w14:textId="77777777" w:rsidR="00D041A2" w:rsidRDefault="00000000">
      <w:pPr>
        <w:pStyle w:val="Normal29"/>
        <w:widowControl w:val="0"/>
        <w:spacing w:before="120" w:line="260" w:lineRule="atLeast"/>
      </w:pPr>
      <w:r>
        <w:rPr>
          <w:rFonts w:ascii="Arial" w:eastAsia="Arial" w:hAnsi="Arial" w:cs="Arial"/>
          <w:color w:val="000000"/>
          <w:sz w:val="20"/>
        </w:rPr>
        <w:t>Oliver v. Ralph's Grocery Co., 2009 U.S. Dist. LEXIS 140732 (S.D. Cal., Aug. 26, 2009)</w:t>
      </w:r>
    </w:p>
    <w:p w14:paraId="0C02CEB0" w14:textId="77777777" w:rsidR="00D041A2" w:rsidRDefault="00000000">
      <w:pPr>
        <w:pStyle w:val="Normal29"/>
        <w:widowControl w:val="0"/>
        <w:spacing w:before="240" w:line="260" w:lineRule="atLeast"/>
        <w:jc w:val="both"/>
      </w:pPr>
      <w:bookmarkStart w:id="3265" w:name="Disposition_9"/>
      <w:bookmarkEnd w:id="3265"/>
      <w:r>
        <w:rPr>
          <w:rFonts w:ascii="Arial" w:eastAsia="Arial" w:hAnsi="Arial" w:cs="Arial"/>
          <w:b/>
          <w:color w:val="000000"/>
          <w:sz w:val="20"/>
        </w:rPr>
        <w:t>Disposition:</w:t>
      </w:r>
      <w:r>
        <w:rPr>
          <w:rFonts w:ascii="Arial" w:eastAsia="Arial" w:hAnsi="Arial" w:cs="Arial"/>
          <w:color w:val="000000"/>
          <w:sz w:val="20"/>
        </w:rPr>
        <w:t> </w:t>
      </w:r>
      <w:bookmarkStart w:id="3266" w:name="Bookmark_clspara_5_4"/>
      <w:bookmarkEnd w:id="3266"/>
      <w:r>
        <w:rPr>
          <w:rFonts w:ascii="Arial" w:eastAsia="Arial" w:hAnsi="Arial" w:cs="Arial"/>
          <w:color w:val="000000"/>
          <w:sz w:val="20"/>
        </w:rPr>
        <w:t>AFFIRMED.</w:t>
      </w:r>
    </w:p>
    <w:p w14:paraId="62BFDD33" w14:textId="77777777" w:rsidR="00D041A2" w:rsidRDefault="00000000">
      <w:pPr>
        <w:pStyle w:val="Normal29"/>
        <w:widowControl w:val="0"/>
        <w:spacing w:before="240" w:line="260" w:lineRule="atLeast"/>
      </w:pPr>
      <w:bookmarkStart w:id="3267" w:name="Counsel_28"/>
      <w:bookmarkEnd w:id="3267"/>
      <w:r>
        <w:rPr>
          <w:rFonts w:ascii="Arial" w:eastAsia="Arial" w:hAnsi="Arial" w:cs="Arial"/>
          <w:b/>
          <w:color w:val="000000"/>
          <w:sz w:val="20"/>
        </w:rPr>
        <w:t>Counsel:</w:t>
      </w:r>
      <w:r>
        <w:rPr>
          <w:rFonts w:ascii="Arial" w:eastAsia="Arial" w:hAnsi="Arial" w:cs="Arial"/>
          <w:color w:val="000000"/>
          <w:sz w:val="20"/>
        </w:rPr>
        <w:t> Lynn Hubbard, III, Chico, California, for plaintiff/appellant A.J. Oliver.</w:t>
      </w:r>
    </w:p>
    <w:p w14:paraId="7595CE42" w14:textId="77777777" w:rsidR="00D041A2" w:rsidRDefault="00000000">
      <w:pPr>
        <w:pStyle w:val="Normal29"/>
        <w:widowControl w:val="0"/>
        <w:spacing w:before="120" w:line="260" w:lineRule="atLeast"/>
      </w:pPr>
      <w:r>
        <w:rPr>
          <w:rFonts w:ascii="Arial" w:eastAsia="Arial" w:hAnsi="Arial" w:cs="Arial"/>
          <w:color w:val="000000"/>
          <w:sz w:val="20"/>
        </w:rPr>
        <w:t>Scottlynn J. Hubbard, Chico, California, for plaintiff/appellant A.J. Oliver.</w:t>
      </w:r>
    </w:p>
    <w:p w14:paraId="0F16A6ED" w14:textId="77777777" w:rsidR="00D041A2" w:rsidRDefault="00000000">
      <w:pPr>
        <w:pStyle w:val="Normal29"/>
        <w:widowControl w:val="0"/>
        <w:spacing w:before="120" w:line="260" w:lineRule="atLeast"/>
      </w:pPr>
      <w:r>
        <w:rPr>
          <w:rFonts w:ascii="Arial" w:eastAsia="Arial" w:hAnsi="Arial" w:cs="Arial"/>
          <w:color w:val="000000"/>
          <w:sz w:val="20"/>
        </w:rPr>
        <w:t>Gregory F. Hurley, Greenberg Traurig, LLP, Irvine, California, for defendant/appellee Ralphs Grocery Company.</w:t>
      </w:r>
    </w:p>
    <w:p w14:paraId="730E89C4" w14:textId="77777777" w:rsidR="00D041A2" w:rsidRDefault="00000000">
      <w:pPr>
        <w:pStyle w:val="Normal29"/>
        <w:widowControl w:val="0"/>
        <w:spacing w:before="120" w:line="260" w:lineRule="atLeast"/>
      </w:pPr>
      <w:r>
        <w:rPr>
          <w:rFonts w:ascii="Arial" w:eastAsia="Arial" w:hAnsi="Arial" w:cs="Arial"/>
          <w:color w:val="000000"/>
          <w:sz w:val="20"/>
        </w:rPr>
        <w:t>Spencer C. Skeen, Fisher &amp; Phillips, LLP, San Diego, California, for defendant/appellee Cypress Creek Company, LP.</w:t>
      </w:r>
    </w:p>
    <w:p w14:paraId="0FC822D6" w14:textId="77777777" w:rsidR="00D041A2" w:rsidRDefault="00000000">
      <w:pPr>
        <w:pStyle w:val="Normal29"/>
        <w:widowControl w:val="0"/>
        <w:spacing w:before="240" w:line="260" w:lineRule="atLeast"/>
      </w:pPr>
      <w:bookmarkStart w:id="3268" w:name="Judges_28"/>
      <w:bookmarkEnd w:id="3268"/>
      <w:r>
        <w:rPr>
          <w:rFonts w:ascii="Arial" w:eastAsia="Arial" w:hAnsi="Arial" w:cs="Arial"/>
          <w:b/>
          <w:color w:val="000000"/>
          <w:sz w:val="20"/>
        </w:rPr>
        <w:t>Judges:</w:t>
      </w:r>
      <w:r>
        <w:rPr>
          <w:rFonts w:ascii="Arial" w:eastAsia="Arial" w:hAnsi="Arial" w:cs="Arial"/>
          <w:color w:val="000000"/>
          <w:sz w:val="20"/>
        </w:rPr>
        <w:t> Before: Pamela Ann Rymer, Consuelo M. Callahan, and Sandra S. Ikuta, Circuit Judges. Opinion by Judge Ikuta.</w:t>
      </w:r>
    </w:p>
    <w:p w14:paraId="0BED1E53" w14:textId="77777777" w:rsidR="00D041A2" w:rsidRDefault="00000000">
      <w:pPr>
        <w:pStyle w:val="Normal29"/>
        <w:widowControl w:val="0"/>
        <w:spacing w:before="240" w:line="260" w:lineRule="atLeast"/>
      </w:pPr>
      <w:bookmarkStart w:id="3269" w:name="Opinion_by_16"/>
      <w:bookmarkEnd w:id="3269"/>
      <w:r>
        <w:rPr>
          <w:rFonts w:ascii="Arial" w:eastAsia="Arial" w:hAnsi="Arial" w:cs="Arial"/>
          <w:b/>
          <w:color w:val="000000"/>
          <w:sz w:val="20"/>
        </w:rPr>
        <w:t>Opinion by:</w:t>
      </w:r>
      <w:r>
        <w:rPr>
          <w:rFonts w:ascii="Arial" w:eastAsia="Arial" w:hAnsi="Arial" w:cs="Arial"/>
          <w:color w:val="000000"/>
          <w:sz w:val="20"/>
        </w:rPr>
        <w:t> Sandra S. Ikuta</w:t>
      </w:r>
    </w:p>
    <w:p w14:paraId="22B0FA92" w14:textId="77777777" w:rsidR="00D041A2" w:rsidRDefault="00000000">
      <w:pPr>
        <w:pStyle w:val="Normal29"/>
        <w:keepNext/>
        <w:widowControl w:val="0"/>
        <w:spacing w:before="240" w:line="340" w:lineRule="atLeast"/>
      </w:pPr>
      <w:bookmarkStart w:id="3270" w:name="Opinion_28"/>
      <w:bookmarkEnd w:id="3270"/>
      <w:r>
        <w:rPr>
          <w:rFonts w:ascii="Arial" w:eastAsia="Arial" w:hAnsi="Arial" w:cs="Arial"/>
          <w:b/>
          <w:color w:val="000000"/>
          <w:sz w:val="28"/>
        </w:rPr>
        <w:t>Opinion</w:t>
      </w:r>
    </w:p>
    <w:p w14:paraId="7A897127" w14:textId="45E697F2" w:rsidR="00D041A2" w:rsidRDefault="004D4403">
      <w:pPr>
        <w:pStyle w:val="Normal29"/>
        <w:spacing w:line="60" w:lineRule="exact"/>
      </w:pPr>
      <w:r>
        <w:rPr>
          <w:noProof/>
        </w:rPr>
        <mc:AlternateContent>
          <mc:Choice Requires="wps">
            <w:drawing>
              <wp:anchor distT="0" distB="0" distL="114300" distR="114300" simplePos="0" relativeHeight="251720704" behindDoc="0" locked="0" layoutInCell="1" allowOverlap="1" wp14:anchorId="766BA382" wp14:editId="78328A0A">
                <wp:simplePos x="0" y="0"/>
                <wp:positionH relativeFrom="column">
                  <wp:posOffset>0</wp:posOffset>
                </wp:positionH>
                <wp:positionV relativeFrom="paragraph">
                  <wp:posOffset>25400</wp:posOffset>
                </wp:positionV>
                <wp:extent cx="3187700" cy="0"/>
                <wp:effectExtent l="19050" t="15875" r="12700" b="12700"/>
                <wp:wrapTopAndBottom/>
                <wp:docPr id="2049288303"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42896"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5C6D544" w14:textId="77777777" w:rsidR="00D041A2" w:rsidRDefault="00D041A2">
      <w:pPr>
        <w:pStyle w:val="Normal29"/>
      </w:pPr>
    </w:p>
    <w:p w14:paraId="37F03AFD" w14:textId="77777777" w:rsidR="00D041A2" w:rsidRDefault="00000000">
      <w:pPr>
        <w:pStyle w:val="Normal29"/>
        <w:widowControl w:val="0"/>
        <w:spacing w:before="200" w:line="260" w:lineRule="atLeast"/>
        <w:jc w:val="both"/>
      </w:pPr>
      <w:bookmarkStart w:id="3271" w:name="Bookmark_para_2_28"/>
      <w:bookmarkEnd w:id="3271"/>
      <w:r>
        <w:rPr>
          <w:rFonts w:ascii="Arial" w:eastAsia="Arial" w:hAnsi="Arial" w:cs="Arial"/>
          <w:color w:val="000000"/>
          <w:sz w:val="20"/>
        </w:rPr>
        <w:t> [*904]  IKUTA, Circuit Judge:</w:t>
      </w:r>
    </w:p>
    <w:p w14:paraId="1613D8F9" w14:textId="77777777" w:rsidR="00D041A2" w:rsidRDefault="00000000">
      <w:pPr>
        <w:pStyle w:val="Normal29"/>
        <w:widowControl w:val="0"/>
        <w:spacing w:before="200" w:line="260" w:lineRule="atLeast"/>
        <w:jc w:val="both"/>
      </w:pPr>
      <w:bookmarkStart w:id="3272" w:name="Bookmark_para_3_28"/>
      <w:bookmarkEnd w:id="3272"/>
      <w:r>
        <w:rPr>
          <w:rFonts w:ascii="Arial" w:eastAsia="Arial" w:hAnsi="Arial" w:cs="Arial"/>
          <w:color w:val="000000"/>
          <w:sz w:val="20"/>
        </w:rPr>
        <w:t>A.J. Oliver is a disabled individual who requires the use of a motorized wheelchair to get around. On December 7, 2007, Oliver filed a lawsuit against Ralphs Grocery Company ("Ralphs") and Cypress Creek Company ("Cypress Creek") alleging that a Food 4 Less grocery store in Chula Vista, California did not comply with the Americans with Disabilities Act of 1990 (ADA), 42 U.S.C. §§ 12101, 12213, and certain state laws.</w:t>
      </w:r>
      <w:r>
        <w:rPr>
          <w:rFonts w:ascii="Arial" w:eastAsia="Arial" w:hAnsi="Arial" w:cs="Arial"/>
          <w:vertAlign w:val="superscript"/>
        </w:rPr>
        <w:footnoteReference w:customMarkFollows="1" w:id="158"/>
        <w:t>1</w:t>
      </w:r>
      <w:r>
        <w:rPr>
          <w:rFonts w:ascii="Arial" w:eastAsia="Arial" w:hAnsi="Arial" w:cs="Arial"/>
          <w:color w:val="000000"/>
          <w:sz w:val="20"/>
        </w:rPr>
        <w:t xml:space="preserve"> The district court granted summary judgment to the defendants on Oliver's ADA claim and  [**2] dismissed his state law claims without prejudice. We affirm.</w:t>
      </w:r>
    </w:p>
    <w:p w14:paraId="127792DD" w14:textId="77777777" w:rsidR="00D041A2" w:rsidRDefault="00000000">
      <w:pPr>
        <w:pStyle w:val="Normal29"/>
        <w:widowControl w:val="0"/>
        <w:spacing w:before="120" w:line="260" w:lineRule="atLeast"/>
      </w:pPr>
      <w:r>
        <w:rPr>
          <w:rFonts w:ascii="Arial" w:eastAsia="Arial" w:hAnsi="Arial" w:cs="Arial"/>
          <w:color w:val="000000"/>
          <w:sz w:val="20"/>
        </w:rPr>
        <w:t>I</w:t>
      </w:r>
    </w:p>
    <w:p w14:paraId="1049E9ED" w14:textId="77777777" w:rsidR="00D041A2" w:rsidRDefault="00000000">
      <w:pPr>
        <w:pStyle w:val="Normal29"/>
        <w:widowControl w:val="0"/>
        <w:spacing w:before="120" w:line="260" w:lineRule="atLeast"/>
      </w:pPr>
      <w:r>
        <w:rPr>
          <w:rFonts w:ascii="Arial" w:eastAsia="Arial" w:hAnsi="Arial" w:cs="Arial"/>
          <w:color w:val="000000"/>
          <w:sz w:val="20"/>
        </w:rPr>
        <w:t>A</w:t>
      </w:r>
    </w:p>
    <w:p w14:paraId="7E9FE111" w14:textId="77777777" w:rsidR="00D041A2" w:rsidRDefault="00000000">
      <w:pPr>
        <w:pStyle w:val="Normal29"/>
        <w:widowControl w:val="0"/>
        <w:spacing w:before="200" w:line="260" w:lineRule="atLeast"/>
        <w:jc w:val="both"/>
      </w:pPr>
      <w:bookmarkStart w:id="3274" w:name="Bookmark_para_4_28"/>
      <w:bookmarkEnd w:id="3274"/>
      <w:r>
        <w:rPr>
          <w:rFonts w:ascii="Arial" w:eastAsia="Arial" w:hAnsi="Arial" w:cs="Arial"/>
          <w:color w:val="000000"/>
          <w:sz w:val="20"/>
        </w:rPr>
        <w:t xml:space="preserve">In order to address Oliver's arguments, it is first necessary to understand the requirements imposed by the ADA. </w:t>
      </w:r>
      <w:bookmarkStart w:id="3275" w:name="Bookmark_LNHNREFclscc1_21"/>
      <w:bookmarkEnd w:id="3275"/>
      <w:r>
        <w:rPr>
          <w:rFonts w:ascii="Arial" w:eastAsia="Arial" w:hAnsi="Arial" w:cs="Arial"/>
          <w:color w:val="000000"/>
          <w:sz w:val="20"/>
        </w:rPr>
        <w:t>Title III of the ADA prohibits discrimination on the basis of disability in the "full and equal enjoyment of the goods, services, facilities, privileges, advantages, or accommodations of any place of public accommodation" with a nexus in interstate commerce. 42 U.S.C. §§ 2000a(b), 12182(a).</w:t>
      </w:r>
      <w:r>
        <w:rPr>
          <w:rFonts w:ascii="Arial" w:eastAsia="Arial" w:hAnsi="Arial" w:cs="Arial"/>
          <w:vertAlign w:val="superscript"/>
        </w:rPr>
        <w:footnoteReference w:customMarkFollows="1" w:id="159"/>
        <w:t>2</w:t>
      </w:r>
      <w:r>
        <w:rPr>
          <w:rFonts w:ascii="Arial" w:eastAsia="Arial" w:hAnsi="Arial" w:cs="Arial"/>
          <w:color w:val="000000"/>
          <w:sz w:val="20"/>
        </w:rPr>
        <w:t xml:space="preserve"> Compliance with  [*905]  the ADA requires that new facilities be "readily accessible to and usable by individuals with disabilities," unless this would be "structurally impracticable." § 12183(a)(1).</w:t>
      </w:r>
      <w:r>
        <w:rPr>
          <w:rFonts w:ascii="Arial" w:eastAsia="Arial" w:hAnsi="Arial" w:cs="Arial"/>
          <w:vertAlign w:val="superscript"/>
        </w:rPr>
        <w:footnoteReference w:customMarkFollows="1" w:id="160"/>
        <w:t>3</w:t>
      </w:r>
    </w:p>
    <w:p w14:paraId="568A3D50" w14:textId="77777777" w:rsidR="00D041A2" w:rsidRDefault="00000000">
      <w:pPr>
        <w:pStyle w:val="Normal29"/>
        <w:widowControl w:val="0"/>
        <w:spacing w:before="200" w:line="260" w:lineRule="atLeast"/>
        <w:jc w:val="both"/>
      </w:pPr>
      <w:bookmarkStart w:id="3278" w:name="Bookmark_para_5_28"/>
      <w:bookmarkStart w:id="3279" w:name="Bookmark_I53RDT0H28T4MR0020000400"/>
      <w:bookmarkStart w:id="3280" w:name="Bookmark_I53RDT0H28T4MS0050000400"/>
      <w:bookmarkStart w:id="3281" w:name="Bookmark_LNHNREFclscc2_21"/>
      <w:bookmarkEnd w:id="3278"/>
      <w:bookmarkEnd w:id="3279"/>
      <w:bookmarkEnd w:id="3280"/>
      <w:bookmarkEnd w:id="3281"/>
      <w:r>
        <w:rPr>
          <w:rFonts w:ascii="Arial" w:eastAsia="Arial" w:hAnsi="Arial" w:cs="Arial"/>
          <w:color w:val="000000"/>
          <w:sz w:val="20"/>
        </w:rPr>
        <w:t xml:space="preserve">In general, a facility is "readily accessible to and usable by individuals  [**3] with disabilities" if it meets the requirements promulgated by the Attorney General in the "ADA Accessibility Guidelines" or the "ADAAG," which is essentially an encyclopedia of design standards. </w:t>
      </w:r>
      <w:bookmarkStart w:id="3282" w:name="Bookmark_I53RDT0H28T4MS0010000400"/>
      <w:bookmarkEnd w:id="3282"/>
      <w:r>
        <w:rPr>
          <w:rFonts w:ascii="Arial" w:eastAsia="Arial" w:hAnsi="Arial" w:cs="Arial"/>
          <w:i/>
          <w:color w:val="000000"/>
          <w:sz w:val="20"/>
        </w:rPr>
        <w:t>See</w:t>
      </w:r>
      <w:r>
        <w:rPr>
          <w:rFonts w:ascii="Arial" w:eastAsia="Arial" w:hAnsi="Arial" w:cs="Arial"/>
          <w:color w:val="000000"/>
          <w:sz w:val="20"/>
        </w:rPr>
        <w:t xml:space="preserve"> 28 C.F.R. § 36.406; </w:t>
      </w:r>
      <w:r>
        <w:rPr>
          <w:rFonts w:ascii="Arial" w:eastAsia="Arial" w:hAnsi="Arial" w:cs="Arial"/>
          <w:i/>
          <w:color w:val="000000"/>
          <w:sz w:val="20"/>
        </w:rPr>
        <w:t>see also</w:t>
      </w:r>
      <w:r>
        <w:rPr>
          <w:rFonts w:ascii="Arial" w:eastAsia="Arial" w:hAnsi="Arial" w:cs="Arial"/>
          <w:color w:val="000000"/>
          <w:sz w:val="20"/>
        </w:rPr>
        <w:t xml:space="preserve"> 28 C.F.R. pt. 36, app. A; </w:t>
      </w:r>
      <w:bookmarkStart w:id="3283" w:name="Bookmark_I53RDT0H28T4MR0010000400"/>
      <w:bookmarkEnd w:id="3283"/>
      <w:r>
        <w:rPr>
          <w:rFonts w:ascii="Arial" w:eastAsia="Arial" w:hAnsi="Arial" w:cs="Arial"/>
          <w:i/>
          <w:color w:val="000000"/>
          <w:sz w:val="20"/>
        </w:rPr>
        <w:t>Chapman v. Pier 1 Imports (U.S.), Inc</w:t>
      </w:r>
      <w:r>
        <w:rPr>
          <w:rFonts w:ascii="Arial" w:eastAsia="Arial" w:hAnsi="Arial" w:cs="Arial"/>
          <w:color w:val="000000"/>
          <w:sz w:val="20"/>
        </w:rPr>
        <w:t xml:space="preserve">., 631 F.3d 939, 945-46 (9th Cir. 2011) (en banc); </w:t>
      </w:r>
      <w:bookmarkStart w:id="3284" w:name="Bookmark_I53RDT0H28T4MR0030000400"/>
      <w:bookmarkEnd w:id="3284"/>
      <w:r>
        <w:rPr>
          <w:rFonts w:ascii="Arial" w:eastAsia="Arial" w:hAnsi="Arial" w:cs="Arial"/>
          <w:i/>
          <w:color w:val="000000"/>
          <w:sz w:val="20"/>
        </w:rPr>
        <w:t>United States v. AMC Entm't, Inc</w:t>
      </w:r>
      <w:r>
        <w:rPr>
          <w:rFonts w:ascii="Arial" w:eastAsia="Arial" w:hAnsi="Arial" w:cs="Arial"/>
          <w:color w:val="000000"/>
          <w:sz w:val="20"/>
        </w:rPr>
        <w:t>., 549 F.3d 760, 763 (9th Cir. 2008).</w:t>
      </w:r>
      <w:r>
        <w:rPr>
          <w:rFonts w:ascii="Arial" w:eastAsia="Arial" w:hAnsi="Arial" w:cs="Arial"/>
          <w:vertAlign w:val="superscript"/>
        </w:rPr>
        <w:footnoteReference w:customMarkFollows="1" w:id="161"/>
        <w:t>4</w:t>
      </w:r>
      <w:r>
        <w:rPr>
          <w:rFonts w:ascii="Arial" w:eastAsia="Arial" w:hAnsi="Arial" w:cs="Arial"/>
          <w:color w:val="000000"/>
          <w:sz w:val="20"/>
        </w:rPr>
        <w:t xml:space="preserve"> If a particular architectural feature of a place of public accommodation is inconsistent with the ADAAG, a plaintiff can bring a civil action claiming that the feature constitutes a barrier that denies the plaintiff full and equal enjoyment of the premises in violation of the ADA. </w:t>
      </w:r>
      <w:r>
        <w:rPr>
          <w:rFonts w:ascii="Arial" w:eastAsia="Arial" w:hAnsi="Arial" w:cs="Arial"/>
          <w:i/>
          <w:color w:val="000000"/>
          <w:sz w:val="20"/>
        </w:rPr>
        <w:t>See</w:t>
      </w:r>
      <w:r>
        <w:rPr>
          <w:rFonts w:ascii="Arial" w:eastAsia="Arial" w:hAnsi="Arial" w:cs="Arial"/>
          <w:color w:val="000000"/>
          <w:sz w:val="20"/>
        </w:rPr>
        <w:t xml:space="preserve"> §§ 2000a-3(a), 12188(a)(2). Because a private plaintiff can sue only for injunctive relief (i.e., for removal of the barrier) under the ADA, </w:t>
      </w:r>
      <w:r>
        <w:rPr>
          <w:rFonts w:ascii="Arial" w:eastAsia="Arial" w:hAnsi="Arial" w:cs="Arial"/>
          <w:i/>
          <w:color w:val="000000"/>
          <w:sz w:val="20"/>
        </w:rPr>
        <w:t>see id</w:t>
      </w:r>
      <w:r>
        <w:rPr>
          <w:rFonts w:ascii="Arial" w:eastAsia="Arial" w:hAnsi="Arial" w:cs="Arial"/>
          <w:color w:val="000000"/>
          <w:sz w:val="20"/>
        </w:rPr>
        <w:t xml:space="preserve">., a defendant's voluntary removal of alleged barriers prior to trial can have the effect of mooting a plaintiff's ADA claim. </w:t>
      </w:r>
      <w:bookmarkStart w:id="3289" w:name="Bookmark_I53RDT0H28T4MS0010000400_2"/>
      <w:bookmarkEnd w:id="3289"/>
      <w:r>
        <w:rPr>
          <w:rFonts w:ascii="Arial" w:eastAsia="Arial" w:hAnsi="Arial" w:cs="Arial"/>
          <w:i/>
          <w:color w:val="000000"/>
          <w:sz w:val="20"/>
        </w:rPr>
        <w:t xml:space="preserve">See </w:t>
      </w:r>
      <w:bookmarkStart w:id="3290" w:name="Bookmark_I53RDT0H28T4MR0050000400"/>
      <w:bookmarkEnd w:id="3290"/>
      <w:r>
        <w:rPr>
          <w:rFonts w:ascii="Arial" w:eastAsia="Arial" w:hAnsi="Arial" w:cs="Arial"/>
          <w:i/>
          <w:color w:val="000000"/>
          <w:sz w:val="20"/>
        </w:rPr>
        <w:t>Hubbard v. 7-Eleven, Inc</w:t>
      </w:r>
      <w:r>
        <w:rPr>
          <w:rFonts w:ascii="Arial" w:eastAsia="Arial" w:hAnsi="Arial" w:cs="Arial"/>
          <w:color w:val="000000"/>
          <w:sz w:val="20"/>
        </w:rPr>
        <w:t xml:space="preserve">., 433 F. Supp. 2d 1134, 1145 (S.D. Cal. 2006); </w:t>
      </w:r>
      <w:r>
        <w:rPr>
          <w:rFonts w:ascii="Arial" w:eastAsia="Arial" w:hAnsi="Arial" w:cs="Arial"/>
          <w:i/>
          <w:color w:val="000000"/>
          <w:sz w:val="20"/>
        </w:rPr>
        <w:t xml:space="preserve">cf. </w:t>
      </w:r>
      <w:bookmarkStart w:id="3291" w:name="Bookmark_I53RDT0H28T4MS0020000400"/>
      <w:bookmarkEnd w:id="3291"/>
      <w:r>
        <w:rPr>
          <w:rFonts w:ascii="Arial" w:eastAsia="Arial" w:hAnsi="Arial" w:cs="Arial"/>
          <w:i/>
          <w:color w:val="000000"/>
          <w:sz w:val="20"/>
        </w:rPr>
        <w:t>Am. Cargo Transp., Inc. v. United States</w:t>
      </w:r>
      <w:r>
        <w:rPr>
          <w:rFonts w:ascii="Arial" w:eastAsia="Arial" w:hAnsi="Arial" w:cs="Arial"/>
          <w:color w:val="000000"/>
          <w:sz w:val="20"/>
        </w:rPr>
        <w:t xml:space="preserve">, 625 F.3d 1176, 1179-80 (9th Cir. 2010). </w:t>
      </w:r>
      <w:bookmarkStart w:id="3292" w:name="Bookmark_LNHNREFclscc3_19"/>
      <w:bookmarkEnd w:id="3292"/>
      <w:r>
        <w:rPr>
          <w:rFonts w:ascii="Arial" w:eastAsia="Arial" w:hAnsi="Arial" w:cs="Arial"/>
          <w:color w:val="000000"/>
          <w:sz w:val="20"/>
        </w:rPr>
        <w:t xml:space="preserve">The ADA provides for attorneys' fees and costs for prevailing plaintiffs,  [**4] however, </w:t>
      </w:r>
      <w:r>
        <w:rPr>
          <w:rFonts w:ascii="Arial" w:eastAsia="Arial" w:hAnsi="Arial" w:cs="Arial"/>
          <w:i/>
          <w:color w:val="000000"/>
          <w:sz w:val="20"/>
        </w:rPr>
        <w:t>see</w:t>
      </w:r>
      <w:r>
        <w:rPr>
          <w:rFonts w:ascii="Arial" w:eastAsia="Arial" w:hAnsi="Arial" w:cs="Arial"/>
          <w:color w:val="000000"/>
          <w:sz w:val="20"/>
        </w:rPr>
        <w:t xml:space="preserve"> § 12205, and ADA plaintiffs frequently seek damages by bringing parallel claims under applicable state civil rights laws.</w:t>
      </w:r>
    </w:p>
    <w:p w14:paraId="105F14E2" w14:textId="77777777" w:rsidR="00D041A2" w:rsidRDefault="00000000">
      <w:pPr>
        <w:pStyle w:val="Normal29"/>
        <w:widowControl w:val="0"/>
        <w:spacing w:before="120" w:line="260" w:lineRule="atLeast"/>
      </w:pPr>
      <w:r>
        <w:rPr>
          <w:rFonts w:ascii="Arial" w:eastAsia="Arial" w:hAnsi="Arial" w:cs="Arial"/>
          <w:color w:val="000000"/>
          <w:sz w:val="20"/>
        </w:rPr>
        <w:t>B</w:t>
      </w:r>
    </w:p>
    <w:p w14:paraId="2AB0EE61" w14:textId="77777777" w:rsidR="00D041A2" w:rsidRDefault="00000000">
      <w:pPr>
        <w:pStyle w:val="Normal29"/>
        <w:widowControl w:val="0"/>
        <w:spacing w:before="200" w:line="260" w:lineRule="atLeast"/>
        <w:jc w:val="both"/>
      </w:pPr>
      <w:bookmarkStart w:id="3293" w:name="Bookmark_para_6_28"/>
      <w:bookmarkEnd w:id="3293"/>
      <w:r>
        <w:rPr>
          <w:rFonts w:ascii="Arial" w:eastAsia="Arial" w:hAnsi="Arial" w:cs="Arial"/>
          <w:color w:val="000000"/>
          <w:sz w:val="20"/>
        </w:rPr>
        <w:t>On December 7, 2007, Oliver filed a complaint in federal district court alleging that he had visited the Chula Vista Food 4 Less store and "encountered barriers (both physical and intangible) that interfered with—if not outright denied—his ability to use and enjoy the goods, services, privileges, and accommodations offered" at the facility. The complaint also stated that, "[t]o the extent known by Oliver, the barriers at the Food 4 Less included, but [we]re not limited to" 18 separate architectural features.</w:t>
      </w:r>
      <w:r>
        <w:rPr>
          <w:rFonts w:ascii="Arial" w:eastAsia="Arial" w:hAnsi="Arial" w:cs="Arial"/>
          <w:vertAlign w:val="superscript"/>
        </w:rPr>
        <w:footnoteReference w:customMarkFollows="1" w:id="162"/>
        <w:t>5</w:t>
      </w:r>
      <w:r>
        <w:rPr>
          <w:rFonts w:ascii="Arial" w:eastAsia="Arial" w:hAnsi="Arial" w:cs="Arial"/>
          <w:color w:val="000000"/>
          <w:sz w:val="20"/>
        </w:rPr>
        <w:t xml:space="preserve"> Claiming that the existence of  [*906]  these barriers amounted to discrimination against him on the basis of his disability, Oliver sought injunctive relief, attorneys' fees, and legal expenses under  [**5] the ADA, as well as money damages through two parallel state law claims.</w:t>
      </w:r>
      <w:r>
        <w:rPr>
          <w:rFonts w:ascii="Arial" w:eastAsia="Arial" w:hAnsi="Arial" w:cs="Arial"/>
          <w:vertAlign w:val="superscript"/>
        </w:rPr>
        <w:footnoteReference w:customMarkFollows="1" w:id="163"/>
        <w:t>6</w:t>
      </w:r>
    </w:p>
    <w:p w14:paraId="60B5D5A1" w14:textId="77777777" w:rsidR="00D041A2" w:rsidRDefault="00000000">
      <w:pPr>
        <w:pStyle w:val="Normal29"/>
        <w:widowControl w:val="0"/>
        <w:spacing w:before="200" w:line="260" w:lineRule="atLeast"/>
        <w:jc w:val="both"/>
      </w:pPr>
      <w:bookmarkStart w:id="3314" w:name="Bookmark_para_25_14"/>
      <w:bookmarkEnd w:id="3314"/>
      <w:r>
        <w:rPr>
          <w:rFonts w:ascii="Arial" w:eastAsia="Arial" w:hAnsi="Arial" w:cs="Arial"/>
          <w:color w:val="000000"/>
          <w:sz w:val="20"/>
        </w:rPr>
        <w:t>Shortly after receiving Oliver's complaint, Ralphs began renovations at the store. During this process, Ralphs removed several of the barriers Oliver had identified in his complaint. At a pre-trial scheduling conference on May 14, 2008, Oliver stated his intention to amend his complaint to allege the existence of additional architectural features at the store which violated the ADA. The parties agreed on June 13, 2008 as the deadline for filing amended pleadings, and the magistrate judge issued a scheduling order to that effect.</w:t>
      </w:r>
    </w:p>
    <w:p w14:paraId="3AD16BE3" w14:textId="77777777" w:rsidR="00D041A2" w:rsidRDefault="00000000">
      <w:pPr>
        <w:pStyle w:val="Normal29"/>
        <w:widowControl w:val="0"/>
        <w:spacing w:before="200" w:line="260" w:lineRule="atLeast"/>
        <w:jc w:val="both"/>
      </w:pPr>
      <w:bookmarkStart w:id="3315" w:name="Bookmark_para_26_13"/>
      <w:bookmarkEnd w:id="3315"/>
      <w:r>
        <w:rPr>
          <w:rFonts w:ascii="Arial" w:eastAsia="Arial" w:hAnsi="Arial" w:cs="Arial"/>
          <w:color w:val="000000"/>
          <w:sz w:val="20"/>
        </w:rPr>
        <w:t xml:space="preserve">Oliver did not file an amended complaint by the June 13, 2008 deadline. Rather, on June 30, 2008, after  [**7] the deadline for filing amended pleadings had passed, Oliver filed a motion to modify the scheduling order and a motion to amend his complaint to identify six additional architectural features at the store that allegedly violated the ADA. The district court determined that Oliver had failed to show good cause to modify the scheduling order, </w:t>
      </w:r>
      <w:r>
        <w:rPr>
          <w:rFonts w:ascii="Arial" w:eastAsia="Arial" w:hAnsi="Arial" w:cs="Arial"/>
          <w:i/>
          <w:color w:val="000000"/>
          <w:sz w:val="20"/>
        </w:rPr>
        <w:t>see</w:t>
      </w:r>
      <w:r>
        <w:rPr>
          <w:rFonts w:ascii="Arial" w:eastAsia="Arial" w:hAnsi="Arial" w:cs="Arial"/>
          <w:color w:val="000000"/>
          <w:sz w:val="20"/>
        </w:rPr>
        <w:t xml:space="preserve"> Fed. R. Civ. P. 16(b), and denied Oliver's motion. A little over four months later, Oliver filed an expert report identifying approximately 20 "architectural barriers" at the Food 4 Less store. This expert report provided additional detail concerning some of the barriers already identified in Oliver's complaint, but also added several additional barriers that had not been listed in the complaint (e.g., telephone and transaction counter accessability issues).</w:t>
      </w:r>
      <w:r>
        <w:rPr>
          <w:rFonts w:ascii="Arial" w:eastAsia="Arial" w:hAnsi="Arial" w:cs="Arial"/>
          <w:vertAlign w:val="superscript"/>
        </w:rPr>
        <w:footnoteReference w:customMarkFollows="1" w:id="164"/>
        <w:t>7</w:t>
      </w:r>
    </w:p>
    <w:p w14:paraId="0F24BA9C" w14:textId="77777777" w:rsidR="00D041A2" w:rsidRDefault="00000000">
      <w:pPr>
        <w:pStyle w:val="Normal29"/>
        <w:widowControl w:val="0"/>
        <w:spacing w:before="200" w:line="260" w:lineRule="atLeast"/>
        <w:jc w:val="both"/>
      </w:pPr>
      <w:bookmarkStart w:id="3317" w:name="Bookmark_para_27_13"/>
      <w:bookmarkEnd w:id="3317"/>
      <w:r>
        <w:rPr>
          <w:rFonts w:ascii="Arial" w:eastAsia="Arial" w:hAnsi="Arial" w:cs="Arial"/>
          <w:color w:val="000000"/>
          <w:sz w:val="20"/>
        </w:rPr>
        <w:t>The parties subsequently filed cross-motions  [**8] for summary judgment, and the district court granted summary judgment to Ralphs and Cypress Creek. In doing so, the court ruled that it would not consider the barriers listed in Oliver's expert report, because they were not properly before the court. The court then reviewed each of the 18 architectural barriers listed in the complaint and ruled against Oliver on all of them. Specifically, the court: (1) ruled that Oliver had conceded summary judgment as to some of the barriers, (2) granted summary judgment to the defendants as to others, and (3) found that others were moot because they had already been remedied. Finally, the district court declined to exercise supplemental jurisdiction over Oliver's state law claims and dismissed them without prejudice.</w:t>
      </w:r>
    </w:p>
    <w:p w14:paraId="0F17AFAB" w14:textId="77777777" w:rsidR="00D041A2" w:rsidRDefault="00000000">
      <w:pPr>
        <w:pStyle w:val="Normal29"/>
        <w:widowControl w:val="0"/>
        <w:spacing w:before="120" w:line="260" w:lineRule="atLeast"/>
      </w:pPr>
      <w:r>
        <w:rPr>
          <w:rFonts w:ascii="Arial" w:eastAsia="Arial" w:hAnsi="Arial" w:cs="Arial"/>
          <w:color w:val="000000"/>
          <w:sz w:val="20"/>
        </w:rPr>
        <w:t>II</w:t>
      </w:r>
    </w:p>
    <w:p w14:paraId="1ABAE10E" w14:textId="77777777" w:rsidR="00D041A2" w:rsidRDefault="00000000">
      <w:pPr>
        <w:pStyle w:val="Normal29"/>
        <w:widowControl w:val="0"/>
        <w:spacing w:before="200" w:line="260" w:lineRule="atLeast"/>
        <w:jc w:val="both"/>
      </w:pPr>
      <w:bookmarkStart w:id="3318" w:name="Bookmark_para_28_12"/>
      <w:bookmarkEnd w:id="3318"/>
      <w:r>
        <w:rPr>
          <w:rFonts w:ascii="Arial" w:eastAsia="Arial" w:hAnsi="Arial" w:cs="Arial"/>
          <w:color w:val="000000"/>
          <w:sz w:val="20"/>
        </w:rPr>
        <w:t>On appeal, Oliver challenges three of the district court's rulings. First, he contends  [*907]  that the district court erred in refusing to consider the allegations in his expert report.</w:t>
      </w:r>
      <w:r>
        <w:rPr>
          <w:rFonts w:ascii="Arial" w:eastAsia="Arial" w:hAnsi="Arial" w:cs="Arial"/>
          <w:vertAlign w:val="superscript"/>
        </w:rPr>
        <w:footnoteReference w:customMarkFollows="1" w:id="165"/>
        <w:t>8</w:t>
      </w:r>
      <w:r>
        <w:rPr>
          <w:rFonts w:ascii="Arial" w:eastAsia="Arial" w:hAnsi="Arial" w:cs="Arial"/>
          <w:color w:val="000000"/>
          <w:sz w:val="20"/>
        </w:rPr>
        <w:t xml:space="preserve"> Second, he argues that the district court erred in granting summary judgment to the defendants as to the barriers he claimed violated California's Manual on Uniform Traffic Control Devices (MUTCD), which was based on the district court's conclusion that violations  [**9] of the California MUTCD are not per se violations of the ADA. Finally, he contends that the district court abused its discretion in declining to exercise supplemental jurisdiction over his state law claims.</w:t>
      </w:r>
    </w:p>
    <w:p w14:paraId="0E5896D4" w14:textId="77777777" w:rsidR="00D041A2" w:rsidRDefault="00000000">
      <w:pPr>
        <w:pStyle w:val="Normal29"/>
        <w:widowControl w:val="0"/>
        <w:spacing w:before="120" w:line="260" w:lineRule="atLeast"/>
      </w:pPr>
      <w:r>
        <w:rPr>
          <w:rFonts w:ascii="Arial" w:eastAsia="Arial" w:hAnsi="Arial" w:cs="Arial"/>
          <w:color w:val="000000"/>
          <w:sz w:val="20"/>
        </w:rPr>
        <w:t>A</w:t>
      </w:r>
    </w:p>
    <w:p w14:paraId="779EF417" w14:textId="77777777" w:rsidR="00D041A2" w:rsidRDefault="00000000">
      <w:pPr>
        <w:pStyle w:val="Normal29"/>
        <w:widowControl w:val="0"/>
        <w:spacing w:before="200" w:line="260" w:lineRule="atLeast"/>
        <w:jc w:val="both"/>
      </w:pPr>
      <w:bookmarkStart w:id="3320" w:name="Bookmark_para_29_11"/>
      <w:bookmarkStart w:id="3321" w:name="Bookmark_I53RDT0H2D6MVP0040000400"/>
      <w:bookmarkEnd w:id="3320"/>
      <w:bookmarkEnd w:id="3321"/>
      <w:r>
        <w:rPr>
          <w:rFonts w:ascii="Arial" w:eastAsia="Arial" w:hAnsi="Arial" w:cs="Arial"/>
          <w:color w:val="000000"/>
          <w:sz w:val="20"/>
        </w:rPr>
        <w:t xml:space="preserve">Before we can reach these issues, however, we must address a threshold question: whether in light of our recent decision in </w:t>
      </w:r>
      <w:r>
        <w:rPr>
          <w:rFonts w:ascii="Arial" w:eastAsia="Arial" w:hAnsi="Arial" w:cs="Arial"/>
          <w:i/>
          <w:color w:val="000000"/>
          <w:sz w:val="20"/>
        </w:rPr>
        <w:t>Chapman v. Pier 1 Imports</w:t>
      </w:r>
      <w:r>
        <w:rPr>
          <w:rFonts w:ascii="Arial" w:eastAsia="Arial" w:hAnsi="Arial" w:cs="Arial"/>
          <w:color w:val="000000"/>
          <w:sz w:val="20"/>
        </w:rPr>
        <w:t xml:space="preserve">, Oliver adequately established his standing to bring this action. </w:t>
      </w:r>
      <w:bookmarkStart w:id="3322" w:name="Bookmark_LNHNREFclscc5_18"/>
      <w:bookmarkEnd w:id="3322"/>
      <w:r>
        <w:rPr>
          <w:rFonts w:ascii="Arial" w:eastAsia="Arial" w:hAnsi="Arial" w:cs="Arial"/>
          <w:color w:val="000000"/>
          <w:sz w:val="20"/>
        </w:rPr>
        <w:t xml:space="preserve">Although neither Ralphs nor Cypress Creek raised the issue of standing before the district court or on appeal, we "must[ ] resolve any doubts about this constitutional issue sua sponte." </w:t>
      </w:r>
      <w:bookmarkStart w:id="3323" w:name="Bookmark_I53RDT0H2D6MVP0030000400"/>
      <w:bookmarkEnd w:id="3323"/>
      <w:r>
        <w:rPr>
          <w:rFonts w:ascii="Arial" w:eastAsia="Arial" w:hAnsi="Arial" w:cs="Arial"/>
          <w:i/>
          <w:color w:val="000000"/>
          <w:sz w:val="20"/>
        </w:rPr>
        <w:t>City of L.A. v. Cnty. of Kern</w:t>
      </w:r>
      <w:r>
        <w:rPr>
          <w:rFonts w:ascii="Arial" w:eastAsia="Arial" w:hAnsi="Arial" w:cs="Arial"/>
          <w:color w:val="000000"/>
          <w:sz w:val="20"/>
        </w:rPr>
        <w:t>, 581 F.3d 841, 845 (9th Cir. 2009).</w:t>
      </w:r>
    </w:p>
    <w:p w14:paraId="28071596" w14:textId="77777777" w:rsidR="00D041A2" w:rsidRDefault="00000000">
      <w:pPr>
        <w:pStyle w:val="Normal29"/>
        <w:widowControl w:val="0"/>
        <w:spacing w:before="200" w:line="260" w:lineRule="atLeast"/>
        <w:jc w:val="both"/>
      </w:pPr>
      <w:bookmarkStart w:id="3324" w:name="Bookmark_para_30_11"/>
      <w:bookmarkStart w:id="3325" w:name="Bookmark_I53RDT0J2N1PMY0010000400"/>
      <w:bookmarkStart w:id="3326" w:name="Bookmark_I7YN0M38K7B000412RH0006C"/>
      <w:bookmarkStart w:id="3327" w:name="Bookmark_I53RDT0J2N1PMY0030000400"/>
      <w:bookmarkStart w:id="3328" w:name="Bookmark_LNHNREFclscc6_18"/>
      <w:bookmarkEnd w:id="3324"/>
      <w:bookmarkEnd w:id="3325"/>
      <w:bookmarkEnd w:id="3326"/>
      <w:bookmarkEnd w:id="3327"/>
      <w:bookmarkEnd w:id="3328"/>
      <w:r>
        <w:rPr>
          <w:rFonts w:ascii="Arial" w:eastAsia="Arial" w:hAnsi="Arial" w:cs="Arial"/>
          <w:color w:val="000000"/>
          <w:sz w:val="20"/>
        </w:rPr>
        <w:t xml:space="preserve">The "irreducible constitutional minimum of standing" includes three elements: (1) injury in fact; (2) causation; and (3) redressability. </w:t>
      </w:r>
      <w:r>
        <w:rPr>
          <w:rFonts w:ascii="Arial" w:eastAsia="Arial" w:hAnsi="Arial" w:cs="Arial"/>
          <w:i/>
          <w:color w:val="000000"/>
          <w:sz w:val="20"/>
        </w:rPr>
        <w:t xml:space="preserve">See </w:t>
      </w:r>
      <w:bookmarkStart w:id="3329" w:name="Bookmark_I53RDT0H2D6MVP0050000400"/>
      <w:bookmarkEnd w:id="3329"/>
      <w:r>
        <w:rPr>
          <w:rFonts w:ascii="Arial" w:eastAsia="Arial" w:hAnsi="Arial" w:cs="Arial"/>
          <w:i/>
          <w:color w:val="000000"/>
          <w:sz w:val="20"/>
        </w:rPr>
        <w:t>Lujan v. Defenders of Wildlife</w:t>
      </w:r>
      <w:r>
        <w:rPr>
          <w:rFonts w:ascii="Arial" w:eastAsia="Arial" w:hAnsi="Arial" w:cs="Arial"/>
          <w:color w:val="000000"/>
          <w:sz w:val="20"/>
        </w:rPr>
        <w:t xml:space="preserve">, 504 U.S. 555, 560-61, 112 S. Ct. 2130, 119 L. Ed. 2d 351 (1992). </w:t>
      </w:r>
      <w:bookmarkStart w:id="3330" w:name="Bookmark_I53RDT0J2N1PMY0050000400"/>
      <w:bookmarkEnd w:id="3330"/>
      <w:r>
        <w:rPr>
          <w:rFonts w:ascii="Arial" w:eastAsia="Arial" w:hAnsi="Arial" w:cs="Arial"/>
          <w:color w:val="000000"/>
          <w:sz w:val="20"/>
        </w:rPr>
        <w:t xml:space="preserve">In </w:t>
      </w:r>
      <w:r>
        <w:rPr>
          <w:rFonts w:ascii="Arial" w:eastAsia="Arial" w:hAnsi="Arial" w:cs="Arial"/>
          <w:i/>
          <w:color w:val="000000"/>
          <w:sz w:val="20"/>
        </w:rPr>
        <w:t>Chapman</w:t>
      </w:r>
      <w:r>
        <w:rPr>
          <w:rFonts w:ascii="Arial" w:eastAsia="Arial" w:hAnsi="Arial" w:cs="Arial"/>
          <w:color w:val="000000"/>
          <w:sz w:val="20"/>
        </w:rPr>
        <w:t xml:space="preserve">, we explained that </w:t>
      </w:r>
      <w:bookmarkStart w:id="3331" w:name="Bookmark_LNHNREFclscc7_18"/>
      <w:bookmarkEnd w:id="3331"/>
      <w:r>
        <w:rPr>
          <w:rFonts w:ascii="Arial" w:eastAsia="Arial" w:hAnsi="Arial" w:cs="Arial"/>
          <w:color w:val="000000"/>
          <w:sz w:val="20"/>
        </w:rPr>
        <w:t xml:space="preserve">a disabled person suffers an injury in fact when he "encounter[s] a barrier" at a place of public accommodation "that deprives  [**10] him of full and equal enjoyment of the facility due to his particular disability." </w:t>
      </w:r>
      <w:bookmarkStart w:id="3332" w:name="Bookmark_I53RDT0J2N1PMY0020000400"/>
      <w:bookmarkEnd w:id="3332"/>
      <w:r>
        <w:rPr>
          <w:rFonts w:ascii="Arial" w:eastAsia="Arial" w:hAnsi="Arial" w:cs="Arial"/>
          <w:color w:val="000000"/>
          <w:sz w:val="20"/>
        </w:rPr>
        <w:t xml:space="preserve">631 F.3d at 944. </w:t>
      </w:r>
      <w:bookmarkStart w:id="3333" w:name="Bookmark_I53RDT0J2N1PMY0050000400_2"/>
      <w:bookmarkStart w:id="3334" w:name="Bookmark_I53RDT0J28T4MV0020000400"/>
      <w:bookmarkEnd w:id="3333"/>
      <w:bookmarkEnd w:id="3334"/>
      <w:r>
        <w:rPr>
          <w:rFonts w:ascii="Arial" w:eastAsia="Arial" w:hAnsi="Arial" w:cs="Arial"/>
          <w:color w:val="000000"/>
          <w:sz w:val="20"/>
        </w:rPr>
        <w:t xml:space="preserve">Chapman's complaint did not adequately allege such an injury in fact, however, because it merely included a lengthy list of alleged barriers without identifying which barriers Chapman had encountered or establishing how they had affected his specific disability. </w:t>
      </w:r>
      <w:bookmarkStart w:id="3335" w:name="Bookmark_I53RDT0J28T4MV0040000400"/>
      <w:bookmarkStart w:id="3336" w:name="Bookmark_I53RDT0J2N1PMY0040000400"/>
      <w:bookmarkEnd w:id="3335"/>
      <w:bookmarkEnd w:id="3336"/>
      <w:r>
        <w:rPr>
          <w:rFonts w:ascii="Arial" w:eastAsia="Arial" w:hAnsi="Arial" w:cs="Arial"/>
          <w:i/>
          <w:color w:val="000000"/>
          <w:sz w:val="20"/>
        </w:rPr>
        <w:t>Id</w:t>
      </w:r>
      <w:r>
        <w:rPr>
          <w:rFonts w:ascii="Arial" w:eastAsia="Arial" w:hAnsi="Arial" w:cs="Arial"/>
          <w:color w:val="000000"/>
          <w:sz w:val="20"/>
        </w:rPr>
        <w:t xml:space="preserve">. at 955. </w:t>
      </w:r>
      <w:bookmarkStart w:id="3337" w:name="Bookmark_I53RDT0J28T4MV0040000400_2"/>
      <w:bookmarkStart w:id="3338" w:name="Bookmark_I53RDT0J28T4MV0020000400_2"/>
      <w:bookmarkEnd w:id="3337"/>
      <w:bookmarkEnd w:id="3338"/>
      <w:r>
        <w:rPr>
          <w:rFonts w:ascii="Arial" w:eastAsia="Arial" w:hAnsi="Arial" w:cs="Arial"/>
          <w:color w:val="000000"/>
          <w:sz w:val="20"/>
        </w:rPr>
        <w:t xml:space="preserve">Because Chapman did not cure this jurisdictional defect later in the litigation, </w:t>
      </w:r>
      <w:bookmarkStart w:id="3339" w:name="Bookmark_I53RDT0J28T4MV0010000400"/>
      <w:bookmarkEnd w:id="3339"/>
      <w:r>
        <w:rPr>
          <w:rFonts w:ascii="Arial" w:eastAsia="Arial" w:hAnsi="Arial" w:cs="Arial"/>
          <w:i/>
          <w:color w:val="000000"/>
          <w:sz w:val="20"/>
        </w:rPr>
        <w:t>id</w:t>
      </w:r>
      <w:r>
        <w:rPr>
          <w:rFonts w:ascii="Arial" w:eastAsia="Arial" w:hAnsi="Arial" w:cs="Arial"/>
          <w:color w:val="000000"/>
          <w:sz w:val="20"/>
        </w:rPr>
        <w:t xml:space="preserve">. at 954, we vacated the judgment and remanded with instructions for the district court to dismiss the case for lack of jurisdiction. </w:t>
      </w:r>
      <w:r>
        <w:rPr>
          <w:rFonts w:ascii="Arial" w:eastAsia="Arial" w:hAnsi="Arial" w:cs="Arial"/>
          <w:i/>
          <w:color w:val="000000"/>
          <w:sz w:val="20"/>
        </w:rPr>
        <w:t xml:space="preserve">See </w:t>
      </w:r>
      <w:bookmarkStart w:id="3340" w:name="Bookmark_I53RDT0J28T4MV0030000400"/>
      <w:bookmarkEnd w:id="3340"/>
      <w:r>
        <w:rPr>
          <w:rFonts w:ascii="Arial" w:eastAsia="Arial" w:hAnsi="Arial" w:cs="Arial"/>
          <w:i/>
          <w:color w:val="000000"/>
          <w:sz w:val="20"/>
        </w:rPr>
        <w:t>id</w:t>
      </w:r>
      <w:r>
        <w:rPr>
          <w:rFonts w:ascii="Arial" w:eastAsia="Arial" w:hAnsi="Arial" w:cs="Arial"/>
          <w:color w:val="000000"/>
          <w:sz w:val="20"/>
        </w:rPr>
        <w:t>. at 955.</w:t>
      </w:r>
    </w:p>
    <w:p w14:paraId="32D3DF74" w14:textId="77777777" w:rsidR="00D041A2" w:rsidRDefault="00000000">
      <w:pPr>
        <w:pStyle w:val="Normal29"/>
        <w:widowControl w:val="0"/>
        <w:spacing w:before="200" w:line="260" w:lineRule="atLeast"/>
        <w:jc w:val="both"/>
      </w:pPr>
      <w:bookmarkStart w:id="3341" w:name="Bookmark_para_31_10"/>
      <w:bookmarkEnd w:id="3341"/>
      <w:r>
        <w:rPr>
          <w:rFonts w:ascii="Arial" w:eastAsia="Arial" w:hAnsi="Arial" w:cs="Arial"/>
          <w:color w:val="000000"/>
          <w:sz w:val="20"/>
        </w:rPr>
        <w:t xml:space="preserve">The jurisdictional allegations in Oliver's complaint are almost identical to those we found deficient in </w:t>
      </w:r>
      <w:r>
        <w:rPr>
          <w:rFonts w:ascii="Arial" w:eastAsia="Arial" w:hAnsi="Arial" w:cs="Arial"/>
          <w:i/>
          <w:color w:val="000000"/>
          <w:sz w:val="20"/>
        </w:rPr>
        <w:t>Chapman</w:t>
      </w:r>
      <w:r>
        <w:rPr>
          <w:rFonts w:ascii="Arial" w:eastAsia="Arial" w:hAnsi="Arial" w:cs="Arial"/>
          <w:color w:val="000000"/>
          <w:sz w:val="20"/>
        </w:rPr>
        <w:t xml:space="preserve">. </w:t>
      </w:r>
      <w:bookmarkStart w:id="3342" w:name="Bookmark_I53RDT0J2D6MVR0010000400"/>
      <w:bookmarkEnd w:id="3342"/>
      <w:r>
        <w:rPr>
          <w:rFonts w:ascii="Arial" w:eastAsia="Arial" w:hAnsi="Arial" w:cs="Arial"/>
          <w:color w:val="000000"/>
          <w:sz w:val="20"/>
        </w:rPr>
        <w:t xml:space="preserve">Although Oliver's complaint stated that he had encountered barriers at the store and provided a list of alleged barriers, it did not specify which (if any) Oliver had personally encountered or explain "how his disability was affected by [any of] them so as to deny him . . . 'full and equal' access" to the store. </w:t>
      </w:r>
      <w:bookmarkStart w:id="3343" w:name="Bookmark_I53RDT0J28T4MV0050000400"/>
      <w:bookmarkEnd w:id="3343"/>
      <w:r>
        <w:rPr>
          <w:rFonts w:ascii="Arial" w:eastAsia="Arial" w:hAnsi="Arial" w:cs="Arial"/>
          <w:i/>
          <w:color w:val="000000"/>
          <w:sz w:val="20"/>
        </w:rPr>
        <w:t>Id</w:t>
      </w:r>
      <w:r>
        <w:rPr>
          <w:rFonts w:ascii="Arial" w:eastAsia="Arial" w:hAnsi="Arial" w:cs="Arial"/>
          <w:color w:val="000000"/>
          <w:sz w:val="20"/>
        </w:rPr>
        <w:t xml:space="preserve">. at 954. Thus, Oliver's complaint, like the complaint in </w:t>
      </w:r>
      <w:r>
        <w:rPr>
          <w:rFonts w:ascii="Arial" w:eastAsia="Arial" w:hAnsi="Arial" w:cs="Arial"/>
          <w:i/>
          <w:color w:val="000000"/>
          <w:sz w:val="20"/>
        </w:rPr>
        <w:t>Chapman</w:t>
      </w:r>
      <w:r>
        <w:rPr>
          <w:rFonts w:ascii="Arial" w:eastAsia="Arial" w:hAnsi="Arial" w:cs="Arial"/>
          <w:color w:val="000000"/>
          <w:sz w:val="20"/>
        </w:rPr>
        <w:t xml:space="preserve">, was "jurisdictionally defective." </w:t>
      </w:r>
      <w:r>
        <w:rPr>
          <w:rFonts w:ascii="Arial" w:eastAsia="Arial" w:hAnsi="Arial" w:cs="Arial"/>
          <w:i/>
          <w:color w:val="000000"/>
          <w:sz w:val="20"/>
        </w:rPr>
        <w:t>Id</w:t>
      </w:r>
      <w:r>
        <w:rPr>
          <w:rFonts w:ascii="Arial" w:eastAsia="Arial" w:hAnsi="Arial" w:cs="Arial"/>
          <w:color w:val="000000"/>
          <w:sz w:val="20"/>
        </w:rPr>
        <w:t>.</w:t>
      </w:r>
    </w:p>
    <w:p w14:paraId="05303551" w14:textId="77777777" w:rsidR="00D041A2" w:rsidRDefault="00000000">
      <w:pPr>
        <w:pStyle w:val="Normal29"/>
        <w:widowControl w:val="0"/>
        <w:spacing w:before="200" w:line="260" w:lineRule="atLeast"/>
        <w:jc w:val="both"/>
      </w:pPr>
      <w:bookmarkStart w:id="3344" w:name="Bookmark_para_32_10"/>
      <w:bookmarkStart w:id="3345" w:name="Bookmark_I53RDT0J2D6MVR0030000400"/>
      <w:bookmarkEnd w:id="3344"/>
      <w:bookmarkEnd w:id="3345"/>
      <w:r>
        <w:rPr>
          <w:rFonts w:ascii="Arial" w:eastAsia="Arial" w:hAnsi="Arial" w:cs="Arial"/>
          <w:color w:val="000000"/>
          <w:sz w:val="20"/>
        </w:rPr>
        <w:t xml:space="preserve">Nevertheless, we need not dismiss Oliver's action. </w:t>
      </w:r>
      <w:r>
        <w:rPr>
          <w:rFonts w:ascii="Arial" w:eastAsia="Arial" w:hAnsi="Arial" w:cs="Arial"/>
          <w:i/>
          <w:color w:val="000000"/>
          <w:sz w:val="20"/>
        </w:rPr>
        <w:t>In Chapman</w:t>
      </w:r>
      <w:r>
        <w:rPr>
          <w:rFonts w:ascii="Arial" w:eastAsia="Arial" w:hAnsi="Arial" w:cs="Arial"/>
          <w:color w:val="000000"/>
          <w:sz w:val="20"/>
        </w:rPr>
        <w:t xml:space="preserve">,  [**11] not only were Chapman's jurisdictional allegations insufficient, but the necessary jurisdictional facts were absent from the record. </w:t>
      </w:r>
      <w:r>
        <w:rPr>
          <w:rFonts w:ascii="Arial" w:eastAsia="Arial" w:hAnsi="Arial" w:cs="Arial"/>
          <w:i/>
          <w:color w:val="000000"/>
          <w:sz w:val="20"/>
        </w:rPr>
        <w:t xml:space="preserve">See </w:t>
      </w:r>
      <w:bookmarkStart w:id="3346" w:name="Bookmark_I53RDT0J2D6MVR0020000400"/>
      <w:bookmarkEnd w:id="3346"/>
      <w:r>
        <w:rPr>
          <w:rFonts w:ascii="Arial" w:eastAsia="Arial" w:hAnsi="Arial" w:cs="Arial"/>
          <w:i/>
          <w:color w:val="000000"/>
          <w:sz w:val="20"/>
        </w:rPr>
        <w:t>Newman-Green, Inc. v. Alfonzo-Larrain</w:t>
      </w:r>
      <w:r>
        <w:rPr>
          <w:rFonts w:ascii="Arial" w:eastAsia="Arial" w:hAnsi="Arial" w:cs="Arial"/>
          <w:color w:val="000000"/>
          <w:sz w:val="20"/>
        </w:rPr>
        <w:t xml:space="preserve">, 490 U.S. 826, 832, 109 S. Ct. 2218, 104 L. Ed. 2d 893 (1989) (noting that </w:t>
      </w:r>
      <w:bookmarkStart w:id="3347" w:name="Bookmark_LNHNREFclscc8_18"/>
      <w:bookmarkEnd w:id="3347"/>
      <w:r>
        <w:rPr>
          <w:rFonts w:ascii="Arial" w:eastAsia="Arial" w:hAnsi="Arial" w:cs="Arial"/>
          <w:color w:val="000000"/>
          <w:sz w:val="20"/>
        </w:rPr>
        <w:t xml:space="preserve">appellate courts can "remedy inadequate jurisdictional allegations" under 28 U.S.C. § 1653, but not "defective jurisdictional facts"). </w:t>
      </w:r>
      <w:bookmarkStart w:id="3348" w:name="Bookmark_I7YN0M38SB6000412RH0006D"/>
      <w:bookmarkStart w:id="3349" w:name="Bookmark_I53RDT0J2D6MVR0050000400"/>
      <w:bookmarkEnd w:id="3348"/>
      <w:bookmarkEnd w:id="3349"/>
      <w:r>
        <w:rPr>
          <w:rFonts w:ascii="Arial" w:eastAsia="Arial" w:hAnsi="Arial" w:cs="Arial"/>
          <w:color w:val="000000"/>
          <w:sz w:val="20"/>
        </w:rPr>
        <w:t xml:space="preserve">In this case, by contrast, there is sufficient evidence in the record to establish that Oliver suffered an injury in fact. In support of his cross-motion for summary judgment, for example, Oliver filed a sworn declaration stating that he had visited the Food 4 Less in question at least ten times between October 2007 and August 2008, and that on one of these visits, he discovered that it was difficult to use the accessible stall in the men's restroom because the  [*908]  door lacked the proper hardware, the position of the grab bar behind the toilet made it difficult to transfer from his wheelchair to the toilet, and the soap dispenser and hand dryer were mounted too high for him to reach. </w:t>
      </w:r>
      <w:bookmarkStart w:id="3350" w:name="Bookmark_I53RDT0J2HM6C90020000400"/>
      <w:bookmarkEnd w:id="3350"/>
      <w:r>
        <w:rPr>
          <w:rFonts w:ascii="Arial" w:eastAsia="Arial" w:hAnsi="Arial" w:cs="Arial"/>
          <w:color w:val="000000"/>
          <w:sz w:val="20"/>
        </w:rPr>
        <w:t xml:space="preserve">These undisputed facts demonstrate that Oliver personally encountered barriers at the Food 4 Less store that impaired his full and equal enjoyment of the facility  [**12] due to his particular disability. </w:t>
      </w:r>
      <w:r>
        <w:rPr>
          <w:rFonts w:ascii="Arial" w:eastAsia="Arial" w:hAnsi="Arial" w:cs="Arial"/>
          <w:i/>
          <w:color w:val="000000"/>
          <w:sz w:val="20"/>
        </w:rPr>
        <w:t xml:space="preserve">See </w:t>
      </w:r>
      <w:bookmarkStart w:id="3351" w:name="Bookmark_I53RDT0J2D6MVR0040000400"/>
      <w:bookmarkEnd w:id="3351"/>
      <w:r>
        <w:rPr>
          <w:rFonts w:ascii="Arial" w:eastAsia="Arial" w:hAnsi="Arial" w:cs="Arial"/>
          <w:i/>
          <w:color w:val="000000"/>
          <w:sz w:val="20"/>
        </w:rPr>
        <w:t>Chapman</w:t>
      </w:r>
      <w:r>
        <w:rPr>
          <w:rFonts w:ascii="Arial" w:eastAsia="Arial" w:hAnsi="Arial" w:cs="Arial"/>
          <w:color w:val="000000"/>
          <w:sz w:val="20"/>
        </w:rPr>
        <w:t xml:space="preserve">, 631 F.3d at 955. </w:t>
      </w:r>
      <w:bookmarkStart w:id="3352" w:name="Bookmark_I53RDT0J2HM6C90020000400_2"/>
      <w:bookmarkStart w:id="3353" w:name="Bookmark_I53RDT0J2HM6C90040000400"/>
      <w:bookmarkEnd w:id="3352"/>
      <w:bookmarkEnd w:id="3353"/>
      <w:r>
        <w:rPr>
          <w:rFonts w:ascii="Arial" w:eastAsia="Arial" w:hAnsi="Arial" w:cs="Arial"/>
          <w:color w:val="000000"/>
          <w:sz w:val="20"/>
        </w:rPr>
        <w:t xml:space="preserve">Therefore, under the standard we articulated in </w:t>
      </w:r>
      <w:r>
        <w:rPr>
          <w:rFonts w:ascii="Arial" w:eastAsia="Arial" w:hAnsi="Arial" w:cs="Arial"/>
          <w:i/>
          <w:color w:val="000000"/>
          <w:sz w:val="20"/>
        </w:rPr>
        <w:t>Chapman</w:t>
      </w:r>
      <w:r>
        <w:rPr>
          <w:rFonts w:ascii="Arial" w:eastAsia="Arial" w:hAnsi="Arial" w:cs="Arial"/>
          <w:color w:val="000000"/>
          <w:sz w:val="20"/>
        </w:rPr>
        <w:t xml:space="preserve">, Oliver had standing to sue as to those barriers as well as all "other barriers related to his disability." </w:t>
      </w:r>
      <w:bookmarkStart w:id="3354" w:name="Bookmark_I53RDT0J2HM6C90010000400"/>
      <w:bookmarkEnd w:id="3354"/>
      <w:r>
        <w:rPr>
          <w:rFonts w:ascii="Arial" w:eastAsia="Arial" w:hAnsi="Arial" w:cs="Arial"/>
          <w:i/>
          <w:color w:val="000000"/>
          <w:sz w:val="20"/>
        </w:rPr>
        <w:t>Id</w:t>
      </w:r>
      <w:r>
        <w:rPr>
          <w:rFonts w:ascii="Arial" w:eastAsia="Arial" w:hAnsi="Arial" w:cs="Arial"/>
          <w:color w:val="000000"/>
          <w:sz w:val="20"/>
        </w:rPr>
        <w:t xml:space="preserve">. at 944. </w:t>
      </w:r>
      <w:bookmarkStart w:id="3355" w:name="Bookmark_I53RDT0J2HM6C90040000400_2"/>
      <w:bookmarkEnd w:id="3355"/>
      <w:r>
        <w:rPr>
          <w:rFonts w:ascii="Arial" w:eastAsia="Arial" w:hAnsi="Arial" w:cs="Arial"/>
          <w:color w:val="000000"/>
          <w:sz w:val="20"/>
        </w:rPr>
        <w:t xml:space="preserve">Considering that Oliver filed his defective complaint before we issued our decision in </w:t>
      </w:r>
      <w:r>
        <w:rPr>
          <w:rFonts w:ascii="Arial" w:eastAsia="Arial" w:hAnsi="Arial" w:cs="Arial"/>
          <w:i/>
          <w:color w:val="000000"/>
          <w:sz w:val="20"/>
        </w:rPr>
        <w:t>Chapman</w:t>
      </w:r>
      <w:r>
        <w:rPr>
          <w:rFonts w:ascii="Arial" w:eastAsia="Arial" w:hAnsi="Arial" w:cs="Arial"/>
          <w:color w:val="000000"/>
          <w:sz w:val="20"/>
        </w:rPr>
        <w:t xml:space="preserve">, we see little value in vacating the district court's judgment and remanding this case for dismissal. We therefore exercise our discretion under 28 U.S.C. § 1653 to deem the complaint's defective allegations of jurisdiction amended and the jurisdictional defect cured, </w:t>
      </w:r>
      <w:r>
        <w:rPr>
          <w:rFonts w:ascii="Arial" w:eastAsia="Arial" w:hAnsi="Arial" w:cs="Arial"/>
          <w:i/>
          <w:color w:val="000000"/>
          <w:sz w:val="20"/>
        </w:rPr>
        <w:t xml:space="preserve">see </w:t>
      </w:r>
      <w:bookmarkStart w:id="3356" w:name="Bookmark_I53RDT0J2HM6C90030000400"/>
      <w:bookmarkEnd w:id="3356"/>
      <w:r>
        <w:rPr>
          <w:rFonts w:ascii="Arial" w:eastAsia="Arial" w:hAnsi="Arial" w:cs="Arial"/>
          <w:i/>
          <w:color w:val="000000"/>
          <w:sz w:val="20"/>
        </w:rPr>
        <w:t>Blue Ridge Ins. Co. v. Stanewich</w:t>
      </w:r>
      <w:r>
        <w:rPr>
          <w:rFonts w:ascii="Arial" w:eastAsia="Arial" w:hAnsi="Arial" w:cs="Arial"/>
          <w:color w:val="000000"/>
          <w:sz w:val="20"/>
        </w:rPr>
        <w:t>, 142 F.3d 1145, 1148 (9th Cir. 1998), and proceed to consider the merits of Oliver's appeal.</w:t>
      </w:r>
    </w:p>
    <w:p w14:paraId="257A258A" w14:textId="77777777" w:rsidR="00D041A2" w:rsidRDefault="00000000">
      <w:pPr>
        <w:pStyle w:val="Normal29"/>
        <w:widowControl w:val="0"/>
        <w:spacing w:before="120" w:line="260" w:lineRule="atLeast"/>
      </w:pPr>
      <w:r>
        <w:rPr>
          <w:rFonts w:ascii="Arial" w:eastAsia="Arial" w:hAnsi="Arial" w:cs="Arial"/>
          <w:color w:val="000000"/>
          <w:sz w:val="20"/>
        </w:rPr>
        <w:t>B</w:t>
      </w:r>
    </w:p>
    <w:p w14:paraId="59FEF30D" w14:textId="77777777" w:rsidR="00D041A2" w:rsidRDefault="00000000">
      <w:pPr>
        <w:pStyle w:val="Normal29"/>
        <w:widowControl w:val="0"/>
        <w:spacing w:before="200" w:line="260" w:lineRule="atLeast"/>
        <w:jc w:val="both"/>
      </w:pPr>
      <w:bookmarkStart w:id="3357" w:name="Bookmark_para_33_10"/>
      <w:bookmarkStart w:id="3358" w:name="Bookmark_I53RDT0J2HM6CB0010000400"/>
      <w:bookmarkEnd w:id="3357"/>
      <w:bookmarkEnd w:id="3358"/>
      <w:r>
        <w:rPr>
          <w:rFonts w:ascii="Arial" w:eastAsia="Arial" w:hAnsi="Arial" w:cs="Arial"/>
          <w:color w:val="000000"/>
          <w:sz w:val="20"/>
        </w:rPr>
        <w:t xml:space="preserve">We now turn to Oliver's argument that the district court erred in refusing to consider the barriers that were identified in his expert report but not alleged in his complaint. </w:t>
      </w:r>
      <w:bookmarkStart w:id="3359" w:name="Bookmark_LNHNREFclscc9_18"/>
      <w:bookmarkEnd w:id="3359"/>
      <w:r>
        <w:rPr>
          <w:rFonts w:ascii="Arial" w:eastAsia="Arial" w:hAnsi="Arial" w:cs="Arial"/>
          <w:color w:val="000000"/>
          <w:sz w:val="20"/>
        </w:rPr>
        <w:t xml:space="preserve">We review de novo whether the district court erred in interpreting Federal Rule of Civil Procedure 8 as precluding consideration of these additional barriers. </w:t>
      </w:r>
      <w:bookmarkStart w:id="3360" w:name="Bookmark_I53RDT0J2HM6C90050000400"/>
      <w:bookmarkEnd w:id="3360"/>
      <w:r>
        <w:rPr>
          <w:rFonts w:ascii="Arial" w:eastAsia="Arial" w:hAnsi="Arial" w:cs="Arial"/>
          <w:i/>
          <w:color w:val="000000"/>
          <w:sz w:val="20"/>
        </w:rPr>
        <w:t>In re Dominguez</w:t>
      </w:r>
      <w:r>
        <w:rPr>
          <w:rFonts w:ascii="Arial" w:eastAsia="Arial" w:hAnsi="Arial" w:cs="Arial"/>
          <w:color w:val="000000"/>
          <w:sz w:val="20"/>
        </w:rPr>
        <w:t>, 51 F.3d 1502, 1508 n.5 (9th Cir. 1995).</w:t>
      </w:r>
    </w:p>
    <w:p w14:paraId="24BF2459" w14:textId="77777777" w:rsidR="00D041A2" w:rsidRDefault="00000000">
      <w:pPr>
        <w:pStyle w:val="Normal29"/>
        <w:widowControl w:val="0"/>
        <w:spacing w:before="200" w:line="260" w:lineRule="atLeast"/>
        <w:jc w:val="both"/>
      </w:pPr>
      <w:bookmarkStart w:id="3361" w:name="Bookmark_para_34_10"/>
      <w:bookmarkStart w:id="3362" w:name="Bookmark_I53RDT0J2HM6CB0030000400"/>
      <w:bookmarkStart w:id="3363" w:name="Bookmark_LNHNREFclscc10_16"/>
      <w:bookmarkEnd w:id="3361"/>
      <w:bookmarkEnd w:id="3362"/>
      <w:bookmarkEnd w:id="3363"/>
      <w:r>
        <w:rPr>
          <w:rFonts w:ascii="Arial" w:eastAsia="Arial" w:hAnsi="Arial" w:cs="Arial"/>
          <w:color w:val="000000"/>
          <w:sz w:val="20"/>
        </w:rPr>
        <w:t xml:space="preserve">Rule 8 states that a civil complaint "must contain . . . a short and plain  [**13] statement of the claim showing that the pleader is entitled to relief." Fed. R. Civ. P. 8(a)(2). </w:t>
      </w:r>
      <w:bookmarkStart w:id="3364" w:name="Bookmark_I53RDT0J2N1PN00020000400"/>
      <w:bookmarkEnd w:id="3364"/>
      <w:r>
        <w:rPr>
          <w:rFonts w:ascii="Arial" w:eastAsia="Arial" w:hAnsi="Arial" w:cs="Arial"/>
          <w:color w:val="000000"/>
          <w:sz w:val="20"/>
        </w:rPr>
        <w:t xml:space="preserve">The Supreme Court has interpreted the "short and plain statement" requirement to mean that the complaint must provide "the defendant [with] fair notice of what the . . . claim is and the grounds upon which it rests." </w:t>
      </w:r>
      <w:bookmarkStart w:id="3365" w:name="Bookmark_I53RDT0J2HM6CB0020000400"/>
      <w:bookmarkEnd w:id="3365"/>
      <w:r>
        <w:rPr>
          <w:rFonts w:ascii="Arial" w:eastAsia="Arial" w:hAnsi="Arial" w:cs="Arial"/>
          <w:i/>
          <w:color w:val="000000"/>
          <w:sz w:val="20"/>
        </w:rPr>
        <w:t>Bell Atlantic Corp. v. Twombly</w:t>
      </w:r>
      <w:r>
        <w:rPr>
          <w:rFonts w:ascii="Arial" w:eastAsia="Arial" w:hAnsi="Arial" w:cs="Arial"/>
          <w:color w:val="000000"/>
          <w:sz w:val="20"/>
        </w:rPr>
        <w:t xml:space="preserve">, 550 U.S. 544, 555, 127 S. Ct. 1955, 167 L. Ed. 2d 929 (2007) (quoting </w:t>
      </w:r>
      <w:bookmarkStart w:id="3366" w:name="Bookmark_I53RDT0J2HM6CB0040000400"/>
      <w:bookmarkEnd w:id="3366"/>
      <w:r>
        <w:rPr>
          <w:rFonts w:ascii="Arial" w:eastAsia="Arial" w:hAnsi="Arial" w:cs="Arial"/>
          <w:i/>
          <w:color w:val="000000"/>
          <w:sz w:val="20"/>
        </w:rPr>
        <w:t>Conley v. Gibson</w:t>
      </w:r>
      <w:r>
        <w:rPr>
          <w:rFonts w:ascii="Arial" w:eastAsia="Arial" w:hAnsi="Arial" w:cs="Arial"/>
          <w:color w:val="000000"/>
          <w:sz w:val="20"/>
        </w:rPr>
        <w:t xml:space="preserve">, 355 U.S. 41, 47, 78 S. Ct. 99, 2 L. Ed. 2d 80 (1957)). Where the claim is one of discrimination under the ADA due to the presence of architectural barriers at a place of public accommodation, we have held that the relevant "grounds" are the allegedly non-compliant architectural features at the facility. </w:t>
      </w:r>
      <w:bookmarkStart w:id="3367" w:name="Bookmark_I53RDT0J2N1PN00020000400_2"/>
      <w:bookmarkStart w:id="3368" w:name="Bookmark_I53RDT0J2N1PN00010000400"/>
      <w:bookmarkEnd w:id="3367"/>
      <w:bookmarkEnd w:id="3368"/>
      <w:r>
        <w:rPr>
          <w:rFonts w:ascii="Arial" w:eastAsia="Arial" w:hAnsi="Arial" w:cs="Arial"/>
          <w:i/>
          <w:color w:val="000000"/>
          <w:sz w:val="20"/>
        </w:rPr>
        <w:t>Pickern v. Pier 1 Imports (U.S.), Inc</w:t>
      </w:r>
      <w:r>
        <w:rPr>
          <w:rFonts w:ascii="Arial" w:eastAsia="Arial" w:hAnsi="Arial" w:cs="Arial"/>
          <w:color w:val="000000"/>
          <w:sz w:val="20"/>
        </w:rPr>
        <w:t xml:space="preserve">., 457 F.3d 963, 968 (9th Cir. 2006). Thus, in order for the complaint to provide fair notice to the defendant, each such feature must be alleged in the complaint. </w:t>
      </w:r>
      <w:r>
        <w:rPr>
          <w:rFonts w:ascii="Arial" w:eastAsia="Arial" w:hAnsi="Arial" w:cs="Arial"/>
          <w:i/>
          <w:color w:val="000000"/>
          <w:sz w:val="20"/>
        </w:rPr>
        <w:t>See id</w:t>
      </w:r>
      <w:r>
        <w:rPr>
          <w:rFonts w:ascii="Arial" w:eastAsia="Arial" w:hAnsi="Arial" w:cs="Arial"/>
          <w:color w:val="000000"/>
          <w:sz w:val="20"/>
        </w:rPr>
        <w:t>.</w:t>
      </w:r>
    </w:p>
    <w:p w14:paraId="53E23004" w14:textId="77777777" w:rsidR="00D041A2" w:rsidRDefault="00000000">
      <w:pPr>
        <w:pStyle w:val="Normal29"/>
        <w:widowControl w:val="0"/>
        <w:spacing w:before="200" w:line="260" w:lineRule="atLeast"/>
        <w:jc w:val="both"/>
      </w:pPr>
      <w:bookmarkStart w:id="3369" w:name="Bookmark_para_35_10"/>
      <w:bookmarkStart w:id="3370" w:name="Bookmark_I53RDT0J2N1PN00040000400"/>
      <w:bookmarkEnd w:id="3369"/>
      <w:bookmarkEnd w:id="3370"/>
      <w:r>
        <w:rPr>
          <w:rFonts w:ascii="Arial" w:eastAsia="Arial" w:hAnsi="Arial" w:cs="Arial"/>
          <w:color w:val="000000"/>
          <w:sz w:val="20"/>
        </w:rPr>
        <w:t xml:space="preserve">In </w:t>
      </w:r>
      <w:r>
        <w:rPr>
          <w:rFonts w:ascii="Arial" w:eastAsia="Arial" w:hAnsi="Arial" w:cs="Arial"/>
          <w:i/>
          <w:color w:val="000000"/>
          <w:sz w:val="20"/>
        </w:rPr>
        <w:t>Pickern</w:t>
      </w:r>
      <w:r>
        <w:rPr>
          <w:rFonts w:ascii="Arial" w:eastAsia="Arial" w:hAnsi="Arial" w:cs="Arial"/>
          <w:color w:val="000000"/>
          <w:sz w:val="20"/>
        </w:rPr>
        <w:t xml:space="preserve">, for example, the plaintiff's complaint listed a number of barriers that were "illustrative of the kinds of barriers a disabled person may confront," but did not allege that any of those barriers existed at the facility in question. </w:t>
      </w:r>
      <w:bookmarkStart w:id="3371" w:name="Bookmark_I53RDT0J2HM6CC0010000400"/>
      <w:bookmarkStart w:id="3372" w:name="Bookmark_I53RDT0J2N1PN00030000400"/>
      <w:bookmarkEnd w:id="3371"/>
      <w:bookmarkEnd w:id="3372"/>
      <w:r>
        <w:rPr>
          <w:rFonts w:ascii="Arial" w:eastAsia="Arial" w:hAnsi="Arial" w:cs="Arial"/>
          <w:i/>
          <w:color w:val="000000"/>
          <w:sz w:val="20"/>
        </w:rPr>
        <w:t>Id</w:t>
      </w:r>
      <w:r>
        <w:rPr>
          <w:rFonts w:ascii="Arial" w:eastAsia="Arial" w:hAnsi="Arial" w:cs="Arial"/>
          <w:color w:val="000000"/>
          <w:sz w:val="20"/>
        </w:rPr>
        <w:t xml:space="preserve">. at 968-69. We held that such a complaint does not provide a defendant with  [**14] fair notice concerning the grounds upon which the plaintiff bases the claim of discrimination because it does not identify the specific barriers for which the plaintiff seeks injunctive relief. </w:t>
      </w:r>
      <w:bookmarkStart w:id="3373" w:name="Bookmark_I53RDT0J2HM6CC0010000400_2"/>
      <w:bookmarkStart w:id="3374" w:name="Bookmark_I53RDT0J2N1PN00050000400"/>
      <w:bookmarkEnd w:id="3373"/>
      <w:bookmarkEnd w:id="3374"/>
      <w:r>
        <w:rPr>
          <w:rFonts w:ascii="Arial" w:eastAsia="Arial" w:hAnsi="Arial" w:cs="Arial"/>
          <w:i/>
          <w:color w:val="000000"/>
          <w:sz w:val="20"/>
        </w:rPr>
        <w:t>Id</w:t>
      </w:r>
      <w:r>
        <w:rPr>
          <w:rFonts w:ascii="Arial" w:eastAsia="Arial" w:hAnsi="Arial" w:cs="Arial"/>
          <w:color w:val="000000"/>
          <w:sz w:val="20"/>
        </w:rPr>
        <w:t xml:space="preserve">. at 969. Nor was the plaintiff's expert report identifying the barriers at the facility sufficient to constitute "fair notice" under Rule 8 because it did not specify "what allegations [the plaintiff] was including in the suit" and was "not filed and served until after the discovery deadline." </w:t>
      </w:r>
      <w:r>
        <w:rPr>
          <w:rFonts w:ascii="Arial" w:eastAsia="Arial" w:hAnsi="Arial" w:cs="Arial"/>
          <w:i/>
          <w:color w:val="000000"/>
          <w:sz w:val="20"/>
        </w:rPr>
        <w:t>Id</w:t>
      </w:r>
      <w:r>
        <w:rPr>
          <w:rFonts w:ascii="Arial" w:eastAsia="Arial" w:hAnsi="Arial" w:cs="Arial"/>
          <w:color w:val="000000"/>
          <w:sz w:val="20"/>
        </w:rPr>
        <w:t>.</w:t>
      </w:r>
    </w:p>
    <w:p w14:paraId="2758E072" w14:textId="77777777" w:rsidR="00D041A2" w:rsidRDefault="00000000">
      <w:pPr>
        <w:pStyle w:val="Normal29"/>
        <w:widowControl w:val="0"/>
        <w:spacing w:before="200" w:line="260" w:lineRule="atLeast"/>
        <w:jc w:val="both"/>
      </w:pPr>
      <w:bookmarkStart w:id="3375" w:name="Bookmark_para_36_9"/>
      <w:bookmarkStart w:id="3376" w:name="Bookmark_I7YN0M394HX000412RH0006G"/>
      <w:bookmarkStart w:id="3377" w:name="Bookmark_I53RDT0J2HM6CC0030000400"/>
      <w:bookmarkEnd w:id="3375"/>
      <w:bookmarkEnd w:id="3376"/>
      <w:bookmarkEnd w:id="3377"/>
      <w:r>
        <w:rPr>
          <w:rFonts w:ascii="Arial" w:eastAsia="Arial" w:hAnsi="Arial" w:cs="Arial"/>
          <w:color w:val="000000"/>
          <w:sz w:val="20"/>
        </w:rPr>
        <w:t>Applying the principles of</w:t>
      </w:r>
      <w:bookmarkStart w:id="3378" w:name="Bookmark_I53RDT0J2HM6CC0020000400"/>
      <w:bookmarkEnd w:id="3378"/>
      <w:r>
        <w:rPr>
          <w:rFonts w:ascii="Arial" w:eastAsia="Arial" w:hAnsi="Arial" w:cs="Arial"/>
          <w:color w:val="000000"/>
          <w:sz w:val="20"/>
        </w:rPr>
        <w:t xml:space="preserve"> </w:t>
      </w:r>
      <w:r>
        <w:rPr>
          <w:rFonts w:ascii="Arial" w:eastAsia="Arial" w:hAnsi="Arial" w:cs="Arial"/>
          <w:i/>
          <w:color w:val="000000"/>
          <w:sz w:val="20"/>
        </w:rPr>
        <w:t>Pickern</w:t>
      </w:r>
      <w:r>
        <w:rPr>
          <w:rFonts w:ascii="Arial" w:eastAsia="Arial" w:hAnsi="Arial" w:cs="Arial"/>
          <w:color w:val="000000"/>
          <w:sz w:val="20"/>
        </w:rPr>
        <w:t xml:space="preserve"> to this case, Oliver did not give the defendants fair notice that the barriers listed for the first time in the expert report were grounds for his claim of discrimination under the ADA. Oliver attempts to distinguish </w:t>
      </w:r>
      <w:r>
        <w:rPr>
          <w:rFonts w:ascii="Arial" w:eastAsia="Arial" w:hAnsi="Arial" w:cs="Arial"/>
          <w:i/>
          <w:color w:val="000000"/>
          <w:sz w:val="20"/>
        </w:rPr>
        <w:t>Pickern</w:t>
      </w:r>
      <w:r>
        <w:rPr>
          <w:rFonts w:ascii="Arial" w:eastAsia="Arial" w:hAnsi="Arial" w:cs="Arial"/>
          <w:color w:val="000000"/>
          <w:sz w:val="20"/>
        </w:rPr>
        <w:t xml:space="preserve"> on the basis that Oliver filed his expert report before the close of discovery, unlike the plaintiff in </w:t>
      </w:r>
      <w:r>
        <w:rPr>
          <w:rFonts w:ascii="Arial" w:eastAsia="Arial" w:hAnsi="Arial" w:cs="Arial"/>
          <w:i/>
          <w:color w:val="000000"/>
          <w:sz w:val="20"/>
        </w:rPr>
        <w:t>Pickern</w:t>
      </w:r>
      <w:r>
        <w:rPr>
          <w:rFonts w:ascii="Arial" w:eastAsia="Arial" w:hAnsi="Arial" w:cs="Arial"/>
          <w:color w:val="000000"/>
          <w:sz w:val="20"/>
        </w:rPr>
        <w:t xml:space="preserve">. This distinction is unavailing. The issue underlying </w:t>
      </w:r>
      <w:r>
        <w:rPr>
          <w:rFonts w:ascii="Arial" w:eastAsia="Arial" w:hAnsi="Arial" w:cs="Arial"/>
          <w:i/>
          <w:color w:val="000000"/>
          <w:sz w:val="20"/>
        </w:rPr>
        <w:t>Pickern</w:t>
      </w:r>
      <w:r>
        <w:rPr>
          <w:rFonts w:ascii="Arial" w:eastAsia="Arial" w:hAnsi="Arial" w:cs="Arial"/>
          <w:color w:val="000000"/>
          <w:sz w:val="20"/>
        </w:rPr>
        <w:t xml:space="preserve">, as in this case, is  [*909]  whether the defendant had fair notice as required by Rule 8. </w:t>
      </w:r>
      <w:bookmarkStart w:id="3379" w:name="Bookmark_LNHNREFclscc11_15"/>
      <w:bookmarkEnd w:id="3379"/>
      <w:r>
        <w:rPr>
          <w:rFonts w:ascii="Arial" w:eastAsia="Arial" w:hAnsi="Arial" w:cs="Arial"/>
          <w:color w:val="000000"/>
          <w:sz w:val="20"/>
        </w:rPr>
        <w:t xml:space="preserve">In general, only disclosures of barriers in a properly pleaded complaint can provide such notice; a disclosure made during discovery, including in an expert report, would rarely be an adequate  [**15] substitute. </w:t>
      </w:r>
      <w:bookmarkStart w:id="3380" w:name="Bookmark_I53RDT0J2HM6CC0050000400"/>
      <w:bookmarkEnd w:id="3380"/>
      <w:r>
        <w:rPr>
          <w:rFonts w:ascii="Arial" w:eastAsia="Arial" w:hAnsi="Arial" w:cs="Arial"/>
          <w:color w:val="000000"/>
          <w:sz w:val="20"/>
        </w:rPr>
        <w:t xml:space="preserve">Here, for example, Oliver's expert report included the allegation that the exterior public telephone at the Food 4 Less store lacked an International Symbol of Accessibility, but Oliver did not seek summary judgment regarding this alleged barrier. Thus, Ralphs and Cypress Creek would have had to guess which of the items listed in the expert report were grounds for Oliver's claim, and which, like the exterior public phone, were not. Further, an expert report is typically filed later in the litigation process, after the defendant has already taken steps to investigate and defend against the claims in the complaint. </w:t>
      </w:r>
      <w:r>
        <w:rPr>
          <w:rFonts w:ascii="Arial" w:eastAsia="Arial" w:hAnsi="Arial" w:cs="Arial"/>
          <w:i/>
          <w:color w:val="000000"/>
          <w:sz w:val="20"/>
        </w:rPr>
        <w:t xml:space="preserve">Cf. </w:t>
      </w:r>
      <w:bookmarkStart w:id="3381" w:name="Bookmark_I53RDT0J2HM6CC0040000400"/>
      <w:bookmarkEnd w:id="3381"/>
      <w:r>
        <w:rPr>
          <w:rFonts w:ascii="Arial" w:eastAsia="Arial" w:hAnsi="Arial" w:cs="Arial"/>
          <w:i/>
          <w:color w:val="000000"/>
          <w:sz w:val="20"/>
        </w:rPr>
        <w:t>Ascon Properties, Inc. v. Mobil Oil Co</w:t>
      </w:r>
      <w:r>
        <w:rPr>
          <w:rFonts w:ascii="Arial" w:eastAsia="Arial" w:hAnsi="Arial" w:cs="Arial"/>
          <w:color w:val="000000"/>
          <w:sz w:val="20"/>
        </w:rPr>
        <w:t>., 866 F.2d 1149, 1161 (9th Cir. 1989) (affirming the district court's denial of leave to amend a complaint because allowing an amendment "at this late date" would prejudice the defendant, who had "already incurred substantial litigation costs" in investigating and defending against the plaintiff's original theory of the case).</w:t>
      </w:r>
    </w:p>
    <w:p w14:paraId="17A74AD6" w14:textId="77777777" w:rsidR="00D041A2" w:rsidRDefault="00000000">
      <w:pPr>
        <w:pStyle w:val="Normal29"/>
        <w:widowControl w:val="0"/>
        <w:spacing w:before="200" w:line="260" w:lineRule="atLeast"/>
        <w:jc w:val="both"/>
      </w:pPr>
      <w:bookmarkStart w:id="3382" w:name="Bookmark_para_37_8"/>
      <w:bookmarkStart w:id="3383" w:name="Bookmark_I7YN0M38YF2000412RH0006F"/>
      <w:bookmarkStart w:id="3384" w:name="Bookmark_I53RDT0J2N1PN10020000400"/>
      <w:bookmarkEnd w:id="3382"/>
      <w:bookmarkEnd w:id="3383"/>
      <w:bookmarkEnd w:id="3384"/>
      <w:r>
        <w:rPr>
          <w:rFonts w:ascii="Arial" w:eastAsia="Arial" w:hAnsi="Arial" w:cs="Arial"/>
          <w:color w:val="000000"/>
          <w:sz w:val="20"/>
        </w:rPr>
        <w:t xml:space="preserve">Notwithstanding </w:t>
      </w:r>
      <w:r>
        <w:rPr>
          <w:rFonts w:ascii="Arial" w:eastAsia="Arial" w:hAnsi="Arial" w:cs="Arial"/>
          <w:i/>
          <w:color w:val="000000"/>
          <w:sz w:val="20"/>
        </w:rPr>
        <w:t>Pickern</w:t>
      </w:r>
      <w:r>
        <w:rPr>
          <w:rFonts w:ascii="Arial" w:eastAsia="Arial" w:hAnsi="Arial" w:cs="Arial"/>
          <w:color w:val="000000"/>
          <w:sz w:val="20"/>
        </w:rPr>
        <w:t xml:space="preserve">, Oliver argues that the complaint need not give the defendant notice of every barrier for which the plaintiff seeks relief, because a disabled plaintiff who has encountered  [**16] at least one barrier at a facility can sue to remove all the barriers at the facility related to his specific disability. </w:t>
      </w:r>
      <w:r>
        <w:rPr>
          <w:rFonts w:ascii="Arial" w:eastAsia="Arial" w:hAnsi="Arial" w:cs="Arial"/>
          <w:i/>
          <w:color w:val="000000"/>
          <w:sz w:val="20"/>
        </w:rPr>
        <w:t xml:space="preserve">See </w:t>
      </w:r>
      <w:bookmarkStart w:id="3385" w:name="Bookmark_I53RDT0J2N1PN10010000400"/>
      <w:bookmarkEnd w:id="3385"/>
      <w:r>
        <w:rPr>
          <w:rFonts w:ascii="Arial" w:eastAsia="Arial" w:hAnsi="Arial" w:cs="Arial"/>
          <w:i/>
          <w:color w:val="000000"/>
          <w:sz w:val="20"/>
        </w:rPr>
        <w:t>Doran v. 7-Eleven</w:t>
      </w:r>
      <w:r>
        <w:rPr>
          <w:rFonts w:ascii="Arial" w:eastAsia="Arial" w:hAnsi="Arial" w:cs="Arial"/>
          <w:color w:val="000000"/>
          <w:sz w:val="20"/>
        </w:rPr>
        <w:t xml:space="preserve">, 524 F.3d 1034, 1047 (9th Cir. 2008). But </w:t>
      </w:r>
      <w:r>
        <w:rPr>
          <w:rFonts w:ascii="Arial" w:eastAsia="Arial" w:hAnsi="Arial" w:cs="Arial"/>
          <w:i/>
          <w:color w:val="000000"/>
          <w:sz w:val="20"/>
        </w:rPr>
        <w:t>Doran</w:t>
      </w:r>
      <w:r>
        <w:rPr>
          <w:rFonts w:ascii="Arial" w:eastAsia="Arial" w:hAnsi="Arial" w:cs="Arial"/>
          <w:color w:val="000000"/>
          <w:sz w:val="20"/>
        </w:rPr>
        <w:t xml:space="preserve"> does not help Oliver, because it speaks only to constitutional standing; it sheds no light on what a plaintiff's complaint must include to comply with the fair notice requirement of Rule 8.</w:t>
      </w:r>
    </w:p>
    <w:p w14:paraId="07EEA9EB" w14:textId="77777777" w:rsidR="00D041A2" w:rsidRDefault="00000000">
      <w:pPr>
        <w:pStyle w:val="Normal29"/>
        <w:widowControl w:val="0"/>
        <w:spacing w:before="200" w:line="260" w:lineRule="atLeast"/>
        <w:jc w:val="both"/>
      </w:pPr>
      <w:bookmarkStart w:id="3386" w:name="Bookmark_para_38_8"/>
      <w:bookmarkEnd w:id="3386"/>
      <w:r>
        <w:rPr>
          <w:rFonts w:ascii="Arial" w:eastAsia="Arial" w:hAnsi="Arial" w:cs="Arial"/>
          <w:color w:val="000000"/>
          <w:sz w:val="20"/>
        </w:rPr>
        <w:t xml:space="preserve">In sum, </w:t>
      </w:r>
      <w:bookmarkStart w:id="3387" w:name="Bookmark_LNHNREFclscc12_14"/>
      <w:bookmarkEnd w:id="3387"/>
      <w:r>
        <w:rPr>
          <w:rFonts w:ascii="Arial" w:eastAsia="Arial" w:hAnsi="Arial" w:cs="Arial"/>
          <w:color w:val="000000"/>
          <w:sz w:val="20"/>
        </w:rPr>
        <w:t>for purposes of Rule 8, a plaintiff must identify the barriers that constitute the grounds for a claim of discrimination under the ADA in the complaint itself; a defendant is not deemed to have fair notice of barriers identified elsewhere. Therefore, the district court did not err in refusing to consider the barriers that Oliver identified only in his expert report.</w:t>
      </w:r>
    </w:p>
    <w:p w14:paraId="69F95C5C" w14:textId="77777777" w:rsidR="00D041A2" w:rsidRDefault="00000000">
      <w:pPr>
        <w:pStyle w:val="Normal29"/>
        <w:widowControl w:val="0"/>
        <w:spacing w:before="120" w:line="260" w:lineRule="atLeast"/>
      </w:pPr>
      <w:r>
        <w:rPr>
          <w:rFonts w:ascii="Arial" w:eastAsia="Arial" w:hAnsi="Arial" w:cs="Arial"/>
          <w:color w:val="000000"/>
          <w:sz w:val="20"/>
        </w:rPr>
        <w:t>C</w:t>
      </w:r>
    </w:p>
    <w:p w14:paraId="1E5913E9" w14:textId="77777777" w:rsidR="00D041A2" w:rsidRDefault="00000000">
      <w:pPr>
        <w:pStyle w:val="Normal29"/>
        <w:widowControl w:val="0"/>
        <w:spacing w:before="200" w:line="260" w:lineRule="atLeast"/>
        <w:jc w:val="both"/>
      </w:pPr>
      <w:bookmarkStart w:id="3388" w:name="Bookmark_para_39_8"/>
      <w:bookmarkStart w:id="3389" w:name="Bookmark_I53RDT0J2N1PN10040000400"/>
      <w:bookmarkEnd w:id="3388"/>
      <w:bookmarkEnd w:id="3389"/>
      <w:r>
        <w:rPr>
          <w:rFonts w:ascii="Arial" w:eastAsia="Arial" w:hAnsi="Arial" w:cs="Arial"/>
          <w:color w:val="000000"/>
          <w:sz w:val="20"/>
        </w:rPr>
        <w:t xml:space="preserve">We next turn to Oliver's argument that because the ADA incorporates the standards of the California MUTCD, any architectural features in his complaint that were noncompliant with the California MUTCD also violated the ADA. </w:t>
      </w:r>
      <w:bookmarkStart w:id="3390" w:name="Bookmark_LNHNREFclscc13_13"/>
      <w:bookmarkEnd w:id="3390"/>
      <w:r>
        <w:rPr>
          <w:rFonts w:ascii="Arial" w:eastAsia="Arial" w:hAnsi="Arial" w:cs="Arial"/>
          <w:color w:val="000000"/>
          <w:sz w:val="20"/>
        </w:rPr>
        <w:t xml:space="preserve">We review questions of statutory interpretation de novo. </w:t>
      </w:r>
      <w:r>
        <w:rPr>
          <w:rFonts w:ascii="Arial" w:eastAsia="Arial" w:hAnsi="Arial" w:cs="Arial"/>
          <w:i/>
          <w:color w:val="000000"/>
          <w:sz w:val="20"/>
        </w:rPr>
        <w:t xml:space="preserve">See </w:t>
      </w:r>
      <w:bookmarkStart w:id="3391" w:name="Bookmark_I53RDT0J2N1PN10030000400"/>
      <w:bookmarkEnd w:id="3391"/>
      <w:r>
        <w:rPr>
          <w:rFonts w:ascii="Arial" w:eastAsia="Arial" w:hAnsi="Arial" w:cs="Arial"/>
          <w:i/>
          <w:color w:val="000000"/>
          <w:sz w:val="20"/>
        </w:rPr>
        <w:t>United States v. Begay</w:t>
      </w:r>
      <w:r>
        <w:rPr>
          <w:rFonts w:ascii="Arial" w:eastAsia="Arial" w:hAnsi="Arial" w:cs="Arial"/>
          <w:color w:val="000000"/>
          <w:sz w:val="20"/>
        </w:rPr>
        <w:t>, 622 F.3d 1187, 1193 (9th Cir. 2010).</w:t>
      </w:r>
    </w:p>
    <w:p w14:paraId="5A5D86FE" w14:textId="77777777" w:rsidR="00D041A2" w:rsidRDefault="00000000">
      <w:pPr>
        <w:pStyle w:val="Normal29"/>
        <w:widowControl w:val="0"/>
        <w:spacing w:before="200" w:line="260" w:lineRule="atLeast"/>
        <w:jc w:val="both"/>
      </w:pPr>
      <w:bookmarkStart w:id="3392" w:name="Bookmark_para_40_8"/>
      <w:bookmarkStart w:id="3393" w:name="Bookmark_LNHNREFclscc14_12"/>
      <w:bookmarkEnd w:id="3392"/>
      <w:bookmarkEnd w:id="3393"/>
      <w:r>
        <w:rPr>
          <w:rFonts w:ascii="Arial" w:eastAsia="Arial" w:hAnsi="Arial" w:cs="Arial"/>
          <w:color w:val="000000"/>
          <w:sz w:val="20"/>
        </w:rPr>
        <w:t xml:space="preserve">The federal MUTCD is a regulation promulgated by the Department of Transportation (DOT) that sets "the  [**17] national standard for all traffic control devices installed on any street, highway, or bicycle trail open to public travel." 23 C.F.R. § 655.603(a); </w:t>
      </w:r>
      <w:r>
        <w:rPr>
          <w:rFonts w:ascii="Arial" w:eastAsia="Arial" w:hAnsi="Arial" w:cs="Arial"/>
          <w:i/>
          <w:color w:val="000000"/>
          <w:sz w:val="20"/>
        </w:rPr>
        <w:t>see</w:t>
      </w:r>
      <w:r>
        <w:rPr>
          <w:rFonts w:ascii="Arial" w:eastAsia="Arial" w:hAnsi="Arial" w:cs="Arial"/>
          <w:color w:val="000000"/>
          <w:sz w:val="20"/>
        </w:rPr>
        <w:t xml:space="preserve"> 23 C.F.R. part 655 subpart F. The federal MUTCD states that it is issued by the agency "in accordance with" 23 U.S.C. § 109(d) and § 402(a). 23 C.F.R. § 655.603.</w:t>
      </w:r>
      <w:r>
        <w:rPr>
          <w:rFonts w:ascii="Arial" w:eastAsia="Arial" w:hAnsi="Arial" w:cs="Arial"/>
          <w:vertAlign w:val="superscript"/>
        </w:rPr>
        <w:footnoteReference w:customMarkFollows="1" w:id="166"/>
        <w:t>9</w:t>
      </w:r>
      <w:r>
        <w:rPr>
          <w:rFonts w:ascii="Arial" w:eastAsia="Arial" w:hAnsi="Arial" w:cs="Arial"/>
          <w:color w:val="000000"/>
          <w:sz w:val="20"/>
        </w:rPr>
        <w:t xml:space="preserve"> In order to remain eligible for federal highway and highway safety program funds, a state must adopt the federal MUTCD as a state regulation, adopt a state MUTCD that is approved by  [*910]  the Secretary of Transportation as being in "substantial conformance" with the federal MUTCD, or adopt the federal MUTCD in conjunction with a state supplement. </w:t>
      </w:r>
      <w:r>
        <w:rPr>
          <w:rFonts w:ascii="Arial" w:eastAsia="Arial" w:hAnsi="Arial" w:cs="Arial"/>
          <w:i/>
          <w:color w:val="000000"/>
          <w:sz w:val="20"/>
        </w:rPr>
        <w:t>See</w:t>
      </w:r>
      <w:r>
        <w:rPr>
          <w:rFonts w:ascii="Arial" w:eastAsia="Arial" w:hAnsi="Arial" w:cs="Arial"/>
          <w:color w:val="000000"/>
          <w:sz w:val="20"/>
        </w:rPr>
        <w:t xml:space="preserve"> 23 U.S.C. §§ 109(d), 402(c); 23 C.F.R. § 655.603(b)(3). California elected to adopt a state MUTCD, and in 2006, the Secretary approved the California MUTCD as being in "substantial conformance" with the 2003 federal MUTCD. </w:t>
      </w:r>
      <w:r>
        <w:rPr>
          <w:rFonts w:ascii="Arial" w:eastAsia="Arial" w:hAnsi="Arial" w:cs="Arial"/>
          <w:i/>
          <w:color w:val="000000"/>
          <w:sz w:val="20"/>
        </w:rPr>
        <w:t>See</w:t>
      </w:r>
      <w:r>
        <w:rPr>
          <w:rFonts w:ascii="Arial" w:eastAsia="Arial" w:hAnsi="Arial" w:cs="Arial"/>
          <w:color w:val="000000"/>
          <w:sz w:val="20"/>
        </w:rPr>
        <w:t xml:space="preserve"> Cal. Dep't of Transp., </w:t>
      </w:r>
      <w:r>
        <w:rPr>
          <w:rFonts w:ascii="Arial" w:eastAsia="Arial" w:hAnsi="Arial" w:cs="Arial"/>
          <w:i/>
          <w:color w:val="000000"/>
          <w:sz w:val="20"/>
        </w:rPr>
        <w:t>California MUTCD 2006 (ARCHIVE)</w:t>
      </w:r>
      <w:r>
        <w:rPr>
          <w:rFonts w:ascii="Arial" w:eastAsia="Arial" w:hAnsi="Arial" w:cs="Arial"/>
          <w:color w:val="000000"/>
          <w:sz w:val="20"/>
        </w:rPr>
        <w:t xml:space="preserve">, online at http://www.dot.ca.gov/hq/traffops/signtech/ mutcdsupp/ca_mutcd.htm (last visited Aug. 9, 2011); </w:t>
      </w:r>
      <w:r>
        <w:rPr>
          <w:rFonts w:ascii="Arial" w:eastAsia="Arial" w:hAnsi="Arial" w:cs="Arial"/>
          <w:i/>
          <w:color w:val="000000"/>
          <w:sz w:val="20"/>
        </w:rPr>
        <w:t>see also</w:t>
      </w:r>
      <w:r>
        <w:rPr>
          <w:rFonts w:ascii="Arial" w:eastAsia="Arial" w:hAnsi="Arial" w:cs="Arial"/>
          <w:color w:val="000000"/>
          <w:sz w:val="20"/>
        </w:rPr>
        <w:t xml:space="preserve"> Cal Vehicle Code § 21400.</w:t>
      </w:r>
    </w:p>
    <w:p w14:paraId="5110A4B3" w14:textId="77777777" w:rsidR="00D041A2" w:rsidRDefault="00000000">
      <w:pPr>
        <w:pStyle w:val="Normal29"/>
        <w:widowControl w:val="0"/>
        <w:spacing w:before="200" w:line="260" w:lineRule="atLeast"/>
        <w:jc w:val="both"/>
      </w:pPr>
      <w:bookmarkStart w:id="3396" w:name="Bookmark_para_41_7"/>
      <w:bookmarkEnd w:id="3396"/>
      <w:r>
        <w:rPr>
          <w:rFonts w:ascii="Arial" w:eastAsia="Arial" w:hAnsi="Arial" w:cs="Arial"/>
          <w:color w:val="000000"/>
          <w:sz w:val="20"/>
        </w:rPr>
        <w:t>Oliver's argument that the substantive standards of the California MUTCD are incorporated in the ADA is based on three premises. First, Oliver argues that the ADA incorporates the standards contained in the Rehabilitation Act</w:t>
      </w:r>
      <w:r>
        <w:rPr>
          <w:rFonts w:ascii="Arial" w:eastAsia="Arial" w:hAnsi="Arial" w:cs="Arial"/>
          <w:vertAlign w:val="superscript"/>
        </w:rPr>
        <w:footnoteReference w:customMarkFollows="1" w:id="167"/>
        <w:t>10</w:t>
      </w:r>
      <w:r>
        <w:rPr>
          <w:rFonts w:ascii="Arial" w:eastAsia="Arial" w:hAnsi="Arial" w:cs="Arial"/>
          <w:color w:val="000000"/>
          <w:sz w:val="20"/>
        </w:rPr>
        <w:t xml:space="preserve"> and regulations issued pursuant to it. For this proposition, Oliver relies on § 12201(a) of the ADA, which states that "nothing in this chapter shall be construed to apply a lesser standard than the standards applied under title V of the Rehabilitation Act of 1973 or the regulations issued by Federal agencies pursuant to such title." 42 U.S.C. § 12201(a). Second, Oliver argues that the federal MUTCD is a regulation issued pursuant to the Rehabilitation Act because the DOT revised  [**19] the federal MUTCD pursuant to a 1991 "[s]elf-evaluation" regulation that called for all DOT operating units to bring their policies and practices into conformance with the Rehabilitation Act. </w:t>
      </w:r>
      <w:r>
        <w:rPr>
          <w:rFonts w:ascii="Arial" w:eastAsia="Arial" w:hAnsi="Arial" w:cs="Arial"/>
          <w:i/>
          <w:color w:val="000000"/>
          <w:sz w:val="20"/>
        </w:rPr>
        <w:t>See</w:t>
      </w:r>
      <w:r>
        <w:rPr>
          <w:rFonts w:ascii="Arial" w:eastAsia="Arial" w:hAnsi="Arial" w:cs="Arial"/>
          <w:color w:val="000000"/>
          <w:sz w:val="20"/>
        </w:rPr>
        <w:t xml:space="preserve"> 49 C.F.R. § 28.110. Third, he argues that because the Secretary of Transportation has approved the California MUTCD as being in "substantial conformance" with the federal MUTCD, the state standard likewise qualifies as a regulation promulgated pursuant to the Rehabilitation Act.</w:t>
      </w:r>
    </w:p>
    <w:p w14:paraId="068B4C7C" w14:textId="77777777" w:rsidR="00D041A2" w:rsidRDefault="00000000">
      <w:pPr>
        <w:pStyle w:val="Normal29"/>
        <w:widowControl w:val="0"/>
        <w:spacing w:before="200" w:line="260" w:lineRule="atLeast"/>
        <w:jc w:val="both"/>
      </w:pPr>
      <w:bookmarkStart w:id="3399" w:name="Bookmark_para_42_6"/>
      <w:bookmarkStart w:id="3400" w:name="Bookmark_I53RDT0J2SF7SX0010000400"/>
      <w:bookmarkEnd w:id="3399"/>
      <w:bookmarkEnd w:id="3400"/>
      <w:r>
        <w:rPr>
          <w:rFonts w:ascii="Arial" w:eastAsia="Arial" w:hAnsi="Arial" w:cs="Arial"/>
          <w:color w:val="000000"/>
          <w:sz w:val="20"/>
        </w:rPr>
        <w:t xml:space="preserve">This argument fails on multiple grounds. For present purposes, it suffices to say that </w:t>
      </w:r>
      <w:bookmarkStart w:id="3401" w:name="Bookmark_LNHNREFclscc17_7"/>
      <w:bookmarkEnd w:id="3401"/>
      <w:r>
        <w:rPr>
          <w:rFonts w:ascii="Arial" w:eastAsia="Arial" w:hAnsi="Arial" w:cs="Arial"/>
          <w:color w:val="000000"/>
          <w:sz w:val="20"/>
        </w:rPr>
        <w:t xml:space="preserve">the federal MUTCD is not a regulation issued pursuant to the Rehabilitation Act. As noted above, the federal MUTCD was issued pursuant to 23 U.S.C. § 109(d) and § 402(a), which are statutes authorizing the Secretary to establish national  [**20] standards for traffic control devices. </w:t>
      </w:r>
      <w:r>
        <w:rPr>
          <w:rFonts w:ascii="Arial" w:eastAsia="Arial" w:hAnsi="Arial" w:cs="Arial"/>
          <w:i/>
          <w:color w:val="000000"/>
          <w:sz w:val="20"/>
        </w:rPr>
        <w:t xml:space="preserve">See </w:t>
      </w:r>
      <w:bookmarkStart w:id="3402" w:name="Bookmark_I53RDT0J2N1PN10050000400"/>
      <w:bookmarkEnd w:id="3402"/>
      <w:r>
        <w:rPr>
          <w:rFonts w:ascii="Arial" w:eastAsia="Arial" w:hAnsi="Arial" w:cs="Arial"/>
          <w:i/>
          <w:color w:val="000000"/>
          <w:sz w:val="20"/>
        </w:rPr>
        <w:t>Sea Hawk Seafoods, Inc. v. Locke</w:t>
      </w:r>
      <w:r>
        <w:rPr>
          <w:rFonts w:ascii="Arial" w:eastAsia="Arial" w:hAnsi="Arial" w:cs="Arial"/>
          <w:color w:val="000000"/>
          <w:sz w:val="20"/>
        </w:rPr>
        <w:t xml:space="preserve">, 568 F.3d 757, 764-65 (9th Cir. 2009) (indicating that a regulation should be considered "issued pursuant" to the statute that grants the agency the authority to regulate in that area). Further, contrary to Oliver's argument, </w:t>
      </w:r>
      <w:bookmarkStart w:id="3403" w:name="Bookmark_LNHNREFclscc18_5"/>
      <w:bookmarkEnd w:id="3403"/>
      <w:r>
        <w:rPr>
          <w:rFonts w:ascii="Arial" w:eastAsia="Arial" w:hAnsi="Arial" w:cs="Arial"/>
          <w:color w:val="000000"/>
          <w:sz w:val="20"/>
        </w:rPr>
        <w:t xml:space="preserve">the DOT did not revise the federal MUTCD to bring it into conformance with the Rehabilitation Act. In 1991, DOT promulgated comprehensive regulations to implement the Rehabilitation Act's prohibition on "discrimination on the basis of handicap in programs or activities conducted by Executive agencies," 49 C.F.R. § 28.101; </w:t>
      </w:r>
      <w:r>
        <w:rPr>
          <w:rFonts w:ascii="Arial" w:eastAsia="Arial" w:hAnsi="Arial" w:cs="Arial"/>
          <w:i/>
          <w:color w:val="000000"/>
          <w:sz w:val="20"/>
        </w:rPr>
        <w:t>see also</w:t>
      </w:r>
      <w:r>
        <w:rPr>
          <w:rFonts w:ascii="Arial" w:eastAsia="Arial" w:hAnsi="Arial" w:cs="Arial"/>
          <w:color w:val="000000"/>
          <w:sz w:val="20"/>
        </w:rPr>
        <w:t xml:space="preserve"> 29 U.S.C. § 794(a). These regulations included the "self-evaluation" regulation on which Oliver relies, 49 C.F.R. § 28.110, which required the DOT to evaluate and make necessary changes to any policies and practices that did not meet the requirements of part 28 of title 49 of the CFR. Part 28 covers: (1) the participation of disabled individuals in DOT programs, activities, or employment; (2) the accessibility of DOT-run facilities; (3) DOT communications; and (4) the DOT complaint process. Because no policy or practice in the federal MUTCD is related to these  [**21] issues, the self-evaluation requirement  [*911]  did not affect the federal MUTCD. In other words, § 28.110 neither required nor authorized a revision of the federal MUTCD. Not surprisingly, nothing in the federal MUTCD mentions either 49 C.F.R. § 28.110 or the Rehabilitation Act.</w:t>
      </w:r>
      <w:r>
        <w:rPr>
          <w:rFonts w:ascii="Arial" w:eastAsia="Arial" w:hAnsi="Arial" w:cs="Arial"/>
          <w:vertAlign w:val="superscript"/>
        </w:rPr>
        <w:footnoteReference w:customMarkFollows="1" w:id="168"/>
        <w:t>11</w:t>
      </w:r>
    </w:p>
    <w:p w14:paraId="2901E247" w14:textId="77777777" w:rsidR="00D041A2" w:rsidRDefault="00000000">
      <w:pPr>
        <w:pStyle w:val="Normal29"/>
        <w:widowControl w:val="0"/>
        <w:spacing w:before="200" w:line="260" w:lineRule="atLeast"/>
        <w:jc w:val="both"/>
      </w:pPr>
      <w:bookmarkStart w:id="3405" w:name="Bookmark_para_43_6"/>
      <w:bookmarkEnd w:id="3405"/>
      <w:r>
        <w:rPr>
          <w:rFonts w:ascii="Arial" w:eastAsia="Arial" w:hAnsi="Arial" w:cs="Arial"/>
          <w:color w:val="000000"/>
          <w:sz w:val="20"/>
        </w:rPr>
        <w:t xml:space="preserve">We therefore affirm the district court's conclusion: </w:t>
      </w:r>
      <w:bookmarkStart w:id="3406" w:name="Bookmark_LNHNREFclscc19_4"/>
      <w:bookmarkEnd w:id="3406"/>
      <w:r>
        <w:rPr>
          <w:rFonts w:ascii="Arial" w:eastAsia="Arial" w:hAnsi="Arial" w:cs="Arial"/>
          <w:color w:val="000000"/>
          <w:sz w:val="20"/>
        </w:rPr>
        <w:t>an architectural feature that is inconsistent with the California MUTCD is not a per se violation of the ADA. Thus, the district court properly granted partial summary judgment to Ralphs and Cypress Creek regarding those of Oliver's allegations premised on noncompliance with the California MUTCD rather than the ADAAG.</w:t>
      </w:r>
    </w:p>
    <w:p w14:paraId="48527E3B" w14:textId="77777777" w:rsidR="00D041A2" w:rsidRDefault="00000000">
      <w:pPr>
        <w:pStyle w:val="Normal29"/>
        <w:widowControl w:val="0"/>
        <w:spacing w:before="120" w:line="260" w:lineRule="atLeast"/>
      </w:pPr>
      <w:r>
        <w:rPr>
          <w:rFonts w:ascii="Arial" w:eastAsia="Arial" w:hAnsi="Arial" w:cs="Arial"/>
          <w:color w:val="000000"/>
          <w:sz w:val="20"/>
        </w:rPr>
        <w:t>D</w:t>
      </w:r>
    </w:p>
    <w:p w14:paraId="1FC17F5E" w14:textId="77777777" w:rsidR="00D041A2" w:rsidRDefault="00000000">
      <w:pPr>
        <w:pStyle w:val="Normal29"/>
        <w:widowControl w:val="0"/>
        <w:spacing w:before="200" w:line="260" w:lineRule="atLeast"/>
        <w:jc w:val="both"/>
      </w:pPr>
      <w:bookmarkStart w:id="3407" w:name="Bookmark_para_44_6"/>
      <w:bookmarkStart w:id="3408" w:name="Bookmark_I53RDT0J2SF7SX0030000400"/>
      <w:bookmarkEnd w:id="3407"/>
      <w:bookmarkEnd w:id="3408"/>
      <w:r>
        <w:rPr>
          <w:rFonts w:ascii="Arial" w:eastAsia="Arial" w:hAnsi="Arial" w:cs="Arial"/>
          <w:color w:val="000000"/>
          <w:sz w:val="20"/>
        </w:rPr>
        <w:t xml:space="preserve">We turn finally to  [**22] Oliver's argument that the district court erred in declining to exercise supplemental jurisdiction over his state law claims. By granting summary judgment to Ralphs and Cypress Creek on Oliver's ADA claim, </w:t>
      </w:r>
      <w:bookmarkStart w:id="3409" w:name="Bookmark_LNHNREFclscc20_3"/>
      <w:bookmarkEnd w:id="3409"/>
      <w:r>
        <w:rPr>
          <w:rFonts w:ascii="Arial" w:eastAsia="Arial" w:hAnsi="Arial" w:cs="Arial"/>
          <w:color w:val="000000"/>
          <w:sz w:val="20"/>
        </w:rPr>
        <w:t xml:space="preserve">the district court properly disposed of "all claims over which it ha[d] original jurisdiction." 28 U.S.C. § 1367(c)(3). Because the balance of the factors of "judicial economy, convenience, fairness, and comity" did not "tip in favor of retaining the state-law claims" after the dismissal of the ADA claim, </w:t>
      </w:r>
      <w:bookmarkStart w:id="3410" w:name="Bookmark_I53RDT0J2SF7SX0020000400"/>
      <w:bookmarkEnd w:id="3410"/>
      <w:r>
        <w:rPr>
          <w:rFonts w:ascii="Arial" w:eastAsia="Arial" w:hAnsi="Arial" w:cs="Arial"/>
          <w:i/>
          <w:color w:val="000000"/>
          <w:sz w:val="20"/>
        </w:rPr>
        <w:t>Sanford v. Member Works, Inc</w:t>
      </w:r>
      <w:r>
        <w:rPr>
          <w:rFonts w:ascii="Arial" w:eastAsia="Arial" w:hAnsi="Arial" w:cs="Arial"/>
          <w:color w:val="000000"/>
          <w:sz w:val="20"/>
        </w:rPr>
        <w:t xml:space="preserve">., 625 F.3d 550, 561 (9th Cir. 2010) (quoting </w:t>
      </w:r>
      <w:bookmarkStart w:id="3411" w:name="Bookmark_I53RDT0J2SF7SX0040000400"/>
      <w:bookmarkEnd w:id="3411"/>
      <w:r>
        <w:rPr>
          <w:rFonts w:ascii="Arial" w:eastAsia="Arial" w:hAnsi="Arial" w:cs="Arial"/>
          <w:i/>
          <w:color w:val="000000"/>
          <w:sz w:val="20"/>
        </w:rPr>
        <w:t>Carnegie-Mellon Univ. v. Cohill</w:t>
      </w:r>
      <w:r>
        <w:rPr>
          <w:rFonts w:ascii="Arial" w:eastAsia="Arial" w:hAnsi="Arial" w:cs="Arial"/>
          <w:color w:val="000000"/>
          <w:sz w:val="20"/>
        </w:rPr>
        <w:t>, 484 U.S. 343, 350 n.7, 108 S. Ct. 614, 98 L. Ed. 2d 720 (1988)) (internal quotation marks omitted), the district court did not abuse its discretion in dismissing Oliver's state law claims without prejudice.</w:t>
      </w:r>
    </w:p>
    <w:p w14:paraId="5D3FFC22" w14:textId="77777777" w:rsidR="00D041A2" w:rsidRDefault="00000000">
      <w:pPr>
        <w:pStyle w:val="Normal29"/>
        <w:widowControl w:val="0"/>
        <w:spacing w:before="200" w:line="260" w:lineRule="atLeast"/>
        <w:jc w:val="both"/>
      </w:pPr>
      <w:bookmarkStart w:id="3412" w:name="Bookmark_para_45_6"/>
      <w:bookmarkEnd w:id="3412"/>
      <w:r>
        <w:rPr>
          <w:rFonts w:ascii="Arial" w:eastAsia="Arial" w:hAnsi="Arial" w:cs="Arial"/>
          <w:b/>
          <w:color w:val="000000"/>
          <w:sz w:val="20"/>
        </w:rPr>
        <w:t>AFFIRMED</w:t>
      </w:r>
      <w:r>
        <w:rPr>
          <w:rFonts w:ascii="Arial" w:eastAsia="Arial" w:hAnsi="Arial" w:cs="Arial"/>
          <w:color w:val="000000"/>
          <w:sz w:val="20"/>
        </w:rPr>
        <w:t>.</w:t>
      </w:r>
    </w:p>
    <w:p w14:paraId="7AB88D06" w14:textId="77777777" w:rsidR="00D041A2" w:rsidRDefault="00D041A2">
      <w:pPr>
        <w:pStyle w:val="Normal29"/>
      </w:pPr>
    </w:p>
    <w:p w14:paraId="150715DE" w14:textId="22F30BC0" w:rsidR="00D041A2" w:rsidRDefault="00000000">
      <w:pPr>
        <w:pStyle w:val="Normal29"/>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21728" behindDoc="0" locked="0" layoutInCell="1" allowOverlap="1" wp14:anchorId="1A6CA013" wp14:editId="1C4BCC8D">
                <wp:simplePos x="0" y="0"/>
                <wp:positionH relativeFrom="column">
                  <wp:posOffset>0</wp:posOffset>
                </wp:positionH>
                <wp:positionV relativeFrom="paragraph">
                  <wp:posOffset>127000</wp:posOffset>
                </wp:positionV>
                <wp:extent cx="6502400" cy="0"/>
                <wp:effectExtent l="9525" t="12700" r="12700" b="6350"/>
                <wp:wrapNone/>
                <wp:docPr id="33965134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F6D29D" id="Line 63"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BDEB4B3" w14:textId="77777777" w:rsidR="00D041A2" w:rsidRDefault="00D041A2">
      <w:pPr>
        <w:pStyle w:val="Normal30"/>
        <w:sectPr w:rsidR="00D041A2">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gutter="0"/>
          <w:cols w:space="720"/>
          <w:titlePg/>
        </w:sectPr>
      </w:pPr>
    </w:p>
    <w:p w14:paraId="39C702B5" w14:textId="77777777" w:rsidR="00D041A2" w:rsidRDefault="00D041A2">
      <w:pPr>
        <w:pStyle w:val="Normal30"/>
      </w:pPr>
    </w:p>
    <w:p w14:paraId="22BF9EC4" w14:textId="77777777" w:rsidR="00D041A2" w:rsidRDefault="00000000">
      <w:pPr>
        <w:pStyle w:val="Heading129"/>
        <w:keepNext w:val="0"/>
        <w:widowControl w:val="0"/>
        <w:spacing w:after="200" w:line="340" w:lineRule="atLeast"/>
        <w:jc w:val="center"/>
      </w:pPr>
      <w:r>
        <w:rPr>
          <w:rFonts w:eastAsia="Arial"/>
          <w:color w:val="000000"/>
          <w:sz w:val="28"/>
        </w:rPr>
        <w:t>Pinero v. 4800 W. Flagler L.L.C.</w:t>
      </w:r>
    </w:p>
    <w:p w14:paraId="2C3A83D8" w14:textId="77777777" w:rsidR="00D041A2" w:rsidRDefault="00000000">
      <w:pPr>
        <w:pStyle w:val="Normal30"/>
        <w:widowControl w:val="0"/>
        <w:spacing w:before="120" w:line="260" w:lineRule="atLeast"/>
        <w:jc w:val="center"/>
      </w:pPr>
      <w:r>
        <w:rPr>
          <w:rFonts w:ascii="Arial" w:eastAsia="Arial" w:hAnsi="Arial" w:cs="Arial"/>
          <w:color w:val="000000"/>
          <w:sz w:val="20"/>
        </w:rPr>
        <w:t>United States Court of Appeals for the Eleventh Circuit</w:t>
      </w:r>
    </w:p>
    <w:p w14:paraId="5BE0C99D" w14:textId="77777777" w:rsidR="00D041A2" w:rsidRDefault="00000000">
      <w:pPr>
        <w:pStyle w:val="Normal30"/>
        <w:widowControl w:val="0"/>
        <w:spacing w:before="120" w:line="260" w:lineRule="atLeast"/>
        <w:jc w:val="center"/>
      </w:pPr>
      <w:r>
        <w:rPr>
          <w:rFonts w:ascii="Arial" w:eastAsia="Arial" w:hAnsi="Arial" w:cs="Arial"/>
          <w:color w:val="000000"/>
          <w:sz w:val="20"/>
        </w:rPr>
        <w:t>June 17, 2011, Decided; June 17, 2011, Filed</w:t>
      </w:r>
    </w:p>
    <w:p w14:paraId="59A36533" w14:textId="77777777" w:rsidR="00D041A2" w:rsidRDefault="00000000">
      <w:pPr>
        <w:pStyle w:val="Normal30"/>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10-13617 Non-Argument Calendar</w:t>
      </w:r>
    </w:p>
    <w:p w14:paraId="6C6E3535" w14:textId="77777777" w:rsidR="00D041A2" w:rsidRDefault="00D041A2">
      <w:pPr>
        <w:pStyle w:val="Normal30"/>
        <w:widowControl w:val="0"/>
        <w:spacing w:line="240" w:lineRule="atLeast"/>
        <w:jc w:val="both"/>
      </w:pPr>
      <w:bookmarkStart w:id="3413" w:name="Bookmark_31"/>
      <w:bookmarkEnd w:id="3413"/>
    </w:p>
    <w:p w14:paraId="5AFC30BB" w14:textId="77777777" w:rsidR="00D041A2" w:rsidRDefault="00000000">
      <w:pPr>
        <w:pStyle w:val="Normal30"/>
        <w:widowControl w:val="0"/>
        <w:spacing w:before="200" w:line="240" w:lineRule="atLeast"/>
      </w:pPr>
      <w:bookmarkStart w:id="3414" w:name="Reporter_29"/>
      <w:bookmarkEnd w:id="3414"/>
      <w:r>
        <w:rPr>
          <w:rFonts w:ascii="Arial" w:eastAsia="Arial" w:hAnsi="Arial" w:cs="Arial"/>
          <w:b/>
          <w:color w:val="000000"/>
          <w:sz w:val="18"/>
        </w:rPr>
        <w:t>Reporter</w:t>
      </w:r>
    </w:p>
    <w:p w14:paraId="17E66727" w14:textId="77777777" w:rsidR="00D041A2" w:rsidRDefault="00000000">
      <w:pPr>
        <w:pStyle w:val="Normal30"/>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430 Fed. Appx. 866 *; 2011 U.S. App. LEXIS 12485 **</w:t>
      </w:r>
    </w:p>
    <w:p w14:paraId="7D100840" w14:textId="77777777" w:rsidR="00D041A2" w:rsidRDefault="00000000">
      <w:pPr>
        <w:pStyle w:val="Normal30"/>
        <w:widowControl w:val="0"/>
        <w:spacing w:before="120" w:line="260" w:lineRule="atLeast"/>
      </w:pPr>
      <w:r>
        <w:rPr>
          <w:rFonts w:ascii="Arial" w:eastAsia="Arial" w:hAnsi="Arial" w:cs="Arial"/>
          <w:color w:val="000000"/>
          <w:sz w:val="20"/>
        </w:rPr>
        <w:t>EMILIO PINERO, Plaintiff - Appellant, versus 4800 WEST FLAGLER L.L.C., Defendant - Appellee.</w:t>
      </w:r>
    </w:p>
    <w:p w14:paraId="6B196B38" w14:textId="77777777" w:rsidR="00D041A2" w:rsidRDefault="00000000">
      <w:pPr>
        <w:pStyle w:val="Normal30"/>
        <w:widowControl w:val="0"/>
        <w:spacing w:before="240" w:line="260" w:lineRule="atLeast"/>
        <w:jc w:val="both"/>
      </w:pPr>
      <w:bookmarkStart w:id="3415" w:name="Notice_18"/>
      <w:bookmarkEnd w:id="3415"/>
      <w:r>
        <w:rPr>
          <w:rFonts w:ascii="Arial" w:eastAsia="Arial" w:hAnsi="Arial" w:cs="Arial"/>
          <w:b/>
          <w:color w:val="000000"/>
          <w:sz w:val="20"/>
        </w:rPr>
        <w:t>Notice:</w:t>
      </w:r>
      <w:r>
        <w:rPr>
          <w:rFonts w:ascii="Arial" w:eastAsia="Arial" w:hAnsi="Arial" w:cs="Arial"/>
          <w:color w:val="000000"/>
          <w:sz w:val="20"/>
        </w:rPr>
        <w:t> </w:t>
      </w:r>
      <w:bookmarkStart w:id="3416" w:name="Bookmark_para_1_29"/>
      <w:bookmarkEnd w:id="3416"/>
      <w:r>
        <w:rPr>
          <w:rFonts w:ascii="Arial" w:eastAsia="Arial" w:hAnsi="Arial" w:cs="Arial"/>
          <w:color w:val="000000"/>
          <w:sz w:val="20"/>
        </w:rPr>
        <w:t>PLEASE REFER TO FEDERAL RULES OF APPELLATE PROCEDURE RULE 32.1 GOVERNING THE CITATION TO UNPUBLISHED OPINIONS.</w:t>
      </w:r>
    </w:p>
    <w:p w14:paraId="493339CE" w14:textId="77777777" w:rsidR="00D041A2" w:rsidRDefault="00000000">
      <w:pPr>
        <w:pStyle w:val="Normal30"/>
        <w:widowControl w:val="0"/>
        <w:spacing w:before="240" w:line="260" w:lineRule="atLeast"/>
        <w:jc w:val="both"/>
      </w:pPr>
      <w:bookmarkStart w:id="3417" w:name="Prior_History_29"/>
      <w:bookmarkEnd w:id="3417"/>
      <w:r>
        <w:rPr>
          <w:rFonts w:ascii="Arial" w:eastAsia="Arial" w:hAnsi="Arial" w:cs="Arial"/>
          <w:b/>
          <w:color w:val="000000"/>
          <w:sz w:val="20"/>
        </w:rPr>
        <w:t>Prior History:</w:t>
      </w:r>
      <w:r>
        <w:rPr>
          <w:rFonts w:ascii="Arial" w:eastAsia="Arial" w:hAnsi="Arial" w:cs="Arial"/>
          <w:color w:val="000000"/>
          <w:sz w:val="20"/>
        </w:rPr>
        <w:t>  [**1] </w:t>
      </w:r>
      <w:bookmarkStart w:id="3418" w:name="Bookmark_para_2_29"/>
      <w:bookmarkEnd w:id="3418"/>
      <w:r>
        <w:rPr>
          <w:rFonts w:ascii="Arial" w:eastAsia="Arial" w:hAnsi="Arial" w:cs="Arial"/>
          <w:color w:val="000000"/>
          <w:sz w:val="20"/>
        </w:rPr>
        <w:t>Appeal from the United States District Court for the Southern District of Florida. D.C. Docket No. 1:09-cv-21349-PAS.</w:t>
      </w:r>
    </w:p>
    <w:p w14:paraId="4D3D746B" w14:textId="77777777" w:rsidR="00D041A2" w:rsidRDefault="00000000">
      <w:pPr>
        <w:pStyle w:val="Normal30"/>
        <w:widowControl w:val="0"/>
        <w:spacing w:before="120" w:line="260" w:lineRule="atLeast"/>
      </w:pPr>
      <w:r>
        <w:rPr>
          <w:rFonts w:ascii="Arial" w:eastAsia="Arial" w:hAnsi="Arial" w:cs="Arial"/>
          <w:color w:val="000000"/>
          <w:sz w:val="20"/>
        </w:rPr>
        <w:t>Pinero v. 4800 West Flagler, L.L.C., 2011 U.S. Dist. LEXIS 9427 (S.D. Fla., Jan. 31, 2011)</w:t>
      </w:r>
    </w:p>
    <w:p w14:paraId="49A80BE1" w14:textId="77777777" w:rsidR="00D041A2" w:rsidRDefault="00000000">
      <w:pPr>
        <w:pStyle w:val="Normal30"/>
        <w:widowControl w:val="0"/>
        <w:spacing w:before="240" w:line="260" w:lineRule="atLeast"/>
      </w:pPr>
      <w:bookmarkStart w:id="3419" w:name="Counsel_29"/>
      <w:bookmarkEnd w:id="3419"/>
      <w:r>
        <w:rPr>
          <w:rFonts w:ascii="Arial" w:eastAsia="Arial" w:hAnsi="Arial" w:cs="Arial"/>
          <w:b/>
          <w:color w:val="000000"/>
          <w:sz w:val="20"/>
        </w:rPr>
        <w:t>Counsel:</w:t>
      </w:r>
      <w:r>
        <w:rPr>
          <w:rFonts w:ascii="Arial" w:eastAsia="Arial" w:hAnsi="Arial" w:cs="Arial"/>
          <w:color w:val="000000"/>
          <w:sz w:val="20"/>
        </w:rPr>
        <w:t> For EMILIO PINERO, Plaintiff - Appellant: Lauren Nicole Wassenberg, Lauren Wassenberg &amp; Assoc, MIAMI BEACH, FL.</w:t>
      </w:r>
    </w:p>
    <w:p w14:paraId="4EDC9CDD" w14:textId="77777777" w:rsidR="00D041A2" w:rsidRDefault="00000000">
      <w:pPr>
        <w:pStyle w:val="Normal30"/>
        <w:widowControl w:val="0"/>
        <w:spacing w:before="120" w:line="260" w:lineRule="atLeast"/>
      </w:pPr>
      <w:r>
        <w:rPr>
          <w:rFonts w:ascii="Arial" w:eastAsia="Arial" w:hAnsi="Arial" w:cs="Arial"/>
          <w:color w:val="000000"/>
          <w:sz w:val="20"/>
        </w:rPr>
        <w:t>For 4800 WEST FLAGLER L.L.C., Defendant - Appellee: Alan Keith Marcus, Coral Gables, FL.</w:t>
      </w:r>
    </w:p>
    <w:p w14:paraId="007ABA3B" w14:textId="77777777" w:rsidR="00D041A2" w:rsidRDefault="00000000">
      <w:pPr>
        <w:pStyle w:val="Normal30"/>
        <w:widowControl w:val="0"/>
        <w:spacing w:before="240" w:line="260" w:lineRule="atLeast"/>
      </w:pPr>
      <w:bookmarkStart w:id="3420" w:name="Judges_29"/>
      <w:bookmarkEnd w:id="3420"/>
      <w:r>
        <w:rPr>
          <w:rFonts w:ascii="Arial" w:eastAsia="Arial" w:hAnsi="Arial" w:cs="Arial"/>
          <w:b/>
          <w:color w:val="000000"/>
          <w:sz w:val="20"/>
        </w:rPr>
        <w:t>Judges:</w:t>
      </w:r>
      <w:r>
        <w:rPr>
          <w:rFonts w:ascii="Arial" w:eastAsia="Arial" w:hAnsi="Arial" w:cs="Arial"/>
          <w:color w:val="000000"/>
          <w:sz w:val="20"/>
        </w:rPr>
        <w:t> Before BARKETT, MARCUS and WILSON, Circuit Judges.</w:t>
      </w:r>
    </w:p>
    <w:p w14:paraId="7F472B24" w14:textId="77777777" w:rsidR="00D041A2" w:rsidRDefault="00000000">
      <w:pPr>
        <w:pStyle w:val="Normal30"/>
        <w:keepNext/>
        <w:widowControl w:val="0"/>
        <w:spacing w:before="240" w:line="340" w:lineRule="atLeast"/>
      </w:pPr>
      <w:bookmarkStart w:id="3421" w:name="Opinion_29"/>
      <w:bookmarkEnd w:id="3421"/>
      <w:r>
        <w:rPr>
          <w:rFonts w:ascii="Arial" w:eastAsia="Arial" w:hAnsi="Arial" w:cs="Arial"/>
          <w:b/>
          <w:color w:val="000000"/>
          <w:sz w:val="28"/>
        </w:rPr>
        <w:t>Opinion</w:t>
      </w:r>
    </w:p>
    <w:p w14:paraId="684F0FBE" w14:textId="45D0491E" w:rsidR="00D041A2" w:rsidRDefault="004D4403">
      <w:pPr>
        <w:pStyle w:val="Normal30"/>
        <w:spacing w:line="60" w:lineRule="exact"/>
      </w:pPr>
      <w:r>
        <w:rPr>
          <w:noProof/>
        </w:rPr>
        <mc:AlternateContent>
          <mc:Choice Requires="wps">
            <w:drawing>
              <wp:anchor distT="0" distB="0" distL="114300" distR="114300" simplePos="0" relativeHeight="251722752" behindDoc="0" locked="0" layoutInCell="1" allowOverlap="1" wp14:anchorId="5445B777" wp14:editId="51CD234E">
                <wp:simplePos x="0" y="0"/>
                <wp:positionH relativeFrom="column">
                  <wp:posOffset>0</wp:posOffset>
                </wp:positionH>
                <wp:positionV relativeFrom="paragraph">
                  <wp:posOffset>25400</wp:posOffset>
                </wp:positionV>
                <wp:extent cx="3187700" cy="0"/>
                <wp:effectExtent l="19050" t="15875" r="12700" b="12700"/>
                <wp:wrapTopAndBottom/>
                <wp:docPr id="198547845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F893F"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C1BE795" w14:textId="77777777" w:rsidR="00D041A2" w:rsidRDefault="00D041A2">
      <w:pPr>
        <w:pStyle w:val="Normal30"/>
      </w:pPr>
    </w:p>
    <w:p w14:paraId="159006C3" w14:textId="77777777" w:rsidR="00D041A2" w:rsidRDefault="00000000">
      <w:pPr>
        <w:pStyle w:val="Normal30"/>
        <w:widowControl w:val="0"/>
        <w:spacing w:before="200" w:line="260" w:lineRule="atLeast"/>
        <w:jc w:val="both"/>
      </w:pPr>
      <w:bookmarkStart w:id="3422" w:name="Bookmark_para_3_29"/>
      <w:bookmarkEnd w:id="3422"/>
      <w:r>
        <w:rPr>
          <w:rFonts w:ascii="Arial" w:eastAsia="Arial" w:hAnsi="Arial" w:cs="Arial"/>
          <w:color w:val="000000"/>
          <w:sz w:val="20"/>
        </w:rPr>
        <w:t> [*867]  PER CURIAM:</w:t>
      </w:r>
    </w:p>
    <w:p w14:paraId="51603331" w14:textId="77777777" w:rsidR="00D041A2" w:rsidRDefault="00000000">
      <w:pPr>
        <w:pStyle w:val="Normal30"/>
        <w:widowControl w:val="0"/>
        <w:spacing w:before="200" w:line="260" w:lineRule="atLeast"/>
        <w:jc w:val="both"/>
      </w:pPr>
      <w:bookmarkStart w:id="3423" w:name="Bookmark_para_4_29"/>
      <w:bookmarkEnd w:id="3423"/>
      <w:r>
        <w:rPr>
          <w:rFonts w:ascii="Arial" w:eastAsia="Arial" w:hAnsi="Arial" w:cs="Arial"/>
          <w:color w:val="000000"/>
          <w:sz w:val="20"/>
        </w:rPr>
        <w:t>Emilio Pinero, a left-leg amputee, brought an action under Title III of the Americans with Disabilities Act ("ADA"), 42 U.S.C. §§ 12181-12189, against to [*868]  Defendant's premises because of barriers that existed at the facility, which was built before the enactment of the ADA. The district court conducted a bench trial in July 2010. At the close of Pinero's case, Defendant moved for judgment as a matter of law,</w:t>
      </w:r>
      <w:r>
        <w:rPr>
          <w:rFonts w:ascii="Arial" w:eastAsia="Arial" w:hAnsi="Arial" w:cs="Arial"/>
          <w:vertAlign w:val="superscript"/>
        </w:rPr>
        <w:footnoteReference w:customMarkFollows="1" w:id="169"/>
        <w:t>1</w:t>
      </w:r>
      <w:r>
        <w:rPr>
          <w:rFonts w:ascii="Arial" w:eastAsia="Arial" w:hAnsi="Arial" w:cs="Arial"/>
          <w:color w:val="000000"/>
          <w:sz w:val="20"/>
        </w:rPr>
        <w:t xml:space="preserve"> and the court granted that motion. Pinero raises a number of issues on appeal,</w:t>
      </w:r>
      <w:r>
        <w:rPr>
          <w:rFonts w:ascii="Arial" w:eastAsia="Arial" w:hAnsi="Arial" w:cs="Arial"/>
          <w:vertAlign w:val="superscript"/>
        </w:rPr>
        <w:footnoteReference w:customMarkFollows="1" w:id="170"/>
        <w:t>2</w:t>
      </w:r>
      <w:r>
        <w:rPr>
          <w:rFonts w:ascii="Arial" w:eastAsia="Arial" w:hAnsi="Arial" w:cs="Arial"/>
          <w:color w:val="000000"/>
          <w:sz w:val="20"/>
        </w:rPr>
        <w:t xml:space="preserve"> which we address in turn.</w:t>
      </w:r>
    </w:p>
    <w:p w14:paraId="7298BC29" w14:textId="77777777" w:rsidR="00D041A2" w:rsidRDefault="00000000">
      <w:pPr>
        <w:pStyle w:val="Normal30"/>
        <w:widowControl w:val="0"/>
        <w:spacing w:before="240" w:line="260" w:lineRule="atLeast"/>
      </w:pPr>
      <w:r>
        <w:br/>
      </w:r>
      <w:r>
        <w:rPr>
          <w:rFonts w:ascii="Arial" w:eastAsia="Arial" w:hAnsi="Arial" w:cs="Arial"/>
          <w:b/>
          <w:color w:val="000000"/>
          <w:sz w:val="20"/>
        </w:rPr>
        <w:t>I. Motion to Amend</w:t>
      </w:r>
    </w:p>
    <w:p w14:paraId="6877572B" w14:textId="77777777" w:rsidR="00D041A2" w:rsidRDefault="00000000">
      <w:pPr>
        <w:pStyle w:val="Normal30"/>
        <w:widowControl w:val="0"/>
        <w:spacing w:before="200" w:line="260" w:lineRule="atLeast"/>
        <w:jc w:val="both"/>
      </w:pPr>
      <w:bookmarkStart w:id="3444" w:name="Bookmark_para_6_29"/>
      <w:bookmarkStart w:id="3445" w:name="Bookmark_I5398CRV2SF88H0020000400"/>
      <w:bookmarkEnd w:id="3444"/>
      <w:bookmarkEnd w:id="3445"/>
      <w:r>
        <w:rPr>
          <w:rFonts w:ascii="Arial" w:eastAsia="Arial" w:hAnsi="Arial" w:cs="Arial"/>
          <w:color w:val="000000"/>
          <w:sz w:val="20"/>
        </w:rPr>
        <w:t xml:space="preserve">First, Pinero argues the district court erred in denying his motion to amend his complaint to add an additional defendant. </w:t>
      </w:r>
      <w:bookmarkStart w:id="3446" w:name="Bookmark_LNHNREFclscc5_19"/>
      <w:bookmarkEnd w:id="3446"/>
      <w:r>
        <w:rPr>
          <w:rFonts w:ascii="Arial" w:eastAsia="Arial" w:hAnsi="Arial" w:cs="Arial"/>
          <w:color w:val="000000"/>
          <w:sz w:val="20"/>
        </w:rPr>
        <w:t xml:space="preserve">We review the denial of a motion to amend for abuse of discretion. </w:t>
      </w:r>
      <w:bookmarkStart w:id="3447" w:name="Bookmark_I5398CRV2SF88H0010000400"/>
      <w:bookmarkEnd w:id="3447"/>
      <w:r>
        <w:rPr>
          <w:rFonts w:ascii="Arial" w:eastAsia="Arial" w:hAnsi="Arial" w:cs="Arial"/>
          <w:i/>
          <w:color w:val="000000"/>
          <w:sz w:val="20"/>
        </w:rPr>
        <w:t>Corsello v. Lincare, Inc</w:t>
      </w:r>
      <w:r>
        <w:rPr>
          <w:rFonts w:ascii="Arial" w:eastAsia="Arial" w:hAnsi="Arial" w:cs="Arial"/>
          <w:color w:val="000000"/>
          <w:sz w:val="20"/>
        </w:rPr>
        <w:t>., 428 F.3d 1008, 1012 (11th Cir. 2005) (per curiam).</w:t>
      </w:r>
    </w:p>
    <w:p w14:paraId="45580A93" w14:textId="77777777" w:rsidR="00D041A2" w:rsidRDefault="00000000">
      <w:pPr>
        <w:pStyle w:val="Normal30"/>
        <w:widowControl w:val="0"/>
        <w:spacing w:before="200" w:line="260" w:lineRule="atLeast"/>
        <w:jc w:val="both"/>
      </w:pPr>
      <w:bookmarkStart w:id="3448" w:name="Bookmark_para_7_29"/>
      <w:bookmarkEnd w:id="3448"/>
      <w:r>
        <w:rPr>
          <w:rFonts w:ascii="Arial" w:eastAsia="Arial" w:hAnsi="Arial" w:cs="Arial"/>
          <w:color w:val="000000"/>
          <w:sz w:val="20"/>
        </w:rPr>
        <w:t xml:space="preserve">The district court did not abuse its discretion in denying Pinero's motion to amend. The court's scheduling order imposed a deadline for amending pleadings, chosen by the parties, of September 28, 2009. </w:t>
      </w:r>
      <w:bookmarkStart w:id="3449" w:name="Bookmark_I5398CRV2SF88H0040000400"/>
      <w:bookmarkEnd w:id="3449"/>
      <w:r>
        <w:rPr>
          <w:rFonts w:ascii="Arial" w:eastAsia="Arial" w:hAnsi="Arial" w:cs="Arial"/>
          <w:color w:val="000000"/>
          <w:sz w:val="20"/>
        </w:rPr>
        <w:t xml:space="preserve">Pinero sought to add Raimundo Gonzalez, the sole member of the Defendant [*869]  L.L.C.,  [**5] on March 4, 2010—more than five months after the deadline. </w:t>
      </w:r>
      <w:bookmarkStart w:id="3450" w:name="Bookmark_I5398CRV2N1RC30010000400"/>
      <w:bookmarkStart w:id="3451" w:name="Bookmark_LNHNREFclscc6_19"/>
      <w:bookmarkEnd w:id="3450"/>
      <w:bookmarkEnd w:id="3451"/>
      <w:r>
        <w:rPr>
          <w:rFonts w:ascii="Arial" w:eastAsia="Arial" w:hAnsi="Arial" w:cs="Arial"/>
          <w:color w:val="000000"/>
          <w:sz w:val="20"/>
        </w:rPr>
        <w:t xml:space="preserve">When a motion to amend is filed after a scheduling-order deadline, Federal Rule of Civil Procedure 16 controls. </w:t>
      </w:r>
      <w:bookmarkStart w:id="3452" w:name="Bookmark_I5398CRV2SF88H0030000400"/>
      <w:bookmarkEnd w:id="3452"/>
      <w:r>
        <w:rPr>
          <w:rFonts w:ascii="Arial" w:eastAsia="Arial" w:hAnsi="Arial" w:cs="Arial"/>
          <w:i/>
          <w:color w:val="000000"/>
          <w:sz w:val="20"/>
        </w:rPr>
        <w:t>Sosa v. Airprint Sys., Inc</w:t>
      </w:r>
      <w:r>
        <w:rPr>
          <w:rFonts w:ascii="Arial" w:eastAsia="Arial" w:hAnsi="Arial" w:cs="Arial"/>
          <w:color w:val="000000"/>
          <w:sz w:val="20"/>
        </w:rPr>
        <w:t xml:space="preserve">., 133 F.3d 1417, 1418 n.2 (11th Cir. 1998) (per curiam). </w:t>
      </w:r>
      <w:bookmarkStart w:id="3453" w:name="Bookmark_I5398CRV2N1RC30010000400_2"/>
      <w:bookmarkEnd w:id="3453"/>
      <w:r>
        <w:rPr>
          <w:rFonts w:ascii="Arial" w:eastAsia="Arial" w:hAnsi="Arial" w:cs="Arial"/>
          <w:color w:val="000000"/>
          <w:sz w:val="20"/>
        </w:rPr>
        <w:t xml:space="preserve">Under Rule 16, scheduling orders may be modified only for good cause, and only when the schedule "cannot 'be met despite the diligence of the party seeking the extension.'" </w:t>
      </w:r>
      <w:bookmarkStart w:id="3454" w:name="Bookmark_I5398CRV2SF88H0050000400"/>
      <w:bookmarkEnd w:id="3454"/>
      <w:r>
        <w:rPr>
          <w:rFonts w:ascii="Arial" w:eastAsia="Arial" w:hAnsi="Arial" w:cs="Arial"/>
          <w:i/>
          <w:color w:val="000000"/>
          <w:sz w:val="20"/>
        </w:rPr>
        <w:t>Id</w:t>
      </w:r>
      <w:r>
        <w:rPr>
          <w:rFonts w:ascii="Arial" w:eastAsia="Arial" w:hAnsi="Arial" w:cs="Arial"/>
          <w:color w:val="000000"/>
          <w:sz w:val="20"/>
        </w:rPr>
        <w:t>. at 1418 (quoting Fed. R. Civ. P. 16 advisory committee's notes). Pinero makes no attempt on appeal to demonstrate good cause, and our review indicates that the court did not abuse its discretion in finding none existed.</w:t>
      </w:r>
    </w:p>
    <w:p w14:paraId="5D9A9034" w14:textId="77777777" w:rsidR="00D041A2" w:rsidRDefault="00000000">
      <w:pPr>
        <w:pStyle w:val="Normal30"/>
        <w:widowControl w:val="0"/>
        <w:spacing w:before="240" w:line="260" w:lineRule="atLeast"/>
      </w:pPr>
      <w:r>
        <w:br/>
      </w:r>
      <w:r>
        <w:rPr>
          <w:rFonts w:ascii="Arial" w:eastAsia="Arial" w:hAnsi="Arial" w:cs="Arial"/>
          <w:b/>
          <w:color w:val="000000"/>
          <w:sz w:val="20"/>
        </w:rPr>
        <w:t>II. Evidentiary Issues</w:t>
      </w:r>
    </w:p>
    <w:p w14:paraId="0D9AFCD3" w14:textId="77777777" w:rsidR="00D041A2" w:rsidRDefault="00000000">
      <w:pPr>
        <w:pStyle w:val="Normal30"/>
        <w:widowControl w:val="0"/>
        <w:spacing w:before="200" w:line="260" w:lineRule="atLeast"/>
        <w:jc w:val="both"/>
      </w:pPr>
      <w:bookmarkStart w:id="3455" w:name="Bookmark_para_8_28"/>
      <w:bookmarkStart w:id="3456" w:name="Bookmark_I5398CRV2N1RC30030000400"/>
      <w:bookmarkEnd w:id="3455"/>
      <w:bookmarkEnd w:id="3456"/>
      <w:r>
        <w:rPr>
          <w:rFonts w:ascii="Arial" w:eastAsia="Arial" w:hAnsi="Arial" w:cs="Arial"/>
          <w:color w:val="000000"/>
          <w:sz w:val="20"/>
        </w:rPr>
        <w:t xml:space="preserve">Next, Pinero raises three evidentiary issues, namely, whether the court erred (1) in determining Pinero's expert, David Goldfarb, was not qualified to testify as to whether the proposed modifications to Defendant's property were "readily achievable"; (2) in excluding the testimony of Robert Oransky; and (3) in precluding Mr. Goldfarb from testifying about the cost estimate Mr. Oransky prepared. </w:t>
      </w:r>
      <w:bookmarkStart w:id="3457" w:name="Bookmark_LNHNREFclscc7_19"/>
      <w:bookmarkEnd w:id="3457"/>
      <w:r>
        <w:rPr>
          <w:rFonts w:ascii="Arial" w:eastAsia="Arial" w:hAnsi="Arial" w:cs="Arial"/>
          <w:color w:val="000000"/>
          <w:sz w:val="20"/>
        </w:rPr>
        <w:t xml:space="preserve">We review evidentiary rulings, including the exclusion of expert testimony, for abuse of discretion. </w:t>
      </w:r>
      <w:bookmarkStart w:id="3458" w:name="Bookmark_I5398CRV2N1RC30020000400"/>
      <w:bookmarkEnd w:id="3458"/>
      <w:r>
        <w:rPr>
          <w:rFonts w:ascii="Arial" w:eastAsia="Arial" w:hAnsi="Arial" w:cs="Arial"/>
          <w:i/>
          <w:color w:val="000000"/>
          <w:sz w:val="20"/>
        </w:rPr>
        <w:t>Rink v. Cheminova, Inc</w:t>
      </w:r>
      <w:r>
        <w:rPr>
          <w:rFonts w:ascii="Arial" w:eastAsia="Arial" w:hAnsi="Arial" w:cs="Arial"/>
          <w:color w:val="000000"/>
          <w:sz w:val="20"/>
        </w:rPr>
        <w:t>., 400 F.3d 1286, 1291 (11th Cir. 2005);  [**6] </w:t>
      </w:r>
      <w:bookmarkStart w:id="3459" w:name="Bookmark_I5398CRV2N1RC30040000400"/>
      <w:bookmarkEnd w:id="3459"/>
      <w:r>
        <w:rPr>
          <w:rFonts w:ascii="Arial" w:eastAsia="Arial" w:hAnsi="Arial" w:cs="Arial"/>
          <w:i/>
          <w:color w:val="000000"/>
          <w:sz w:val="20"/>
        </w:rPr>
        <w:t>Tran v. Toyota Motor Corp</w:t>
      </w:r>
      <w:r>
        <w:rPr>
          <w:rFonts w:ascii="Arial" w:eastAsia="Arial" w:hAnsi="Arial" w:cs="Arial"/>
          <w:color w:val="000000"/>
          <w:sz w:val="20"/>
        </w:rPr>
        <w:t>., 420 F.3d 1310, 1315 (11th Cir. 2005).</w:t>
      </w:r>
    </w:p>
    <w:p w14:paraId="0DE1EDA4" w14:textId="77777777" w:rsidR="00D041A2" w:rsidRDefault="00000000">
      <w:pPr>
        <w:pStyle w:val="Normal30"/>
        <w:widowControl w:val="0"/>
        <w:spacing w:before="200" w:line="260" w:lineRule="atLeast"/>
        <w:jc w:val="both"/>
      </w:pPr>
      <w:bookmarkStart w:id="3460" w:name="Bookmark_para_9_27"/>
      <w:bookmarkStart w:id="3461" w:name="Bookmark_I5398CRV2SF88J0020000400"/>
      <w:bookmarkStart w:id="3462" w:name="Bookmark_I5398CRV2SF88J0040000400"/>
      <w:bookmarkEnd w:id="3460"/>
      <w:bookmarkEnd w:id="3461"/>
      <w:bookmarkEnd w:id="3462"/>
      <w:r>
        <w:rPr>
          <w:rFonts w:ascii="Arial" w:eastAsia="Arial" w:hAnsi="Arial" w:cs="Arial"/>
          <w:color w:val="000000"/>
          <w:sz w:val="20"/>
        </w:rPr>
        <w:t xml:space="preserve">The district court did not abuse its discretion in precluding Mr. Goldfarb from testifying as to what proposed changes to Defendant's facility were readily achievable. </w:t>
      </w:r>
      <w:bookmarkStart w:id="3463" w:name="Bookmark_LNHNREFclscc8_19"/>
      <w:bookmarkEnd w:id="3463"/>
      <w:r>
        <w:rPr>
          <w:rFonts w:ascii="Arial" w:eastAsia="Arial" w:hAnsi="Arial" w:cs="Arial"/>
          <w:color w:val="000000"/>
          <w:sz w:val="20"/>
        </w:rPr>
        <w:t>District courts act as "gatekeepers" under Federal Rule of Evidence 702 and Daubert to admit expert</w:t>
      </w:r>
      <w:r>
        <w:rPr>
          <w:rFonts w:ascii="Arial" w:eastAsia="Arial" w:hAnsi="Arial" w:cs="Arial"/>
          <w:vertAlign w:val="superscript"/>
        </w:rPr>
        <w:footnoteReference w:customMarkFollows="1" w:id="171"/>
        <w:t>3</w:t>
      </w:r>
      <w:r>
        <w:rPr>
          <w:rFonts w:ascii="Arial" w:eastAsia="Arial" w:hAnsi="Arial" w:cs="Arial"/>
          <w:color w:val="000000"/>
          <w:sz w:val="20"/>
        </w:rPr>
        <w:t xml:space="preserve"> estimony only if it is both reliable and relevant; we give district courts "considerable leeway" in executing this duty. </w:t>
      </w:r>
      <w:bookmarkStart w:id="3466" w:name="Bookmark_I5398CRV2SF88J0010000400"/>
      <w:bookmarkEnd w:id="3466"/>
      <w:r>
        <w:rPr>
          <w:rFonts w:ascii="Arial" w:eastAsia="Arial" w:hAnsi="Arial" w:cs="Arial"/>
          <w:i/>
          <w:color w:val="000000"/>
          <w:sz w:val="20"/>
        </w:rPr>
        <w:t>Rink</w:t>
      </w:r>
      <w:r>
        <w:rPr>
          <w:rFonts w:ascii="Arial" w:eastAsia="Arial" w:hAnsi="Arial" w:cs="Arial"/>
          <w:color w:val="000000"/>
          <w:sz w:val="20"/>
        </w:rPr>
        <w:t>, 400 F.3d at 1291. Mr. Goldfarb testified that it was neither his expertise nor his role to make the determinations necessary to establish whether the barrier removal would be readily achievable. Accordingly, the district court did not abuse its discretion in limiting Mr. Goldfarb's testimony at trial.</w:t>
      </w:r>
    </w:p>
    <w:p w14:paraId="2F666EE4" w14:textId="77777777" w:rsidR="00D041A2" w:rsidRDefault="00000000">
      <w:pPr>
        <w:pStyle w:val="Normal30"/>
        <w:widowControl w:val="0"/>
        <w:spacing w:before="200" w:line="260" w:lineRule="atLeast"/>
        <w:jc w:val="both"/>
      </w:pPr>
      <w:bookmarkStart w:id="3467" w:name="Bookmark_para_10_27"/>
      <w:bookmarkEnd w:id="3467"/>
      <w:r>
        <w:rPr>
          <w:rFonts w:ascii="Arial" w:eastAsia="Arial" w:hAnsi="Arial" w:cs="Arial"/>
          <w:color w:val="000000"/>
          <w:sz w:val="20"/>
        </w:rPr>
        <w:t xml:space="preserve">Nor did the district court abuse its discretion in excluding Mr. Oransky's testimony or in precluding Mr. Goldfarb from considering his cost estimates. </w:t>
      </w:r>
      <w:bookmarkStart w:id="3468" w:name="Bookmark_LNHNREFclscc9_19"/>
      <w:bookmarkEnd w:id="3468"/>
      <w:r>
        <w:rPr>
          <w:rFonts w:ascii="Arial" w:eastAsia="Arial" w:hAnsi="Arial" w:cs="Arial"/>
          <w:color w:val="000000"/>
          <w:sz w:val="20"/>
        </w:rPr>
        <w:t>Federal Rule of Civil Procedure 26(a)(1) requires parties to disclose, among other things, individuals likely to have discoverable information that the disclosing party may use to support its claims or defenses,  [**7] as well as supporting documents, items, and information. Rule 26(a)(2) establishes additional disclosure requirements for expert witnesses, including the submission of a written report outlining, among other things, the expert's opinions, the basis and reasons therefor, and the data or other information considered in forming them. If a party fails to meet Rule 26's disclosure requirements, Federal Rule of Civil Procedure 37(c)(1) prohibits that party from "us[ing] that information or witness to supply evidence . . . at a trial, unless the failure was substantially justified or is harmless." Pinero failed to disclose Mr. Oransky—as either a fact witness or an expert—during discovery, and because he has failed to demonstrate that this failure to comply with Rule 26's disclosure requirements was substantially justified or harmless, we cannot say that the district court abused its discretion in either ruling.</w:t>
      </w:r>
    </w:p>
    <w:p w14:paraId="07B8F128" w14:textId="77777777" w:rsidR="00D041A2" w:rsidRDefault="00000000">
      <w:pPr>
        <w:pStyle w:val="Normal30"/>
        <w:widowControl w:val="0"/>
        <w:spacing w:before="240" w:line="260" w:lineRule="atLeast"/>
      </w:pPr>
      <w:r>
        <w:br/>
      </w:r>
      <w:r>
        <w:rPr>
          <w:rFonts w:ascii="Arial" w:eastAsia="Arial" w:hAnsi="Arial" w:cs="Arial"/>
          <w:color w:val="000000"/>
          <w:sz w:val="20"/>
        </w:rPr>
        <w:t xml:space="preserve"> [*870]  </w:t>
      </w:r>
      <w:r>
        <w:rPr>
          <w:rFonts w:ascii="Arial" w:eastAsia="Arial" w:hAnsi="Arial" w:cs="Arial"/>
          <w:b/>
          <w:color w:val="000000"/>
          <w:sz w:val="20"/>
        </w:rPr>
        <w:t>III. Judgment on Partial Findings</w:t>
      </w:r>
    </w:p>
    <w:p w14:paraId="5D083437" w14:textId="77777777" w:rsidR="00D041A2" w:rsidRDefault="00000000">
      <w:pPr>
        <w:pStyle w:val="Normal30"/>
        <w:widowControl w:val="0"/>
        <w:spacing w:before="200" w:line="260" w:lineRule="atLeast"/>
        <w:jc w:val="both"/>
      </w:pPr>
      <w:bookmarkStart w:id="3469" w:name="Bookmark_para_11_26"/>
      <w:bookmarkStart w:id="3470" w:name="Bookmark_I5398CRV2D6N230010000400"/>
      <w:bookmarkEnd w:id="3469"/>
      <w:bookmarkEnd w:id="3470"/>
      <w:r>
        <w:rPr>
          <w:rFonts w:ascii="Arial" w:eastAsia="Arial" w:hAnsi="Arial" w:cs="Arial"/>
          <w:color w:val="000000"/>
          <w:sz w:val="20"/>
        </w:rPr>
        <w:t xml:space="preserve">Finally, Pinero argues the district court erred in granting Defendant's motion for judgment. </w:t>
      </w:r>
      <w:bookmarkStart w:id="3471" w:name="Bookmark_LNHNREFclscc10_17"/>
      <w:bookmarkEnd w:id="3471"/>
      <w:r>
        <w:rPr>
          <w:rFonts w:ascii="Arial" w:eastAsia="Arial" w:hAnsi="Arial" w:cs="Arial"/>
          <w:color w:val="000000"/>
          <w:sz w:val="20"/>
        </w:rPr>
        <w:t xml:space="preserve">A Rule 52(c) motion for judgment on partial findings presents a mixed question of law and fact; we review the district court's factual findings for clear error  [**8] and its conclusions of law </w:t>
      </w:r>
      <w:r>
        <w:rPr>
          <w:rFonts w:ascii="Arial" w:eastAsia="Arial" w:hAnsi="Arial" w:cs="Arial"/>
          <w:i/>
          <w:color w:val="000000"/>
          <w:sz w:val="20"/>
        </w:rPr>
        <w:t xml:space="preserve">de novo. See </w:t>
      </w:r>
      <w:bookmarkStart w:id="3472" w:name="Bookmark_I5398CRV2SF88J0050000400"/>
      <w:bookmarkEnd w:id="3472"/>
      <w:r>
        <w:rPr>
          <w:rFonts w:ascii="Arial" w:eastAsia="Arial" w:hAnsi="Arial" w:cs="Arial"/>
          <w:i/>
          <w:color w:val="000000"/>
          <w:sz w:val="20"/>
        </w:rPr>
        <w:t>Veale v. Citibank, F.S.B</w:t>
      </w:r>
      <w:r>
        <w:rPr>
          <w:rFonts w:ascii="Arial" w:eastAsia="Arial" w:hAnsi="Arial" w:cs="Arial"/>
          <w:color w:val="000000"/>
          <w:sz w:val="20"/>
        </w:rPr>
        <w:t>., 85 F.3d 577, 579 (11th Cir. 1996).</w:t>
      </w:r>
    </w:p>
    <w:p w14:paraId="1EC81406" w14:textId="77777777" w:rsidR="00D041A2" w:rsidRDefault="00000000">
      <w:pPr>
        <w:pStyle w:val="Normal30"/>
        <w:widowControl w:val="0"/>
        <w:spacing w:before="200" w:line="260" w:lineRule="atLeast"/>
        <w:jc w:val="both"/>
      </w:pPr>
      <w:bookmarkStart w:id="3473" w:name="Bookmark_para_12_25"/>
      <w:bookmarkStart w:id="3474" w:name="Bookmark_I5398CRV2D6N230030000400"/>
      <w:bookmarkEnd w:id="3473"/>
      <w:bookmarkEnd w:id="3474"/>
      <w:r>
        <w:rPr>
          <w:rFonts w:ascii="Arial" w:eastAsia="Arial" w:hAnsi="Arial" w:cs="Arial"/>
          <w:color w:val="000000"/>
          <w:sz w:val="20"/>
        </w:rPr>
        <w:t xml:space="preserve">After hearing arguments on Defendant's motion for judgment following the close of Pinero's case, the district court recounted testimony pertaining to each alleged barrier. It then reiterated Pinero's burden under </w:t>
      </w:r>
      <w:r>
        <w:rPr>
          <w:rFonts w:ascii="Arial" w:eastAsia="Arial" w:hAnsi="Arial" w:cs="Arial"/>
          <w:i/>
          <w:color w:val="000000"/>
          <w:sz w:val="20"/>
        </w:rPr>
        <w:t>Garthright-Dietrich</w:t>
      </w:r>
      <w:r>
        <w:rPr>
          <w:rFonts w:ascii="Arial" w:eastAsia="Arial" w:hAnsi="Arial" w:cs="Arial"/>
          <w:color w:val="000000"/>
          <w:sz w:val="20"/>
        </w:rPr>
        <w:t xml:space="preserve">: "the plaintiff has the initial burden of production to show (1) that an architectural barrier exists; and (2) that the proposed method of architectural barrier removal is 'readily achievable,' i.e., 'easily accomplishable and able to be carried out without much difficulty or expense' under the particular circumstances of the case." </w:t>
      </w:r>
      <w:bookmarkStart w:id="3475" w:name="Bookmark_I5398CRV2D6N230020000400"/>
      <w:bookmarkEnd w:id="3475"/>
      <w:r>
        <w:rPr>
          <w:rFonts w:ascii="Arial" w:eastAsia="Arial" w:hAnsi="Arial" w:cs="Arial"/>
          <w:color w:val="000000"/>
          <w:sz w:val="20"/>
        </w:rPr>
        <w:t xml:space="preserve">452 F.3d at 1273 (quoting </w:t>
      </w:r>
      <w:bookmarkStart w:id="3476" w:name="Bookmark_I5398CRV2D6N230040000400"/>
      <w:bookmarkEnd w:id="3476"/>
      <w:r>
        <w:rPr>
          <w:rFonts w:ascii="Arial" w:eastAsia="Arial" w:hAnsi="Arial" w:cs="Arial"/>
          <w:i/>
          <w:color w:val="000000"/>
          <w:sz w:val="20"/>
        </w:rPr>
        <w:t>Colo. Cross Disability Coal. v. Hermanson Family Ltd. P'ship I</w:t>
      </w:r>
      <w:r>
        <w:rPr>
          <w:rFonts w:ascii="Arial" w:eastAsia="Arial" w:hAnsi="Arial" w:cs="Arial"/>
          <w:color w:val="000000"/>
          <w:sz w:val="20"/>
        </w:rPr>
        <w:t>, 264 F.3d 999, 1007 (10th Cir. 2001)). Noting the evidentiary deficiencies in Pinero's case, the district court concluded that Pinero failed to meet his burden and that judgment for Defendant was appropriate. Based on our review, we do not find fault with either the court's factual findings or its conclusions of law.</w:t>
      </w:r>
    </w:p>
    <w:p w14:paraId="7CB4EF2F" w14:textId="77777777" w:rsidR="00D041A2" w:rsidRDefault="00000000">
      <w:pPr>
        <w:pStyle w:val="Normal30"/>
        <w:widowControl w:val="0"/>
        <w:spacing w:before="240" w:line="260" w:lineRule="atLeast"/>
      </w:pPr>
      <w:r>
        <w:br/>
      </w:r>
      <w:r>
        <w:rPr>
          <w:rFonts w:ascii="Arial" w:eastAsia="Arial" w:hAnsi="Arial" w:cs="Arial"/>
          <w:b/>
          <w:color w:val="000000"/>
          <w:sz w:val="20"/>
        </w:rPr>
        <w:t>IV. Conclusion</w:t>
      </w:r>
    </w:p>
    <w:p w14:paraId="4448E971" w14:textId="77777777" w:rsidR="00D041A2" w:rsidRDefault="00000000">
      <w:pPr>
        <w:pStyle w:val="Normal30"/>
        <w:widowControl w:val="0"/>
        <w:spacing w:before="200" w:line="260" w:lineRule="atLeast"/>
        <w:jc w:val="both"/>
      </w:pPr>
      <w:bookmarkStart w:id="3477" w:name="Bookmark_para_13_23"/>
      <w:bookmarkEnd w:id="3477"/>
      <w:r>
        <w:rPr>
          <w:rFonts w:ascii="Arial" w:eastAsia="Arial" w:hAnsi="Arial" w:cs="Arial"/>
          <w:color w:val="000000"/>
          <w:sz w:val="20"/>
        </w:rPr>
        <w:t xml:space="preserve">For the foregoing reasons, the judgment of the district court is </w:t>
      </w:r>
      <w:r>
        <w:rPr>
          <w:rFonts w:ascii="Arial" w:eastAsia="Arial" w:hAnsi="Arial" w:cs="Arial"/>
          <w:b/>
          <w:color w:val="000000"/>
          <w:sz w:val="20"/>
        </w:rPr>
        <w:t>AFFIRMED</w:t>
      </w:r>
      <w:r>
        <w:rPr>
          <w:rFonts w:ascii="Arial" w:eastAsia="Arial" w:hAnsi="Arial" w:cs="Arial"/>
          <w:color w:val="000000"/>
          <w:sz w:val="20"/>
        </w:rPr>
        <w:t>.</w:t>
      </w:r>
    </w:p>
    <w:p w14:paraId="3C306832" w14:textId="77777777" w:rsidR="00D041A2" w:rsidRDefault="00D041A2">
      <w:pPr>
        <w:pStyle w:val="Normal30"/>
      </w:pPr>
    </w:p>
    <w:p w14:paraId="281A1F55" w14:textId="224A1F51" w:rsidR="00D041A2" w:rsidRDefault="00000000">
      <w:pPr>
        <w:pStyle w:val="Normal30"/>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23776" behindDoc="0" locked="0" layoutInCell="1" allowOverlap="1" wp14:anchorId="119C43C6" wp14:editId="334968E6">
                <wp:simplePos x="0" y="0"/>
                <wp:positionH relativeFrom="column">
                  <wp:posOffset>0</wp:posOffset>
                </wp:positionH>
                <wp:positionV relativeFrom="paragraph">
                  <wp:posOffset>127000</wp:posOffset>
                </wp:positionV>
                <wp:extent cx="6502400" cy="0"/>
                <wp:effectExtent l="9525" t="12700" r="12700" b="6350"/>
                <wp:wrapNone/>
                <wp:docPr id="576588793"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14E55" id="Line 65"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D30B934" w14:textId="77777777" w:rsidR="00D041A2" w:rsidRDefault="00D041A2">
      <w:pPr>
        <w:pStyle w:val="Normal31"/>
        <w:sectPr w:rsidR="00D041A2">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gutter="0"/>
          <w:cols w:space="720"/>
          <w:titlePg/>
        </w:sectPr>
      </w:pPr>
    </w:p>
    <w:p w14:paraId="213DB1A5" w14:textId="77777777" w:rsidR="00D041A2" w:rsidRDefault="00D041A2">
      <w:pPr>
        <w:pStyle w:val="Normal31"/>
      </w:pPr>
    </w:p>
    <w:p w14:paraId="56D4D1CB" w14:textId="77777777" w:rsidR="00D041A2" w:rsidRDefault="00000000">
      <w:pPr>
        <w:pStyle w:val="Heading130"/>
        <w:keepNext w:val="0"/>
        <w:widowControl w:val="0"/>
        <w:spacing w:after="200" w:line="340" w:lineRule="atLeast"/>
        <w:jc w:val="center"/>
      </w:pPr>
      <w:r>
        <w:rPr>
          <w:rFonts w:eastAsia="Arial"/>
          <w:color w:val="000000"/>
          <w:sz w:val="28"/>
        </w:rPr>
        <w:t>EEOC v. C.R. Eng., Inc.</w:t>
      </w:r>
    </w:p>
    <w:p w14:paraId="3D814432" w14:textId="77777777" w:rsidR="00D041A2" w:rsidRDefault="00000000">
      <w:pPr>
        <w:pStyle w:val="Normal31"/>
        <w:widowControl w:val="0"/>
        <w:spacing w:before="120" w:line="260" w:lineRule="atLeast"/>
        <w:jc w:val="center"/>
      </w:pPr>
      <w:r>
        <w:rPr>
          <w:rFonts w:ascii="Arial" w:eastAsia="Arial" w:hAnsi="Arial" w:cs="Arial"/>
          <w:color w:val="000000"/>
          <w:sz w:val="20"/>
        </w:rPr>
        <w:t>United States Court of Appeals for the Tenth Circuit</w:t>
      </w:r>
    </w:p>
    <w:p w14:paraId="2321F7C6" w14:textId="77777777" w:rsidR="00D041A2" w:rsidRDefault="00000000">
      <w:pPr>
        <w:pStyle w:val="Normal31"/>
        <w:widowControl w:val="0"/>
        <w:spacing w:before="120" w:line="260" w:lineRule="atLeast"/>
        <w:jc w:val="center"/>
      </w:pPr>
      <w:r>
        <w:rPr>
          <w:rFonts w:ascii="Arial" w:eastAsia="Arial" w:hAnsi="Arial" w:cs="Arial"/>
          <w:color w:val="000000"/>
          <w:sz w:val="20"/>
        </w:rPr>
        <w:t>May 3, 2011, Filed</w:t>
      </w:r>
    </w:p>
    <w:p w14:paraId="692B36F3" w14:textId="77777777" w:rsidR="00D041A2" w:rsidRDefault="00000000">
      <w:pPr>
        <w:pStyle w:val="Normal31"/>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09-4207, No. 09-4217</w:t>
      </w:r>
    </w:p>
    <w:p w14:paraId="39E8082E" w14:textId="77777777" w:rsidR="00D041A2" w:rsidRDefault="00D041A2">
      <w:pPr>
        <w:pStyle w:val="Normal31"/>
        <w:widowControl w:val="0"/>
        <w:spacing w:line="240" w:lineRule="atLeast"/>
        <w:jc w:val="both"/>
      </w:pPr>
      <w:bookmarkStart w:id="3478" w:name="Bookmark_32"/>
      <w:bookmarkEnd w:id="3478"/>
    </w:p>
    <w:p w14:paraId="158EA8E0" w14:textId="77777777" w:rsidR="00D041A2" w:rsidRDefault="00000000">
      <w:pPr>
        <w:pStyle w:val="Normal31"/>
        <w:widowControl w:val="0"/>
        <w:spacing w:before="200" w:line="240" w:lineRule="atLeast"/>
      </w:pPr>
      <w:bookmarkStart w:id="3479" w:name="Reporter_30"/>
      <w:bookmarkEnd w:id="3479"/>
      <w:r>
        <w:rPr>
          <w:rFonts w:ascii="Arial" w:eastAsia="Arial" w:hAnsi="Arial" w:cs="Arial"/>
          <w:b/>
          <w:color w:val="000000"/>
          <w:sz w:val="18"/>
        </w:rPr>
        <w:t>Reporter</w:t>
      </w:r>
    </w:p>
    <w:p w14:paraId="1CF15CE3" w14:textId="77777777" w:rsidR="00D041A2" w:rsidRDefault="00000000">
      <w:pPr>
        <w:pStyle w:val="Normal31"/>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2011 U.S. App. LEXIS 8971 *; 644 F.3d 1028 **; 14 Accom. Disabilities Dec. (CCH) P14-197; 24 Am. Disabilities Cas. (BNA) 897</w:t>
      </w:r>
    </w:p>
    <w:p w14:paraId="72853D30" w14:textId="77777777" w:rsidR="00D041A2" w:rsidRDefault="00000000">
      <w:pPr>
        <w:pStyle w:val="Normal31"/>
        <w:widowControl w:val="0"/>
        <w:spacing w:before="120" w:line="260" w:lineRule="atLeast"/>
      </w:pPr>
      <w:r>
        <w:rPr>
          <w:rFonts w:ascii="Arial" w:eastAsia="Arial" w:hAnsi="Arial" w:cs="Arial"/>
          <w:color w:val="000000"/>
          <w:sz w:val="20"/>
        </w:rPr>
        <w:t>EQUAL EMPLOYMENT OPPORTUNITY COMMISSION, Plaintiff-Appellant, and WALTER WATSON, Intervenor-Plaintiff, v. C.R. ENGLAND, INC., Defendant-Appellee.EQUAL EMPLOYMENT OPPORTUNITY COMMISSION, Plaintiff, and WALTER WATSON, Intervenor-Plaintiff-Appellant, v. C.R. ENGLAND, INC., Defendant-Appellee.</w:t>
      </w:r>
    </w:p>
    <w:p w14:paraId="7C895AA3" w14:textId="77777777" w:rsidR="00D041A2" w:rsidRDefault="00000000">
      <w:pPr>
        <w:pStyle w:val="Normal31"/>
        <w:widowControl w:val="0"/>
        <w:spacing w:before="240" w:line="260" w:lineRule="atLeast"/>
        <w:jc w:val="both"/>
      </w:pPr>
      <w:bookmarkStart w:id="3480" w:name="Prior_History_30"/>
      <w:bookmarkEnd w:id="3480"/>
      <w:r>
        <w:rPr>
          <w:rFonts w:ascii="Arial" w:eastAsia="Arial" w:hAnsi="Arial" w:cs="Arial"/>
          <w:b/>
          <w:color w:val="000000"/>
          <w:sz w:val="20"/>
        </w:rPr>
        <w:t>Prior History:</w:t>
      </w:r>
      <w:r>
        <w:rPr>
          <w:rFonts w:ascii="Arial" w:eastAsia="Arial" w:hAnsi="Arial" w:cs="Arial"/>
          <w:color w:val="000000"/>
          <w:sz w:val="20"/>
        </w:rPr>
        <w:t>  [*1] </w:t>
      </w:r>
      <w:bookmarkStart w:id="3481" w:name="Bookmark_para_1_30"/>
      <w:bookmarkEnd w:id="3481"/>
      <w:r>
        <w:rPr>
          <w:rFonts w:ascii="Arial" w:eastAsia="Arial" w:hAnsi="Arial" w:cs="Arial"/>
          <w:color w:val="000000"/>
          <w:sz w:val="20"/>
        </w:rPr>
        <w:t>Appeal from the United States District Court for the District of Utah. (D.C. No. 2:06-CV-00811-BSJ).</w:t>
      </w:r>
    </w:p>
    <w:p w14:paraId="3C671753" w14:textId="77777777" w:rsidR="00D041A2" w:rsidRDefault="00000000">
      <w:pPr>
        <w:pStyle w:val="Normal31"/>
        <w:widowControl w:val="0"/>
        <w:spacing w:before="240" w:line="260" w:lineRule="atLeast"/>
      </w:pPr>
      <w:bookmarkStart w:id="3482" w:name="Counsel_30"/>
      <w:bookmarkEnd w:id="3482"/>
      <w:r>
        <w:rPr>
          <w:rFonts w:ascii="Arial" w:eastAsia="Arial" w:hAnsi="Arial" w:cs="Arial"/>
          <w:b/>
          <w:color w:val="000000"/>
          <w:sz w:val="20"/>
        </w:rPr>
        <w:t>Counsel:</w:t>
      </w:r>
      <w:r>
        <w:rPr>
          <w:rFonts w:ascii="Arial" w:eastAsia="Arial" w:hAnsi="Arial" w:cs="Arial"/>
          <w:color w:val="000000"/>
          <w:sz w:val="20"/>
        </w:rPr>
        <w:t> Anne Noel Occhialino(James L. Lee, Deputy General Counsel, Lorraine C. Davis, Acting Associate General Counsel, P. David Lopez, General Counsel, with her on the briefs), Equal Employment Opportunity Commission, Office of General Counsel Appellate Service, Washington, D.C., for Plaintiff-Appellant.</w:t>
      </w:r>
    </w:p>
    <w:p w14:paraId="59F6AB95" w14:textId="77777777" w:rsidR="00D041A2" w:rsidRDefault="00000000">
      <w:pPr>
        <w:pStyle w:val="Normal31"/>
        <w:widowControl w:val="0"/>
        <w:spacing w:before="120" w:line="260" w:lineRule="atLeast"/>
      </w:pPr>
      <w:r>
        <w:rPr>
          <w:rFonts w:ascii="Arial" w:eastAsia="Arial" w:hAnsi="Arial" w:cs="Arial"/>
          <w:color w:val="000000"/>
          <w:sz w:val="20"/>
        </w:rPr>
        <w:t>Russell T. Monahan, Cook &amp; Monahan, Salt Lake City, Utah, for Intervenor-Plaintiff-Appellant.</w:t>
      </w:r>
    </w:p>
    <w:p w14:paraId="67216A90" w14:textId="77777777" w:rsidR="00D041A2" w:rsidRDefault="00000000">
      <w:pPr>
        <w:pStyle w:val="Normal31"/>
        <w:widowControl w:val="0"/>
        <w:spacing w:before="120" w:line="260" w:lineRule="atLeast"/>
      </w:pPr>
      <w:r>
        <w:rPr>
          <w:rFonts w:ascii="Arial" w:eastAsia="Arial" w:hAnsi="Arial" w:cs="Arial"/>
          <w:color w:val="000000"/>
          <w:sz w:val="20"/>
        </w:rPr>
        <w:t>Scott A. Hagen (Michael E. Blue, with him on the briefs), Ray Quinney &amp; Nebeker P.C., Salt Lake City, Utah, for Defendant-Appellee.</w:t>
      </w:r>
    </w:p>
    <w:p w14:paraId="080204B0" w14:textId="77777777" w:rsidR="00D041A2" w:rsidRDefault="00000000">
      <w:pPr>
        <w:pStyle w:val="Normal31"/>
        <w:widowControl w:val="0"/>
        <w:spacing w:before="240" w:line="260" w:lineRule="atLeast"/>
      </w:pPr>
      <w:bookmarkStart w:id="3483" w:name="Judges_30"/>
      <w:bookmarkEnd w:id="3483"/>
      <w:r>
        <w:rPr>
          <w:rFonts w:ascii="Arial" w:eastAsia="Arial" w:hAnsi="Arial" w:cs="Arial"/>
          <w:b/>
          <w:color w:val="000000"/>
          <w:sz w:val="20"/>
        </w:rPr>
        <w:t>Judges:</w:t>
      </w:r>
      <w:r>
        <w:rPr>
          <w:rFonts w:ascii="Arial" w:eastAsia="Arial" w:hAnsi="Arial" w:cs="Arial"/>
          <w:color w:val="000000"/>
          <w:sz w:val="20"/>
        </w:rPr>
        <w:t> Before KELLY, EBEL, and HOLMES, Circuit Judges.</w:t>
      </w:r>
    </w:p>
    <w:p w14:paraId="507A7667" w14:textId="77777777" w:rsidR="00D041A2" w:rsidRDefault="00000000">
      <w:pPr>
        <w:pStyle w:val="Normal31"/>
        <w:widowControl w:val="0"/>
        <w:spacing w:before="240" w:line="260" w:lineRule="atLeast"/>
      </w:pPr>
      <w:bookmarkStart w:id="3484" w:name="Opinion_by_17"/>
      <w:bookmarkEnd w:id="3484"/>
      <w:r>
        <w:rPr>
          <w:rFonts w:ascii="Arial" w:eastAsia="Arial" w:hAnsi="Arial" w:cs="Arial"/>
          <w:b/>
          <w:color w:val="000000"/>
          <w:sz w:val="20"/>
        </w:rPr>
        <w:t>Opinion by:</w:t>
      </w:r>
      <w:r>
        <w:rPr>
          <w:rFonts w:ascii="Arial" w:eastAsia="Arial" w:hAnsi="Arial" w:cs="Arial"/>
          <w:color w:val="000000"/>
          <w:sz w:val="20"/>
        </w:rPr>
        <w:t> HOLMES</w:t>
      </w:r>
    </w:p>
    <w:p w14:paraId="051D3C8A" w14:textId="77777777" w:rsidR="00D041A2" w:rsidRDefault="00000000">
      <w:pPr>
        <w:pStyle w:val="Normal31"/>
        <w:keepNext/>
        <w:widowControl w:val="0"/>
        <w:spacing w:before="240" w:line="340" w:lineRule="atLeast"/>
      </w:pPr>
      <w:bookmarkStart w:id="3485" w:name="Opinion_30"/>
      <w:bookmarkEnd w:id="3485"/>
      <w:r>
        <w:rPr>
          <w:rFonts w:ascii="Arial" w:eastAsia="Arial" w:hAnsi="Arial" w:cs="Arial"/>
          <w:b/>
          <w:color w:val="000000"/>
          <w:sz w:val="28"/>
        </w:rPr>
        <w:t>Opinion</w:t>
      </w:r>
    </w:p>
    <w:p w14:paraId="4DA83BEB" w14:textId="1452DCA1" w:rsidR="00D041A2" w:rsidRDefault="004D4403">
      <w:pPr>
        <w:pStyle w:val="Normal31"/>
        <w:spacing w:line="60" w:lineRule="exact"/>
      </w:pPr>
      <w:r>
        <w:rPr>
          <w:noProof/>
        </w:rPr>
        <mc:AlternateContent>
          <mc:Choice Requires="wps">
            <w:drawing>
              <wp:anchor distT="0" distB="0" distL="114300" distR="114300" simplePos="0" relativeHeight="251724800" behindDoc="0" locked="0" layoutInCell="1" allowOverlap="1" wp14:anchorId="32E0B9DA" wp14:editId="4C592E52">
                <wp:simplePos x="0" y="0"/>
                <wp:positionH relativeFrom="column">
                  <wp:posOffset>0</wp:posOffset>
                </wp:positionH>
                <wp:positionV relativeFrom="paragraph">
                  <wp:posOffset>25400</wp:posOffset>
                </wp:positionV>
                <wp:extent cx="3187700" cy="0"/>
                <wp:effectExtent l="19050" t="15875" r="12700" b="12700"/>
                <wp:wrapTopAndBottom/>
                <wp:docPr id="31209153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EF927" id="Line 66"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A0F92A4" w14:textId="77777777" w:rsidR="00D041A2" w:rsidRDefault="00D041A2">
      <w:pPr>
        <w:pStyle w:val="Normal31"/>
      </w:pPr>
    </w:p>
    <w:p w14:paraId="52798979" w14:textId="77777777" w:rsidR="00D041A2" w:rsidRDefault="00000000">
      <w:pPr>
        <w:pStyle w:val="Normal31"/>
        <w:widowControl w:val="0"/>
        <w:spacing w:before="200" w:line="260" w:lineRule="atLeast"/>
        <w:jc w:val="both"/>
      </w:pPr>
      <w:bookmarkStart w:id="3486" w:name="Bookmark_para_2_30"/>
      <w:bookmarkEnd w:id="3486"/>
      <w:r>
        <w:rPr>
          <w:rFonts w:ascii="Arial" w:eastAsia="Arial" w:hAnsi="Arial" w:cs="Arial"/>
          <w:color w:val="000000"/>
          <w:sz w:val="20"/>
        </w:rPr>
        <w:t xml:space="preserve"> [**1031]  </w:t>
      </w:r>
      <w:r>
        <w:rPr>
          <w:rFonts w:ascii="Arial" w:eastAsia="Arial" w:hAnsi="Arial" w:cs="Arial"/>
          <w:b/>
          <w:color w:val="000000"/>
          <w:sz w:val="20"/>
        </w:rPr>
        <w:t>HOLMES</w:t>
      </w:r>
      <w:r>
        <w:rPr>
          <w:rFonts w:ascii="Arial" w:eastAsia="Arial" w:hAnsi="Arial" w:cs="Arial"/>
          <w:color w:val="000000"/>
          <w:sz w:val="20"/>
        </w:rPr>
        <w:t>, Circuit Judge.</w:t>
      </w:r>
    </w:p>
    <w:p w14:paraId="1B9BD661" w14:textId="77777777" w:rsidR="00D041A2" w:rsidRDefault="00000000">
      <w:pPr>
        <w:pStyle w:val="Normal31"/>
        <w:widowControl w:val="0"/>
        <w:spacing w:before="240" w:line="260" w:lineRule="atLeast"/>
      </w:pPr>
      <w:r>
        <w:br/>
      </w:r>
      <w:r>
        <w:rPr>
          <w:rFonts w:ascii="Arial" w:eastAsia="Arial" w:hAnsi="Arial" w:cs="Arial"/>
          <w:b/>
          <w:color w:val="000000"/>
          <w:sz w:val="20"/>
        </w:rPr>
        <w:t>INTRODUCTION</w:t>
      </w:r>
    </w:p>
    <w:p w14:paraId="447BFE89" w14:textId="77777777" w:rsidR="00D041A2" w:rsidRDefault="00000000">
      <w:pPr>
        <w:pStyle w:val="Normal31"/>
        <w:widowControl w:val="0"/>
        <w:spacing w:before="200" w:line="260" w:lineRule="atLeast"/>
        <w:jc w:val="both"/>
      </w:pPr>
      <w:bookmarkStart w:id="3487" w:name="Bookmark_para_3_30"/>
      <w:bookmarkEnd w:id="3487"/>
      <w:r>
        <w:rPr>
          <w:rFonts w:ascii="Arial" w:eastAsia="Arial" w:hAnsi="Arial" w:cs="Arial"/>
          <w:color w:val="000000"/>
          <w:sz w:val="20"/>
        </w:rPr>
        <w:t>Plaintiff-Appellant Equal Employment Opportunity Commission ("EEOC") initiated this suit against Defendant-Appellee C.R. England, Inc. ("C.R. England") under the Americans with Disabilities Act of 1990 ("ADA"), 42 U.S.C. §§ 12101-213. The  [**1032]  Falleged ADA violations arise from the employment relationship between C.R. England and Walter Watson, a former driver and trainer for the company. Mr. Watson subsequently intervened in the suit, alleging similar claims under the ADA and additional claims  [*2] under Utah state law. The district court granted summary judgment in favor of C.R. England on all claims and disposed of the case. This appeal followed. Exercising jurisdiction under 28 U.S.C. § 1291, we affirm the district court's grant of summary judgment on all claims.</w:t>
      </w:r>
    </w:p>
    <w:p w14:paraId="63E0A98E" w14:textId="77777777" w:rsidR="00D041A2" w:rsidRDefault="00000000">
      <w:pPr>
        <w:pStyle w:val="Normal31"/>
        <w:widowControl w:val="0"/>
        <w:spacing w:before="240" w:line="260" w:lineRule="atLeast"/>
      </w:pPr>
      <w:r>
        <w:br/>
      </w:r>
      <w:r>
        <w:rPr>
          <w:rFonts w:ascii="Arial" w:eastAsia="Arial" w:hAnsi="Arial" w:cs="Arial"/>
          <w:b/>
          <w:color w:val="000000"/>
          <w:sz w:val="20"/>
        </w:rPr>
        <w:t>BACKGROUND</w:t>
      </w:r>
    </w:p>
    <w:p w14:paraId="3CD599FB" w14:textId="77777777" w:rsidR="00D041A2" w:rsidRDefault="00000000">
      <w:pPr>
        <w:pStyle w:val="Normal31"/>
        <w:widowControl w:val="0"/>
        <w:spacing w:before="200" w:line="260" w:lineRule="atLeast"/>
        <w:jc w:val="both"/>
      </w:pPr>
      <w:bookmarkStart w:id="3488" w:name="Bookmark_para_4_30"/>
      <w:bookmarkEnd w:id="3488"/>
      <w:r>
        <w:rPr>
          <w:rFonts w:ascii="Arial" w:eastAsia="Arial" w:hAnsi="Arial" w:cs="Arial"/>
          <w:color w:val="000000"/>
          <w:sz w:val="20"/>
        </w:rPr>
        <w:t xml:space="preserve">Walter Watson was diagnosed with Human Immunodeficiency Virus ("HIV") in 1999. In November 2002, Mr. Watson began working as a truck driver for C.R. England, a company based out of Salt Lake City. Shortly after his employment began, Mr. Watson voluntarily informed C.R. England's human resources manager, Carrie Johansen, that he was HIV positive. </w:t>
      </w:r>
      <w:r>
        <w:rPr>
          <w:rFonts w:ascii="Arial" w:eastAsia="Arial" w:hAnsi="Arial" w:cs="Arial"/>
          <w:vertAlign w:val="superscript"/>
        </w:rPr>
        <w:footnoteReference w:customMarkFollows="1" w:id="172"/>
        <w:t>1</w:t>
      </w:r>
      <w:r>
        <w:rPr>
          <w:rFonts w:ascii="Arial" w:eastAsia="Arial" w:hAnsi="Arial" w:cs="Arial"/>
          <w:color w:val="000000"/>
          <w:sz w:val="20"/>
        </w:rPr>
        <w:t xml:space="preserve"> In December 2002, Mr. Watson entered into an independent contractor operating agreement ("ICOA") with C.R. England, under which his status changed from that of an employee driver to an independent-contractor driver. </w:t>
      </w:r>
      <w:r>
        <w:rPr>
          <w:rFonts w:ascii="Arial" w:eastAsia="Arial" w:hAnsi="Arial" w:cs="Arial"/>
          <w:vertAlign w:val="superscript"/>
        </w:rPr>
        <w:footnoteReference w:customMarkFollows="1" w:id="173"/>
        <w:t>2</w:t>
      </w:r>
      <w:r>
        <w:rPr>
          <w:rFonts w:ascii="Arial" w:eastAsia="Arial" w:hAnsi="Arial" w:cs="Arial"/>
          <w:color w:val="000000"/>
          <w:sz w:val="20"/>
        </w:rPr>
        <w:t xml:space="preserve"> On that same day, Mr. Watson signed a Vehicle Lease Agreement ("Lease Agreement"), under which he leased a truck from Opportunity Leasing, Inc., a sister company of C.R. England.</w:t>
      </w:r>
    </w:p>
    <w:p w14:paraId="69811383" w14:textId="77777777" w:rsidR="00D041A2" w:rsidRDefault="00000000">
      <w:pPr>
        <w:pStyle w:val="Normal31"/>
        <w:widowControl w:val="0"/>
        <w:spacing w:before="200" w:line="260" w:lineRule="atLeast"/>
        <w:jc w:val="both"/>
      </w:pPr>
      <w:bookmarkStart w:id="3496" w:name="Bookmark_para_6_30"/>
      <w:bookmarkEnd w:id="3496"/>
      <w:r>
        <w:rPr>
          <w:rFonts w:ascii="Arial" w:eastAsia="Arial" w:hAnsi="Arial" w:cs="Arial"/>
          <w:color w:val="000000"/>
          <w:sz w:val="20"/>
        </w:rPr>
        <w:t>After working for C.R. England under the ICOA for a few months, Mr. Watson decided to become a driver-trainer for the company.  [*5] In order to become a trainer, Mr. Watson completed C.R. England's five-day "Train-the-Trainer" course in  [**1033]  February 2003. On the first day of training, Mr. Watson was called into Ms. Johansen's office. She expressed concern about his ability to become a trainer in light of his HIV-positive status. Later that same day, Mr. Watson and Ms. Johansen met with C.R. England's general counsel, Nelson Hayes, to further discuss Mr. Watson's status as a trainer. Mr. Watson, Ms. Johansen, and Mr. Hayes met again one or two days later to discuss C.R. England's concerns about Mr. Watson's role as a trainer and possible courses of action that might assuage its concerns. During the second meeting, Mr. Hayes broached the idea of disclosing Mr. Watson's HIV-positive status to potential trainees and asked Mr. Watson if he had any thoughts or ideas as to how this could be done. In response, Mr. Watson suggested drawing up some sort of form that could be given to potential trainees.</w:t>
      </w:r>
    </w:p>
    <w:p w14:paraId="17D686EC" w14:textId="77777777" w:rsidR="00D041A2" w:rsidRDefault="00000000">
      <w:pPr>
        <w:pStyle w:val="Normal31"/>
        <w:widowControl w:val="0"/>
        <w:spacing w:before="200" w:line="260" w:lineRule="atLeast"/>
        <w:jc w:val="both"/>
      </w:pPr>
      <w:bookmarkStart w:id="3497" w:name="Bookmark_para_7_30"/>
      <w:bookmarkEnd w:id="3497"/>
      <w:r>
        <w:rPr>
          <w:rFonts w:ascii="Arial" w:eastAsia="Arial" w:hAnsi="Arial" w:cs="Arial"/>
          <w:color w:val="000000"/>
          <w:sz w:val="20"/>
        </w:rPr>
        <w:t>The end result of these meetings was an acknowledgment form, drafted by Mr. Hayes, which informed a potential trainee that his trainer was HIV-positive, but did not reveal Mr. Watson's identity. Specifically, the form read:</w:t>
      </w:r>
    </w:p>
    <w:p w14:paraId="1C02C8A7" w14:textId="77777777" w:rsidR="00D041A2" w:rsidRDefault="00000000">
      <w:pPr>
        <w:pStyle w:val="Normal31"/>
        <w:widowControl w:val="0"/>
        <w:spacing w:before="200" w:line="260" w:lineRule="atLeast"/>
        <w:ind w:left="400"/>
        <w:jc w:val="both"/>
      </w:pPr>
      <w:bookmarkStart w:id="3498" w:name="Bookmark_para_8_29"/>
      <w:bookmarkEnd w:id="3498"/>
      <w:r>
        <w:rPr>
          <w:rFonts w:ascii="Arial" w:eastAsia="Arial" w:hAnsi="Arial" w:cs="Arial"/>
          <w:color w:val="000000"/>
          <w:sz w:val="20"/>
        </w:rPr>
        <w:t>Trainee  [*6] hereby specifically acknowledges that he/she has been fully informed that his/her Trainer suffers from a communicable health condition (HIV).</w:t>
      </w:r>
    </w:p>
    <w:p w14:paraId="31D87BFF" w14:textId="77777777" w:rsidR="00D041A2" w:rsidRDefault="00000000">
      <w:pPr>
        <w:pStyle w:val="Normal31"/>
        <w:widowControl w:val="0"/>
        <w:spacing w:line="260" w:lineRule="atLeast"/>
        <w:ind w:left="400"/>
        <w:jc w:val="both"/>
      </w:pPr>
      <w:bookmarkStart w:id="3499" w:name="Bookmark_para_9_28"/>
      <w:bookmarkEnd w:id="3499"/>
      <w:r>
        <w:rPr>
          <w:rFonts w:ascii="Arial" w:eastAsia="Arial" w:hAnsi="Arial" w:cs="Arial"/>
          <w:color w:val="000000"/>
          <w:sz w:val="20"/>
        </w:rPr>
        <w:t>Trainee agrees to fully inform himself/herself on the condition (HIV), including avoidance of communication of the disease. Trainee further agrees to keep confidential any and all information relating to Trainer's condition, except as required to protect the health and welfare of any person.</w:t>
      </w:r>
    </w:p>
    <w:p w14:paraId="5919AA7F" w14:textId="77777777" w:rsidR="00D041A2" w:rsidRDefault="00000000">
      <w:pPr>
        <w:pStyle w:val="Normal31"/>
        <w:widowControl w:val="0"/>
        <w:spacing w:line="260" w:lineRule="atLeast"/>
        <w:jc w:val="both"/>
      </w:pPr>
      <w:r>
        <w:rPr>
          <w:rFonts w:ascii="Arial" w:eastAsia="Arial" w:hAnsi="Arial" w:cs="Arial"/>
          <w:color w:val="000000"/>
          <w:sz w:val="20"/>
        </w:rPr>
        <w:t>EEOC App. at 398 (Acknowledgment and Agreement Form, dated Feb. 7, 2003). C.R. England contemplated that potential trainees would sign the acknowledgment form before they began training with Mr. Watson. Mr. Watson never objected to the disclosure of his HIV status or to the use of the acknowledgment form.</w:t>
      </w:r>
    </w:p>
    <w:p w14:paraId="48AEA134" w14:textId="77777777" w:rsidR="00D041A2" w:rsidRDefault="00000000">
      <w:pPr>
        <w:pStyle w:val="Normal31"/>
        <w:widowControl w:val="0"/>
        <w:spacing w:before="200" w:line="260" w:lineRule="atLeast"/>
        <w:jc w:val="both"/>
      </w:pPr>
      <w:bookmarkStart w:id="3500" w:name="Bookmark_para_10_28"/>
      <w:bookmarkEnd w:id="3500"/>
      <w:r>
        <w:rPr>
          <w:rFonts w:ascii="Arial" w:eastAsia="Arial" w:hAnsi="Arial" w:cs="Arial"/>
          <w:color w:val="000000"/>
          <w:sz w:val="20"/>
        </w:rPr>
        <w:t xml:space="preserve">Mr. Watson's first and only potential trainee, Eddie Seastrunk, </w:t>
      </w:r>
      <w:r>
        <w:rPr>
          <w:rFonts w:ascii="Arial" w:eastAsia="Arial" w:hAnsi="Arial" w:cs="Arial"/>
          <w:vertAlign w:val="superscript"/>
        </w:rPr>
        <w:footnoteReference w:customMarkFollows="1" w:id="174"/>
        <w:t>3</w:t>
      </w:r>
      <w:r>
        <w:rPr>
          <w:rFonts w:ascii="Arial" w:eastAsia="Arial" w:hAnsi="Arial" w:cs="Arial"/>
          <w:color w:val="000000"/>
          <w:sz w:val="20"/>
        </w:rPr>
        <w:t xml:space="preserve"> was presented with the form and signed it without protest on February 7, 2003. The form was not shown to any other potential trainee.</w:t>
      </w:r>
    </w:p>
    <w:p w14:paraId="6E6B2446" w14:textId="77777777" w:rsidR="00D041A2" w:rsidRDefault="00000000">
      <w:pPr>
        <w:pStyle w:val="Normal31"/>
        <w:widowControl w:val="0"/>
        <w:spacing w:before="200" w:line="260" w:lineRule="atLeast"/>
        <w:jc w:val="both"/>
      </w:pPr>
      <w:bookmarkStart w:id="3502" w:name="Bookmark_para_11_27"/>
      <w:bookmarkEnd w:id="3502"/>
      <w:r>
        <w:rPr>
          <w:rFonts w:ascii="Arial" w:eastAsia="Arial" w:hAnsi="Arial" w:cs="Arial"/>
          <w:color w:val="000000"/>
          <w:sz w:val="20"/>
        </w:rPr>
        <w:t xml:space="preserve">On February 11, 2003, before he left on his first training assignment, Mr. Watson requested "home time" beginning February  [*7] 16, 2003, and ending February 18, 2003. The stated reason for his request for time off was "family time." EEOC App. at 1035 (Home Time Request, dated Feb. 11, 2003). When C.R. England denied Mr. Watson's request because he had not given the required two-weeks notice, Mr. Watson responded: "OK, just when ava[i]lable." </w:t>
      </w:r>
      <w:r>
        <w:rPr>
          <w:rFonts w:ascii="Arial" w:eastAsia="Arial" w:hAnsi="Arial" w:cs="Arial"/>
          <w:i/>
          <w:color w:val="000000"/>
          <w:sz w:val="20"/>
        </w:rPr>
        <w:t>Id</w:t>
      </w:r>
      <w:r>
        <w:rPr>
          <w:rFonts w:ascii="Arial" w:eastAsia="Arial" w:hAnsi="Arial" w:cs="Arial"/>
          <w:color w:val="000000"/>
          <w:sz w:val="20"/>
        </w:rPr>
        <w:t>. at 1037-38.</w:t>
      </w:r>
    </w:p>
    <w:p w14:paraId="1F5B9036" w14:textId="77777777" w:rsidR="00D041A2" w:rsidRDefault="00000000">
      <w:pPr>
        <w:pStyle w:val="Normal31"/>
        <w:widowControl w:val="0"/>
        <w:spacing w:before="200" w:line="260" w:lineRule="atLeast"/>
        <w:jc w:val="both"/>
      </w:pPr>
      <w:bookmarkStart w:id="3503" w:name="Bookmark_para_12_26"/>
      <w:bookmarkEnd w:id="3503"/>
      <w:r>
        <w:rPr>
          <w:rFonts w:ascii="Arial" w:eastAsia="Arial" w:hAnsi="Arial" w:cs="Arial"/>
          <w:color w:val="000000"/>
          <w:sz w:val="20"/>
        </w:rPr>
        <w:t>On February 12, 2003, Mr. Watson and Mr. Seastrunk were dispatched on their first drive together, delivering a load to Omaha, Nebraska. After they delivered the initial load, Mr. Watson and Mr. Seastrunk were sent to pick up a second load in Omaha, but the second load was canceled while they were en route. The two men were sent to pick up yet another load in the Omaha area within minutes, but that load was also quickly canceled, and they were then dispatched to pick up the second, previously canceled load. C.R. England employee Christie Wakeland testified that this series of events was not unusual for this part of the country, noting that load cancellations "happen[ed] very frequently" and that this type of occurrence "wasn't out of the ordinary at all." EEOC App. at 403 (Dep. of Christie Wakeland, dated July 25, 2007).</w:t>
      </w:r>
    </w:p>
    <w:p w14:paraId="16B827FC" w14:textId="77777777" w:rsidR="00D041A2" w:rsidRDefault="00000000">
      <w:pPr>
        <w:pStyle w:val="Normal31"/>
        <w:widowControl w:val="0"/>
        <w:spacing w:before="200" w:line="260" w:lineRule="atLeast"/>
        <w:jc w:val="both"/>
      </w:pPr>
      <w:bookmarkStart w:id="3504" w:name="Bookmark_para_13_24"/>
      <w:bookmarkEnd w:id="3504"/>
      <w:r>
        <w:rPr>
          <w:rFonts w:ascii="Arial" w:eastAsia="Arial" w:hAnsi="Arial" w:cs="Arial"/>
          <w:color w:val="000000"/>
          <w:sz w:val="20"/>
        </w:rPr>
        <w:t xml:space="preserve">This series of dispatches and the subsequent  [*8] cancellations that occurred left Mr.  [**1034]  Watson feeling stressed and distraught. In response to the final cancellation, Mr. Watson demanded that he be given immediate "home time," and stated that he could "not wait two more weeks." EEOC App. at 426. </w:t>
      </w:r>
      <w:r>
        <w:rPr>
          <w:rFonts w:ascii="Arial" w:eastAsia="Arial" w:hAnsi="Arial" w:cs="Arial"/>
          <w:vertAlign w:val="superscript"/>
        </w:rPr>
        <w:footnoteReference w:customMarkFollows="1" w:id="175"/>
        <w:t>4</w:t>
      </w:r>
      <w:r>
        <w:rPr>
          <w:rFonts w:ascii="Arial" w:eastAsia="Arial" w:hAnsi="Arial" w:cs="Arial"/>
          <w:color w:val="000000"/>
          <w:sz w:val="20"/>
        </w:rPr>
        <w:t xml:space="preserve"> C.R. England's driver manager, Cynthia Horsley, refused his request because she "ha[d] to have 2 weeks notice"; however, she did tell Mr. Watson that if he "want[ed] to re-submit [his] hometime for the 2 week time frame, [she] w[ould] do what [she] c[ould] to get [him] there as close to that request as [she] c[ould]." </w:t>
      </w:r>
      <w:r>
        <w:rPr>
          <w:rFonts w:ascii="Arial" w:eastAsia="Arial" w:hAnsi="Arial" w:cs="Arial"/>
          <w:i/>
          <w:color w:val="000000"/>
          <w:sz w:val="20"/>
        </w:rPr>
        <w:t>Id</w:t>
      </w:r>
      <w:r>
        <w:rPr>
          <w:rFonts w:ascii="Arial" w:eastAsia="Arial" w:hAnsi="Arial" w:cs="Arial"/>
          <w:color w:val="000000"/>
          <w:sz w:val="20"/>
        </w:rPr>
        <w:t xml:space="preserve">. at 427. Mr. Watson then refused the load, demanded that his trainee be reassigned, and stated that he was "deadheading" (i.e., driving with an empty truck) to his family home in Florida, despite the denial of his home time request. </w:t>
      </w:r>
      <w:r>
        <w:rPr>
          <w:rFonts w:ascii="Arial" w:eastAsia="Arial" w:hAnsi="Arial" w:cs="Arial"/>
          <w:i/>
          <w:color w:val="000000"/>
          <w:sz w:val="20"/>
        </w:rPr>
        <w:t>Id</w:t>
      </w:r>
      <w:r>
        <w:rPr>
          <w:rFonts w:ascii="Arial" w:eastAsia="Arial" w:hAnsi="Arial" w:cs="Arial"/>
          <w:color w:val="000000"/>
          <w:sz w:val="20"/>
        </w:rPr>
        <w:t xml:space="preserve">. at 428. In explaining his immediate departure, Mr. Watson stated that he couldn't handle the "stress level" anymore, and that he needed to go to Florida because that is where his doctor was located and he "[needed] to see [his] Dr." </w:t>
      </w:r>
      <w:r>
        <w:rPr>
          <w:rFonts w:ascii="Arial" w:eastAsia="Arial" w:hAnsi="Arial" w:cs="Arial"/>
          <w:i/>
          <w:color w:val="000000"/>
          <w:sz w:val="20"/>
        </w:rPr>
        <w:t>Id</w:t>
      </w:r>
      <w:r>
        <w:rPr>
          <w:rFonts w:ascii="Arial" w:eastAsia="Arial" w:hAnsi="Arial" w:cs="Arial"/>
          <w:color w:val="000000"/>
          <w:sz w:val="20"/>
        </w:rPr>
        <w:t xml:space="preserve">. Ms. Horsley then responded: "ok[,] pls [sic] leave [E]ddie [Seastrunk] at the [truck stop] and I will get him picked up." </w:t>
      </w:r>
      <w:r>
        <w:rPr>
          <w:rFonts w:ascii="Arial" w:eastAsia="Arial" w:hAnsi="Arial" w:cs="Arial"/>
          <w:i/>
          <w:color w:val="000000"/>
          <w:sz w:val="20"/>
        </w:rPr>
        <w:t>Id</w:t>
      </w:r>
      <w:r>
        <w:rPr>
          <w:rFonts w:ascii="Arial" w:eastAsia="Arial" w:hAnsi="Arial" w:cs="Arial"/>
          <w:color w:val="000000"/>
          <w:sz w:val="20"/>
        </w:rPr>
        <w:t>. at 429. Mr. Watson deadheaded  [*9] to Florida that same day.</w:t>
      </w:r>
    </w:p>
    <w:p w14:paraId="31E2A326" w14:textId="77777777" w:rsidR="00D041A2" w:rsidRDefault="00000000">
      <w:pPr>
        <w:pStyle w:val="Normal31"/>
        <w:widowControl w:val="0"/>
        <w:spacing w:before="200" w:line="260" w:lineRule="atLeast"/>
        <w:jc w:val="both"/>
      </w:pPr>
      <w:bookmarkStart w:id="3506" w:name="Bookmark_para_14_21"/>
      <w:bookmarkEnd w:id="3506"/>
      <w:r>
        <w:rPr>
          <w:rFonts w:ascii="Arial" w:eastAsia="Arial" w:hAnsi="Arial" w:cs="Arial"/>
          <w:color w:val="000000"/>
          <w:sz w:val="20"/>
        </w:rPr>
        <w:t xml:space="preserve">Due to these occurrences, Mr. Watson was terminated from his trainer position on February 14, 2003. The stated reasons for the termination were that (1) Mr. Watson "sat up with his student and burned up [his] h[ou]rs," and therefore was unable to drive when he was needed </w:t>
      </w:r>
      <w:r>
        <w:rPr>
          <w:rFonts w:ascii="Arial" w:eastAsia="Arial" w:hAnsi="Arial" w:cs="Arial"/>
          <w:vertAlign w:val="superscript"/>
        </w:rPr>
        <w:footnoteReference w:customMarkFollows="1" w:id="176"/>
        <w:t>5</w:t>
      </w:r>
      <w:r>
        <w:rPr>
          <w:rFonts w:ascii="Arial" w:eastAsia="Arial" w:hAnsi="Arial" w:cs="Arial"/>
          <w:color w:val="000000"/>
          <w:sz w:val="20"/>
        </w:rPr>
        <w:t xml:space="preserve">; (2) he "refused a load," which he was not permitted to do as a trainer; and (3) he "deadheaded . . . over 1000 miles home." </w:t>
      </w:r>
      <w:r>
        <w:rPr>
          <w:rFonts w:ascii="Arial" w:eastAsia="Arial" w:hAnsi="Arial" w:cs="Arial"/>
          <w:i/>
          <w:color w:val="000000"/>
          <w:sz w:val="20"/>
        </w:rPr>
        <w:t>Id</w:t>
      </w:r>
      <w:r>
        <w:rPr>
          <w:rFonts w:ascii="Arial" w:eastAsia="Arial" w:hAnsi="Arial" w:cs="Arial"/>
          <w:color w:val="000000"/>
          <w:sz w:val="20"/>
        </w:rPr>
        <w:t>. at 432. At this time, Mr. Watson was still a driver for C.R. England under the ICOA.</w:t>
      </w:r>
    </w:p>
    <w:p w14:paraId="5E99AFE9" w14:textId="77777777" w:rsidR="00D041A2" w:rsidRDefault="00000000">
      <w:pPr>
        <w:pStyle w:val="Normal31"/>
        <w:widowControl w:val="0"/>
        <w:spacing w:before="200" w:line="260" w:lineRule="atLeast"/>
        <w:jc w:val="both"/>
      </w:pPr>
      <w:bookmarkStart w:id="3508" w:name="Bookmark_para_15_20"/>
      <w:bookmarkEnd w:id="3508"/>
      <w:r>
        <w:rPr>
          <w:rFonts w:ascii="Arial" w:eastAsia="Arial" w:hAnsi="Arial" w:cs="Arial"/>
          <w:color w:val="000000"/>
          <w:sz w:val="20"/>
        </w:rPr>
        <w:t>Mr. Watson remained in Florida with his leased truck from mid-February until early March 2003—a period of more than two weeks. During that time, Mr. Watson did not accept any new loads, generated no income, and failed to make his weekly lease payments on his truck. C.R. England attempted to contact Mr. Watson on at least two occasions during this period in order to determine what Mr. Watson's intentions were with regard to his ICOA and Lease Agreement, but received no response. On March 4, 2003, C.R. England terminated Mr. Watson's Lease Agreement, and Opportunity Leasing repossessed  [*11] his truck. At that time, Mr. Watson owed approximately $3000 under the Lease Agreement. C.R. England eventually sent his debt to a collection agency.</w:t>
      </w:r>
    </w:p>
    <w:p w14:paraId="48FE65F2" w14:textId="77777777" w:rsidR="00D041A2" w:rsidRDefault="00000000">
      <w:pPr>
        <w:pStyle w:val="Normal31"/>
        <w:widowControl w:val="0"/>
        <w:spacing w:before="200" w:line="260" w:lineRule="atLeast"/>
        <w:jc w:val="both"/>
      </w:pPr>
      <w:bookmarkStart w:id="3509" w:name="Bookmark_para_16_20"/>
      <w:bookmarkEnd w:id="3509"/>
      <w:r>
        <w:rPr>
          <w:rFonts w:ascii="Arial" w:eastAsia="Arial" w:hAnsi="Arial" w:cs="Arial"/>
          <w:color w:val="000000"/>
          <w:sz w:val="20"/>
        </w:rPr>
        <w:t xml:space="preserve">In August 2003, Mr. Watson filed a formal complaint with the EEOC, alleging that C.R. England discriminated and retaliated against him because of his illness. The EEOC issued a determination regarding  [**1035]  Mr. Watson's complaint in September 2004, concluding that C.R. England had violated Mr. Watson's rights under the ADA. In September 2006, EEOC initiated the instant suit by filing a complaint in the United States District Court for the District of Utah, asserting that C.R. England had violated the ADA by (1) "[d]isclosing and requiring Mr. Watson to disclose medical information concerning his disability, in writing, to driver trainees before they could be trained by Mr. Watson"; and (2) "[u]nlawfully limiting, segregating and/or classifying Mr. Watson on the basis of his disability." Watson App. at 26 (Compl. and Jury Demand, filed Sept. 27, 2006). In March 2007, Mr. Watson intervened in this action, alleging multiple ADA violations—including discrimination, failure to provide reasonable accommodation, and retaliation—as well as several tort  [*12] claims under Utah state law—including intentional infliction of emotional distress, negligent infliction of emotional distress, and invasion of privacy. </w:t>
      </w:r>
      <w:r>
        <w:rPr>
          <w:rFonts w:ascii="Arial" w:eastAsia="Arial" w:hAnsi="Arial" w:cs="Arial"/>
          <w:i/>
          <w:color w:val="000000"/>
          <w:sz w:val="20"/>
        </w:rPr>
        <w:t>See id</w:t>
      </w:r>
      <w:r>
        <w:rPr>
          <w:rFonts w:ascii="Arial" w:eastAsia="Arial" w:hAnsi="Arial" w:cs="Arial"/>
          <w:color w:val="000000"/>
          <w:sz w:val="20"/>
        </w:rPr>
        <w:t xml:space="preserve">. at 32-39 (Compl. in Intervention, dated Mar. 22, 2007). </w:t>
      </w:r>
      <w:r>
        <w:rPr>
          <w:rFonts w:ascii="Arial" w:eastAsia="Arial" w:hAnsi="Arial" w:cs="Arial"/>
          <w:vertAlign w:val="superscript"/>
        </w:rPr>
        <w:footnoteReference w:customMarkFollows="1" w:id="177"/>
        <w:t>6</w:t>
      </w:r>
    </w:p>
    <w:p w14:paraId="6299C8C2" w14:textId="77777777" w:rsidR="00D041A2" w:rsidRDefault="00000000">
      <w:pPr>
        <w:pStyle w:val="Normal31"/>
        <w:widowControl w:val="0"/>
        <w:spacing w:before="200" w:line="260" w:lineRule="atLeast"/>
        <w:jc w:val="both"/>
      </w:pPr>
      <w:bookmarkStart w:id="3511" w:name="Bookmark_para_17_19"/>
      <w:bookmarkEnd w:id="3511"/>
      <w:r>
        <w:rPr>
          <w:rFonts w:ascii="Arial" w:eastAsia="Arial" w:hAnsi="Arial" w:cs="Arial"/>
          <w:color w:val="000000"/>
          <w:sz w:val="20"/>
        </w:rPr>
        <w:t xml:space="preserve">In March 2008, EEOC moved for partial summary judgment on the issues of (1) whether Mr. Watson was a "qualified individual with a disability" protected by the provisions of the ADA; and (2) whether C.R. England was liable for violating ADA § 102(b)(1), 42 U.S.C. § 12112(b)(1), by limiting, segregating, or classifying Mr. Watson on account of his disability. EEOC App. at 39 (Pl.'s Mot. for Partial Summ. J. and Mem., filed Mar. 31, 2008). On that same day, C.R. England filed two motions for summary judgment—one against EEOC and one against Mr. Watson. In its motion regarding EEOC's claims, C.R. England argued that (1) Mr. Watson "was an independent contractor, not an employee [of C.R. England], rendering the [ADA] inapplicable"; (2) "even if Watson  [*13] is deemed an employee, EEOC's ADA claims fail because it cannot establish that Watson is 'disabled' or that England took any adverse action against him because of any alleged disability"; and (3) "any purported unlawful disclosure claim is legally insufficient." </w:t>
      </w:r>
      <w:r>
        <w:rPr>
          <w:rFonts w:ascii="Arial" w:eastAsia="Arial" w:hAnsi="Arial" w:cs="Arial"/>
          <w:i/>
          <w:color w:val="000000"/>
          <w:sz w:val="20"/>
        </w:rPr>
        <w:t>Id</w:t>
      </w:r>
      <w:r>
        <w:rPr>
          <w:rFonts w:ascii="Arial" w:eastAsia="Arial" w:hAnsi="Arial" w:cs="Arial"/>
          <w:color w:val="000000"/>
          <w:sz w:val="20"/>
        </w:rPr>
        <w:t>. at 38-B (Def.'s Mot. for Summ. J. Against Pl. EEOC, filed Mar. 31, 2008). In its motion regarding Mr. Watson's claims, the company argued that (1) Mr. Watson was not an "employee" of C.R. England; (2) that his ADA claims fail because he was not "disabled," and could not establish that C.R. England "took any adverse action against him because of any disability, or . . . retaliated against him"; and (3) that "his three state law claims are legally insufficient." Watson App. at 194 (Def.'s Mot. for Summ. J. Against Pl.-Intervenor Watson, filed Mar. 31, 2009).</w:t>
      </w:r>
    </w:p>
    <w:p w14:paraId="40B79E22" w14:textId="77777777" w:rsidR="00D041A2" w:rsidRDefault="00000000">
      <w:pPr>
        <w:pStyle w:val="Normal31"/>
        <w:widowControl w:val="0"/>
        <w:spacing w:before="200" w:line="260" w:lineRule="atLeast"/>
        <w:jc w:val="both"/>
      </w:pPr>
      <w:bookmarkStart w:id="3512" w:name="Bookmark_para_18_17"/>
      <w:bookmarkEnd w:id="3512"/>
      <w:r>
        <w:rPr>
          <w:rFonts w:ascii="Arial" w:eastAsia="Arial" w:hAnsi="Arial" w:cs="Arial"/>
          <w:color w:val="000000"/>
          <w:sz w:val="20"/>
        </w:rPr>
        <w:t>In ruling on the motions for summary judgment, the district court stated that the outcome "turn[ed] on as many as three core issues," which it considered in turn:</w:t>
      </w:r>
    </w:p>
    <w:p w14:paraId="5F3A4828" w14:textId="77777777" w:rsidR="00D041A2" w:rsidRDefault="00000000">
      <w:pPr>
        <w:pStyle w:val="Normal31"/>
        <w:widowControl w:val="0"/>
        <w:spacing w:before="200" w:line="260" w:lineRule="atLeast"/>
        <w:ind w:left="400"/>
        <w:jc w:val="both"/>
      </w:pPr>
      <w:bookmarkStart w:id="3513" w:name="Bookmark_para_19_17"/>
      <w:bookmarkStart w:id="3514" w:name="Bookmark_I532DVDD2D6N8R0040000400"/>
      <w:bookmarkEnd w:id="3513"/>
      <w:bookmarkEnd w:id="3514"/>
      <w:r>
        <w:rPr>
          <w:rFonts w:ascii="Arial" w:eastAsia="Arial" w:hAnsi="Arial" w:cs="Arial"/>
          <w:color w:val="000000"/>
          <w:sz w:val="20"/>
        </w:rPr>
        <w:t>(1) while working for England as a driver and trainer, was Watson an independent contractor or an England employee/applicant? (2) if Watson was an England employee/applicant, was he a qualified individual with  [*14] a disability under the ADA? and (3) if Watson was an England employee/applicant and was an ADA-qualified individual, did England unlawfully disclose Watson's HIV status or unlawfully discriminate against Watson based upon his disability?</w:t>
      </w:r>
    </w:p>
    <w:p w14:paraId="59EEFD26" w14:textId="77777777" w:rsidR="00D041A2" w:rsidRDefault="00000000">
      <w:pPr>
        <w:pStyle w:val="Normal31"/>
        <w:widowControl w:val="0"/>
        <w:spacing w:before="200" w:line="260" w:lineRule="atLeast"/>
        <w:jc w:val="both"/>
      </w:pPr>
      <w:bookmarkStart w:id="3515" w:name="Bookmark_I532DVDD2D6N8R0040000400_2"/>
      <w:bookmarkStart w:id="3516" w:name="Bookmark_I532DVDD2D6N8R0030000400"/>
      <w:bookmarkEnd w:id="3515"/>
      <w:bookmarkEnd w:id="3516"/>
      <w:r>
        <w:rPr>
          <w:rFonts w:ascii="Arial" w:eastAsia="Arial" w:hAnsi="Arial" w:cs="Arial"/>
          <w:i/>
          <w:color w:val="000000"/>
          <w:sz w:val="20"/>
        </w:rPr>
        <w:t>EEOC v. C.R. England</w:t>
      </w:r>
      <w:r>
        <w:rPr>
          <w:rFonts w:ascii="Arial" w:eastAsia="Arial" w:hAnsi="Arial" w:cs="Arial"/>
          <w:color w:val="000000"/>
          <w:sz w:val="20"/>
        </w:rPr>
        <w:t xml:space="preserve">, No. 2:06-CV-00811BSJ, slip op. at 2. With regard to the first two issues, the district court held that triable issues of fact existed regarding (1) whether Mr. Watson was an independent  [**1036]  contractor, as opposed to an employee of C.R. England, and (2) whether he had a cognizable "disability" under the ADA. However, as we proceed to discuss in further detail, the district court held that C.R. England "ha[d] shown that it is entitled to judgment as a matter of law as to each of the plaintiffs' claims, and th[at] EEOC ha[d] failed to show such entitlement as to the issues raised by its motion for partial summary judgment." </w:t>
      </w:r>
      <w:r>
        <w:rPr>
          <w:rFonts w:ascii="Arial" w:eastAsia="Arial" w:hAnsi="Arial" w:cs="Arial"/>
          <w:i/>
          <w:color w:val="000000"/>
          <w:sz w:val="20"/>
        </w:rPr>
        <w:t>Id</w:t>
      </w:r>
      <w:r>
        <w:rPr>
          <w:rFonts w:ascii="Arial" w:eastAsia="Arial" w:hAnsi="Arial" w:cs="Arial"/>
          <w:color w:val="000000"/>
          <w:sz w:val="20"/>
        </w:rPr>
        <w:t>. at 35. Accordingly, the court granted summary judgment in C.R. England's favor on all claims, disposing of the case. Mr. Watson and EEOC filed timely appeals.</w:t>
      </w:r>
    </w:p>
    <w:p w14:paraId="407273BF" w14:textId="77777777" w:rsidR="00D041A2" w:rsidRDefault="00000000">
      <w:pPr>
        <w:pStyle w:val="Normal31"/>
        <w:widowControl w:val="0"/>
        <w:spacing w:before="240" w:line="260" w:lineRule="atLeast"/>
      </w:pPr>
      <w:r>
        <w:br/>
      </w:r>
      <w:r>
        <w:rPr>
          <w:rFonts w:ascii="Arial" w:eastAsia="Arial" w:hAnsi="Arial" w:cs="Arial"/>
          <w:b/>
          <w:color w:val="000000"/>
          <w:sz w:val="20"/>
        </w:rPr>
        <w:t>DISCUSSION</w:t>
      </w:r>
    </w:p>
    <w:p w14:paraId="01CF312B" w14:textId="77777777" w:rsidR="00D041A2" w:rsidRDefault="00000000">
      <w:pPr>
        <w:pStyle w:val="Normal31"/>
        <w:widowControl w:val="0"/>
        <w:spacing w:before="200" w:line="260" w:lineRule="atLeast"/>
        <w:jc w:val="both"/>
      </w:pPr>
      <w:bookmarkStart w:id="3517" w:name="Bookmark_para_20_17"/>
      <w:bookmarkEnd w:id="3517"/>
      <w:r>
        <w:rPr>
          <w:rFonts w:ascii="Arial" w:eastAsia="Arial" w:hAnsi="Arial" w:cs="Arial"/>
          <w:color w:val="000000"/>
          <w:sz w:val="20"/>
        </w:rPr>
        <w:t xml:space="preserve">EEOC and Mr. Watson raise a total of eight claims in this combined appeal. </w:t>
      </w:r>
      <w:r>
        <w:rPr>
          <w:rFonts w:ascii="Arial" w:eastAsia="Arial" w:hAnsi="Arial" w:cs="Arial"/>
          <w:vertAlign w:val="superscript"/>
        </w:rPr>
        <w:footnoteReference w:customMarkFollows="1" w:id="178"/>
        <w:t>7</w:t>
      </w:r>
      <w:r>
        <w:rPr>
          <w:rFonts w:ascii="Arial" w:eastAsia="Arial" w:hAnsi="Arial" w:cs="Arial"/>
          <w:color w:val="000000"/>
          <w:sz w:val="20"/>
        </w:rPr>
        <w:t xml:space="preserve"> First, EEOC and Mr. Watson argue that C.R. England discriminated against  [*15] Mr. Watson, in violation of ADA § 102(a) and (b)(1), by requiring potential trainees to sign an HIV-acknowledgment form before training with Mr. Watson. Second, EEOC and Mr. Watson claim that C.R. England violated § 102(d) of the ADA by disclosing his HIV status—which they characterize as confidential medical information protected by that provision—to a potential trainee and other C.R. England employees. Third, Mr. Watson argues that C.R. England discriminated against him in violation of the ADA when it "misdirected" his loads while he was driving in Omaha. Fourth, Mr. Watson asserts that C.R. England terminated his employment, both as a trainer and as a driver, in violation of the ADA. Fifth, Mr. Watson claims that C.R. England failed to provide him with "reasonable accommodations," in violation of ADA § 102(b)(5), when it refused to grant his request for "home time." Sixth, Mr. Watson asserts an ADA retaliation claim, arguing that the company unlawfully retaliated against him by sending his outstanding debt to a collection agency. Seventh, Mr. Watson asserts a Utah state law claim of intentional infliction of emotional  [**1037]  distress. Lastly, and also under Utah state law, Mr. Watson claims  [*16] that C.R. England violated his right to privacy when it disclosed his HIV status to a potential trainee and other C.R. England employees. We address each claim in turn.</w:t>
      </w:r>
    </w:p>
    <w:p w14:paraId="049DFCBE" w14:textId="77777777" w:rsidR="00D041A2" w:rsidRDefault="00000000">
      <w:pPr>
        <w:pStyle w:val="Normal31"/>
        <w:widowControl w:val="0"/>
        <w:spacing w:before="240" w:line="260" w:lineRule="atLeast"/>
      </w:pPr>
      <w:r>
        <w:br/>
      </w:r>
      <w:r>
        <w:rPr>
          <w:rFonts w:ascii="Arial" w:eastAsia="Arial" w:hAnsi="Arial" w:cs="Arial"/>
          <w:b/>
          <w:color w:val="000000"/>
          <w:sz w:val="20"/>
        </w:rPr>
        <w:t>I. Standard of Review</w:t>
      </w:r>
    </w:p>
    <w:p w14:paraId="3BF5A864" w14:textId="77777777" w:rsidR="00D041A2" w:rsidRDefault="00000000">
      <w:pPr>
        <w:pStyle w:val="Normal31"/>
        <w:widowControl w:val="0"/>
        <w:spacing w:before="200" w:line="260" w:lineRule="atLeast"/>
        <w:jc w:val="both"/>
      </w:pPr>
      <w:bookmarkStart w:id="3530" w:name="Bookmark_para_21_17"/>
      <w:bookmarkStart w:id="3531" w:name="Bookmark_I532DVDF28T4J80030000400"/>
      <w:bookmarkStart w:id="3532" w:name="Bookmark_I532DVDF28T4J80050000400"/>
      <w:bookmarkStart w:id="3533" w:name="Bookmark_LNHNREFclscc2_23"/>
      <w:bookmarkEnd w:id="3530"/>
      <w:bookmarkEnd w:id="3531"/>
      <w:bookmarkEnd w:id="3532"/>
      <w:bookmarkEnd w:id="3533"/>
      <w:r>
        <w:rPr>
          <w:rFonts w:ascii="Arial" w:eastAsia="Arial" w:hAnsi="Arial" w:cs="Arial"/>
          <w:color w:val="000000"/>
          <w:sz w:val="20"/>
        </w:rPr>
        <w:t xml:space="preserve">On appeal, "[w]e review the district court's grant of summary judgment de novo, applying the same standards that the district  [*18] court should have applied." </w:t>
      </w:r>
      <w:bookmarkStart w:id="3534" w:name="Bookmark_I532DVDF28T4J80020000400"/>
      <w:bookmarkEnd w:id="3534"/>
      <w:r>
        <w:rPr>
          <w:rFonts w:ascii="Arial" w:eastAsia="Arial" w:hAnsi="Arial" w:cs="Arial"/>
          <w:i/>
          <w:color w:val="000000"/>
          <w:sz w:val="20"/>
        </w:rPr>
        <w:t>Jarvis v. Potter</w:t>
      </w:r>
      <w:r>
        <w:rPr>
          <w:rFonts w:ascii="Arial" w:eastAsia="Arial" w:hAnsi="Arial" w:cs="Arial"/>
          <w:color w:val="000000"/>
          <w:sz w:val="20"/>
        </w:rPr>
        <w:t xml:space="preserve">, 500 F.3d 1113, 1120 (10th Cir. 2007). </w:t>
      </w:r>
      <w:bookmarkStart w:id="3535" w:name="Bookmark_I532DVDF2N1PN10040000400"/>
      <w:bookmarkStart w:id="3536" w:name="Bookmark_LNHNREFclscc3_21"/>
      <w:bookmarkEnd w:id="3535"/>
      <w:bookmarkEnd w:id="3536"/>
      <w:r>
        <w:rPr>
          <w:rFonts w:ascii="Arial" w:eastAsia="Arial" w:hAnsi="Arial" w:cs="Arial"/>
          <w:color w:val="000000"/>
          <w:sz w:val="20"/>
        </w:rPr>
        <w:t xml:space="preserve">The district court's grant of summary judgment must be affirmed "if the movant shows that there is no genuine dispute as to any material fact and the movant is entitled to judgment as a matter of law." Fed. R. Civ. P. 56(a) (2010). </w:t>
      </w:r>
      <w:r>
        <w:rPr>
          <w:rFonts w:ascii="Arial" w:eastAsia="Arial" w:hAnsi="Arial" w:cs="Arial"/>
          <w:vertAlign w:val="superscript"/>
        </w:rPr>
        <w:footnoteReference w:customMarkFollows="1" w:id="179"/>
        <w:t>8</w:t>
      </w:r>
      <w:bookmarkStart w:id="3538" w:name="Bookmark_LNHNREFclscc4_20"/>
      <w:bookmarkEnd w:id="3538"/>
      <w:r>
        <w:rPr>
          <w:rFonts w:ascii="Arial" w:eastAsia="Arial" w:hAnsi="Arial" w:cs="Arial"/>
          <w:color w:val="000000"/>
          <w:sz w:val="20"/>
        </w:rPr>
        <w:t xml:space="preserve"> In reviewing a motion for summary judgment, "we consider the evidence in the light most favorable to the non-moving party." </w:t>
      </w:r>
      <w:bookmarkStart w:id="3539" w:name="Bookmark_I532DVDF28T4J80040000400"/>
      <w:bookmarkEnd w:id="3539"/>
      <w:r>
        <w:rPr>
          <w:rFonts w:ascii="Arial" w:eastAsia="Arial" w:hAnsi="Arial" w:cs="Arial"/>
          <w:i/>
          <w:color w:val="000000"/>
          <w:sz w:val="20"/>
        </w:rPr>
        <w:t>Duvall v. Ga.-Pac. Consumer Prods., L.P</w:t>
      </w:r>
      <w:r>
        <w:rPr>
          <w:rFonts w:ascii="Arial" w:eastAsia="Arial" w:hAnsi="Arial" w:cs="Arial"/>
          <w:color w:val="000000"/>
          <w:sz w:val="20"/>
        </w:rPr>
        <w:t xml:space="preserve">., 607 F.3d 1255, 1259 (10th Cir. 2010) (quoting </w:t>
      </w:r>
      <w:bookmarkStart w:id="3540" w:name="Bookmark_I532DVDF2N1PN10010000400"/>
      <w:bookmarkEnd w:id="3540"/>
      <w:r>
        <w:rPr>
          <w:rFonts w:ascii="Arial" w:eastAsia="Arial" w:hAnsi="Arial" w:cs="Arial"/>
          <w:i/>
          <w:color w:val="000000"/>
          <w:sz w:val="20"/>
        </w:rPr>
        <w:t>Bowling v. Rector</w:t>
      </w:r>
      <w:r>
        <w:rPr>
          <w:rFonts w:ascii="Arial" w:eastAsia="Arial" w:hAnsi="Arial" w:cs="Arial"/>
          <w:color w:val="000000"/>
          <w:sz w:val="20"/>
        </w:rPr>
        <w:t xml:space="preserve">, 584 F.3d 956, 964 (10th Cir. 2009)) (internal quotation marks omitted). </w:t>
      </w:r>
      <w:bookmarkStart w:id="3541" w:name="Bookmark_I532DVDF2N1PN10040000400_2"/>
      <w:bookmarkEnd w:id="3541"/>
      <w:r>
        <w:rPr>
          <w:rFonts w:ascii="Arial" w:eastAsia="Arial" w:hAnsi="Arial" w:cs="Arial"/>
          <w:color w:val="000000"/>
          <w:sz w:val="20"/>
        </w:rPr>
        <w:t xml:space="preserve">However, </w:t>
      </w:r>
      <w:bookmarkStart w:id="3542" w:name="Bookmark_LNHNREFclscc5_20"/>
      <w:bookmarkEnd w:id="3542"/>
      <w:r>
        <w:rPr>
          <w:rFonts w:ascii="Arial" w:eastAsia="Arial" w:hAnsi="Arial" w:cs="Arial"/>
          <w:color w:val="000000"/>
          <w:sz w:val="20"/>
        </w:rPr>
        <w:t xml:space="preserve">"[u]nsupported conclusory allegations do not create a genuine issue of fact." </w:t>
      </w:r>
      <w:bookmarkStart w:id="3543" w:name="Bookmark_I532DVDF2N1PN10030000400"/>
      <w:bookmarkEnd w:id="3543"/>
      <w:r>
        <w:rPr>
          <w:rFonts w:ascii="Arial" w:eastAsia="Arial" w:hAnsi="Arial" w:cs="Arial"/>
          <w:i/>
          <w:color w:val="000000"/>
          <w:sz w:val="20"/>
        </w:rPr>
        <w:t>Reinhardt v. Albuquerque Pub. Sch. Bd. of Educ</w:t>
      </w:r>
      <w:r>
        <w:rPr>
          <w:rFonts w:ascii="Arial" w:eastAsia="Arial" w:hAnsi="Arial" w:cs="Arial"/>
          <w:color w:val="000000"/>
          <w:sz w:val="20"/>
        </w:rPr>
        <w:t xml:space="preserve">., 595 F.3d 1126, 1131 (10th Cir. 2010) (quoting </w:t>
      </w:r>
      <w:bookmarkStart w:id="3544" w:name="Bookmark_I532DVDF2N1PN10050000400"/>
      <w:bookmarkEnd w:id="3544"/>
      <w:r>
        <w:rPr>
          <w:rFonts w:ascii="Arial" w:eastAsia="Arial" w:hAnsi="Arial" w:cs="Arial"/>
          <w:i/>
          <w:color w:val="000000"/>
          <w:sz w:val="20"/>
        </w:rPr>
        <w:t>L &amp; M Enters., Inc. v. BEI Sensors &amp; Sys. Co</w:t>
      </w:r>
      <w:r>
        <w:rPr>
          <w:rFonts w:ascii="Arial" w:eastAsia="Arial" w:hAnsi="Arial" w:cs="Arial"/>
          <w:color w:val="000000"/>
          <w:sz w:val="20"/>
        </w:rPr>
        <w:t>., 231 F.3d 1284, 1287 (10th Cir. 2000)) (internal quotation marks omitted).</w:t>
      </w:r>
    </w:p>
    <w:p w14:paraId="5A49EAF8" w14:textId="77777777" w:rsidR="00D041A2" w:rsidRDefault="00000000">
      <w:pPr>
        <w:pStyle w:val="Normal31"/>
        <w:widowControl w:val="0"/>
        <w:spacing w:before="240" w:line="260" w:lineRule="atLeast"/>
      </w:pPr>
      <w:r>
        <w:br/>
      </w:r>
      <w:r>
        <w:rPr>
          <w:rFonts w:ascii="Arial" w:eastAsia="Arial" w:hAnsi="Arial" w:cs="Arial"/>
          <w:b/>
          <w:color w:val="000000"/>
          <w:sz w:val="20"/>
        </w:rPr>
        <w:t>II. ADA Claims</w:t>
      </w:r>
    </w:p>
    <w:p w14:paraId="60C8172A" w14:textId="77777777" w:rsidR="00D041A2" w:rsidRDefault="00000000">
      <w:pPr>
        <w:pStyle w:val="Normal31"/>
        <w:widowControl w:val="0"/>
        <w:spacing w:before="240" w:line="260" w:lineRule="atLeast"/>
      </w:pPr>
      <w:r>
        <w:br/>
      </w:r>
      <w:r>
        <w:rPr>
          <w:rFonts w:ascii="Arial" w:eastAsia="Arial" w:hAnsi="Arial" w:cs="Arial"/>
          <w:b/>
          <w:color w:val="000000"/>
          <w:sz w:val="20"/>
        </w:rPr>
        <w:t>A. EEOC &amp; Mr. Watson's Discrimination Claims</w:t>
      </w:r>
    </w:p>
    <w:p w14:paraId="772D95C0" w14:textId="77777777" w:rsidR="00D041A2" w:rsidRDefault="00000000">
      <w:pPr>
        <w:pStyle w:val="Normal31"/>
        <w:widowControl w:val="0"/>
        <w:spacing w:before="200" w:line="260" w:lineRule="atLeast"/>
        <w:jc w:val="both"/>
      </w:pPr>
      <w:bookmarkStart w:id="3545" w:name="Bookmark_para_22_17"/>
      <w:bookmarkStart w:id="3546" w:name="Bookmark_I532DVDF2SF8G80030000400"/>
      <w:bookmarkEnd w:id="3545"/>
      <w:bookmarkEnd w:id="3546"/>
      <w:r>
        <w:rPr>
          <w:rFonts w:ascii="Arial" w:eastAsia="Arial" w:hAnsi="Arial" w:cs="Arial"/>
          <w:color w:val="000000"/>
          <w:sz w:val="20"/>
        </w:rPr>
        <w:t xml:space="preserve">"Congress enacted the ADA with the goal of assuring 'equality of opportunity, full participation, independent living, and economic self-sufficiency for [individuals with disabilities].'" </w:t>
      </w:r>
      <w:bookmarkStart w:id="3547" w:name="Bookmark_I532DVDF2SF8G80020000400"/>
      <w:bookmarkEnd w:id="3547"/>
      <w:r>
        <w:rPr>
          <w:rFonts w:ascii="Arial" w:eastAsia="Arial" w:hAnsi="Arial" w:cs="Arial"/>
          <w:i/>
          <w:color w:val="000000"/>
          <w:sz w:val="20"/>
        </w:rPr>
        <w:t>Chaffin v. Kan. State Fair Bd</w:t>
      </w:r>
      <w:r>
        <w:rPr>
          <w:rFonts w:ascii="Arial" w:eastAsia="Arial" w:hAnsi="Arial" w:cs="Arial"/>
          <w:color w:val="000000"/>
          <w:sz w:val="20"/>
        </w:rPr>
        <w:t xml:space="preserve">., 348 F.3d 850, 858 (10th Cir. 2003) (alteration in original) (quoting 42 U.S.C. § 12101(a)(8)). The purposes of the Act include, </w:t>
      </w:r>
      <w:r>
        <w:rPr>
          <w:rFonts w:ascii="Arial" w:eastAsia="Arial" w:hAnsi="Arial" w:cs="Arial"/>
          <w:i/>
          <w:color w:val="000000"/>
          <w:sz w:val="20"/>
        </w:rPr>
        <w:t>inter alia</w:t>
      </w:r>
      <w:r>
        <w:rPr>
          <w:rFonts w:ascii="Arial" w:eastAsia="Arial" w:hAnsi="Arial" w:cs="Arial"/>
          <w:color w:val="000000"/>
          <w:sz w:val="20"/>
        </w:rPr>
        <w:t xml:space="preserve">, "provid[ing] a clear and comprehensive national mandate for the elimination of discrimination against individuals with disabilities" and "provid[ing] clear, strong, consistent, enforceable standards addressing discrimination against individuals with disabilities." 42 U.S.C. § 12101(b)(1)-(2). In accordance with these purposes, </w:t>
      </w:r>
      <w:bookmarkStart w:id="3548" w:name="Bookmark_LNHNREFclscc6_20"/>
      <w:bookmarkEnd w:id="3548"/>
      <w:r>
        <w:rPr>
          <w:rFonts w:ascii="Arial" w:eastAsia="Arial" w:hAnsi="Arial" w:cs="Arial"/>
          <w:color w:val="000000"/>
          <w:sz w:val="20"/>
        </w:rPr>
        <w:t xml:space="preserve">§ 102(a) of the ADA makes it unlawful for an employer to "discriminate against a qualified individual with a disability because of the disability of such individual in regard to job application procedures, the hiring, advancement, or discharge of employees, employee compensation, job training, and other terms, conditions, and privileges of employment." </w:t>
      </w:r>
      <w:r>
        <w:rPr>
          <w:rFonts w:ascii="Arial" w:eastAsia="Arial" w:hAnsi="Arial" w:cs="Arial"/>
          <w:i/>
          <w:color w:val="000000"/>
          <w:sz w:val="20"/>
        </w:rPr>
        <w:t>Id</w:t>
      </w:r>
      <w:r>
        <w:rPr>
          <w:rFonts w:ascii="Arial" w:eastAsia="Arial" w:hAnsi="Arial" w:cs="Arial"/>
          <w:color w:val="000000"/>
          <w:sz w:val="20"/>
        </w:rPr>
        <w:t xml:space="preserve">. § 12112(a) (2008). </w:t>
      </w:r>
      <w:r>
        <w:rPr>
          <w:rFonts w:ascii="Arial" w:eastAsia="Arial" w:hAnsi="Arial" w:cs="Arial"/>
          <w:vertAlign w:val="superscript"/>
        </w:rPr>
        <w:footnoteReference w:customMarkFollows="1" w:id="180"/>
        <w:t>9</w:t>
      </w:r>
    </w:p>
    <w:p w14:paraId="2AD6CB61" w14:textId="77777777" w:rsidR="00D041A2" w:rsidRDefault="00000000">
      <w:pPr>
        <w:pStyle w:val="Normal31"/>
        <w:widowControl w:val="0"/>
        <w:spacing w:before="200" w:line="260" w:lineRule="atLeast"/>
        <w:jc w:val="both"/>
      </w:pPr>
      <w:bookmarkStart w:id="3550" w:name="Bookmark_para_23_16"/>
      <w:bookmarkStart w:id="3551" w:name="Bookmark_I33FYXHCWVW000CXWC2001BC"/>
      <w:bookmarkStart w:id="3552" w:name="Bookmark_I532DVDF2SF8G80050000400"/>
      <w:bookmarkStart w:id="3553" w:name="Bookmark_I0678JV9T8S00002TFW000VH"/>
      <w:bookmarkStart w:id="3554" w:name="Bookmark_I0678JV9VV600002TFW000VJ"/>
      <w:bookmarkStart w:id="3555" w:name="Bookmark_I0678JV9XCM00002TFW000VK"/>
      <w:bookmarkStart w:id="3556" w:name="Bookmark_I532DVDF28T4J90010000400"/>
      <w:bookmarkStart w:id="3557" w:name="Bookmark_I532DVDF2HM6FN0010000400"/>
      <w:bookmarkEnd w:id="3550"/>
      <w:bookmarkEnd w:id="3551"/>
      <w:bookmarkEnd w:id="3552"/>
      <w:bookmarkEnd w:id="3553"/>
      <w:bookmarkEnd w:id="3554"/>
      <w:bookmarkEnd w:id="3555"/>
      <w:bookmarkEnd w:id="3556"/>
      <w:bookmarkEnd w:id="3557"/>
      <w:r>
        <w:rPr>
          <w:rFonts w:ascii="Arial" w:eastAsia="Arial" w:hAnsi="Arial" w:cs="Arial"/>
          <w:color w:val="000000"/>
          <w:sz w:val="20"/>
        </w:rPr>
        <w:t xml:space="preserve">Under our case law, </w:t>
      </w:r>
      <w:bookmarkStart w:id="3558" w:name="Bookmark_LNHNREFclscc7_20"/>
      <w:bookmarkEnd w:id="3558"/>
      <w:r>
        <w:rPr>
          <w:rFonts w:ascii="Arial" w:eastAsia="Arial" w:hAnsi="Arial" w:cs="Arial"/>
          <w:color w:val="000000"/>
          <w:sz w:val="20"/>
        </w:rPr>
        <w:t xml:space="preserve">in order to establish a prima facie case of disability discrimination under the ADA, a plaintiff must demonstrate that he "(1) is a disabled person as defined by the ADA; (2) is qualified, with or without reasonable accommodation, to perform the essential functions of the job held or desired; and  [**1038]  (3) suffered discrimination by an employer or prospective employer because of that disability." </w:t>
      </w:r>
      <w:bookmarkStart w:id="3559" w:name="Bookmark_I532DVDF2SF8G80040000400"/>
      <w:bookmarkEnd w:id="3559"/>
      <w:r>
        <w:rPr>
          <w:rFonts w:ascii="Arial" w:eastAsia="Arial" w:hAnsi="Arial" w:cs="Arial"/>
          <w:i/>
          <w:color w:val="000000"/>
          <w:sz w:val="20"/>
        </w:rPr>
        <w:t>Justice v. Crown Cork &amp; Seal Co., Inc</w:t>
      </w:r>
      <w:r>
        <w:rPr>
          <w:rFonts w:ascii="Arial" w:eastAsia="Arial" w:hAnsi="Arial" w:cs="Arial"/>
          <w:color w:val="000000"/>
          <w:sz w:val="20"/>
        </w:rPr>
        <w:t xml:space="preserve">., 527 F.3d 1080, 1086 (10th Cir. 2008); </w:t>
      </w:r>
      <w:r>
        <w:rPr>
          <w:rFonts w:ascii="Arial" w:eastAsia="Arial" w:hAnsi="Arial" w:cs="Arial"/>
          <w:i/>
          <w:color w:val="000000"/>
          <w:sz w:val="20"/>
        </w:rPr>
        <w:t xml:space="preserve">accord </w:t>
      </w:r>
      <w:bookmarkStart w:id="3560" w:name="Bookmark_I532DVDF2D6N8T0010000400"/>
      <w:bookmarkEnd w:id="3560"/>
      <w:r>
        <w:rPr>
          <w:rFonts w:ascii="Arial" w:eastAsia="Arial" w:hAnsi="Arial" w:cs="Arial"/>
          <w:i/>
          <w:color w:val="000000"/>
          <w:sz w:val="20"/>
        </w:rPr>
        <w:t>Doebele v. Sprint/United Mgmt. Co</w:t>
      </w:r>
      <w:r>
        <w:rPr>
          <w:rFonts w:ascii="Arial" w:eastAsia="Arial" w:hAnsi="Arial" w:cs="Arial"/>
          <w:color w:val="000000"/>
          <w:sz w:val="20"/>
        </w:rPr>
        <w:t xml:space="preserve">., 342 F.3d 1117, 1128 (10th Cir. 2003); </w:t>
      </w:r>
      <w:bookmarkStart w:id="3561" w:name="Bookmark_I532DVDF2D6N8T0030000400"/>
      <w:bookmarkEnd w:id="3561"/>
      <w:r>
        <w:rPr>
          <w:rFonts w:ascii="Arial" w:eastAsia="Arial" w:hAnsi="Arial" w:cs="Arial"/>
          <w:i/>
          <w:color w:val="000000"/>
          <w:sz w:val="20"/>
        </w:rPr>
        <w:t>Poindexter v. Atchison, Topeka &amp; Santa Fe Ry</w:t>
      </w:r>
      <w:r>
        <w:rPr>
          <w:rFonts w:ascii="Arial" w:eastAsia="Arial" w:hAnsi="Arial" w:cs="Arial"/>
          <w:color w:val="000000"/>
          <w:sz w:val="20"/>
        </w:rPr>
        <w:t xml:space="preserve">., 168 F.3d 1228, 1230 (10th Cir. 1999). In order to demonstrate "discrimination," a plaintiff generally must show that he has suffered an "adverse employment action because of the disability." </w:t>
      </w:r>
      <w:r>
        <w:rPr>
          <w:rFonts w:ascii="Arial" w:eastAsia="Arial" w:hAnsi="Arial" w:cs="Arial"/>
          <w:vertAlign w:val="superscript"/>
        </w:rPr>
        <w:footnoteReference w:customMarkFollows="1" w:id="181"/>
        <w:t>10</w:t>
      </w:r>
      <w:r>
        <w:rPr>
          <w:rFonts w:ascii="Arial" w:eastAsia="Arial" w:hAnsi="Arial" w:cs="Arial"/>
          <w:color w:val="000000"/>
          <w:sz w:val="20"/>
        </w:rPr>
        <w:t xml:space="preserve"> </w:t>
      </w:r>
      <w:bookmarkStart w:id="3563" w:name="Bookmark_I532DVDF2D6N8T0050000400"/>
      <w:bookmarkEnd w:id="3563"/>
      <w:r>
        <w:rPr>
          <w:rFonts w:ascii="Arial" w:eastAsia="Arial" w:hAnsi="Arial" w:cs="Arial"/>
          <w:i/>
          <w:color w:val="000000"/>
          <w:sz w:val="20"/>
        </w:rPr>
        <w:t>Mathews v. Denver Post</w:t>
      </w:r>
      <w:r>
        <w:rPr>
          <w:rFonts w:ascii="Arial" w:eastAsia="Arial" w:hAnsi="Arial" w:cs="Arial"/>
          <w:color w:val="000000"/>
          <w:sz w:val="20"/>
        </w:rPr>
        <w:t>, 263 F.3d 1164, 1167 (10th Cir. 2001);  [*21] </w:t>
      </w:r>
      <w:r>
        <w:rPr>
          <w:rFonts w:ascii="Arial" w:eastAsia="Arial" w:hAnsi="Arial" w:cs="Arial"/>
          <w:i/>
          <w:color w:val="000000"/>
          <w:sz w:val="20"/>
        </w:rPr>
        <w:t xml:space="preserve">see also </w:t>
      </w:r>
      <w:bookmarkStart w:id="3564" w:name="Bookmark_I532DVDF28T4J90020000400"/>
      <w:bookmarkEnd w:id="3564"/>
      <w:r>
        <w:rPr>
          <w:rFonts w:ascii="Arial" w:eastAsia="Arial" w:hAnsi="Arial" w:cs="Arial"/>
          <w:i/>
          <w:color w:val="000000"/>
          <w:sz w:val="20"/>
        </w:rPr>
        <w:t>Butler v. City of Prairie Village, Kan</w:t>
      </w:r>
      <w:r>
        <w:rPr>
          <w:rFonts w:ascii="Arial" w:eastAsia="Arial" w:hAnsi="Arial" w:cs="Arial"/>
          <w:color w:val="000000"/>
          <w:sz w:val="20"/>
        </w:rPr>
        <w:t xml:space="preserve">., 172 F.3d 736, 748 (10th Cir. 1999) (stating that "the third element of the prima facie case . . . requires the plaintiff to come forth with evidence showing that </w:t>
      </w:r>
      <w:r>
        <w:rPr>
          <w:rFonts w:ascii="Arial" w:eastAsia="Arial" w:hAnsi="Arial" w:cs="Arial"/>
          <w:i/>
          <w:color w:val="000000"/>
          <w:sz w:val="20"/>
        </w:rPr>
        <w:t>the adverse employment decision</w:t>
      </w:r>
      <w:r>
        <w:rPr>
          <w:rFonts w:ascii="Arial" w:eastAsia="Arial" w:hAnsi="Arial" w:cs="Arial"/>
          <w:color w:val="000000"/>
          <w:sz w:val="20"/>
        </w:rPr>
        <w:t xml:space="preserve"> was because of his disability" (emphasis added)); </w:t>
      </w:r>
      <w:bookmarkStart w:id="3565" w:name="Bookmark_I532DVDF28T4J90040000400"/>
      <w:bookmarkEnd w:id="3565"/>
      <w:r>
        <w:rPr>
          <w:rFonts w:ascii="Arial" w:eastAsia="Arial" w:hAnsi="Arial" w:cs="Arial"/>
          <w:i/>
          <w:color w:val="000000"/>
          <w:sz w:val="20"/>
        </w:rPr>
        <w:t>Doe v. Dekalb Cnty. Sch. Dist</w:t>
      </w:r>
      <w:r>
        <w:rPr>
          <w:rFonts w:ascii="Arial" w:eastAsia="Arial" w:hAnsi="Arial" w:cs="Arial"/>
          <w:color w:val="000000"/>
          <w:sz w:val="20"/>
        </w:rPr>
        <w:t>., 145 F.3d 1441, 1454 (11th Cir. 1998) (Under the third prong of his prima facie case, the plaintiff "must prove . . . that he has suffered an adverse employment action because of his HIV status (</w:t>
      </w:r>
      <w:r>
        <w:rPr>
          <w:rFonts w:ascii="Arial" w:eastAsia="Arial" w:hAnsi="Arial" w:cs="Arial"/>
          <w:i/>
          <w:color w:val="000000"/>
          <w:sz w:val="20"/>
        </w:rPr>
        <w:t>i.e</w:t>
      </w:r>
      <w:r>
        <w:rPr>
          <w:rFonts w:ascii="Arial" w:eastAsia="Arial" w:hAnsi="Arial" w:cs="Arial"/>
          <w:color w:val="000000"/>
          <w:sz w:val="20"/>
        </w:rPr>
        <w:t xml:space="preserve">., that the [employer] has discriminated against him because of his disability)."); </w:t>
      </w:r>
      <w:r>
        <w:rPr>
          <w:rFonts w:ascii="Arial" w:eastAsia="Arial" w:hAnsi="Arial" w:cs="Arial"/>
          <w:i/>
          <w:color w:val="000000"/>
          <w:sz w:val="20"/>
        </w:rPr>
        <w:t xml:space="preserve">cf. </w:t>
      </w:r>
      <w:bookmarkStart w:id="3566" w:name="Bookmark_I532DVDF2SF8GB0010000400"/>
      <w:bookmarkEnd w:id="3566"/>
      <w:r>
        <w:rPr>
          <w:rFonts w:ascii="Arial" w:eastAsia="Arial" w:hAnsi="Arial" w:cs="Arial"/>
          <w:i/>
          <w:color w:val="000000"/>
          <w:sz w:val="20"/>
        </w:rPr>
        <w:t>Piercy v. Maketa</w:t>
      </w:r>
      <w:r>
        <w:rPr>
          <w:rFonts w:ascii="Arial" w:eastAsia="Arial" w:hAnsi="Arial" w:cs="Arial"/>
          <w:color w:val="000000"/>
          <w:sz w:val="20"/>
        </w:rPr>
        <w:t xml:space="preserve">, 480 F.3d 1192, 1203 (10th Cir. 2007) ("The [Supreme] Court [has] made clear the substantive discrimination provisions of Title VII are limited 'to [adverse] actions that affect employment or alter the conditions of the workplace.'" (third alteration in original) (quoting </w:t>
      </w:r>
      <w:bookmarkStart w:id="3567" w:name="Bookmark_I532DVDF2SF8GB0030000400"/>
      <w:bookmarkEnd w:id="3567"/>
      <w:r>
        <w:rPr>
          <w:rFonts w:ascii="Arial" w:eastAsia="Arial" w:hAnsi="Arial" w:cs="Arial"/>
          <w:i/>
          <w:color w:val="000000"/>
          <w:sz w:val="20"/>
        </w:rPr>
        <w:t>Burlington N. &amp; Santa Fe Ry. v. White</w:t>
      </w:r>
      <w:r>
        <w:rPr>
          <w:rFonts w:ascii="Arial" w:eastAsia="Arial" w:hAnsi="Arial" w:cs="Arial"/>
          <w:color w:val="000000"/>
          <w:sz w:val="20"/>
        </w:rPr>
        <w:t xml:space="preserve">, 548 U.S. 53, 62, 126 S. Ct. 2405, 165 L. Ed. 2d 345 (2006))). </w:t>
      </w:r>
      <w:r>
        <w:rPr>
          <w:rFonts w:ascii="Arial" w:eastAsia="Arial" w:hAnsi="Arial" w:cs="Arial"/>
          <w:vertAlign w:val="superscript"/>
        </w:rPr>
        <w:footnoteReference w:customMarkFollows="1" w:id="182"/>
        <w:t>11</w:t>
      </w:r>
    </w:p>
    <w:p w14:paraId="0D451FFC" w14:textId="77777777" w:rsidR="00D041A2" w:rsidRDefault="00000000">
      <w:pPr>
        <w:pStyle w:val="Normal31"/>
        <w:widowControl w:val="0"/>
        <w:spacing w:before="200" w:line="260" w:lineRule="atLeast"/>
        <w:jc w:val="both"/>
      </w:pPr>
      <w:bookmarkStart w:id="3572" w:name="Bookmark_para_24_15"/>
      <w:bookmarkStart w:id="3573" w:name="Bookmark_I33FYXHDF5F000CXWC20009J"/>
      <w:bookmarkStart w:id="3574" w:name="Bookmark_I532DVDF2HM6FN0050000400"/>
      <w:bookmarkStart w:id="3575" w:name="Bookmark_I33FYXHDK0K000CXWC20009K"/>
      <w:bookmarkStart w:id="3576" w:name="Bookmark_I532DVDF2N1PN30020000400"/>
      <w:bookmarkStart w:id="3577" w:name="Bookmark_LNHNREFclscc9_20"/>
      <w:bookmarkEnd w:id="3572"/>
      <w:bookmarkEnd w:id="3573"/>
      <w:bookmarkEnd w:id="3574"/>
      <w:bookmarkEnd w:id="3575"/>
      <w:bookmarkEnd w:id="3576"/>
      <w:bookmarkEnd w:id="3577"/>
      <w:r>
        <w:rPr>
          <w:rFonts w:ascii="Arial" w:eastAsia="Arial" w:hAnsi="Arial" w:cs="Arial"/>
          <w:color w:val="000000"/>
          <w:sz w:val="20"/>
        </w:rPr>
        <w:t xml:space="preserve">If a plaintiff offers no direct evidence of discrimination, which is often the case, the court applies the burden-shifting analysis articulated by the Supreme Court in </w:t>
      </w:r>
      <w:bookmarkStart w:id="3578" w:name="Bookmark_I532DVDF2HM6FN0040000400"/>
      <w:bookmarkEnd w:id="3578"/>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w:t>
      </w:r>
      <w:bookmarkStart w:id="3579" w:name="Bookmark_I532DVDF2N1PN30040000400"/>
      <w:bookmarkEnd w:id="3579"/>
      <w:r>
        <w:rPr>
          <w:rFonts w:ascii="Arial" w:eastAsia="Arial" w:hAnsi="Arial" w:cs="Arial"/>
          <w:i/>
          <w:color w:val="000000"/>
          <w:sz w:val="20"/>
        </w:rPr>
        <w:t xml:space="preserve">See, e.g., </w:t>
      </w:r>
      <w:bookmarkStart w:id="3580" w:name="Bookmark_I532DVDF2N1PN30010000400"/>
      <w:bookmarkEnd w:id="3580"/>
      <w:r>
        <w:rPr>
          <w:rFonts w:ascii="Arial" w:eastAsia="Arial" w:hAnsi="Arial" w:cs="Arial"/>
          <w:i/>
          <w:color w:val="000000"/>
          <w:sz w:val="20"/>
        </w:rPr>
        <w:t>MacKenzie v. City &amp; Cnty. of Denver</w:t>
      </w:r>
      <w:r>
        <w:rPr>
          <w:rFonts w:ascii="Arial" w:eastAsia="Arial" w:hAnsi="Arial" w:cs="Arial"/>
          <w:color w:val="000000"/>
          <w:sz w:val="20"/>
        </w:rPr>
        <w:t xml:space="preserve">, 414 F.3d 1266, 1274 (10th Cir. 2005). Under this framework, a plaintiff must first make out a prima facie case of discrimination, as described above. </w:t>
      </w:r>
      <w:bookmarkStart w:id="3581" w:name="Bookmark_I532DVDF2N1PN30040000400_2"/>
      <w:bookmarkStart w:id="3582" w:name="Bookmark_I532DVDF2D6N8W0010000400"/>
      <w:bookmarkStart w:id="3583" w:name="Bookmark_I532DVDF2N1PN30030000400"/>
      <w:bookmarkEnd w:id="3581"/>
      <w:bookmarkEnd w:id="3582"/>
      <w:bookmarkEnd w:id="3583"/>
      <w:r>
        <w:rPr>
          <w:rFonts w:ascii="Arial" w:eastAsia="Arial" w:hAnsi="Arial" w:cs="Arial"/>
          <w:i/>
          <w:color w:val="000000"/>
          <w:sz w:val="20"/>
        </w:rPr>
        <w:t>McDonnell Douglas</w:t>
      </w:r>
      <w:r>
        <w:rPr>
          <w:rFonts w:ascii="Arial" w:eastAsia="Arial" w:hAnsi="Arial" w:cs="Arial"/>
          <w:color w:val="000000"/>
          <w:sz w:val="20"/>
        </w:rPr>
        <w:t xml:space="preserve">, 411 U.S. at 802. </w:t>
      </w:r>
      <w:bookmarkStart w:id="3584" w:name="Bookmark_I532DVDF2D6N8W0010000400_2"/>
      <w:bookmarkStart w:id="3585" w:name="Bookmark_I532DVDF2D6N8W0030000400"/>
      <w:bookmarkEnd w:id="3584"/>
      <w:bookmarkEnd w:id="3585"/>
      <w:r>
        <w:rPr>
          <w:rFonts w:ascii="Arial" w:eastAsia="Arial" w:hAnsi="Arial" w:cs="Arial"/>
          <w:color w:val="000000"/>
          <w:sz w:val="20"/>
        </w:rPr>
        <w:t xml:space="preserve">After the plaintiff has made the requisite showing, the burden shifts to the defendant to articulate a legitimate, nondiscriminatory reason for its actions. </w:t>
      </w:r>
      <w:bookmarkStart w:id="3586" w:name="Bookmark_I33FYXHF849000CXWC20009R"/>
      <w:bookmarkStart w:id="3587" w:name="Bookmark_I33FYXHDPTR000CXWC2001BK"/>
      <w:bookmarkStart w:id="3588" w:name="Bookmark_I33FYXHF0G1000CXWC20009N"/>
      <w:bookmarkStart w:id="3589" w:name="Bookmark_I33FYXHFHSK000CXWC2001BT"/>
      <w:bookmarkStart w:id="3590" w:name="Bookmark_I532DVDF2D6N8W0050000400"/>
      <w:bookmarkStart w:id="3591" w:name="Bookmark_I532DVDF2N1PN30050000400"/>
      <w:bookmarkEnd w:id="3586"/>
      <w:bookmarkEnd w:id="3587"/>
      <w:bookmarkEnd w:id="3588"/>
      <w:bookmarkEnd w:id="3589"/>
      <w:bookmarkEnd w:id="3590"/>
      <w:bookmarkEnd w:id="3591"/>
      <w:r>
        <w:rPr>
          <w:rFonts w:ascii="Arial" w:eastAsia="Arial" w:hAnsi="Arial" w:cs="Arial"/>
          <w:i/>
          <w:color w:val="000000"/>
          <w:sz w:val="20"/>
        </w:rPr>
        <w:t>Id</w:t>
      </w:r>
      <w:r>
        <w:rPr>
          <w:rFonts w:ascii="Arial" w:eastAsia="Arial" w:hAnsi="Arial" w:cs="Arial"/>
          <w:color w:val="000000"/>
          <w:sz w:val="20"/>
        </w:rPr>
        <w:t xml:space="preserve">. at 802-03. </w:t>
      </w:r>
      <w:bookmarkStart w:id="3592" w:name="Bookmark_I532DVDF2D6N8W0050000400_2"/>
      <w:bookmarkStart w:id="3593" w:name="Bookmark_I532DVDF2D6N8W0030000400_2"/>
      <w:bookmarkEnd w:id="3592"/>
      <w:bookmarkEnd w:id="3593"/>
      <w:r>
        <w:rPr>
          <w:rFonts w:ascii="Arial" w:eastAsia="Arial" w:hAnsi="Arial" w:cs="Arial"/>
          <w:color w:val="000000"/>
          <w:sz w:val="20"/>
        </w:rPr>
        <w:t xml:space="preserve">If the defendant proffers such a reason, the burden then shifts back to the plaintiff to show that the defendant's stated reasons are merely "pretextual." </w:t>
      </w:r>
      <w:bookmarkStart w:id="3594" w:name="Bookmark_I532DVDF2D6N8W0020000400"/>
      <w:bookmarkEnd w:id="3594"/>
      <w:r>
        <w:rPr>
          <w:rFonts w:ascii="Arial" w:eastAsia="Arial" w:hAnsi="Arial" w:cs="Arial"/>
          <w:i/>
          <w:color w:val="000000"/>
          <w:sz w:val="20"/>
        </w:rPr>
        <w:t>Id</w:t>
      </w:r>
      <w:r>
        <w:rPr>
          <w:rFonts w:ascii="Arial" w:eastAsia="Arial" w:hAnsi="Arial" w:cs="Arial"/>
          <w:color w:val="000000"/>
          <w:sz w:val="20"/>
        </w:rPr>
        <w:t xml:space="preserve">. at 804-05. "[A] plaintiff can establish  [**1039]  pretext by showing the defendant's proffered non-discriminatory explanations for its actions are 'so incoherent, weak, inconsistent, or contradictory that a rational factfinder  [*24] could conclude [they are] unworthy of belief.'" </w:t>
      </w:r>
      <w:bookmarkStart w:id="3595" w:name="Bookmark_I532DVDF2D6N8W0040000400"/>
      <w:bookmarkEnd w:id="3595"/>
      <w:r>
        <w:rPr>
          <w:rFonts w:ascii="Arial" w:eastAsia="Arial" w:hAnsi="Arial" w:cs="Arial"/>
          <w:i/>
          <w:color w:val="000000"/>
          <w:sz w:val="20"/>
        </w:rPr>
        <w:t>Johnson v. Weld Cnty., Colo</w:t>
      </w:r>
      <w:r>
        <w:rPr>
          <w:rFonts w:ascii="Arial" w:eastAsia="Arial" w:hAnsi="Arial" w:cs="Arial"/>
          <w:color w:val="000000"/>
          <w:sz w:val="20"/>
        </w:rPr>
        <w:t xml:space="preserve">., 594 F.3d 1202, 1211 (10th Cir. 2010) (alteration in original) (quoting </w:t>
      </w:r>
      <w:bookmarkStart w:id="3596" w:name="Bookmark_I532DVDF2N1PN40010000400"/>
      <w:bookmarkEnd w:id="3596"/>
      <w:r>
        <w:rPr>
          <w:rFonts w:ascii="Arial" w:eastAsia="Arial" w:hAnsi="Arial" w:cs="Arial"/>
          <w:i/>
          <w:color w:val="000000"/>
          <w:sz w:val="20"/>
        </w:rPr>
        <w:t>Hinds v. Sprint/United Mgmt. Co</w:t>
      </w:r>
      <w:r>
        <w:rPr>
          <w:rFonts w:ascii="Arial" w:eastAsia="Arial" w:hAnsi="Arial" w:cs="Arial"/>
          <w:color w:val="000000"/>
          <w:sz w:val="20"/>
        </w:rPr>
        <w:t xml:space="preserve">., 523 F.3d 1187, 1197 (10th Cir. 2008)); </w:t>
      </w:r>
      <w:r>
        <w:rPr>
          <w:rFonts w:ascii="Arial" w:eastAsia="Arial" w:hAnsi="Arial" w:cs="Arial"/>
          <w:i/>
          <w:color w:val="000000"/>
          <w:sz w:val="20"/>
        </w:rPr>
        <w:t xml:space="preserve">see also </w:t>
      </w:r>
      <w:bookmarkStart w:id="3597" w:name="Bookmark_I532DVDF2N1PN40030000400"/>
      <w:bookmarkEnd w:id="3597"/>
      <w:r>
        <w:rPr>
          <w:rFonts w:ascii="Arial" w:eastAsia="Arial" w:hAnsi="Arial" w:cs="Arial"/>
          <w:i/>
          <w:color w:val="000000"/>
          <w:sz w:val="20"/>
        </w:rPr>
        <w:t>Zamora v. Elite Logistics, Inc</w:t>
      </w:r>
      <w:r>
        <w:rPr>
          <w:rFonts w:ascii="Arial" w:eastAsia="Arial" w:hAnsi="Arial" w:cs="Arial"/>
          <w:color w:val="000000"/>
          <w:sz w:val="20"/>
        </w:rPr>
        <w:t xml:space="preserve">., 478 F.3d 1160, 1166 (10th Cir. 2007) ("A plaintiff demonstrates pretext by showing either that a discriminatory reason more likely motivated the employer or that the employer's proffered explanation is unworthy of credence." (quoting </w:t>
      </w:r>
      <w:bookmarkStart w:id="3598" w:name="Bookmark_I532DVDF2N1PN40050000400"/>
      <w:bookmarkEnd w:id="3598"/>
      <w:r>
        <w:rPr>
          <w:rFonts w:ascii="Arial" w:eastAsia="Arial" w:hAnsi="Arial" w:cs="Arial"/>
          <w:i/>
          <w:color w:val="000000"/>
          <w:sz w:val="20"/>
        </w:rPr>
        <w:t>Stinnett v. Safeway, Inc</w:t>
      </w:r>
      <w:r>
        <w:rPr>
          <w:rFonts w:ascii="Arial" w:eastAsia="Arial" w:hAnsi="Arial" w:cs="Arial"/>
          <w:color w:val="000000"/>
          <w:sz w:val="20"/>
        </w:rPr>
        <w:t>., 337 F.3d 1213, 1218 (10th Cir. 2003)) (internal quotation marks omitted)).</w:t>
      </w:r>
    </w:p>
    <w:p w14:paraId="2FE8AE8F" w14:textId="77777777" w:rsidR="00D041A2" w:rsidRDefault="00000000">
      <w:pPr>
        <w:pStyle w:val="Normal31"/>
        <w:widowControl w:val="0"/>
        <w:spacing w:before="240" w:line="260" w:lineRule="atLeast"/>
      </w:pPr>
      <w:r>
        <w:br/>
      </w:r>
      <w:r>
        <w:rPr>
          <w:rFonts w:ascii="Arial" w:eastAsia="Arial" w:hAnsi="Arial" w:cs="Arial"/>
          <w:b/>
          <w:color w:val="000000"/>
          <w:sz w:val="20"/>
        </w:rPr>
        <w:t>1. ADA § 102(b)(1) Discrimination Claim</w:t>
      </w:r>
    </w:p>
    <w:p w14:paraId="0C7D7DA4" w14:textId="77777777" w:rsidR="00D041A2" w:rsidRDefault="00000000">
      <w:pPr>
        <w:pStyle w:val="Normal31"/>
        <w:widowControl w:val="0"/>
        <w:spacing w:before="200" w:line="260" w:lineRule="atLeast"/>
        <w:jc w:val="both"/>
      </w:pPr>
      <w:bookmarkStart w:id="3599" w:name="Bookmark_para_25_15"/>
      <w:bookmarkStart w:id="3600" w:name="Bookmark_I532DVDF28T4JD0030000400"/>
      <w:bookmarkEnd w:id="3599"/>
      <w:bookmarkEnd w:id="3600"/>
      <w:r>
        <w:rPr>
          <w:rFonts w:ascii="Arial" w:eastAsia="Arial" w:hAnsi="Arial" w:cs="Arial"/>
          <w:color w:val="000000"/>
          <w:sz w:val="20"/>
        </w:rPr>
        <w:t xml:space="preserve">EEOC and Mr. Watson argue that C.R. England unlawfully discriminated against Mr. Watson "by requiring his trainees to sign a form consenting to be trained by an HIV-positive driver." EEOC Opening Br., No. 09-4207, at 37; </w:t>
      </w:r>
      <w:r>
        <w:rPr>
          <w:rFonts w:ascii="Arial" w:eastAsia="Arial" w:hAnsi="Arial" w:cs="Arial"/>
          <w:i/>
          <w:color w:val="000000"/>
          <w:sz w:val="20"/>
        </w:rPr>
        <w:t>see also</w:t>
      </w:r>
      <w:r>
        <w:rPr>
          <w:rFonts w:ascii="Arial" w:eastAsia="Arial" w:hAnsi="Arial" w:cs="Arial"/>
          <w:color w:val="000000"/>
          <w:sz w:val="20"/>
        </w:rPr>
        <w:t xml:space="preserve"> Watson Opening Br., No. 09-4217, at 40-41. More specifically, EEOC argues that the acknowledgment-form requirement violated ADA § 102(b)(1), which prohibits discrimination by "limiting, segregating, or classifying a job applicant or employee in a way that adversely affects the opportunities or status of such applicant or employee  [*25] because of the disability of such applicant or employee." 42 U.S.C. § 12112(b)(1). As noted above, as part of their prima facie case of discrimination, the appellants must demonstrate that Mr. Watson suffered from an "adverse employment action." </w:t>
      </w:r>
      <w:bookmarkStart w:id="3601" w:name="Bookmark_I532DVDF28T4JD0020000400"/>
      <w:bookmarkEnd w:id="3601"/>
      <w:r>
        <w:rPr>
          <w:rFonts w:ascii="Arial" w:eastAsia="Arial" w:hAnsi="Arial" w:cs="Arial"/>
          <w:i/>
          <w:color w:val="000000"/>
          <w:sz w:val="20"/>
        </w:rPr>
        <w:t>Mathews</w:t>
      </w:r>
      <w:r>
        <w:rPr>
          <w:rFonts w:ascii="Arial" w:eastAsia="Arial" w:hAnsi="Arial" w:cs="Arial"/>
          <w:color w:val="000000"/>
          <w:sz w:val="20"/>
        </w:rPr>
        <w:t>, 263 F.3d at 1167. In fact, § 102(b)(1) explicitly limits the discriminatory prohibition to employer actions that "</w:t>
      </w:r>
      <w:r>
        <w:rPr>
          <w:rFonts w:ascii="Arial" w:eastAsia="Arial" w:hAnsi="Arial" w:cs="Arial"/>
          <w:i/>
          <w:color w:val="000000"/>
          <w:sz w:val="20"/>
        </w:rPr>
        <w:t>adversely affect</w:t>
      </w:r>
      <w:r>
        <w:rPr>
          <w:rFonts w:ascii="Arial" w:eastAsia="Arial" w:hAnsi="Arial" w:cs="Arial"/>
          <w:color w:val="000000"/>
          <w:sz w:val="20"/>
        </w:rPr>
        <w:t>[] the opportunities or status" of the employee. 42 U.S.C. § 12112(b)(1) (emphasis added).</w:t>
      </w:r>
    </w:p>
    <w:p w14:paraId="4549C050" w14:textId="77777777" w:rsidR="00D041A2" w:rsidRDefault="00000000">
      <w:pPr>
        <w:pStyle w:val="Normal31"/>
        <w:widowControl w:val="0"/>
        <w:spacing w:before="200" w:line="260" w:lineRule="atLeast"/>
        <w:jc w:val="both"/>
      </w:pPr>
      <w:bookmarkStart w:id="3602" w:name="Bookmark_para_26_14"/>
      <w:bookmarkEnd w:id="3602"/>
      <w:r>
        <w:rPr>
          <w:rFonts w:ascii="Arial" w:eastAsia="Arial" w:hAnsi="Arial" w:cs="Arial"/>
          <w:color w:val="000000"/>
          <w:sz w:val="20"/>
        </w:rPr>
        <w:t>The district court granted summary judgment in favor of C.R. England on this claim, based on its conclusion that Mr. Watson had not suffered from an adverse employment action. As the district court explained:</w:t>
      </w:r>
    </w:p>
    <w:p w14:paraId="39639EB2" w14:textId="77777777" w:rsidR="00D041A2" w:rsidRDefault="00000000">
      <w:pPr>
        <w:pStyle w:val="Normal31"/>
        <w:widowControl w:val="0"/>
        <w:spacing w:line="260" w:lineRule="atLeast"/>
        <w:ind w:left="400"/>
        <w:jc w:val="both"/>
      </w:pPr>
      <w:bookmarkStart w:id="3603" w:name="Bookmark_para_27_14"/>
      <w:bookmarkStart w:id="3604" w:name="Bookmark_I532DVDF28T4JD0050000400"/>
      <w:bookmarkEnd w:id="3603"/>
      <w:bookmarkEnd w:id="3604"/>
      <w:r>
        <w:rPr>
          <w:rFonts w:ascii="Arial" w:eastAsia="Arial" w:hAnsi="Arial" w:cs="Arial"/>
          <w:color w:val="000000"/>
          <w:sz w:val="20"/>
        </w:rPr>
        <w:t xml:space="preserve">Watson was not reassigned or denied the ability to become a driver-trainer. </w:t>
      </w:r>
      <w:bookmarkStart w:id="3605" w:name="Bookmark_I532DVDF2SF8GG0020000400"/>
      <w:bookmarkEnd w:id="3605"/>
      <w:r>
        <w:rPr>
          <w:rFonts w:ascii="Arial" w:eastAsia="Arial" w:hAnsi="Arial" w:cs="Arial"/>
          <w:color w:val="000000"/>
          <w:sz w:val="20"/>
        </w:rPr>
        <w:t>Nor was he limited in his opportunity to drive, or segregated from others who did not want to work with him. His training responsibilities were the same as other England driver-trainers, and he suffered no significant change in his compensation as a driver-trainer as a consequence of England's use of the acknowledgment form.</w:t>
      </w:r>
    </w:p>
    <w:p w14:paraId="3DCBE024" w14:textId="77777777" w:rsidR="00D041A2" w:rsidRDefault="00000000">
      <w:pPr>
        <w:pStyle w:val="Normal31"/>
        <w:widowControl w:val="0"/>
        <w:spacing w:before="200" w:line="260" w:lineRule="atLeast"/>
        <w:jc w:val="both"/>
      </w:pPr>
      <w:bookmarkStart w:id="3606" w:name="Bookmark_I532DVDF2SF8GG0020000400_2"/>
      <w:bookmarkStart w:id="3607" w:name="Bookmark_I532DVDF28T4JD0050000400_2"/>
      <w:bookmarkStart w:id="3608" w:name="Bookmark_I532DVDF28T4JD0040000400"/>
      <w:bookmarkEnd w:id="3606"/>
      <w:bookmarkEnd w:id="3607"/>
      <w:bookmarkEnd w:id="3608"/>
      <w:r>
        <w:rPr>
          <w:rFonts w:ascii="Arial" w:eastAsia="Arial" w:hAnsi="Arial" w:cs="Arial"/>
          <w:i/>
          <w:color w:val="000000"/>
          <w:sz w:val="20"/>
        </w:rPr>
        <w:t>EEOC v. C.R. England</w:t>
      </w:r>
      <w:r>
        <w:rPr>
          <w:rFonts w:ascii="Arial" w:eastAsia="Arial" w:hAnsi="Arial" w:cs="Arial"/>
          <w:color w:val="000000"/>
          <w:sz w:val="20"/>
        </w:rPr>
        <w:t xml:space="preserve">, No. 2:06-CV-00811BSJ, slip op. at 20. The court further stated that "[t]he adverse employment  [*26] consequence asserted by the EEOC . . . , namely that trainees were discouraged from working with [him] because of his disability as disclosed by the acknowledgment form, lacks evidentiary support in th[e] record." </w:t>
      </w:r>
      <w:bookmarkStart w:id="3609" w:name="Bookmark_I532DVDF2SF8GG0010000400"/>
      <w:bookmarkEnd w:id="3609"/>
      <w:r>
        <w:rPr>
          <w:rFonts w:ascii="Arial" w:eastAsia="Arial" w:hAnsi="Arial" w:cs="Arial"/>
          <w:i/>
          <w:color w:val="000000"/>
          <w:sz w:val="20"/>
        </w:rPr>
        <w:t>Id</w:t>
      </w:r>
      <w:r>
        <w:rPr>
          <w:rFonts w:ascii="Arial" w:eastAsia="Arial" w:hAnsi="Arial" w:cs="Arial"/>
          <w:color w:val="000000"/>
          <w:sz w:val="20"/>
        </w:rPr>
        <w:t>. at 21. We agree with the district court that EEOC and Mr. Watson have not stated a viable claim under ADA § 102(b)(1).</w:t>
      </w:r>
    </w:p>
    <w:p w14:paraId="516297E0" w14:textId="77777777" w:rsidR="00D041A2" w:rsidRDefault="00000000">
      <w:pPr>
        <w:pStyle w:val="Normal31"/>
        <w:widowControl w:val="0"/>
        <w:spacing w:before="200" w:line="260" w:lineRule="atLeast"/>
        <w:jc w:val="both"/>
      </w:pPr>
      <w:bookmarkStart w:id="3610" w:name="Bookmark_para_28_13"/>
      <w:bookmarkStart w:id="3611" w:name="Bookmark_I532DVDF2SF8GG0040000400"/>
      <w:bookmarkStart w:id="3612" w:name="Bookmark_I532DVDF2SF8GJ0050000400"/>
      <w:bookmarkEnd w:id="3610"/>
      <w:bookmarkEnd w:id="3611"/>
      <w:bookmarkEnd w:id="3612"/>
      <w:r>
        <w:rPr>
          <w:rFonts w:ascii="Arial" w:eastAsia="Arial" w:hAnsi="Arial" w:cs="Arial"/>
          <w:color w:val="000000"/>
          <w:sz w:val="20"/>
        </w:rPr>
        <w:t xml:space="preserve">At the outset, we acknowledge that </w:t>
      </w:r>
      <w:bookmarkStart w:id="3613" w:name="Bookmark_LNHNREFclscc10_18"/>
      <w:bookmarkEnd w:id="3613"/>
      <w:r>
        <w:rPr>
          <w:rFonts w:ascii="Arial" w:eastAsia="Arial" w:hAnsi="Arial" w:cs="Arial"/>
          <w:color w:val="000000"/>
          <w:sz w:val="20"/>
        </w:rPr>
        <w:t xml:space="preserve">an employer's accommodation of the discriminatory preferences of other employees, clients, or customers could, under certain circumstances, expose the employer to liability for discrimination. </w:t>
      </w:r>
      <w:bookmarkStart w:id="3614" w:name="Bookmark_I0678JVBHVN00002TFW000W0"/>
      <w:bookmarkStart w:id="3615" w:name="Bookmark_I0678JVBN0400002TFW000W2"/>
      <w:bookmarkStart w:id="3616" w:name="Bookmark_I532DVDF2HM6FS0050000400"/>
      <w:bookmarkEnd w:id="3614"/>
      <w:bookmarkEnd w:id="3615"/>
      <w:bookmarkEnd w:id="3616"/>
      <w:r>
        <w:rPr>
          <w:rFonts w:ascii="Arial" w:eastAsia="Arial" w:hAnsi="Arial" w:cs="Arial"/>
          <w:vertAlign w:val="superscript"/>
        </w:rPr>
        <w:footnoteReference w:customMarkFollows="1" w:id="183"/>
        <w:t>12</w:t>
      </w:r>
      <w:r>
        <w:rPr>
          <w:rFonts w:ascii="Arial" w:eastAsia="Arial" w:hAnsi="Arial" w:cs="Arial"/>
          <w:color w:val="000000"/>
          <w:sz w:val="20"/>
        </w:rPr>
        <w:t xml:space="preserve"> However, as  [**1040]  stated above, a viable claim of discrimination in this context must still be predicated on an adverse employment action. </w:t>
      </w:r>
      <w:bookmarkStart w:id="3626" w:name="Bookmark_I532DVDF2D6N900030000400"/>
      <w:bookmarkStart w:id="3627" w:name="Bookmark_LNHNREFclscc11_16"/>
      <w:bookmarkEnd w:id="3626"/>
      <w:bookmarkEnd w:id="3627"/>
      <w:r>
        <w:rPr>
          <w:rFonts w:ascii="Arial" w:eastAsia="Arial" w:hAnsi="Arial" w:cs="Arial"/>
          <w:color w:val="000000"/>
          <w:sz w:val="20"/>
        </w:rPr>
        <w:t xml:space="preserve">The Tenth Circuit has "liberally define[d] the phrase 'adverse employment action,'" </w:t>
      </w:r>
      <w:bookmarkStart w:id="3628" w:name="Bookmark_I532DVDF2SF8GG0030000400"/>
      <w:bookmarkEnd w:id="3628"/>
      <w:r>
        <w:rPr>
          <w:rFonts w:ascii="Arial" w:eastAsia="Arial" w:hAnsi="Arial" w:cs="Arial"/>
          <w:i/>
          <w:color w:val="000000"/>
          <w:sz w:val="20"/>
        </w:rPr>
        <w:t>Sanchez v. Denver Pub. Schs</w:t>
      </w:r>
      <w:r>
        <w:rPr>
          <w:rFonts w:ascii="Arial" w:eastAsia="Arial" w:hAnsi="Arial" w:cs="Arial"/>
          <w:color w:val="000000"/>
          <w:sz w:val="20"/>
        </w:rPr>
        <w:t xml:space="preserve">., 164 F.3d 527, 532 (10th Cir. 1998), and takes "a case-by-case approach, examining the unique factors relevant to the situation at hand," </w:t>
      </w:r>
      <w:bookmarkStart w:id="3629" w:name="Bookmark_I532DVDF2SF8GG0050000400"/>
      <w:bookmarkEnd w:id="3629"/>
      <w:r>
        <w:rPr>
          <w:rFonts w:ascii="Arial" w:eastAsia="Arial" w:hAnsi="Arial" w:cs="Arial"/>
          <w:i/>
          <w:color w:val="000000"/>
          <w:sz w:val="20"/>
        </w:rPr>
        <w:t>Hillig v. Rumsfeld</w:t>
      </w:r>
      <w:r>
        <w:rPr>
          <w:rFonts w:ascii="Arial" w:eastAsia="Arial" w:hAnsi="Arial" w:cs="Arial"/>
          <w:color w:val="000000"/>
          <w:sz w:val="20"/>
        </w:rPr>
        <w:t xml:space="preserve">, 381 F.3d 1028, 1031 (10th Cir. 2004) (quoting </w:t>
      </w:r>
      <w:bookmarkStart w:id="3630" w:name="Bookmark_I532DVDF2HM6FS0020000400"/>
      <w:bookmarkEnd w:id="3630"/>
      <w:r>
        <w:rPr>
          <w:rFonts w:ascii="Arial" w:eastAsia="Arial" w:hAnsi="Arial" w:cs="Arial"/>
          <w:i/>
          <w:color w:val="000000"/>
          <w:sz w:val="20"/>
        </w:rPr>
        <w:t>Sanchez</w:t>
      </w:r>
      <w:r>
        <w:rPr>
          <w:rFonts w:ascii="Arial" w:eastAsia="Arial" w:hAnsi="Arial" w:cs="Arial"/>
          <w:color w:val="000000"/>
          <w:sz w:val="20"/>
        </w:rPr>
        <w:t xml:space="preserve">, 164 F.3d at 531) (internal quotation marks omitted). </w:t>
      </w:r>
      <w:bookmarkStart w:id="3631" w:name="Bookmark_I532DVDF2D6N900030000400_2"/>
      <w:bookmarkStart w:id="3632" w:name="Bookmark_I532DVDF2HM6FS0050000400_2"/>
      <w:bookmarkEnd w:id="3631"/>
      <w:bookmarkEnd w:id="3632"/>
      <w:r>
        <w:rPr>
          <w:rFonts w:ascii="Arial" w:eastAsia="Arial" w:hAnsi="Arial" w:cs="Arial"/>
          <w:color w:val="000000"/>
          <w:sz w:val="20"/>
        </w:rPr>
        <w:t xml:space="preserve">In general, "[o]nly 'acts that constitute a significant change in employment status, such as hiring, firing, failing to promote,  [*27] reassignment with significantly different responsibilities, or a decision causing a significant change in benefits' will rise to the level of an adverse employment action." </w:t>
      </w:r>
      <w:bookmarkStart w:id="3633" w:name="Bookmark_I532DVDF2HM6FS0040000400"/>
      <w:bookmarkEnd w:id="3633"/>
      <w:r>
        <w:rPr>
          <w:rFonts w:ascii="Arial" w:eastAsia="Arial" w:hAnsi="Arial" w:cs="Arial"/>
          <w:i/>
          <w:color w:val="000000"/>
          <w:sz w:val="20"/>
        </w:rPr>
        <w:t>Haynes v. Level 3 Commc'ns, LLC</w:t>
      </w:r>
      <w:r>
        <w:rPr>
          <w:rFonts w:ascii="Arial" w:eastAsia="Arial" w:hAnsi="Arial" w:cs="Arial"/>
          <w:color w:val="000000"/>
          <w:sz w:val="20"/>
        </w:rPr>
        <w:t xml:space="preserve">, 456 F.3d 1215, 1222 (10th Cir. 2006) (quoting </w:t>
      </w:r>
      <w:bookmarkStart w:id="3634" w:name="Bookmark_I532DVDF2N1PN60010000400"/>
      <w:bookmarkEnd w:id="3634"/>
      <w:r>
        <w:rPr>
          <w:rFonts w:ascii="Arial" w:eastAsia="Arial" w:hAnsi="Arial" w:cs="Arial"/>
          <w:i/>
          <w:color w:val="000000"/>
          <w:sz w:val="20"/>
        </w:rPr>
        <w:t>Dick v. Phone Directories Co., Inc</w:t>
      </w:r>
      <w:r>
        <w:rPr>
          <w:rFonts w:ascii="Arial" w:eastAsia="Arial" w:hAnsi="Arial" w:cs="Arial"/>
          <w:color w:val="000000"/>
          <w:sz w:val="20"/>
        </w:rPr>
        <w:t xml:space="preserve">., 397 F.3d 1256, 1268 (10th Cir. 2005)); </w:t>
      </w:r>
      <w:r>
        <w:rPr>
          <w:rFonts w:ascii="Arial" w:eastAsia="Arial" w:hAnsi="Arial" w:cs="Arial"/>
          <w:i/>
          <w:color w:val="000000"/>
          <w:sz w:val="20"/>
        </w:rPr>
        <w:t xml:space="preserve">accord </w:t>
      </w:r>
      <w:bookmarkStart w:id="3635" w:name="Bookmark_I532DVDF2N1PN60030000400"/>
      <w:bookmarkEnd w:id="3635"/>
      <w:r>
        <w:rPr>
          <w:rFonts w:ascii="Arial" w:eastAsia="Arial" w:hAnsi="Arial" w:cs="Arial"/>
          <w:i/>
          <w:color w:val="000000"/>
          <w:sz w:val="20"/>
        </w:rPr>
        <w:t>Hillig</w:t>
      </w:r>
      <w:r>
        <w:rPr>
          <w:rFonts w:ascii="Arial" w:eastAsia="Arial" w:hAnsi="Arial" w:cs="Arial"/>
          <w:color w:val="000000"/>
          <w:sz w:val="20"/>
        </w:rPr>
        <w:t xml:space="preserve">, 381 F.3d at 1032-33 (citing </w:t>
      </w:r>
      <w:bookmarkStart w:id="3636" w:name="Bookmark_I532DVDF2N1PN60050000400"/>
      <w:bookmarkEnd w:id="3636"/>
      <w:r>
        <w:rPr>
          <w:rFonts w:ascii="Arial" w:eastAsia="Arial" w:hAnsi="Arial" w:cs="Arial"/>
          <w:i/>
          <w:color w:val="000000"/>
          <w:sz w:val="20"/>
        </w:rPr>
        <w:t>Burlington Indus., Inc. v. Ellerth</w:t>
      </w:r>
      <w:r>
        <w:rPr>
          <w:rFonts w:ascii="Arial" w:eastAsia="Arial" w:hAnsi="Arial" w:cs="Arial"/>
          <w:color w:val="000000"/>
          <w:sz w:val="20"/>
        </w:rPr>
        <w:t xml:space="preserve">, 524 U.S. 742, 761, 118 S. Ct. 2257, 141 L. Ed. 2d 633 (1998)). </w:t>
      </w:r>
      <w:bookmarkStart w:id="3637" w:name="Bookmark_I532DVDF28T4JG0040000400"/>
      <w:bookmarkEnd w:id="3637"/>
      <w:r>
        <w:rPr>
          <w:rFonts w:ascii="Arial" w:eastAsia="Arial" w:hAnsi="Arial" w:cs="Arial"/>
          <w:color w:val="000000"/>
          <w:sz w:val="20"/>
        </w:rPr>
        <w:t xml:space="preserve">However, the term "adverse employment action" is not necessarily "limited to such acts." </w:t>
      </w:r>
      <w:bookmarkStart w:id="3638" w:name="Bookmark_I532DVDF2D6N900020000400"/>
      <w:bookmarkEnd w:id="3638"/>
      <w:r>
        <w:rPr>
          <w:rFonts w:ascii="Arial" w:eastAsia="Arial" w:hAnsi="Arial" w:cs="Arial"/>
          <w:i/>
          <w:color w:val="000000"/>
          <w:sz w:val="20"/>
        </w:rPr>
        <w:t>Hillig</w:t>
      </w:r>
      <w:r>
        <w:rPr>
          <w:rFonts w:ascii="Arial" w:eastAsia="Arial" w:hAnsi="Arial" w:cs="Arial"/>
          <w:color w:val="000000"/>
          <w:sz w:val="20"/>
        </w:rPr>
        <w:t xml:space="preserve">, 381 F.3d at 1032-33; </w:t>
      </w:r>
      <w:r>
        <w:rPr>
          <w:rFonts w:ascii="Arial" w:eastAsia="Arial" w:hAnsi="Arial" w:cs="Arial"/>
          <w:i/>
          <w:color w:val="000000"/>
          <w:sz w:val="20"/>
        </w:rPr>
        <w:t xml:space="preserve">see, e.g., </w:t>
      </w:r>
      <w:bookmarkStart w:id="3639" w:name="Bookmark_I532DVDF2D6N900040000400"/>
      <w:bookmarkEnd w:id="3639"/>
      <w:r>
        <w:rPr>
          <w:rFonts w:ascii="Arial" w:eastAsia="Arial" w:hAnsi="Arial" w:cs="Arial"/>
          <w:i/>
          <w:color w:val="000000"/>
          <w:sz w:val="20"/>
        </w:rPr>
        <w:t>id</w:t>
      </w:r>
      <w:r>
        <w:rPr>
          <w:rFonts w:ascii="Arial" w:eastAsia="Arial" w:hAnsi="Arial" w:cs="Arial"/>
          <w:color w:val="000000"/>
          <w:sz w:val="20"/>
        </w:rPr>
        <w:t xml:space="preserve">. at 1031 (noting that an employer's action that causes "harm to future employment prospects," such as a negative job reference, can be considered an adverse employment action (quoting </w:t>
      </w:r>
      <w:bookmarkStart w:id="3640" w:name="Bookmark_I532DVDF28T4JG0010000400"/>
      <w:bookmarkEnd w:id="3640"/>
      <w:r>
        <w:rPr>
          <w:rFonts w:ascii="Arial" w:eastAsia="Arial" w:hAnsi="Arial" w:cs="Arial"/>
          <w:i/>
          <w:color w:val="000000"/>
          <w:sz w:val="20"/>
        </w:rPr>
        <w:t>Berry v. Stevinson Chevrolet</w:t>
      </w:r>
      <w:r>
        <w:rPr>
          <w:rFonts w:ascii="Arial" w:eastAsia="Arial" w:hAnsi="Arial" w:cs="Arial"/>
          <w:color w:val="000000"/>
          <w:sz w:val="20"/>
        </w:rPr>
        <w:t xml:space="preserve">, 74 F.3d 980, 986-87 (10th Cir. 1996))). </w:t>
      </w:r>
      <w:bookmarkStart w:id="3641" w:name="Bookmark_I532DVDF28T4JG0040000400_2"/>
      <w:bookmarkEnd w:id="3641"/>
      <w:r>
        <w:rPr>
          <w:rFonts w:ascii="Arial" w:eastAsia="Arial" w:hAnsi="Arial" w:cs="Arial"/>
          <w:color w:val="000000"/>
          <w:sz w:val="20"/>
        </w:rPr>
        <w:t xml:space="preserve">But although the term is not confined to, for example, "monetary losses in the form of wages or benefits[,] . . . </w:t>
      </w:r>
      <w:bookmarkStart w:id="3642" w:name="Bookmark_I532DVDF2SF8GJ0030000400"/>
      <w:bookmarkEnd w:id="3642"/>
      <w:r>
        <w:rPr>
          <w:rFonts w:ascii="Arial" w:eastAsia="Arial" w:hAnsi="Arial" w:cs="Arial"/>
          <w:color w:val="000000"/>
          <w:sz w:val="20"/>
        </w:rPr>
        <w:t xml:space="preserve">'a mere inconvenience or an alteration of job responsibilities'" does not constitute an "adverse employment action." </w:t>
      </w:r>
      <w:bookmarkStart w:id="3643" w:name="Bookmark_I532DVDF28T4JG0030000400"/>
      <w:bookmarkEnd w:id="3643"/>
      <w:r>
        <w:rPr>
          <w:rFonts w:ascii="Arial" w:eastAsia="Arial" w:hAnsi="Arial" w:cs="Arial"/>
          <w:i/>
          <w:color w:val="000000"/>
          <w:sz w:val="20"/>
        </w:rPr>
        <w:t>Sanchez</w:t>
      </w:r>
      <w:r>
        <w:rPr>
          <w:rFonts w:ascii="Arial" w:eastAsia="Arial" w:hAnsi="Arial" w:cs="Arial"/>
          <w:color w:val="000000"/>
          <w:sz w:val="20"/>
        </w:rPr>
        <w:t xml:space="preserve">, 164 F.3d at 532 (quoting </w:t>
      </w:r>
      <w:bookmarkStart w:id="3644" w:name="Bookmark_I532DVDF28T4JG0050000400"/>
      <w:bookmarkEnd w:id="3644"/>
      <w:r>
        <w:rPr>
          <w:rFonts w:ascii="Arial" w:eastAsia="Arial" w:hAnsi="Arial" w:cs="Arial"/>
          <w:i/>
          <w:color w:val="000000"/>
          <w:sz w:val="20"/>
        </w:rPr>
        <w:t>Crady v. Liberty Nat'l Bank &amp; Trust Co</w:t>
      </w:r>
      <w:r>
        <w:rPr>
          <w:rFonts w:ascii="Arial" w:eastAsia="Arial" w:hAnsi="Arial" w:cs="Arial"/>
          <w:color w:val="000000"/>
          <w:sz w:val="20"/>
        </w:rPr>
        <w:t xml:space="preserve">., 993 F.2d 132, 136 (7th Cir. 1993)). </w:t>
      </w:r>
      <w:bookmarkStart w:id="3645" w:name="Bookmark_I532DVDF2SF8GJ0030000400_2"/>
      <w:bookmarkEnd w:id="3645"/>
      <w:r>
        <w:rPr>
          <w:rFonts w:ascii="Arial" w:eastAsia="Arial" w:hAnsi="Arial" w:cs="Arial"/>
          <w:color w:val="000000"/>
          <w:sz w:val="20"/>
        </w:rPr>
        <w:t>Accordingly, a plaintiff must show that  [*28] the alleged adverse action caused more than "</w:t>
      </w:r>
      <w:r>
        <w:rPr>
          <w:rFonts w:ascii="Arial" w:eastAsia="Arial" w:hAnsi="Arial" w:cs="Arial"/>
          <w:i/>
          <w:color w:val="000000"/>
          <w:sz w:val="20"/>
        </w:rPr>
        <w:t>de minimis</w:t>
      </w:r>
      <w:r>
        <w:rPr>
          <w:rFonts w:ascii="Arial" w:eastAsia="Arial" w:hAnsi="Arial" w:cs="Arial"/>
          <w:color w:val="000000"/>
          <w:sz w:val="20"/>
        </w:rPr>
        <w:t xml:space="preserve"> harm" to or a "</w:t>
      </w:r>
      <w:r>
        <w:rPr>
          <w:rFonts w:ascii="Arial" w:eastAsia="Arial" w:hAnsi="Arial" w:cs="Arial"/>
          <w:i/>
          <w:color w:val="000000"/>
          <w:sz w:val="20"/>
        </w:rPr>
        <w:t>de minimis</w:t>
      </w:r>
      <w:r>
        <w:rPr>
          <w:rFonts w:ascii="Arial" w:eastAsia="Arial" w:hAnsi="Arial" w:cs="Arial"/>
          <w:color w:val="000000"/>
          <w:sz w:val="20"/>
        </w:rPr>
        <w:t xml:space="preserve"> impact" upon an employee's job opportunities or status. </w:t>
      </w:r>
      <w:bookmarkStart w:id="3646" w:name="Bookmark_I532DVDF2SF8GJ0020000400"/>
      <w:bookmarkEnd w:id="3646"/>
      <w:r>
        <w:rPr>
          <w:rFonts w:ascii="Arial" w:eastAsia="Arial" w:hAnsi="Arial" w:cs="Arial"/>
          <w:i/>
          <w:color w:val="000000"/>
          <w:sz w:val="20"/>
        </w:rPr>
        <w:t>Hillig</w:t>
      </w:r>
      <w:r>
        <w:rPr>
          <w:rFonts w:ascii="Arial" w:eastAsia="Arial" w:hAnsi="Arial" w:cs="Arial"/>
          <w:color w:val="000000"/>
          <w:sz w:val="20"/>
        </w:rPr>
        <w:t>, 381 F.3d at 1033.</w:t>
      </w:r>
    </w:p>
    <w:p w14:paraId="4E693B33" w14:textId="77777777" w:rsidR="00D041A2" w:rsidRDefault="00000000">
      <w:pPr>
        <w:pStyle w:val="Normal31"/>
        <w:widowControl w:val="0"/>
        <w:spacing w:before="200" w:line="260" w:lineRule="atLeast"/>
        <w:jc w:val="both"/>
      </w:pPr>
      <w:bookmarkStart w:id="3647" w:name="Bookmark_para_29_12"/>
      <w:bookmarkEnd w:id="3647"/>
      <w:r>
        <w:rPr>
          <w:rFonts w:ascii="Arial" w:eastAsia="Arial" w:hAnsi="Arial" w:cs="Arial"/>
          <w:color w:val="000000"/>
          <w:sz w:val="20"/>
        </w:rPr>
        <w:t xml:space="preserve">In this instance, as noted, EEOC and Mr. Watson allege that C.R. England discriminated against Mr. Watson by requiring potential trainees to sign an HIV-acknowledgment form before training with him. However, C.R. England did not deny Mr. Watson the opportunity to become a trainer, demote him, or reassign him due  [*30] to his HIV status. Indeed, Mr. Watson's training responsibilities, duties, and compensation were the same as other driver-trainers, and there is no evidence that he was ever segregated from other employees or trainees. Furthermore, as discussed </w:t>
      </w:r>
      <w:r>
        <w:rPr>
          <w:rFonts w:ascii="Arial" w:eastAsia="Arial" w:hAnsi="Arial" w:cs="Arial"/>
          <w:i/>
          <w:color w:val="000000"/>
          <w:sz w:val="20"/>
        </w:rPr>
        <w:t>infra</w:t>
      </w:r>
      <w:r>
        <w:rPr>
          <w:rFonts w:ascii="Arial" w:eastAsia="Arial" w:hAnsi="Arial" w:cs="Arial"/>
          <w:color w:val="000000"/>
          <w:sz w:val="20"/>
        </w:rPr>
        <w:t xml:space="preserve">, the mere act of disclosing Mr. Watson's HIV status did not in and of itself amount to an actionable adverse action under the ADA. </w:t>
      </w:r>
      <w:r>
        <w:rPr>
          <w:rFonts w:ascii="Arial" w:eastAsia="Arial" w:hAnsi="Arial" w:cs="Arial"/>
          <w:i/>
          <w:color w:val="000000"/>
          <w:sz w:val="20"/>
        </w:rPr>
        <w:t>See infra</w:t>
      </w:r>
      <w:r>
        <w:rPr>
          <w:rFonts w:ascii="Arial" w:eastAsia="Arial" w:hAnsi="Arial" w:cs="Arial"/>
          <w:color w:val="000000"/>
          <w:sz w:val="20"/>
        </w:rPr>
        <w:t xml:space="preserve"> Part II.B. Nevertheless,  [**1041]  EEOC argues that the acknowledgment form constitutes an actionable adverse action because it "condition[ed] [Mr. Watson's] opportunity to be a trainer upon the disclosure of [his HIV status]," "limited his pool of trainees to only those students . . . willing to work with an HIV-positive trucker," and "allow[ed] potential trainees to refuse to work with him because of his HIV." EEOC Opening Br., No. 09-4207, at 47-48; </w:t>
      </w:r>
      <w:r>
        <w:rPr>
          <w:rFonts w:ascii="Arial" w:eastAsia="Arial" w:hAnsi="Arial" w:cs="Arial"/>
          <w:i/>
          <w:color w:val="000000"/>
          <w:sz w:val="20"/>
        </w:rPr>
        <w:t>see also</w:t>
      </w:r>
      <w:r>
        <w:rPr>
          <w:rFonts w:ascii="Arial" w:eastAsia="Arial" w:hAnsi="Arial" w:cs="Arial"/>
          <w:color w:val="000000"/>
          <w:sz w:val="20"/>
        </w:rPr>
        <w:t xml:space="preserve"> Watson Opening Br., No. 09-4217, at 40-41 (arguing that the "disclosure [form] was improper because it allowed Defendant England to deny Plaintiff Watson the ability to train drivers," and "[a]ny employer policy which grants the employees veto power over working with the disabled should be viewed as per se discrimination under the ADA").</w:t>
      </w:r>
    </w:p>
    <w:p w14:paraId="3610F0AA" w14:textId="77777777" w:rsidR="00D041A2" w:rsidRDefault="00000000">
      <w:pPr>
        <w:pStyle w:val="Normal31"/>
        <w:widowControl w:val="0"/>
        <w:spacing w:before="200" w:line="260" w:lineRule="atLeast"/>
        <w:jc w:val="both"/>
      </w:pPr>
      <w:bookmarkStart w:id="3648" w:name="Bookmark_para_30_12"/>
      <w:bookmarkEnd w:id="3648"/>
      <w:r>
        <w:rPr>
          <w:rFonts w:ascii="Arial" w:eastAsia="Arial" w:hAnsi="Arial" w:cs="Arial"/>
          <w:color w:val="000000"/>
          <w:sz w:val="20"/>
        </w:rPr>
        <w:t xml:space="preserve">Yet, EEOC and  [*31] Mr. Watson have failed to put forth any evidence that Mr. Watson's opportunities as a trainer were </w:t>
      </w:r>
      <w:r>
        <w:rPr>
          <w:rFonts w:ascii="Arial" w:eastAsia="Arial" w:hAnsi="Arial" w:cs="Arial"/>
          <w:i/>
          <w:color w:val="000000"/>
          <w:sz w:val="20"/>
        </w:rPr>
        <w:t>actually</w:t>
      </w:r>
      <w:r>
        <w:rPr>
          <w:rFonts w:ascii="Arial" w:eastAsia="Arial" w:hAnsi="Arial" w:cs="Arial"/>
          <w:color w:val="000000"/>
          <w:sz w:val="20"/>
        </w:rPr>
        <w:t xml:space="preserve"> limited in any respect. Only one potential trainee, Mr. Seastrunk, was presented with the acknowledgment form, and he willingly signed it and was subsequently trained by Mr. Watson. Furthermore, C.R. England established by its evidence that there were abundant trainees in the training pool—"several hundred at any one time." Oral Argument at 22:21. And appellants do not dispute this. Therefore, even if a potential trainee had declined to work with Mr. Watson—which, again, did not occur in this instance—that fact alone would not have impaired Mr. Watson's ability to function as a trainer, nor would it have prevented him from taking on another trainee. </w:t>
      </w:r>
      <w:r>
        <w:rPr>
          <w:rFonts w:ascii="Arial" w:eastAsia="Arial" w:hAnsi="Arial" w:cs="Arial"/>
          <w:vertAlign w:val="superscript"/>
        </w:rPr>
        <w:footnoteReference w:customMarkFollows="1" w:id="184"/>
        <w:t>13</w:t>
      </w:r>
    </w:p>
    <w:p w14:paraId="42ED7B21" w14:textId="77777777" w:rsidR="00D041A2" w:rsidRDefault="00000000">
      <w:pPr>
        <w:pStyle w:val="Normal31"/>
        <w:widowControl w:val="0"/>
        <w:spacing w:before="200" w:line="260" w:lineRule="atLeast"/>
        <w:jc w:val="both"/>
      </w:pPr>
      <w:bookmarkStart w:id="3658" w:name="Bookmark_para_31_11"/>
      <w:bookmarkStart w:id="3659" w:name="Bookmark_I532DVDG2D6N930020000400"/>
      <w:bookmarkEnd w:id="3658"/>
      <w:bookmarkEnd w:id="3659"/>
      <w:r>
        <w:rPr>
          <w:rFonts w:ascii="Arial" w:eastAsia="Arial" w:hAnsi="Arial" w:cs="Arial"/>
          <w:color w:val="000000"/>
          <w:sz w:val="20"/>
        </w:rPr>
        <w:t xml:space="preserve">In the end, the appellants' arguments are insufficient to support this discrimination claim. EEOC and Mr. Watson have not demonstrated  [*33] that the acknowledgment form had any meaningful impact or effect upon Mr. Watson's employment opportunities or status; the </w:t>
      </w:r>
      <w:r>
        <w:rPr>
          <w:rFonts w:ascii="Arial" w:eastAsia="Arial" w:hAnsi="Arial" w:cs="Arial"/>
          <w:i/>
          <w:color w:val="000000"/>
          <w:sz w:val="20"/>
        </w:rPr>
        <w:t>potential</w:t>
      </w:r>
      <w:r>
        <w:rPr>
          <w:rFonts w:ascii="Arial" w:eastAsia="Arial" w:hAnsi="Arial" w:cs="Arial"/>
          <w:color w:val="000000"/>
          <w:sz w:val="20"/>
        </w:rPr>
        <w:t xml:space="preserve"> that the acknowledgment form could have adversely affected his employment at some unknown time in the future, at least on this record, is not enough to support a claim under the ADA. Even though some might frown upon C.R. England's actions in effectively allowing trainees to decline to work with Mr. Watson because he has HIV,</w:t>
      </w:r>
      <w:bookmarkStart w:id="3660" w:name="Bookmark_LNHNREFclscc12_15"/>
      <w:bookmarkEnd w:id="3660"/>
      <w:r>
        <w:rPr>
          <w:rFonts w:ascii="Arial" w:eastAsia="Arial" w:hAnsi="Arial" w:cs="Arial"/>
          <w:color w:val="000000"/>
          <w:sz w:val="20"/>
        </w:rPr>
        <w:t xml:space="preserve"> "not every perceived indignity will rise to the level of an adverse employment action." </w:t>
      </w:r>
      <w:bookmarkStart w:id="3661" w:name="Bookmark_I532DVDG2D6N930010000400"/>
      <w:bookmarkEnd w:id="3661"/>
      <w:r>
        <w:rPr>
          <w:rFonts w:ascii="Arial" w:eastAsia="Arial" w:hAnsi="Arial" w:cs="Arial"/>
          <w:i/>
          <w:color w:val="000000"/>
          <w:sz w:val="20"/>
        </w:rPr>
        <w:t>Haynes</w:t>
      </w:r>
      <w:r>
        <w:rPr>
          <w:rFonts w:ascii="Arial" w:eastAsia="Arial" w:hAnsi="Arial" w:cs="Arial"/>
          <w:color w:val="000000"/>
          <w:sz w:val="20"/>
        </w:rPr>
        <w:t xml:space="preserve">, 456 F.3d at 1222; </w:t>
      </w:r>
      <w:r>
        <w:rPr>
          <w:rFonts w:ascii="Arial" w:eastAsia="Arial" w:hAnsi="Arial" w:cs="Arial"/>
          <w:i/>
          <w:color w:val="000000"/>
          <w:sz w:val="20"/>
        </w:rPr>
        <w:t xml:space="preserve">see also </w:t>
      </w:r>
      <w:bookmarkStart w:id="3662" w:name="Bookmark_I532DVDG2D6N930030000400"/>
      <w:bookmarkEnd w:id="3662"/>
      <w:r>
        <w:rPr>
          <w:rFonts w:ascii="Arial" w:eastAsia="Arial" w:hAnsi="Arial" w:cs="Arial"/>
          <w:i/>
          <w:color w:val="000000"/>
          <w:sz w:val="20"/>
        </w:rPr>
        <w:t>Hoffman v. Caterpillar, Inc</w:t>
      </w:r>
      <w:r>
        <w:rPr>
          <w:rFonts w:ascii="Arial" w:eastAsia="Arial" w:hAnsi="Arial" w:cs="Arial"/>
          <w:color w:val="000000"/>
          <w:sz w:val="20"/>
        </w:rPr>
        <w:t xml:space="preserve">., 256 F.3d 568, 575-76 (7th Cir. 2001) ("The idea behind requiring proof of an adverse employment action is simply that a statute which forbids employment discrimination is not intended to reach every bigoted act or  [**1042]  gesture that a worker might encounter in the workplace." (alteration omitted) (quoting </w:t>
      </w:r>
      <w:bookmarkStart w:id="3663" w:name="Bookmark_I532DVDG2D6N930050000400"/>
      <w:bookmarkEnd w:id="3663"/>
      <w:r>
        <w:rPr>
          <w:rFonts w:ascii="Arial" w:eastAsia="Arial" w:hAnsi="Arial" w:cs="Arial"/>
          <w:i/>
          <w:color w:val="000000"/>
          <w:sz w:val="20"/>
        </w:rPr>
        <w:t>Hunt v. City of Markham, Ill</w:t>
      </w:r>
      <w:r>
        <w:rPr>
          <w:rFonts w:ascii="Arial" w:eastAsia="Arial" w:hAnsi="Arial" w:cs="Arial"/>
          <w:color w:val="000000"/>
          <w:sz w:val="20"/>
        </w:rPr>
        <w:t>., 219 F.3d 649, 653 (7th Cir. 2000)) (internal quotation marks omitted)).</w:t>
      </w:r>
    </w:p>
    <w:p w14:paraId="2B9984DF" w14:textId="77777777" w:rsidR="00D041A2" w:rsidRDefault="00000000">
      <w:pPr>
        <w:pStyle w:val="Normal31"/>
        <w:widowControl w:val="0"/>
        <w:spacing w:before="200" w:line="260" w:lineRule="atLeast"/>
        <w:jc w:val="both"/>
      </w:pPr>
      <w:bookmarkStart w:id="3664" w:name="Bookmark_para_32_11"/>
      <w:bookmarkStart w:id="3665" w:name="Bookmark_I532DVDG2HM6FX0030000400"/>
      <w:bookmarkStart w:id="3666" w:name="Bookmark_I33FYXHGGJK000CXWC2001C2"/>
      <w:bookmarkStart w:id="3667" w:name="Bookmark_I532DVDG2HM6FX0050000400"/>
      <w:bookmarkEnd w:id="3664"/>
      <w:bookmarkEnd w:id="3665"/>
      <w:bookmarkEnd w:id="3666"/>
      <w:bookmarkEnd w:id="3667"/>
      <w:r>
        <w:rPr>
          <w:rFonts w:ascii="Arial" w:eastAsia="Arial" w:hAnsi="Arial" w:cs="Arial"/>
          <w:color w:val="000000"/>
          <w:sz w:val="20"/>
        </w:rPr>
        <w:t xml:space="preserve">The authorities cited by EEOC do not convince us that a different outcome is warranted. EEOC cites </w:t>
      </w:r>
      <w:bookmarkStart w:id="3668" w:name="Bookmark_I532DVDG2HM6FX0020000400"/>
      <w:bookmarkEnd w:id="3668"/>
      <w:r>
        <w:rPr>
          <w:rFonts w:ascii="Arial" w:eastAsia="Arial" w:hAnsi="Arial" w:cs="Arial"/>
          <w:i/>
          <w:color w:val="000000"/>
          <w:sz w:val="20"/>
        </w:rPr>
        <w:t>Duda v. Bd. of Educ. of Franklin Park</w:t>
      </w:r>
      <w:r>
        <w:rPr>
          <w:rFonts w:ascii="Arial" w:eastAsia="Arial" w:hAnsi="Arial" w:cs="Arial"/>
          <w:color w:val="000000"/>
          <w:sz w:val="20"/>
        </w:rPr>
        <w:t xml:space="preserve">, 133 F.3d 1054, 1059 (7th Cir. 1998), in support  [*34] of its claim. In </w:t>
      </w:r>
      <w:r>
        <w:rPr>
          <w:rFonts w:ascii="Arial" w:eastAsia="Arial" w:hAnsi="Arial" w:cs="Arial"/>
          <w:i/>
          <w:color w:val="000000"/>
          <w:sz w:val="20"/>
        </w:rPr>
        <w:t>Duda</w:t>
      </w:r>
      <w:r>
        <w:rPr>
          <w:rFonts w:ascii="Arial" w:eastAsia="Arial" w:hAnsi="Arial" w:cs="Arial"/>
          <w:color w:val="000000"/>
          <w:sz w:val="20"/>
        </w:rPr>
        <w:t xml:space="preserve">, a school custodian who suffered from a mental disability brought an ADA discrimination claim against the school board when the employer, </w:t>
      </w:r>
      <w:r>
        <w:rPr>
          <w:rFonts w:ascii="Arial" w:eastAsia="Arial" w:hAnsi="Arial" w:cs="Arial"/>
          <w:i/>
          <w:color w:val="000000"/>
          <w:sz w:val="20"/>
        </w:rPr>
        <w:t>inter alia</w:t>
      </w:r>
      <w:r>
        <w:rPr>
          <w:rFonts w:ascii="Arial" w:eastAsia="Arial" w:hAnsi="Arial" w:cs="Arial"/>
          <w:color w:val="000000"/>
          <w:sz w:val="20"/>
        </w:rPr>
        <w:t xml:space="preserve">, "forced [him] to transfer to a new location and to work alone, under orders not to speak to others." </w:t>
      </w:r>
      <w:bookmarkStart w:id="3669" w:name="Bookmark_I532DVDG2HM6FX0040000400"/>
      <w:bookmarkEnd w:id="3669"/>
      <w:r>
        <w:rPr>
          <w:rFonts w:ascii="Arial" w:eastAsia="Arial" w:hAnsi="Arial" w:cs="Arial"/>
          <w:color w:val="000000"/>
          <w:sz w:val="20"/>
        </w:rPr>
        <w:t xml:space="preserve">133 F.3d at 1059. </w:t>
      </w:r>
      <w:bookmarkStart w:id="3670" w:name="Bookmark_I532DVDG28T4JK0020000400"/>
      <w:bookmarkEnd w:id="3670"/>
      <w:r>
        <w:rPr>
          <w:rFonts w:ascii="Arial" w:eastAsia="Arial" w:hAnsi="Arial" w:cs="Arial"/>
          <w:color w:val="000000"/>
          <w:sz w:val="20"/>
        </w:rPr>
        <w:t xml:space="preserve">By contrast, C.R. England did not transfer Mr. Watson to a separate location, and there is no evidence that Mr. Watson was ever isolated from other employees. Furthermore, in each of the cases cited by EEOC, the employee—as required under ADA jurisprudence—had been shown to have suffered an adverse impact or effect in relation to his employment opportunities or status. </w:t>
      </w:r>
      <w:bookmarkStart w:id="3671" w:name="Bookmark_I532DVDG2N1PNB0030000400"/>
      <w:bookmarkEnd w:id="3671"/>
      <w:r>
        <w:rPr>
          <w:rFonts w:ascii="Arial" w:eastAsia="Arial" w:hAnsi="Arial" w:cs="Arial"/>
          <w:i/>
          <w:color w:val="000000"/>
          <w:sz w:val="20"/>
        </w:rPr>
        <w:t xml:space="preserve">See </w:t>
      </w:r>
      <w:bookmarkStart w:id="3672" w:name="Bookmark_I532DVDG28T4JK0010000400"/>
      <w:bookmarkEnd w:id="3672"/>
      <w:r>
        <w:rPr>
          <w:rFonts w:ascii="Arial" w:eastAsia="Arial" w:hAnsi="Arial" w:cs="Arial"/>
          <w:i/>
          <w:color w:val="000000"/>
          <w:sz w:val="20"/>
        </w:rPr>
        <w:t>id</w:t>
      </w:r>
      <w:r>
        <w:rPr>
          <w:rFonts w:ascii="Arial" w:eastAsia="Arial" w:hAnsi="Arial" w:cs="Arial"/>
          <w:color w:val="000000"/>
          <w:sz w:val="20"/>
        </w:rPr>
        <w:t xml:space="preserve">. at 1056 (addressing a situation where the plaintiff was forced to transfer to an entirely separate work location, was "told not to have conversations with others" at the new location, and "when he expressed an interest in applying for a better position, . . . he was told not to apply"); </w:t>
      </w:r>
      <w:bookmarkStart w:id="3673" w:name="Bookmark_I532DVDG28T4JK0030000400"/>
      <w:bookmarkEnd w:id="3673"/>
      <w:r>
        <w:rPr>
          <w:rFonts w:ascii="Arial" w:eastAsia="Arial" w:hAnsi="Arial" w:cs="Arial"/>
          <w:i/>
          <w:color w:val="000000"/>
          <w:sz w:val="20"/>
        </w:rPr>
        <w:t>Lam</w:t>
      </w:r>
      <w:r>
        <w:rPr>
          <w:rFonts w:ascii="Arial" w:eastAsia="Arial" w:hAnsi="Arial" w:cs="Arial"/>
          <w:color w:val="000000"/>
          <w:sz w:val="20"/>
        </w:rPr>
        <w:t xml:space="preserve">, 40 F.3d at 1554, 1559 (indicating that the plaintiff had suffered from an "adverse employment decision" when the employer rejected her employment applications allegedly due to her race, sex, and national origin); </w:t>
      </w:r>
      <w:bookmarkStart w:id="3674" w:name="Bookmark_I532DVDG28T4JK0050000400"/>
      <w:bookmarkEnd w:id="3674"/>
      <w:r>
        <w:rPr>
          <w:rFonts w:ascii="Arial" w:eastAsia="Arial" w:hAnsi="Arial" w:cs="Arial"/>
          <w:i/>
          <w:color w:val="000000"/>
          <w:sz w:val="20"/>
        </w:rPr>
        <w:t>Diaz</w:t>
      </w:r>
      <w:r>
        <w:rPr>
          <w:rFonts w:ascii="Arial" w:eastAsia="Arial" w:hAnsi="Arial" w:cs="Arial"/>
          <w:color w:val="000000"/>
          <w:sz w:val="20"/>
        </w:rPr>
        <w:t xml:space="preserve">, 442 F.2d at 385-86  [*35] (presenting situation where employer "refus[ed] to hire appellant . . . solely on the basis of [his] sex"). </w:t>
      </w:r>
      <w:bookmarkStart w:id="3675" w:name="Bookmark_I532DVDG2N1PNB0030000400_2"/>
      <w:bookmarkEnd w:id="3675"/>
      <w:r>
        <w:rPr>
          <w:rFonts w:ascii="Arial" w:eastAsia="Arial" w:hAnsi="Arial" w:cs="Arial"/>
          <w:color w:val="000000"/>
          <w:sz w:val="20"/>
        </w:rPr>
        <w:t xml:space="preserve">The appellants have not demonstrated that Mr. Watson has suffered any such adverse impact in this instance. As discussed above, Mr. Watson was not demoted, reassigned, or refused a promotion; his job responsibilities, duties, and compensation remained unchanged; and his opportunities and status as a trainer—in terms of availability of trainees and opportunities to train—were not shown to have been limited in any way. Moreover, the acknowledgment form, which was only given to one potential trainee, did not "carr[y] a significant risk of humiliation, damage to reputation, and a concomitant harm to future employment prospects." </w:t>
      </w:r>
      <w:bookmarkStart w:id="3676" w:name="Bookmark_I532DVDG2N1PNB0020000400"/>
      <w:bookmarkEnd w:id="3676"/>
      <w:r>
        <w:rPr>
          <w:rFonts w:ascii="Arial" w:eastAsia="Arial" w:hAnsi="Arial" w:cs="Arial"/>
          <w:i/>
          <w:color w:val="000000"/>
          <w:sz w:val="20"/>
        </w:rPr>
        <w:t>Berry</w:t>
      </w:r>
      <w:r>
        <w:rPr>
          <w:rFonts w:ascii="Arial" w:eastAsia="Arial" w:hAnsi="Arial" w:cs="Arial"/>
          <w:color w:val="000000"/>
          <w:sz w:val="20"/>
        </w:rPr>
        <w:t>, 74 F.3d at 986.</w:t>
      </w:r>
    </w:p>
    <w:p w14:paraId="3B8B175C" w14:textId="77777777" w:rsidR="00D041A2" w:rsidRDefault="00000000">
      <w:pPr>
        <w:pStyle w:val="Normal31"/>
        <w:widowControl w:val="0"/>
        <w:spacing w:before="200" w:line="260" w:lineRule="atLeast"/>
        <w:jc w:val="both"/>
      </w:pPr>
      <w:bookmarkStart w:id="3677" w:name="Bookmark_para_33_11"/>
      <w:bookmarkEnd w:id="3677"/>
      <w:r>
        <w:rPr>
          <w:rFonts w:ascii="Arial" w:eastAsia="Arial" w:hAnsi="Arial" w:cs="Arial"/>
          <w:color w:val="000000"/>
          <w:sz w:val="20"/>
        </w:rPr>
        <w:t>In concluding that Mr. Watson did not suffer from an actionable adverse employment action in this instance, we do not foreclose the possibility as a matter of law that a co-worker consent policy—i.e., a policy that gives co-workers a veto on whether they work with or around a disabled employee—might under certain circumstances result in or bring about an adverse employment action under the ADA. We simply hold that EEOC and Mr. Watson  [*36] have failed to make such a showing on the record before us. Accordingly, the district court did not err in granting summary judgment in favor of C.R. England on this claim.</w:t>
      </w:r>
    </w:p>
    <w:p w14:paraId="620BEEAD" w14:textId="77777777" w:rsidR="00D041A2" w:rsidRDefault="00000000">
      <w:pPr>
        <w:pStyle w:val="Normal31"/>
        <w:widowControl w:val="0"/>
        <w:spacing w:before="240" w:line="260" w:lineRule="atLeast"/>
      </w:pPr>
      <w:r>
        <w:br/>
      </w:r>
      <w:r>
        <w:rPr>
          <w:rFonts w:ascii="Arial" w:eastAsia="Arial" w:hAnsi="Arial" w:cs="Arial"/>
          <w:b/>
          <w:color w:val="000000"/>
          <w:sz w:val="20"/>
        </w:rPr>
        <w:t>2. Mr. Watson's "Misdirection" Discrimination Claim</w:t>
      </w:r>
    </w:p>
    <w:p w14:paraId="7ED03CE8" w14:textId="77777777" w:rsidR="00D041A2" w:rsidRDefault="00000000">
      <w:pPr>
        <w:pStyle w:val="Normal31"/>
        <w:widowControl w:val="0"/>
        <w:spacing w:before="200" w:line="260" w:lineRule="atLeast"/>
        <w:jc w:val="both"/>
      </w:pPr>
      <w:bookmarkStart w:id="3678" w:name="Bookmark_para_34_11"/>
      <w:bookmarkEnd w:id="3678"/>
      <w:r>
        <w:rPr>
          <w:rFonts w:ascii="Arial" w:eastAsia="Arial" w:hAnsi="Arial" w:cs="Arial"/>
          <w:color w:val="000000"/>
          <w:sz w:val="20"/>
        </w:rPr>
        <w:t xml:space="preserve">Under Mr. Watson's next discrimination claim, he asserts that he was discriminated against, in violation of the ADA, when C.R. England "misdirected [him] on several loads on his first training assignment." Watson Opening Br., No. 09-4217, at 38. More specifically, Mr. Watson claims that C.R. England sent him "contradictory messages" regarding his loads, which "led him criss-crossing Omaha during rush hour while towing his trainee along." </w:t>
      </w:r>
      <w:r>
        <w:rPr>
          <w:rFonts w:ascii="Arial" w:eastAsia="Arial" w:hAnsi="Arial" w:cs="Arial"/>
          <w:i/>
          <w:color w:val="000000"/>
          <w:sz w:val="20"/>
        </w:rPr>
        <w:t>Id</w:t>
      </w:r>
      <w:r>
        <w:rPr>
          <w:rFonts w:ascii="Arial" w:eastAsia="Arial" w:hAnsi="Arial" w:cs="Arial"/>
          <w:color w:val="000000"/>
          <w:sz w:val="20"/>
        </w:rPr>
        <w:t>. at 42. He asserts that this is an "adverse employment action" giving rise to a viable claim under the ADA.</w:t>
      </w:r>
    </w:p>
    <w:p w14:paraId="15BD9D39" w14:textId="77777777" w:rsidR="00D041A2" w:rsidRDefault="00000000">
      <w:pPr>
        <w:pStyle w:val="Normal31"/>
        <w:widowControl w:val="0"/>
        <w:spacing w:before="200" w:line="260" w:lineRule="atLeast"/>
        <w:jc w:val="both"/>
      </w:pPr>
      <w:bookmarkStart w:id="3679" w:name="Bookmark_para_35_11"/>
      <w:bookmarkStart w:id="3680" w:name="Bookmark_I532DVDG2N1PNB0050000400"/>
      <w:bookmarkEnd w:id="3679"/>
      <w:bookmarkEnd w:id="3680"/>
      <w:r>
        <w:rPr>
          <w:rFonts w:ascii="Arial" w:eastAsia="Arial" w:hAnsi="Arial" w:cs="Arial"/>
          <w:color w:val="000000"/>
          <w:sz w:val="20"/>
        </w:rPr>
        <w:t xml:space="preserve">We disagree. </w:t>
      </w:r>
      <w:bookmarkStart w:id="3681" w:name="Bookmark_I532DVDG2SF8GN0020000400"/>
      <w:bookmarkStart w:id="3682" w:name="Bookmark_I532DVDG2SF8GN0040000400"/>
      <w:bookmarkEnd w:id="3681"/>
      <w:bookmarkEnd w:id="3682"/>
      <w:r>
        <w:rPr>
          <w:rFonts w:ascii="Arial" w:eastAsia="Arial" w:hAnsi="Arial" w:cs="Arial"/>
          <w:color w:val="000000"/>
          <w:sz w:val="20"/>
        </w:rPr>
        <w:t>We have held that</w:t>
      </w:r>
      <w:bookmarkStart w:id="3683" w:name="Bookmark_LNHNREFclscc13_14"/>
      <w:bookmarkEnd w:id="3683"/>
      <w:r>
        <w:rPr>
          <w:rFonts w:ascii="Arial" w:eastAsia="Arial" w:hAnsi="Arial" w:cs="Arial"/>
          <w:color w:val="000000"/>
          <w:sz w:val="20"/>
        </w:rPr>
        <w:t xml:space="preserve"> "a mere inconvenience or an alteration of job responsibilities" does not constitute an "adverse employment action." </w:t>
      </w:r>
      <w:bookmarkStart w:id="3684" w:name="Bookmark_I532DVDG2N1PNB0040000400"/>
      <w:bookmarkEnd w:id="3684"/>
      <w:r>
        <w:rPr>
          <w:rFonts w:ascii="Arial" w:eastAsia="Arial" w:hAnsi="Arial" w:cs="Arial"/>
          <w:i/>
          <w:color w:val="000000"/>
          <w:sz w:val="20"/>
        </w:rPr>
        <w:t>Sanchez</w:t>
      </w:r>
      <w:r>
        <w:rPr>
          <w:rFonts w:ascii="Arial" w:eastAsia="Arial" w:hAnsi="Arial" w:cs="Arial"/>
          <w:color w:val="000000"/>
          <w:sz w:val="20"/>
        </w:rPr>
        <w:t xml:space="preserve">, 164 F.3d at 532. The misdirection of loads that occurred in this case was nothing more than a "mere inconvenience" that does not constitute an actionable  [**1043]  "adverse employment action." Accordingly, Mr. Watson has failed to assert a prima facie case. The district court therefore  [*37] committed no error in granting summary judgment in favor of C.R. England on this claim. </w:t>
      </w:r>
      <w:bookmarkStart w:id="3685" w:name="Bookmark_I532DVDG2SF8GN0040000400_2"/>
      <w:bookmarkStart w:id="3686" w:name="Bookmark_I532DVDG2SF8GN0020000400_2"/>
      <w:bookmarkEnd w:id="3685"/>
      <w:bookmarkEnd w:id="3686"/>
      <w:r>
        <w:rPr>
          <w:rFonts w:ascii="Arial" w:eastAsia="Arial" w:hAnsi="Arial" w:cs="Arial"/>
          <w:vertAlign w:val="superscript"/>
        </w:rPr>
        <w:footnoteReference w:customMarkFollows="1" w:id="185"/>
        <w:t>14</w:t>
      </w:r>
    </w:p>
    <w:p w14:paraId="264560CF" w14:textId="77777777" w:rsidR="00D041A2" w:rsidRDefault="00000000">
      <w:pPr>
        <w:pStyle w:val="Normal31"/>
        <w:widowControl w:val="0"/>
        <w:spacing w:before="240" w:line="260" w:lineRule="atLeast"/>
      </w:pPr>
      <w:r>
        <w:br/>
      </w:r>
      <w:r>
        <w:rPr>
          <w:rFonts w:ascii="Arial" w:eastAsia="Arial" w:hAnsi="Arial" w:cs="Arial"/>
          <w:b/>
          <w:color w:val="000000"/>
          <w:sz w:val="20"/>
        </w:rPr>
        <w:t>3. Mr. Watson's Discriminatory Termination Claim</w:t>
      </w:r>
    </w:p>
    <w:p w14:paraId="4E9FBB84" w14:textId="77777777" w:rsidR="00D041A2" w:rsidRDefault="00000000">
      <w:pPr>
        <w:pStyle w:val="Normal31"/>
        <w:widowControl w:val="0"/>
        <w:spacing w:before="200" w:line="260" w:lineRule="atLeast"/>
        <w:jc w:val="both"/>
      </w:pPr>
      <w:bookmarkStart w:id="3690" w:name="Bookmark_para_36_10"/>
      <w:bookmarkEnd w:id="3690"/>
      <w:r>
        <w:rPr>
          <w:rFonts w:ascii="Arial" w:eastAsia="Arial" w:hAnsi="Arial" w:cs="Arial"/>
          <w:color w:val="000000"/>
          <w:sz w:val="20"/>
        </w:rPr>
        <w:t xml:space="preserve">Mr. </w:t>
      </w:r>
      <w:bookmarkStart w:id="3691" w:name="Bookmark_I33FYXHKYGW000CXWC2000BR"/>
      <w:bookmarkStart w:id="3692" w:name="Bookmark_I532DVDG2D6N940010000400"/>
      <w:bookmarkEnd w:id="3691"/>
      <w:bookmarkEnd w:id="3692"/>
      <w:r>
        <w:rPr>
          <w:rFonts w:ascii="Arial" w:eastAsia="Arial" w:hAnsi="Arial" w:cs="Arial"/>
          <w:color w:val="000000"/>
          <w:sz w:val="20"/>
        </w:rPr>
        <w:t xml:space="preserve">Watson claims that he was terminated—in his capacity as a trainer and as a driver—because he was HIV-positive. </w:t>
      </w:r>
      <w:bookmarkStart w:id="3693" w:name="Bookmark_I33FYXHGK41000CXWC2000B1"/>
      <w:bookmarkStart w:id="3694" w:name="Bookmark_I532DVDG2D6N940030000400"/>
      <w:bookmarkEnd w:id="3693"/>
      <w:bookmarkEnd w:id="3694"/>
      <w:r>
        <w:rPr>
          <w:rFonts w:ascii="Arial" w:eastAsia="Arial" w:hAnsi="Arial" w:cs="Arial"/>
          <w:i/>
          <w:color w:val="000000"/>
          <w:sz w:val="20"/>
        </w:rPr>
        <w:t>See</w:t>
      </w:r>
      <w:r>
        <w:rPr>
          <w:rFonts w:ascii="Arial" w:eastAsia="Arial" w:hAnsi="Arial" w:cs="Arial"/>
          <w:color w:val="000000"/>
          <w:sz w:val="20"/>
        </w:rPr>
        <w:t xml:space="preserve"> Watson Opening Br., No. 09-4217, at 44 ("Once the upper management for Defendant England learned of Plaintiff Watson's disability, they  [*38] moved to terminate Plaintiff Watson."). Because Mr. Watson has offered no direct evidence of discrimination, we apply the </w:t>
      </w:r>
      <w:bookmarkStart w:id="3695" w:name="Bookmark_I532DVDG2SF8GN0050000400"/>
      <w:bookmarkEnd w:id="3695"/>
      <w:r>
        <w:rPr>
          <w:rFonts w:ascii="Arial" w:eastAsia="Arial" w:hAnsi="Arial" w:cs="Arial"/>
          <w:i/>
          <w:color w:val="000000"/>
          <w:sz w:val="20"/>
        </w:rPr>
        <w:t>McDonnell Douglas</w:t>
      </w:r>
      <w:r>
        <w:rPr>
          <w:rFonts w:ascii="Arial" w:eastAsia="Arial" w:hAnsi="Arial" w:cs="Arial"/>
          <w:color w:val="000000"/>
          <w:sz w:val="20"/>
        </w:rPr>
        <w:t xml:space="preserve"> burden-shifting test to each claim of discriminatory termination. </w:t>
      </w:r>
      <w:bookmarkStart w:id="3696" w:name="Bookmark_I532DVDG2D6N940030000400_2"/>
      <w:bookmarkStart w:id="3697" w:name="Bookmark_I532DVDG2D6N940050000400"/>
      <w:bookmarkStart w:id="3698" w:name="Bookmark_I532DVDG2D6N940020000400"/>
      <w:bookmarkEnd w:id="3696"/>
      <w:bookmarkEnd w:id="3697"/>
      <w:bookmarkEnd w:id="3698"/>
      <w:r>
        <w:rPr>
          <w:rFonts w:ascii="Arial" w:eastAsia="Arial" w:hAnsi="Arial" w:cs="Arial"/>
          <w:i/>
          <w:color w:val="000000"/>
          <w:sz w:val="20"/>
        </w:rPr>
        <w:t>MacKenzie</w:t>
      </w:r>
      <w:r>
        <w:rPr>
          <w:rFonts w:ascii="Arial" w:eastAsia="Arial" w:hAnsi="Arial" w:cs="Arial"/>
          <w:color w:val="000000"/>
          <w:sz w:val="20"/>
        </w:rPr>
        <w:t xml:space="preserve">, 414 F.3d at 1274. </w:t>
      </w:r>
      <w:bookmarkStart w:id="3699" w:name="Bookmark_I532DVDG2D6N940050000400_2"/>
      <w:bookmarkEnd w:id="3699"/>
      <w:r>
        <w:rPr>
          <w:rFonts w:ascii="Arial" w:eastAsia="Arial" w:hAnsi="Arial" w:cs="Arial"/>
          <w:color w:val="000000"/>
          <w:sz w:val="20"/>
        </w:rPr>
        <w:t xml:space="preserve">For purposes of this appeal, we assume that Mr. Watson can make out a prima facie case of discrimination. </w:t>
      </w:r>
      <w:r>
        <w:rPr>
          <w:rFonts w:ascii="Arial" w:eastAsia="Arial" w:hAnsi="Arial" w:cs="Arial"/>
          <w:i/>
          <w:color w:val="000000"/>
          <w:sz w:val="20"/>
        </w:rPr>
        <w:t xml:space="preserve">See </w:t>
      </w:r>
      <w:bookmarkStart w:id="3700" w:name="Bookmark_I532DVDG2D6N940040000400"/>
      <w:bookmarkEnd w:id="3700"/>
      <w:r>
        <w:rPr>
          <w:rFonts w:ascii="Arial" w:eastAsia="Arial" w:hAnsi="Arial" w:cs="Arial"/>
          <w:i/>
          <w:color w:val="000000"/>
          <w:sz w:val="20"/>
        </w:rPr>
        <w:t>Zamora</w:t>
      </w:r>
      <w:r>
        <w:rPr>
          <w:rFonts w:ascii="Arial" w:eastAsia="Arial" w:hAnsi="Arial" w:cs="Arial"/>
          <w:color w:val="000000"/>
          <w:sz w:val="20"/>
        </w:rPr>
        <w:t xml:space="preserve">, 478 F.3d at 1165 (assuming, without deciding, that the plaintiff had established a prima facie discriminatory termination claim under the ADA (citing </w:t>
      </w:r>
      <w:bookmarkStart w:id="3701" w:name="Bookmark_I532DVDG2HM6FY0010000400"/>
      <w:bookmarkEnd w:id="3701"/>
      <w:r>
        <w:rPr>
          <w:rFonts w:ascii="Arial" w:eastAsia="Arial" w:hAnsi="Arial" w:cs="Arial"/>
          <w:i/>
          <w:color w:val="000000"/>
          <w:sz w:val="20"/>
        </w:rPr>
        <w:t>Annett v. Univ. of Kan</w:t>
      </w:r>
      <w:r>
        <w:rPr>
          <w:rFonts w:ascii="Arial" w:eastAsia="Arial" w:hAnsi="Arial" w:cs="Arial"/>
          <w:color w:val="000000"/>
          <w:sz w:val="20"/>
        </w:rPr>
        <w:t xml:space="preserve">., 371 F.3d 1233, 1235, 1237 (10th Cir. 2004); </w:t>
      </w:r>
      <w:bookmarkStart w:id="3702" w:name="Bookmark_I532DVDG2HM6FY0030000400"/>
      <w:bookmarkEnd w:id="3702"/>
      <w:r>
        <w:rPr>
          <w:rFonts w:ascii="Arial" w:eastAsia="Arial" w:hAnsi="Arial" w:cs="Arial"/>
          <w:i/>
          <w:color w:val="000000"/>
          <w:sz w:val="20"/>
        </w:rPr>
        <w:t>McCowan v. All Star Maint., Inc</w:t>
      </w:r>
      <w:r>
        <w:rPr>
          <w:rFonts w:ascii="Arial" w:eastAsia="Arial" w:hAnsi="Arial" w:cs="Arial"/>
          <w:color w:val="000000"/>
          <w:sz w:val="20"/>
        </w:rPr>
        <w:t>., 273 F.3d 917, 923 (10th Cir. 2001))). Applying the burden-shifting test, we conclude that both of Mr. Watson's termination claims fail as a matter of law, and therefore the district court did not err in granting summary judgment in C.R. England's favor.</w:t>
      </w:r>
    </w:p>
    <w:p w14:paraId="60E99A62" w14:textId="77777777" w:rsidR="00D041A2" w:rsidRDefault="00000000">
      <w:pPr>
        <w:pStyle w:val="Normal31"/>
        <w:widowControl w:val="0"/>
        <w:spacing w:before="240" w:line="260" w:lineRule="atLeast"/>
      </w:pPr>
      <w:r>
        <w:br/>
      </w:r>
      <w:r>
        <w:rPr>
          <w:rFonts w:ascii="Arial" w:eastAsia="Arial" w:hAnsi="Arial" w:cs="Arial"/>
          <w:b/>
          <w:color w:val="000000"/>
          <w:sz w:val="20"/>
        </w:rPr>
        <w:t>i. Termination as Trainer</w:t>
      </w:r>
    </w:p>
    <w:p w14:paraId="7CD47CDC" w14:textId="77777777" w:rsidR="00D041A2" w:rsidRDefault="00000000">
      <w:pPr>
        <w:pStyle w:val="Normal31"/>
        <w:widowControl w:val="0"/>
        <w:spacing w:before="200" w:line="260" w:lineRule="atLeast"/>
        <w:jc w:val="both"/>
      </w:pPr>
      <w:bookmarkStart w:id="3703" w:name="Bookmark_para_37_9"/>
      <w:bookmarkStart w:id="3704" w:name="Bookmark_I532DVDG2N1PNF0010000400"/>
      <w:bookmarkEnd w:id="3703"/>
      <w:bookmarkEnd w:id="3704"/>
      <w:r>
        <w:rPr>
          <w:rFonts w:ascii="Arial" w:eastAsia="Arial" w:hAnsi="Arial" w:cs="Arial"/>
          <w:color w:val="000000"/>
          <w:sz w:val="20"/>
        </w:rPr>
        <w:t xml:space="preserve">When C.R. England removed Mr. Watson from his trainer position, the stated reasons for the removal were: (1) he "sat up with [his] student and burned up [his] h[ou]rs"; (2) he "refused a load"; and (3) he "deadheaded . . . over 1000 miles home." EEOC App. at 432. The supervisor further conveyed to Mr. Watson that she  [*39] "would remove any trainer[,] especially a brand new trainer for any one of th[o]se reasons," and that he "did not use good judgment[,] especially knowing that [he] w[as] on an automatic 90 day probation." </w:t>
      </w:r>
      <w:r>
        <w:rPr>
          <w:rFonts w:ascii="Arial" w:eastAsia="Arial" w:hAnsi="Arial" w:cs="Arial"/>
          <w:i/>
          <w:color w:val="000000"/>
          <w:sz w:val="20"/>
        </w:rPr>
        <w:t>Id</w:t>
      </w:r>
      <w:r>
        <w:rPr>
          <w:rFonts w:ascii="Arial" w:eastAsia="Arial" w:hAnsi="Arial" w:cs="Arial"/>
          <w:color w:val="000000"/>
          <w:sz w:val="20"/>
        </w:rPr>
        <w:t xml:space="preserve">. These stated reasons—which on their face are legitimate and non-discriminatory—satisfy C.R. England's "exceedingly light" burden. </w:t>
      </w:r>
      <w:bookmarkStart w:id="3705" w:name="Bookmark_I532DVDG2HM6FY0050000400"/>
      <w:bookmarkEnd w:id="3705"/>
      <w:r>
        <w:rPr>
          <w:rFonts w:ascii="Arial" w:eastAsia="Arial" w:hAnsi="Arial" w:cs="Arial"/>
          <w:i/>
          <w:color w:val="000000"/>
          <w:sz w:val="20"/>
        </w:rPr>
        <w:t>Goodwin v. Gen. Motors Corp</w:t>
      </w:r>
      <w:r>
        <w:rPr>
          <w:rFonts w:ascii="Arial" w:eastAsia="Arial" w:hAnsi="Arial" w:cs="Arial"/>
          <w:color w:val="000000"/>
          <w:sz w:val="20"/>
        </w:rPr>
        <w:t xml:space="preserve">., 275 F.3d 1005, 1013 (10th Cir. 2002) (quoting </w:t>
      </w:r>
      <w:bookmarkStart w:id="3706" w:name="Bookmark_I532DVDG2N1PNF0020000400"/>
      <w:bookmarkEnd w:id="3706"/>
      <w:r>
        <w:rPr>
          <w:rFonts w:ascii="Arial" w:eastAsia="Arial" w:hAnsi="Arial" w:cs="Arial"/>
          <w:i/>
          <w:color w:val="000000"/>
          <w:sz w:val="20"/>
        </w:rPr>
        <w:t>Sprague v. Thorn Ams., Inc</w:t>
      </w:r>
      <w:r>
        <w:rPr>
          <w:rFonts w:ascii="Arial" w:eastAsia="Arial" w:hAnsi="Arial" w:cs="Arial"/>
          <w:color w:val="000000"/>
          <w:sz w:val="20"/>
        </w:rPr>
        <w:t>., 129 F.3d 1355, 1363 (10th Cir. 1997)) (internal quotation marks omitted). The burden, therefore, shifts to Mr. Watson.</w:t>
      </w:r>
    </w:p>
    <w:p w14:paraId="7EC70D43" w14:textId="77777777" w:rsidR="00D041A2" w:rsidRDefault="00000000">
      <w:pPr>
        <w:pStyle w:val="Normal31"/>
        <w:widowControl w:val="0"/>
        <w:spacing w:before="200" w:line="260" w:lineRule="atLeast"/>
        <w:jc w:val="both"/>
      </w:pPr>
      <w:bookmarkStart w:id="3707" w:name="Bookmark_para_38_9"/>
      <w:bookmarkEnd w:id="3707"/>
      <w:r>
        <w:rPr>
          <w:rFonts w:ascii="Arial" w:eastAsia="Arial" w:hAnsi="Arial" w:cs="Arial"/>
          <w:color w:val="000000"/>
          <w:sz w:val="20"/>
        </w:rPr>
        <w:t xml:space="preserve">In attempting to demonstrate that C.R. England's proffered reasons for the removal are pretextual, Mr. Watson asserts that the company's justifications are not supported by the record. Specifically, he argues that (1) "there is no evidence that Plaintiff Watson improperly allocated hours for his student"; (2) he refused the load because he "was extremely frustrated  [**1044]  with at least three load cancellations in a row"; and (3) "although [he] deadheaded home, Defendant England cites no rule or company policy which would require the termination of a trainer for deadheading home." Watson Opening Br., No. 09-4217, at 44-45. </w:t>
      </w:r>
      <w:r>
        <w:rPr>
          <w:rFonts w:ascii="Arial" w:eastAsia="Arial" w:hAnsi="Arial" w:cs="Arial"/>
          <w:vertAlign w:val="superscript"/>
        </w:rPr>
        <w:footnoteReference w:customMarkFollows="1" w:id="186"/>
        <w:t>15</w:t>
      </w:r>
    </w:p>
    <w:p w14:paraId="3554C198" w14:textId="77777777" w:rsidR="00D041A2" w:rsidRDefault="00000000">
      <w:pPr>
        <w:pStyle w:val="Normal31"/>
        <w:widowControl w:val="0"/>
        <w:spacing w:before="200" w:line="260" w:lineRule="atLeast"/>
        <w:jc w:val="both"/>
      </w:pPr>
      <w:bookmarkStart w:id="3709" w:name="Bookmark_para_39_9"/>
      <w:bookmarkStart w:id="3710" w:name="Bookmark_I532DVDG2N1PNF0050000400"/>
      <w:bookmarkStart w:id="3711" w:name="Bookmark_I532DVDG2D6N950010000400"/>
      <w:bookmarkStart w:id="3712" w:name="Bookmark_LNHNREFclscc14_13"/>
      <w:bookmarkEnd w:id="3709"/>
      <w:bookmarkEnd w:id="3710"/>
      <w:bookmarkEnd w:id="3711"/>
      <w:bookmarkEnd w:id="3712"/>
      <w:r>
        <w:rPr>
          <w:rFonts w:ascii="Arial" w:eastAsia="Arial" w:hAnsi="Arial" w:cs="Arial"/>
          <w:color w:val="000000"/>
          <w:sz w:val="20"/>
        </w:rPr>
        <w:t xml:space="preserve">"In determining whether the proffered reason for a decision was pretextual, we examine the facts as they appear </w:t>
      </w:r>
      <w:r>
        <w:rPr>
          <w:rFonts w:ascii="Arial" w:eastAsia="Arial" w:hAnsi="Arial" w:cs="Arial"/>
          <w:i/>
          <w:color w:val="000000"/>
          <w:sz w:val="20"/>
        </w:rPr>
        <w:t>to the person making the decision</w:t>
      </w:r>
      <w:r>
        <w:rPr>
          <w:rFonts w:ascii="Arial" w:eastAsia="Arial" w:hAnsi="Arial" w:cs="Arial"/>
          <w:color w:val="000000"/>
          <w:sz w:val="20"/>
        </w:rPr>
        <w:t xml:space="preserve">," </w:t>
      </w:r>
      <w:bookmarkStart w:id="3713" w:name="Bookmark_I532DVDG2N1PNF0040000400"/>
      <w:bookmarkEnd w:id="3713"/>
      <w:r>
        <w:rPr>
          <w:rFonts w:ascii="Arial" w:eastAsia="Arial" w:hAnsi="Arial" w:cs="Arial"/>
          <w:i/>
          <w:color w:val="000000"/>
          <w:sz w:val="20"/>
        </w:rPr>
        <w:t>Zamora</w:t>
      </w:r>
      <w:r>
        <w:rPr>
          <w:rFonts w:ascii="Arial" w:eastAsia="Arial" w:hAnsi="Arial" w:cs="Arial"/>
          <w:color w:val="000000"/>
          <w:sz w:val="20"/>
        </w:rPr>
        <w:t xml:space="preserve">, 478 F.3d at 1166 (quoting </w:t>
      </w:r>
      <w:bookmarkStart w:id="3714" w:name="Bookmark_I532DVDG2SF8GP0010000400"/>
      <w:bookmarkEnd w:id="3714"/>
      <w:r>
        <w:rPr>
          <w:rFonts w:ascii="Arial" w:eastAsia="Arial" w:hAnsi="Arial" w:cs="Arial"/>
          <w:i/>
          <w:color w:val="000000"/>
          <w:sz w:val="20"/>
        </w:rPr>
        <w:t>Watts v. City of Norman</w:t>
      </w:r>
      <w:r>
        <w:rPr>
          <w:rFonts w:ascii="Arial" w:eastAsia="Arial" w:hAnsi="Arial" w:cs="Arial"/>
          <w:color w:val="000000"/>
          <w:sz w:val="20"/>
        </w:rPr>
        <w:t xml:space="preserve">, 270 F.3d 1288, 1295 (10th Cir. 2001)); we do not look to the plaintiff's subjective evaluation of the situation, </w:t>
      </w:r>
      <w:r>
        <w:rPr>
          <w:rFonts w:ascii="Arial" w:eastAsia="Arial" w:hAnsi="Arial" w:cs="Arial"/>
          <w:i/>
          <w:color w:val="000000"/>
          <w:sz w:val="20"/>
        </w:rPr>
        <w:t xml:space="preserve">see </w:t>
      </w:r>
      <w:bookmarkStart w:id="3715" w:name="Bookmark_I532DVDG2SF8GP0030000400"/>
      <w:bookmarkEnd w:id="3715"/>
      <w:r>
        <w:rPr>
          <w:rFonts w:ascii="Arial" w:eastAsia="Arial" w:hAnsi="Arial" w:cs="Arial"/>
          <w:i/>
          <w:color w:val="000000"/>
          <w:sz w:val="20"/>
        </w:rPr>
        <w:t>McKnight v. Kimberly Clark Corp</w:t>
      </w:r>
      <w:r>
        <w:rPr>
          <w:rFonts w:ascii="Arial" w:eastAsia="Arial" w:hAnsi="Arial" w:cs="Arial"/>
          <w:color w:val="000000"/>
          <w:sz w:val="20"/>
        </w:rPr>
        <w:t xml:space="preserve">., 149 F.3d 1125, 1130 (10th Cir. 1998). </w:t>
      </w:r>
      <w:bookmarkStart w:id="3716" w:name="Bookmark_I532DVDG2D6N950030000400"/>
      <w:bookmarkEnd w:id="3716"/>
      <w:r>
        <w:rPr>
          <w:rFonts w:ascii="Arial" w:eastAsia="Arial" w:hAnsi="Arial" w:cs="Arial"/>
          <w:color w:val="000000"/>
          <w:sz w:val="20"/>
        </w:rPr>
        <w:t xml:space="preserve">Regarding the supervisor's belief that he had inappropriately "burned up" his hours, Mr. Watson had told the driver manager that he had run out of hours. When asked why this was the case, Mr. Watson did not explain and instead simply refused the load. Moreover, regardless of whether Mr. Watson actually misallocated his hours, we are only concerned with whether the employer held a good-faith  [*41] belief that he had done so; the evidence before us demonstrates that it did. </w:t>
      </w:r>
      <w:r>
        <w:rPr>
          <w:rFonts w:ascii="Arial" w:eastAsia="Arial" w:hAnsi="Arial" w:cs="Arial"/>
          <w:i/>
          <w:color w:val="000000"/>
          <w:sz w:val="20"/>
        </w:rPr>
        <w:t xml:space="preserve">See </w:t>
      </w:r>
      <w:bookmarkStart w:id="3717" w:name="Bookmark_I532DVDG2SF8GP0050000400"/>
      <w:bookmarkEnd w:id="3717"/>
      <w:r>
        <w:rPr>
          <w:rFonts w:ascii="Arial" w:eastAsia="Arial" w:hAnsi="Arial" w:cs="Arial"/>
          <w:i/>
          <w:color w:val="000000"/>
          <w:sz w:val="20"/>
        </w:rPr>
        <w:t>Sorbo v. United Parcel Serv</w:t>
      </w:r>
      <w:r>
        <w:rPr>
          <w:rFonts w:ascii="Arial" w:eastAsia="Arial" w:hAnsi="Arial" w:cs="Arial"/>
          <w:color w:val="000000"/>
          <w:sz w:val="20"/>
        </w:rPr>
        <w:t xml:space="preserve">., 432 F.3d 1169, 1178 (10th Cir. 2005) (indicating that the relevant inquiry "concerns the belief of the employer that the employee engaged in misconduct, not whether the actual facts, as shown by evidence extrinsic to the employer's assessment, may have been otherwise."). </w:t>
      </w:r>
      <w:bookmarkStart w:id="3718" w:name="Bookmark_I532DVDG2D6N950030000400_2"/>
      <w:bookmarkEnd w:id="3718"/>
      <w:r>
        <w:rPr>
          <w:rFonts w:ascii="Arial" w:eastAsia="Arial" w:hAnsi="Arial" w:cs="Arial"/>
          <w:color w:val="000000"/>
          <w:sz w:val="20"/>
        </w:rPr>
        <w:t xml:space="preserve">In the end, Mr. Watson has not put forth any evidence that undermines the sincerity of C.R. England's stated justification—that is, he has not demonstrated it is "unworthy of belief." </w:t>
      </w:r>
      <w:bookmarkStart w:id="3719" w:name="Bookmark_I532DVDG2D6N950020000400"/>
      <w:bookmarkEnd w:id="3719"/>
      <w:r>
        <w:rPr>
          <w:rFonts w:ascii="Arial" w:eastAsia="Arial" w:hAnsi="Arial" w:cs="Arial"/>
          <w:i/>
          <w:color w:val="000000"/>
          <w:sz w:val="20"/>
        </w:rPr>
        <w:t>Stover v. Martinez</w:t>
      </w:r>
      <w:r>
        <w:rPr>
          <w:rFonts w:ascii="Arial" w:eastAsia="Arial" w:hAnsi="Arial" w:cs="Arial"/>
          <w:color w:val="000000"/>
          <w:sz w:val="20"/>
        </w:rPr>
        <w:t>, 382 F.3d 1064, 1071 (10th Cir. 2004).</w:t>
      </w:r>
    </w:p>
    <w:p w14:paraId="0F93C09C" w14:textId="77777777" w:rsidR="00D041A2" w:rsidRDefault="00000000">
      <w:pPr>
        <w:pStyle w:val="Normal31"/>
        <w:widowControl w:val="0"/>
        <w:spacing w:before="200" w:line="260" w:lineRule="atLeast"/>
        <w:jc w:val="both"/>
      </w:pPr>
      <w:bookmarkStart w:id="3720" w:name="Bookmark_para_40_9"/>
      <w:bookmarkStart w:id="3721" w:name="Bookmark_I532DVDG2D6N950050000400"/>
      <w:bookmarkEnd w:id="3720"/>
      <w:bookmarkEnd w:id="3721"/>
      <w:r>
        <w:rPr>
          <w:rFonts w:ascii="Arial" w:eastAsia="Arial" w:hAnsi="Arial" w:cs="Arial"/>
          <w:color w:val="000000"/>
          <w:sz w:val="20"/>
        </w:rPr>
        <w:t xml:space="preserve">In regard to Mr. Watson's load refusal, he does not dispute that he refused the load, and the evidence confirms that he did. Instead, Mr. Watson attempts to demonstrate pretext by giving a justification for his refusal, stating that he "was extremely frustrated with at least three load cancellations in a row." Watson Opening Br., No. 09-4217, at 45. </w:t>
      </w:r>
      <w:bookmarkStart w:id="3722" w:name="Bookmark_I532DVDG2HM6G00020000400"/>
      <w:bookmarkEnd w:id="3722"/>
      <w:r>
        <w:rPr>
          <w:rFonts w:ascii="Arial" w:eastAsia="Arial" w:hAnsi="Arial" w:cs="Arial"/>
          <w:color w:val="000000"/>
          <w:sz w:val="20"/>
        </w:rPr>
        <w:t xml:space="preserve">However, we fail to see how this excuse demonstrates pretext. </w:t>
      </w:r>
      <w:bookmarkStart w:id="3723" w:name="Bookmark_LNHNREFclscc15_12"/>
      <w:bookmarkEnd w:id="3723"/>
      <w:r>
        <w:rPr>
          <w:rFonts w:ascii="Arial" w:eastAsia="Arial" w:hAnsi="Arial" w:cs="Arial"/>
          <w:color w:val="000000"/>
          <w:sz w:val="20"/>
        </w:rPr>
        <w:t xml:space="preserve">"[A]n employer's exercise of erroneous or even illogical business judgment does not constitute pretext." </w:t>
      </w:r>
      <w:bookmarkStart w:id="3724" w:name="Bookmark_I532DVDG2D6N950040000400"/>
      <w:bookmarkEnd w:id="3724"/>
      <w:r>
        <w:rPr>
          <w:rFonts w:ascii="Arial" w:eastAsia="Arial" w:hAnsi="Arial" w:cs="Arial"/>
          <w:i/>
          <w:color w:val="000000"/>
          <w:sz w:val="20"/>
        </w:rPr>
        <w:t>Reynolds v. Sch. Dist. No. 1</w:t>
      </w:r>
      <w:r>
        <w:rPr>
          <w:rFonts w:ascii="Arial" w:eastAsia="Arial" w:hAnsi="Arial" w:cs="Arial"/>
          <w:color w:val="000000"/>
          <w:sz w:val="20"/>
        </w:rPr>
        <w:t xml:space="preserve">, 69 F.3d 1523, 1535 (10th Cir. 1995). </w:t>
      </w:r>
      <w:bookmarkStart w:id="3725" w:name="Bookmark_I532DVDG2HM6G00020000400_2"/>
      <w:bookmarkEnd w:id="3725"/>
      <w:r>
        <w:rPr>
          <w:rFonts w:ascii="Arial" w:eastAsia="Arial" w:hAnsi="Arial" w:cs="Arial"/>
          <w:color w:val="000000"/>
          <w:sz w:val="20"/>
        </w:rPr>
        <w:t xml:space="preserve"> [*42] And Mr. Watson's "[m]ere conjecture that the employer's explanation is pretext is insufficient to defeat summary judgment." </w:t>
      </w:r>
      <w:bookmarkStart w:id="3726" w:name="Bookmark_I532DVDG2HM6G00010000400"/>
      <w:bookmarkEnd w:id="3726"/>
      <w:r>
        <w:rPr>
          <w:rFonts w:ascii="Arial" w:eastAsia="Arial" w:hAnsi="Arial" w:cs="Arial"/>
          <w:i/>
          <w:color w:val="000000"/>
          <w:sz w:val="20"/>
        </w:rPr>
        <w:t>Anderson v. Coors Brewing Co</w:t>
      </w:r>
      <w:r>
        <w:rPr>
          <w:rFonts w:ascii="Arial" w:eastAsia="Arial" w:hAnsi="Arial" w:cs="Arial"/>
          <w:color w:val="000000"/>
          <w:sz w:val="20"/>
        </w:rPr>
        <w:t>., 181 F.3d 1171, 1179 (10th Cir. 1999).</w:t>
      </w:r>
    </w:p>
    <w:p w14:paraId="3250D2BA" w14:textId="77777777" w:rsidR="00D041A2" w:rsidRDefault="00000000">
      <w:pPr>
        <w:pStyle w:val="Normal31"/>
        <w:widowControl w:val="0"/>
        <w:spacing w:before="200" w:line="260" w:lineRule="atLeast"/>
        <w:jc w:val="both"/>
      </w:pPr>
      <w:bookmarkStart w:id="3727" w:name="Bookmark_para_41_8"/>
      <w:bookmarkEnd w:id="3727"/>
      <w:r>
        <w:rPr>
          <w:rFonts w:ascii="Arial" w:eastAsia="Arial" w:hAnsi="Arial" w:cs="Arial"/>
          <w:color w:val="000000"/>
          <w:sz w:val="20"/>
        </w:rPr>
        <w:t xml:space="preserve">As to C.R. England's final justification—that he deadheaded home while training a new driver—Mr. </w:t>
      </w:r>
      <w:bookmarkStart w:id="3728" w:name="Bookmark_I532DVDG2HM6G00040000400"/>
      <w:bookmarkEnd w:id="3728"/>
      <w:r>
        <w:rPr>
          <w:rFonts w:ascii="Arial" w:eastAsia="Arial" w:hAnsi="Arial" w:cs="Arial"/>
          <w:color w:val="000000"/>
          <w:sz w:val="20"/>
        </w:rPr>
        <w:t xml:space="preserve">Watson asserts that this is pretextual because the company "cites no rule or company policy which would </w:t>
      </w:r>
      <w:r>
        <w:rPr>
          <w:rFonts w:ascii="Arial" w:eastAsia="Arial" w:hAnsi="Arial" w:cs="Arial"/>
          <w:i/>
          <w:color w:val="000000"/>
          <w:sz w:val="20"/>
        </w:rPr>
        <w:t>require</w:t>
      </w:r>
      <w:r>
        <w:rPr>
          <w:rFonts w:ascii="Arial" w:eastAsia="Arial" w:hAnsi="Arial" w:cs="Arial"/>
          <w:color w:val="000000"/>
          <w:sz w:val="20"/>
        </w:rPr>
        <w:t xml:space="preserve"> the termination of a trainer for deadheading home." Watson Opening Br., No. 09-4217, at 45 (emphasis added). However, Mr. Watson cites no controlling precedent that in any way supports the proposition that an employer's legitimate, non-discriminatory justification must be based upon an official company rule or policy—much less be </w:t>
      </w:r>
      <w:r>
        <w:rPr>
          <w:rFonts w:ascii="Arial" w:eastAsia="Arial" w:hAnsi="Arial" w:cs="Arial"/>
          <w:i/>
          <w:color w:val="000000"/>
          <w:sz w:val="20"/>
        </w:rPr>
        <w:t>required</w:t>
      </w:r>
      <w:r>
        <w:rPr>
          <w:rFonts w:ascii="Arial" w:eastAsia="Arial" w:hAnsi="Arial" w:cs="Arial"/>
          <w:color w:val="000000"/>
          <w:sz w:val="20"/>
        </w:rPr>
        <w:t xml:space="preserve"> by such a rule or policy—and we are not aware of any such precedent. </w:t>
      </w:r>
      <w:r>
        <w:rPr>
          <w:rFonts w:ascii="Arial" w:eastAsia="Arial" w:hAnsi="Arial" w:cs="Arial"/>
          <w:i/>
          <w:color w:val="000000"/>
          <w:sz w:val="20"/>
        </w:rPr>
        <w:t xml:space="preserve">See </w:t>
      </w:r>
      <w:bookmarkStart w:id="3729" w:name="Bookmark_I532DVDG2HM6G00030000400"/>
      <w:bookmarkEnd w:id="3729"/>
      <w:r>
        <w:rPr>
          <w:rFonts w:ascii="Arial" w:eastAsia="Arial" w:hAnsi="Arial" w:cs="Arial"/>
          <w:i/>
          <w:color w:val="000000"/>
          <w:sz w:val="20"/>
        </w:rPr>
        <w:t>Medlock v. United Parcel Serv., Inc</w:t>
      </w:r>
      <w:r>
        <w:rPr>
          <w:rFonts w:ascii="Arial" w:eastAsia="Arial" w:hAnsi="Arial" w:cs="Arial"/>
          <w:color w:val="000000"/>
          <w:sz w:val="20"/>
        </w:rPr>
        <w:t xml:space="preserve">., 608 F.3d 1185, 1192-93 (10th Cir, 2010) </w:t>
      </w:r>
      <w:bookmarkStart w:id="3730" w:name="Bookmark_LNHNREFclscc16_9"/>
      <w:bookmarkEnd w:id="3730"/>
      <w:r>
        <w:rPr>
          <w:rFonts w:ascii="Arial" w:eastAsia="Arial" w:hAnsi="Arial" w:cs="Arial"/>
          <w:color w:val="000000"/>
          <w:sz w:val="20"/>
        </w:rPr>
        <w:t>(rejecting the argument, asserted by the plaintiff in an age discrimination  [**1045]  case, "that an otherwise reasonable justification for a business decision somehow loses its legitimacy simply because it reflects an exercise of managerial judgment rather than a ministerial execution of written policy—as if a manager  [*43] could not legitimately fire an employee for vandalizing property, stealing from co-workers, or assaulting a customer absent a formal company policy specifically addressing such misconduct").</w:t>
      </w:r>
    </w:p>
    <w:p w14:paraId="61B0E9EF" w14:textId="77777777" w:rsidR="00D041A2" w:rsidRDefault="00000000">
      <w:pPr>
        <w:pStyle w:val="Normal31"/>
        <w:widowControl w:val="0"/>
        <w:spacing w:before="200" w:line="260" w:lineRule="atLeast"/>
        <w:jc w:val="both"/>
      </w:pPr>
      <w:bookmarkStart w:id="3731" w:name="Bookmark_para_42_7"/>
      <w:bookmarkStart w:id="3732" w:name="Bookmark_I532DVDG28T4JN0010000400"/>
      <w:bookmarkStart w:id="3733" w:name="Bookmark_LNHNREFclscc17_8"/>
      <w:bookmarkEnd w:id="3731"/>
      <w:bookmarkEnd w:id="3732"/>
      <w:bookmarkEnd w:id="3733"/>
      <w:r>
        <w:rPr>
          <w:rFonts w:ascii="Arial" w:eastAsia="Arial" w:hAnsi="Arial" w:cs="Arial"/>
          <w:color w:val="000000"/>
          <w:sz w:val="20"/>
        </w:rPr>
        <w:t xml:space="preserve">It is true that a </w:t>
      </w:r>
      <w:r>
        <w:rPr>
          <w:rFonts w:ascii="Arial" w:eastAsia="Arial" w:hAnsi="Arial" w:cs="Arial"/>
          <w:i/>
          <w:color w:val="000000"/>
          <w:sz w:val="20"/>
        </w:rPr>
        <w:t>failure to follow</w:t>
      </w:r>
      <w:r>
        <w:rPr>
          <w:rFonts w:ascii="Arial" w:eastAsia="Arial" w:hAnsi="Arial" w:cs="Arial"/>
          <w:color w:val="000000"/>
          <w:sz w:val="20"/>
        </w:rPr>
        <w:t xml:space="preserve"> company policy can support a finding of pretext in some circumstances. </w:t>
      </w:r>
      <w:bookmarkStart w:id="3734" w:name="Bookmark_I532DVDG28T4JN0050000400"/>
      <w:bookmarkEnd w:id="3734"/>
      <w:r>
        <w:rPr>
          <w:rFonts w:ascii="Arial" w:eastAsia="Arial" w:hAnsi="Arial" w:cs="Arial"/>
          <w:i/>
          <w:color w:val="000000"/>
          <w:sz w:val="20"/>
        </w:rPr>
        <w:t xml:space="preserve">See </w:t>
      </w:r>
      <w:bookmarkStart w:id="3735" w:name="Bookmark_I532DVDG2HM6G00050000400"/>
      <w:bookmarkEnd w:id="3735"/>
      <w:r>
        <w:rPr>
          <w:rFonts w:ascii="Arial" w:eastAsia="Arial" w:hAnsi="Arial" w:cs="Arial"/>
          <w:i/>
          <w:color w:val="000000"/>
          <w:sz w:val="20"/>
        </w:rPr>
        <w:t>Timmerman v. U.S. Bank, N.A</w:t>
      </w:r>
      <w:r>
        <w:rPr>
          <w:rFonts w:ascii="Arial" w:eastAsia="Arial" w:hAnsi="Arial" w:cs="Arial"/>
          <w:color w:val="000000"/>
          <w:sz w:val="20"/>
        </w:rPr>
        <w:t xml:space="preserve">., 483 F.3d 1106, 1119 (10th Cir. 2007) ("It is well-established that pretext can be shown by 'evidence that the defendant acted contrary to a written company policy prescribing the action to be taken by the defendant under the circumstances.'" (quoting </w:t>
      </w:r>
      <w:bookmarkStart w:id="3736" w:name="Bookmark_I532DVDG28T4JN0020000400"/>
      <w:bookmarkEnd w:id="3736"/>
      <w:r>
        <w:rPr>
          <w:rFonts w:ascii="Arial" w:eastAsia="Arial" w:hAnsi="Arial" w:cs="Arial"/>
          <w:i/>
          <w:color w:val="000000"/>
          <w:sz w:val="20"/>
        </w:rPr>
        <w:t>Kendrick v. Penske Transp. Servs., Inc</w:t>
      </w:r>
      <w:r>
        <w:rPr>
          <w:rFonts w:ascii="Arial" w:eastAsia="Arial" w:hAnsi="Arial" w:cs="Arial"/>
          <w:color w:val="000000"/>
          <w:sz w:val="20"/>
        </w:rPr>
        <w:t xml:space="preserve">., 220 F.3d 1220, 1230 (10th Cir. 2000))). However, we discern no basis for concluding that an otherwise reasonable justification by an employer should be deemed pretextual merely because it is not directly reinforced by an official rule or policy. </w:t>
      </w:r>
      <w:bookmarkStart w:id="3737" w:name="Bookmark_I532DVDG28T4JN0050000400_2"/>
      <w:bookmarkStart w:id="3738" w:name="Bookmark_I532DVDG2N1PNG0020000400"/>
      <w:bookmarkEnd w:id="3737"/>
      <w:bookmarkEnd w:id="3738"/>
      <w:r>
        <w:rPr>
          <w:rFonts w:ascii="Arial" w:eastAsia="Arial" w:hAnsi="Arial" w:cs="Arial"/>
          <w:color w:val="000000"/>
          <w:sz w:val="20"/>
        </w:rPr>
        <w:t xml:space="preserve">This "facially untenable idea . . . is belied by countless employment discrimination cases decided on the basis of legitimate business justifications without any reference to formal policies necessarily legitimizing those justifications." </w:t>
      </w:r>
      <w:bookmarkStart w:id="3739" w:name="Bookmark_I532DVDG28T4JN0040000400"/>
      <w:bookmarkEnd w:id="3739"/>
      <w:r>
        <w:rPr>
          <w:rFonts w:ascii="Arial" w:eastAsia="Arial" w:hAnsi="Arial" w:cs="Arial"/>
          <w:i/>
          <w:color w:val="000000"/>
          <w:sz w:val="20"/>
        </w:rPr>
        <w:t>Medlock</w:t>
      </w:r>
      <w:r>
        <w:rPr>
          <w:rFonts w:ascii="Arial" w:eastAsia="Arial" w:hAnsi="Arial" w:cs="Arial"/>
          <w:color w:val="000000"/>
          <w:sz w:val="20"/>
        </w:rPr>
        <w:t xml:space="preserve">, 608 F.3d at 1193. </w:t>
      </w:r>
      <w:bookmarkStart w:id="3740" w:name="Bookmark_I532DVDG2N1PNG0020000400_2"/>
      <w:bookmarkEnd w:id="3740"/>
      <w:r>
        <w:rPr>
          <w:rFonts w:ascii="Arial" w:eastAsia="Arial" w:hAnsi="Arial" w:cs="Arial"/>
          <w:color w:val="000000"/>
          <w:sz w:val="20"/>
        </w:rPr>
        <w:t xml:space="preserve">Accordingly, Mr. Watson's argument does nothing to cast doubt on  [*44] C.R. England's otherwise legitimate and non-discriminatory justification. In sum, Mr. Watson has not met his burden to demonstrate that "the employer's proffered explanation is unworthy of credence." </w:t>
      </w:r>
      <w:bookmarkStart w:id="3741" w:name="Bookmark_I532DVDG2N1PNG0010000400"/>
      <w:bookmarkEnd w:id="3741"/>
      <w:r>
        <w:rPr>
          <w:rFonts w:ascii="Arial" w:eastAsia="Arial" w:hAnsi="Arial" w:cs="Arial"/>
          <w:i/>
          <w:color w:val="000000"/>
          <w:sz w:val="20"/>
        </w:rPr>
        <w:t>Zamora</w:t>
      </w:r>
      <w:r>
        <w:rPr>
          <w:rFonts w:ascii="Arial" w:eastAsia="Arial" w:hAnsi="Arial" w:cs="Arial"/>
          <w:color w:val="000000"/>
          <w:sz w:val="20"/>
        </w:rPr>
        <w:t xml:space="preserve">, 478 F.3d at 1166 (quoting </w:t>
      </w:r>
      <w:bookmarkStart w:id="3742" w:name="Bookmark_I532DVDG2N1PNG0030000400"/>
      <w:bookmarkEnd w:id="3742"/>
      <w:r>
        <w:rPr>
          <w:rFonts w:ascii="Arial" w:eastAsia="Arial" w:hAnsi="Arial" w:cs="Arial"/>
          <w:i/>
          <w:color w:val="000000"/>
          <w:sz w:val="20"/>
        </w:rPr>
        <w:t>Stinnett</w:t>
      </w:r>
      <w:r>
        <w:rPr>
          <w:rFonts w:ascii="Arial" w:eastAsia="Arial" w:hAnsi="Arial" w:cs="Arial"/>
          <w:color w:val="000000"/>
          <w:sz w:val="20"/>
        </w:rPr>
        <w:t>, 337 F.3d at 1218) (internal quotation marks omitted).</w:t>
      </w:r>
    </w:p>
    <w:p w14:paraId="5B0B50C9" w14:textId="77777777" w:rsidR="00D041A2" w:rsidRDefault="00000000">
      <w:pPr>
        <w:pStyle w:val="Normal31"/>
        <w:widowControl w:val="0"/>
        <w:spacing w:before="240" w:line="260" w:lineRule="atLeast"/>
      </w:pPr>
      <w:r>
        <w:br/>
      </w:r>
      <w:r>
        <w:rPr>
          <w:rFonts w:ascii="Arial" w:eastAsia="Arial" w:hAnsi="Arial" w:cs="Arial"/>
          <w:b/>
          <w:color w:val="000000"/>
          <w:sz w:val="20"/>
        </w:rPr>
        <w:t>ii. Termination as Driver</w:t>
      </w:r>
    </w:p>
    <w:p w14:paraId="5C271C7D" w14:textId="77777777" w:rsidR="00D041A2" w:rsidRDefault="00000000">
      <w:pPr>
        <w:pStyle w:val="Normal31"/>
        <w:widowControl w:val="0"/>
        <w:spacing w:before="200" w:line="260" w:lineRule="atLeast"/>
        <w:jc w:val="both"/>
      </w:pPr>
      <w:bookmarkStart w:id="3743" w:name="Bookmark_para_43_7"/>
      <w:bookmarkEnd w:id="3743"/>
      <w:r>
        <w:rPr>
          <w:rFonts w:ascii="Arial" w:eastAsia="Arial" w:hAnsi="Arial" w:cs="Arial"/>
          <w:color w:val="000000"/>
          <w:sz w:val="20"/>
        </w:rPr>
        <w:t>Mr. Watson next argues that C.R. England terminated his employment as an independent-contractor driver for the company due to his HIV status. As discussed above, after Mr. Watson deadheaded to Florida he remained there for a period of more than two weeks with his leased truck; he did not accept new loads, generate any income, or make lease payments on his truck. During this time, C.R. England attempted to contact Mr. Watson, but received no response. On March 4, 2003, C.R. England terminated Mr. Watson's Lease Agreement, and Opportunity Leasing repossessed his truck.</w:t>
      </w:r>
    </w:p>
    <w:p w14:paraId="637CCFB5" w14:textId="77777777" w:rsidR="00D041A2" w:rsidRDefault="00000000">
      <w:pPr>
        <w:pStyle w:val="Normal31"/>
        <w:widowControl w:val="0"/>
        <w:spacing w:before="200" w:line="260" w:lineRule="atLeast"/>
        <w:jc w:val="both"/>
      </w:pPr>
      <w:bookmarkStart w:id="3744" w:name="Bookmark_para_44_7"/>
      <w:bookmarkStart w:id="3745" w:name="Bookmark_I532DVDG2SF8GR0010000400"/>
      <w:bookmarkEnd w:id="3744"/>
      <w:bookmarkEnd w:id="3745"/>
      <w:r>
        <w:rPr>
          <w:rFonts w:ascii="Arial" w:eastAsia="Arial" w:hAnsi="Arial" w:cs="Arial"/>
          <w:color w:val="000000"/>
          <w:sz w:val="20"/>
        </w:rPr>
        <w:t xml:space="preserve">In justifying the severance of the relationship, C.R. England cites Mr. Watson's (1) "poor performance," which includes failing to respond and accept loads, and (2) the fact that he defaulted on his lease (i.e., falling "too far in the []hole to recover," EEOC App. at 435). C.R. England Br., No. 09-4217,  [*45] at 41. Again, these justifications satisfy C.R. England's "exceedingly light" burden, </w:t>
      </w:r>
      <w:bookmarkStart w:id="3746" w:name="Bookmark_I532DVDG2N1PNG0050000400"/>
      <w:bookmarkEnd w:id="3746"/>
      <w:r>
        <w:rPr>
          <w:rFonts w:ascii="Arial" w:eastAsia="Arial" w:hAnsi="Arial" w:cs="Arial"/>
          <w:i/>
          <w:color w:val="000000"/>
          <w:sz w:val="20"/>
        </w:rPr>
        <w:t>Goodwin</w:t>
      </w:r>
      <w:r>
        <w:rPr>
          <w:rFonts w:ascii="Arial" w:eastAsia="Arial" w:hAnsi="Arial" w:cs="Arial"/>
          <w:color w:val="000000"/>
          <w:sz w:val="20"/>
        </w:rPr>
        <w:t>, 275 F.3d at 1013, which shifts the burden to Mr. Watson to demonstrate pretext.</w:t>
      </w:r>
    </w:p>
    <w:p w14:paraId="46394CF6" w14:textId="77777777" w:rsidR="00D041A2" w:rsidRDefault="00000000">
      <w:pPr>
        <w:pStyle w:val="Normal31"/>
        <w:widowControl w:val="0"/>
        <w:spacing w:before="200" w:line="260" w:lineRule="atLeast"/>
        <w:jc w:val="both"/>
      </w:pPr>
      <w:bookmarkStart w:id="3747" w:name="Bookmark_para_45_7"/>
      <w:bookmarkStart w:id="3748" w:name="Bookmark_I532DVDG2SF8GR0030000400"/>
      <w:bookmarkStart w:id="3749" w:name="Bookmark_I532DVDG2SF8GR0050000400"/>
      <w:bookmarkEnd w:id="3747"/>
      <w:bookmarkEnd w:id="3748"/>
      <w:bookmarkEnd w:id="3749"/>
      <w:r>
        <w:rPr>
          <w:rFonts w:ascii="Arial" w:eastAsia="Arial" w:hAnsi="Arial" w:cs="Arial"/>
          <w:color w:val="000000"/>
          <w:sz w:val="20"/>
        </w:rPr>
        <w:t xml:space="preserve">Mr. Watson does not attempt to undermine the justifications regarding his "poor performance" or his failure to make required payments under the lease agreement; therefore, he has not shown that these legitimate, non-discriminatory justifications are "unworthy of belief." </w:t>
      </w:r>
      <w:bookmarkStart w:id="3750" w:name="Bookmark_I532DVDG2SF8GR0020000400"/>
      <w:bookmarkEnd w:id="3750"/>
      <w:r>
        <w:rPr>
          <w:rFonts w:ascii="Arial" w:eastAsia="Arial" w:hAnsi="Arial" w:cs="Arial"/>
          <w:i/>
          <w:color w:val="000000"/>
          <w:sz w:val="20"/>
        </w:rPr>
        <w:t>Stover</w:t>
      </w:r>
      <w:r>
        <w:rPr>
          <w:rFonts w:ascii="Arial" w:eastAsia="Arial" w:hAnsi="Arial" w:cs="Arial"/>
          <w:color w:val="000000"/>
          <w:sz w:val="20"/>
        </w:rPr>
        <w:t xml:space="preserve">, 382 F.3d at 1071. Because Mr. Watson has not demonstrated that these justifications were "pretext masking discriminatory animus," </w:t>
      </w:r>
      <w:bookmarkStart w:id="3751" w:name="Bookmark_I532DVDG2SF8GR0040000400"/>
      <w:bookmarkEnd w:id="3751"/>
      <w:r>
        <w:rPr>
          <w:rFonts w:ascii="Arial" w:eastAsia="Arial" w:hAnsi="Arial" w:cs="Arial"/>
          <w:i/>
          <w:color w:val="000000"/>
          <w:sz w:val="20"/>
        </w:rPr>
        <w:t>Proctor v. United Parcel Serv</w:t>
      </w:r>
      <w:r>
        <w:rPr>
          <w:rFonts w:ascii="Arial" w:eastAsia="Arial" w:hAnsi="Arial" w:cs="Arial"/>
          <w:color w:val="000000"/>
          <w:sz w:val="20"/>
        </w:rPr>
        <w:t xml:space="preserve">., 502 F.3d 1200, 1208 (10th Cir. 2007) (quoting </w:t>
      </w:r>
      <w:bookmarkStart w:id="3752" w:name="Bookmark_I532DVDG2D6N960010000400"/>
      <w:bookmarkEnd w:id="3752"/>
      <w:r>
        <w:rPr>
          <w:rFonts w:ascii="Arial" w:eastAsia="Arial" w:hAnsi="Arial" w:cs="Arial"/>
          <w:i/>
          <w:color w:val="000000"/>
          <w:sz w:val="20"/>
        </w:rPr>
        <w:t>Piercy</w:t>
      </w:r>
      <w:r>
        <w:rPr>
          <w:rFonts w:ascii="Arial" w:eastAsia="Arial" w:hAnsi="Arial" w:cs="Arial"/>
          <w:color w:val="000000"/>
          <w:sz w:val="20"/>
        </w:rPr>
        <w:t>, 480 F.3d at 1198) (internal quotation marks omitted), this claim is without merit.</w:t>
      </w:r>
    </w:p>
    <w:p w14:paraId="1F4A5D06" w14:textId="77777777" w:rsidR="00D041A2" w:rsidRDefault="00000000">
      <w:pPr>
        <w:pStyle w:val="Normal31"/>
        <w:widowControl w:val="0"/>
        <w:spacing w:before="200" w:line="260" w:lineRule="atLeast"/>
        <w:jc w:val="both"/>
      </w:pPr>
      <w:bookmarkStart w:id="3753" w:name="Bookmark_para_46_6"/>
      <w:bookmarkEnd w:id="3753"/>
      <w:r>
        <w:rPr>
          <w:rFonts w:ascii="Arial" w:eastAsia="Arial" w:hAnsi="Arial" w:cs="Arial"/>
          <w:color w:val="000000"/>
          <w:sz w:val="20"/>
        </w:rPr>
        <w:t xml:space="preserve">Although Mr. Watson does not attempt to undermine the justifications discussed above, he does attack an alleged third "justification"—that he "abandoned his vehicle." Mr. Watson argues that he "never abandoned his vehicle," which "clearly shows pretext." Watson Opening Br., No.  [**1046]  09-4217, at 45. However, the record demonstrates that C.R. England never justified the termination on the ground that Mr. Watson had "abandoned" his truck. The record evidence  [*46] that Mr. Watson identifies related to vehicle abandonment is unavailing. </w:t>
      </w:r>
      <w:bookmarkStart w:id="3754" w:name="Bookmark_I532DVDG2D6N960040000400"/>
      <w:bookmarkEnd w:id="3754"/>
      <w:r>
        <w:rPr>
          <w:rFonts w:ascii="Arial" w:eastAsia="Arial" w:hAnsi="Arial" w:cs="Arial"/>
          <w:color w:val="000000"/>
          <w:sz w:val="20"/>
        </w:rPr>
        <w:t xml:space="preserve">Specifically, Mr. Watson points to the deposition of Kimberly Cage, the manager of training operations, who testified that another C.R. England employee had told her four years prior that Mr. Watson "had abandoned his truck." Watson App. at 619 (Dep. of Kimberly Cage, dated July 11, 2007). Examined in context, this single statement—which was not otherwise used to justify the termination—is not enough to establish pretext, particularly in light of the above-cited justifications, which we find to be legitimate and non-discriminatory. </w:t>
      </w:r>
      <w:r>
        <w:rPr>
          <w:rFonts w:ascii="Arial" w:eastAsia="Arial" w:hAnsi="Arial" w:cs="Arial"/>
          <w:i/>
          <w:color w:val="000000"/>
          <w:sz w:val="20"/>
        </w:rPr>
        <w:t xml:space="preserve">See </w:t>
      </w:r>
      <w:bookmarkStart w:id="3755" w:name="Bookmark_I532DVDG2D6N960030000400"/>
      <w:bookmarkEnd w:id="3755"/>
      <w:r>
        <w:rPr>
          <w:rFonts w:ascii="Arial" w:eastAsia="Arial" w:hAnsi="Arial" w:cs="Arial"/>
          <w:i/>
          <w:color w:val="000000"/>
          <w:sz w:val="20"/>
        </w:rPr>
        <w:t>Zamora</w:t>
      </w:r>
      <w:r>
        <w:rPr>
          <w:rFonts w:ascii="Arial" w:eastAsia="Arial" w:hAnsi="Arial" w:cs="Arial"/>
          <w:color w:val="000000"/>
          <w:sz w:val="20"/>
        </w:rPr>
        <w:t>, 478 F.3d at 1178 ("[T]his Court frequently examines statements and events in context to determine their legal effect or whether they genuinely create a disputed question of material fact."). Accordingly, Mr. Watson cannot demonstrate that C.R. England's justifications for terminating the lease agreement were pretextual, and the district court committed no error in entering judgment in the company's favor.</w:t>
      </w:r>
    </w:p>
    <w:p w14:paraId="02DF78FD" w14:textId="77777777" w:rsidR="00D041A2" w:rsidRDefault="00000000">
      <w:pPr>
        <w:pStyle w:val="Normal31"/>
        <w:widowControl w:val="0"/>
        <w:spacing w:before="240" w:line="260" w:lineRule="atLeast"/>
      </w:pPr>
      <w:r>
        <w:br/>
      </w:r>
      <w:r>
        <w:rPr>
          <w:rFonts w:ascii="Arial" w:eastAsia="Arial" w:hAnsi="Arial" w:cs="Arial"/>
          <w:b/>
          <w:color w:val="000000"/>
          <w:sz w:val="20"/>
        </w:rPr>
        <w:t>B. EEOC &amp; Mr. Watson's ADA § 102(d) Disclosure Claim</w:t>
      </w:r>
    </w:p>
    <w:p w14:paraId="5231322A" w14:textId="77777777" w:rsidR="00D041A2" w:rsidRDefault="00000000">
      <w:pPr>
        <w:pStyle w:val="Normal31"/>
        <w:widowControl w:val="0"/>
        <w:spacing w:before="200" w:line="260" w:lineRule="atLeast"/>
        <w:jc w:val="both"/>
      </w:pPr>
      <w:bookmarkStart w:id="3756" w:name="Bookmark_para_47_5"/>
      <w:bookmarkEnd w:id="3756"/>
      <w:r>
        <w:rPr>
          <w:rFonts w:ascii="Arial" w:eastAsia="Arial" w:hAnsi="Arial" w:cs="Arial"/>
          <w:color w:val="000000"/>
          <w:sz w:val="20"/>
        </w:rPr>
        <w:t xml:space="preserve">EEOC and Mr. Watson next assert that C.R. England violated ADA § 102(d), 42 U.S.C. § 12112(d), by disclosing medical  [*47] information concerning Watson's HIV-positive status to a potential trainee, as well as to other C.R. England employees. C.R. England argues on appeal, as it did before the district court, that this claim fails for two reasons. First, it argues that § 102(d) does not apply to </w:t>
      </w:r>
      <w:r>
        <w:rPr>
          <w:rFonts w:ascii="Arial" w:eastAsia="Arial" w:hAnsi="Arial" w:cs="Arial"/>
          <w:i/>
          <w:color w:val="000000"/>
          <w:sz w:val="20"/>
        </w:rPr>
        <w:t>voluntarily</w:t>
      </w:r>
      <w:r>
        <w:rPr>
          <w:rFonts w:ascii="Arial" w:eastAsia="Arial" w:hAnsi="Arial" w:cs="Arial"/>
          <w:color w:val="000000"/>
          <w:sz w:val="20"/>
        </w:rPr>
        <w:t xml:space="preserve"> disclosed medical information that was not gleaned from a medical examination or inquiry. Second, it argues that Mr. Watson did not suffer a sufficient "cognizable injury" to sustain a claim under ADA § 102(d). We agree with C.R. England's first contention—that ADA § 102(d) does not protect voluntarily disclosed information—and therefore need not opine regarding its second argument.</w:t>
      </w:r>
    </w:p>
    <w:p w14:paraId="445E4E33" w14:textId="77777777" w:rsidR="00D041A2" w:rsidRDefault="00000000">
      <w:pPr>
        <w:pStyle w:val="Normal31"/>
        <w:widowControl w:val="0"/>
        <w:spacing w:before="200" w:line="260" w:lineRule="atLeast"/>
        <w:jc w:val="both"/>
      </w:pPr>
      <w:bookmarkStart w:id="3757" w:name="Bookmark_para_48_5"/>
      <w:bookmarkStart w:id="3758" w:name="Bookmark_LNHNREFclscc18_6"/>
      <w:bookmarkEnd w:id="3757"/>
      <w:bookmarkEnd w:id="3758"/>
      <w:r>
        <w:rPr>
          <w:rFonts w:ascii="Arial" w:eastAsia="Arial" w:hAnsi="Arial" w:cs="Arial"/>
          <w:color w:val="000000"/>
          <w:sz w:val="20"/>
        </w:rPr>
        <w:t xml:space="preserve">Section 102(d) of the ADA governs "medical examinations and inquiries." 42 U.S.C. § 12112(d). That section covers medical examinations and inquiries in three distinct instances: (a) preemployment, ADA § 102(d)(2), 42 U.S.C. § 12112(d)(2); (b) post-offer, ADA § 102(d)(3), 42 U.S.C. § 12112(d)(3); and (c) during the employment relationship, ADA § 102(d)(4), 42 U.S.C. § 12112(d)(4). Although ADA § 102(d)(2) </w:t>
      </w:r>
      <w:r>
        <w:rPr>
          <w:rFonts w:ascii="Arial" w:eastAsia="Arial" w:hAnsi="Arial" w:cs="Arial"/>
          <w:i/>
          <w:color w:val="000000"/>
          <w:sz w:val="20"/>
        </w:rPr>
        <w:t>prohibits</w:t>
      </w:r>
      <w:r>
        <w:rPr>
          <w:rFonts w:ascii="Arial" w:eastAsia="Arial" w:hAnsi="Arial" w:cs="Arial"/>
          <w:color w:val="000000"/>
          <w:sz w:val="20"/>
        </w:rPr>
        <w:t xml:space="preserve"> employers from making certain pre-employment inquiries, the provisions of ADA § 102(d)(3) and (4) </w:t>
      </w:r>
      <w:r>
        <w:rPr>
          <w:rFonts w:ascii="Arial" w:eastAsia="Arial" w:hAnsi="Arial" w:cs="Arial"/>
          <w:i/>
          <w:color w:val="000000"/>
          <w:sz w:val="20"/>
        </w:rPr>
        <w:t>permit</w:t>
      </w:r>
      <w:r>
        <w:rPr>
          <w:rFonts w:ascii="Arial" w:eastAsia="Arial" w:hAnsi="Arial" w:cs="Arial"/>
          <w:color w:val="000000"/>
          <w:sz w:val="20"/>
        </w:rPr>
        <w:t xml:space="preserve"> employers  [*48] to conduct certain medical inquiries and examinations. More specifically, ADA § 102(d)(3) permits an employer to conduct post-offer entrance medical examinations under certain circumstances, </w:t>
      </w:r>
      <w:r>
        <w:rPr>
          <w:rFonts w:ascii="Arial" w:eastAsia="Arial" w:hAnsi="Arial" w:cs="Arial"/>
          <w:i/>
          <w:color w:val="000000"/>
          <w:sz w:val="20"/>
        </w:rPr>
        <w:t>see</w:t>
      </w:r>
      <w:r>
        <w:rPr>
          <w:rFonts w:ascii="Arial" w:eastAsia="Arial" w:hAnsi="Arial" w:cs="Arial"/>
          <w:color w:val="000000"/>
          <w:sz w:val="20"/>
        </w:rPr>
        <w:t xml:space="preserve"> 42 U.S.C. § 12112(d)(3), and ADA § 102(d)(4) permits employers to "conduct voluntary medical examinations, including voluntary medical histories, which are part of an employee health program available to employees at that work site," 42 U.S.C. §12112(d)(4)(B).</w:t>
      </w:r>
    </w:p>
    <w:p w14:paraId="70EADC4E" w14:textId="77777777" w:rsidR="00D041A2" w:rsidRDefault="00000000">
      <w:pPr>
        <w:pStyle w:val="Normal31"/>
        <w:widowControl w:val="0"/>
        <w:spacing w:before="200" w:line="260" w:lineRule="atLeast"/>
        <w:jc w:val="both"/>
      </w:pPr>
      <w:bookmarkStart w:id="3759" w:name="Bookmark_para_49_5"/>
      <w:bookmarkStart w:id="3760" w:name="Bookmark_I532DVDG2HM6G10010000400"/>
      <w:bookmarkStart w:id="3761" w:name="Bookmark_LNHNREFclscc19_5"/>
      <w:bookmarkEnd w:id="3759"/>
      <w:bookmarkEnd w:id="3760"/>
      <w:bookmarkEnd w:id="3761"/>
      <w:r>
        <w:rPr>
          <w:rFonts w:ascii="Arial" w:eastAsia="Arial" w:hAnsi="Arial" w:cs="Arial"/>
          <w:color w:val="000000"/>
          <w:sz w:val="20"/>
        </w:rPr>
        <w:t xml:space="preserve">Any information obtained through a post-offer entrance medical examination under § 102(d)(3) or a voluntary medical examination or inquiry under § 102(d)(4) must be "treated as a confidential medical record." 42 U.S.C. §§ 12112(d)(3)(B), (d)(4)(C); </w:t>
      </w:r>
      <w:r>
        <w:rPr>
          <w:rFonts w:ascii="Arial" w:eastAsia="Arial" w:hAnsi="Arial" w:cs="Arial"/>
          <w:i/>
          <w:color w:val="000000"/>
          <w:sz w:val="20"/>
        </w:rPr>
        <w:t>see also</w:t>
      </w:r>
      <w:r>
        <w:rPr>
          <w:rFonts w:ascii="Arial" w:eastAsia="Arial" w:hAnsi="Arial" w:cs="Arial"/>
          <w:color w:val="000000"/>
          <w:sz w:val="20"/>
        </w:rPr>
        <w:t xml:space="preserve"> 29 C.F.R. § 1630.14(c)(1) ("Information obtained under paragraph (c) of this section regarding the medical condition or history of any employee shall be collected and maintained on separate forms and in separate medical files and be treated as a confidential medical record," subject to limited exceptions.) Disclosure of confidential information obtained through an authorized medical examination  [**1047]  or inquiry would constitute a violation of § 102(d) and could give rise to a claim under  [*49] the ADA. </w:t>
      </w:r>
      <w:r>
        <w:rPr>
          <w:rFonts w:ascii="Arial" w:eastAsia="Arial" w:hAnsi="Arial" w:cs="Arial"/>
          <w:i/>
          <w:color w:val="000000"/>
          <w:sz w:val="20"/>
        </w:rPr>
        <w:t>See</w:t>
      </w:r>
      <w:r>
        <w:rPr>
          <w:rFonts w:ascii="Arial" w:eastAsia="Arial" w:hAnsi="Arial" w:cs="Arial"/>
          <w:color w:val="000000"/>
          <w:sz w:val="20"/>
        </w:rPr>
        <w:t xml:space="preserve"> 42 U.S.C. § 12112(d)(3)(C) (stating that the results of an examination conducted under the authority of § 102(d)(3) or § 102(d)(4) must be "used only in accordance with this title"); </w:t>
      </w:r>
      <w:r>
        <w:rPr>
          <w:rFonts w:ascii="Arial" w:eastAsia="Arial" w:hAnsi="Arial" w:cs="Arial"/>
          <w:i/>
          <w:color w:val="000000"/>
          <w:sz w:val="20"/>
        </w:rPr>
        <w:t xml:space="preserve">see also </w:t>
      </w:r>
      <w:bookmarkStart w:id="3762" w:name="Bookmark_I532DVDG2D6N960050000400"/>
      <w:bookmarkEnd w:id="3762"/>
      <w:r>
        <w:rPr>
          <w:rFonts w:ascii="Arial" w:eastAsia="Arial" w:hAnsi="Arial" w:cs="Arial"/>
          <w:i/>
          <w:color w:val="000000"/>
          <w:sz w:val="20"/>
        </w:rPr>
        <w:t>McPherson v. O'Reilly Auto., Inc</w:t>
      </w:r>
      <w:r>
        <w:rPr>
          <w:rFonts w:ascii="Arial" w:eastAsia="Arial" w:hAnsi="Arial" w:cs="Arial"/>
          <w:color w:val="000000"/>
          <w:sz w:val="20"/>
        </w:rPr>
        <w:t xml:space="preserve">., 491 F.3d 726, 732 (8th Cir. 2007) ("The ADA prohibits an employer from disclosing confidential medical information about an ex-employee . . . ." (citing </w:t>
      </w:r>
      <w:bookmarkStart w:id="3763" w:name="Bookmark_I532DVDG2HM6G10020000400"/>
      <w:bookmarkEnd w:id="3763"/>
      <w:r>
        <w:rPr>
          <w:rFonts w:ascii="Arial" w:eastAsia="Arial" w:hAnsi="Arial" w:cs="Arial"/>
          <w:i/>
          <w:color w:val="000000"/>
          <w:sz w:val="20"/>
        </w:rPr>
        <w:t>Cossette v. Minn. Power &amp; Light</w:t>
      </w:r>
      <w:r>
        <w:rPr>
          <w:rFonts w:ascii="Arial" w:eastAsia="Arial" w:hAnsi="Arial" w:cs="Arial"/>
          <w:color w:val="000000"/>
          <w:sz w:val="20"/>
        </w:rPr>
        <w:t>, 188 F.3d 964 (8th Cir. 1999))).</w:t>
      </w:r>
    </w:p>
    <w:p w14:paraId="7D129E1C" w14:textId="77777777" w:rsidR="00D041A2" w:rsidRDefault="00000000">
      <w:pPr>
        <w:pStyle w:val="Normal31"/>
        <w:widowControl w:val="0"/>
        <w:spacing w:before="200" w:line="260" w:lineRule="atLeast"/>
        <w:jc w:val="both"/>
      </w:pPr>
      <w:bookmarkStart w:id="3764" w:name="Bookmark_para_50_5"/>
      <w:bookmarkStart w:id="3765" w:name="Bookmark_I532DVDG2HM6G10050000400"/>
      <w:bookmarkEnd w:id="3764"/>
      <w:bookmarkEnd w:id="3765"/>
      <w:r>
        <w:rPr>
          <w:rFonts w:ascii="Arial" w:eastAsia="Arial" w:hAnsi="Arial" w:cs="Arial"/>
          <w:color w:val="000000"/>
          <w:sz w:val="20"/>
        </w:rPr>
        <w:t xml:space="preserve">On its face, § 102(d) does not apply to or protect information that is </w:t>
      </w:r>
      <w:r>
        <w:rPr>
          <w:rFonts w:ascii="Arial" w:eastAsia="Arial" w:hAnsi="Arial" w:cs="Arial"/>
          <w:i/>
          <w:color w:val="000000"/>
          <w:sz w:val="20"/>
        </w:rPr>
        <w:t>voluntarily</w:t>
      </w:r>
      <w:r>
        <w:rPr>
          <w:rFonts w:ascii="Arial" w:eastAsia="Arial" w:hAnsi="Arial" w:cs="Arial"/>
          <w:color w:val="000000"/>
          <w:sz w:val="20"/>
        </w:rPr>
        <w:t xml:space="preserve"> disclosed by an employee unless it is elicited during an authorized employment-related medical examination or inquiry. </w:t>
      </w:r>
      <w:r>
        <w:rPr>
          <w:rFonts w:ascii="Arial" w:eastAsia="Arial" w:hAnsi="Arial" w:cs="Arial"/>
          <w:i/>
          <w:color w:val="000000"/>
          <w:sz w:val="20"/>
        </w:rPr>
        <w:t xml:space="preserve">See generally </w:t>
      </w:r>
      <w:bookmarkStart w:id="3766" w:name="Bookmark_I532DVDG2HM6G10040000400"/>
      <w:bookmarkEnd w:id="3766"/>
      <w:r>
        <w:rPr>
          <w:rFonts w:ascii="Arial" w:eastAsia="Arial" w:hAnsi="Arial" w:cs="Arial"/>
          <w:i/>
          <w:color w:val="000000"/>
          <w:sz w:val="20"/>
        </w:rPr>
        <w:t>United States v. Sprenger</w:t>
      </w:r>
      <w:r>
        <w:rPr>
          <w:rFonts w:ascii="Arial" w:eastAsia="Arial" w:hAnsi="Arial" w:cs="Arial"/>
          <w:color w:val="000000"/>
          <w:sz w:val="20"/>
        </w:rPr>
        <w:t xml:space="preserve">, 625 F.3d 1305, 1307 (10th Cir. 2010) ("Our interpretation of a statute begins with its plain language."). Indeed, the only mention of the word "voluntary" appears in § 102(d)(4)(B), which refers to "voluntary medical examinations, including voluntary medical histories, which are </w:t>
      </w:r>
      <w:r>
        <w:rPr>
          <w:rFonts w:ascii="Arial" w:eastAsia="Arial" w:hAnsi="Arial" w:cs="Arial"/>
          <w:i/>
          <w:color w:val="000000"/>
          <w:sz w:val="20"/>
        </w:rPr>
        <w:t>part of an employee health program</w:t>
      </w:r>
      <w:r>
        <w:rPr>
          <w:rFonts w:ascii="Arial" w:eastAsia="Arial" w:hAnsi="Arial" w:cs="Arial"/>
          <w:color w:val="000000"/>
          <w:sz w:val="20"/>
        </w:rPr>
        <w:t xml:space="preserve"> available to employees at that work site." 42 U.S.C. § 12112(d)(4)(B) (emphasis added). However, this provision does not expressly include voluntarily disclosed medical information offered  [*50] outside the context of "an employee health program." </w:t>
      </w:r>
      <w:r>
        <w:rPr>
          <w:rFonts w:ascii="Arial" w:eastAsia="Arial" w:hAnsi="Arial" w:cs="Arial"/>
          <w:i/>
          <w:color w:val="000000"/>
          <w:sz w:val="20"/>
        </w:rPr>
        <w:t>Id</w:t>
      </w:r>
      <w:r>
        <w:rPr>
          <w:rFonts w:ascii="Arial" w:eastAsia="Arial" w:hAnsi="Arial" w:cs="Arial"/>
          <w:color w:val="000000"/>
          <w:sz w:val="20"/>
        </w:rPr>
        <w:t xml:space="preserve">. Because the plain language of the statute is silent with regard to such information, it perforce cannot be interpreted as extending the protections of § 102(d)'s confidentiality restrictions to such information. In sum, </w:t>
      </w:r>
      <w:bookmarkStart w:id="3767" w:name="Bookmark_LNHNREFclscc20_4"/>
      <w:bookmarkEnd w:id="3767"/>
      <w:r>
        <w:rPr>
          <w:rFonts w:ascii="Arial" w:eastAsia="Arial" w:hAnsi="Arial" w:cs="Arial"/>
          <w:color w:val="000000"/>
          <w:sz w:val="20"/>
        </w:rPr>
        <w:t>if an employer discloses medical information that was voluntarily offered by an employee—outside of the context of an authorized employment-related medical examination or inquiry—then the employer is not subject to liability under § 102(d).</w:t>
      </w:r>
    </w:p>
    <w:p w14:paraId="4E488917" w14:textId="77777777" w:rsidR="00D041A2" w:rsidRDefault="00000000">
      <w:pPr>
        <w:pStyle w:val="Normal31"/>
        <w:widowControl w:val="0"/>
        <w:spacing w:before="200" w:line="260" w:lineRule="atLeast"/>
        <w:jc w:val="both"/>
      </w:pPr>
      <w:bookmarkStart w:id="3768" w:name="Bookmark_para_51_5"/>
      <w:bookmarkStart w:id="3769" w:name="Bookmark_I33FYXHGVS9000CXWC2000B3"/>
      <w:bookmarkStart w:id="3770" w:name="Bookmark_I532DVDH28T4JP0020000400"/>
      <w:bookmarkEnd w:id="3768"/>
      <w:bookmarkEnd w:id="3769"/>
      <w:bookmarkEnd w:id="3770"/>
      <w:r>
        <w:rPr>
          <w:rFonts w:ascii="Arial" w:eastAsia="Arial" w:hAnsi="Arial" w:cs="Arial"/>
          <w:color w:val="000000"/>
          <w:sz w:val="20"/>
        </w:rPr>
        <w:t xml:space="preserve">The Eleventh Circuit, which is the only other circuit court that has definitively reached this issue, has likewise concluded that </w:t>
      </w:r>
      <w:r>
        <w:rPr>
          <w:rFonts w:ascii="Arial" w:eastAsia="Arial" w:hAnsi="Arial" w:cs="Arial"/>
          <w:i/>
          <w:color w:val="000000"/>
          <w:sz w:val="20"/>
        </w:rPr>
        <w:t>voluntarily</w:t>
      </w:r>
      <w:r>
        <w:rPr>
          <w:rFonts w:ascii="Arial" w:eastAsia="Arial" w:hAnsi="Arial" w:cs="Arial"/>
          <w:color w:val="000000"/>
          <w:sz w:val="20"/>
        </w:rPr>
        <w:t xml:space="preserve"> disclosed medical information is </w:t>
      </w:r>
      <w:r>
        <w:rPr>
          <w:rFonts w:ascii="Arial" w:eastAsia="Arial" w:hAnsi="Arial" w:cs="Arial"/>
          <w:i/>
          <w:color w:val="000000"/>
          <w:sz w:val="20"/>
        </w:rPr>
        <w:t>not</w:t>
      </w:r>
      <w:r>
        <w:rPr>
          <w:rFonts w:ascii="Arial" w:eastAsia="Arial" w:hAnsi="Arial" w:cs="Arial"/>
          <w:color w:val="000000"/>
          <w:sz w:val="20"/>
        </w:rPr>
        <w:t xml:space="preserve"> protected under ADA § 102(d). In </w:t>
      </w:r>
      <w:r>
        <w:rPr>
          <w:rFonts w:ascii="Arial" w:eastAsia="Arial" w:hAnsi="Arial" w:cs="Arial"/>
          <w:i/>
          <w:color w:val="000000"/>
          <w:sz w:val="20"/>
        </w:rPr>
        <w:t>Cash v. Smith</w:t>
      </w:r>
      <w:r>
        <w:rPr>
          <w:rFonts w:ascii="Arial" w:eastAsia="Arial" w:hAnsi="Arial" w:cs="Arial"/>
          <w:color w:val="000000"/>
          <w:sz w:val="20"/>
        </w:rPr>
        <w:t xml:space="preserve">, the court held that § 102(d) did not apply to medical information voluntarily disclosed by an employee to her supervisor—even though the disclosure was done "in confidence"—and therefore the supervisor's disclosure of that information to other employees did not violate the ADA § 102(d). </w:t>
      </w:r>
      <w:bookmarkStart w:id="3771" w:name="Bookmark_I532DVDH28T4JP0010000400"/>
      <w:bookmarkEnd w:id="3771"/>
      <w:r>
        <w:rPr>
          <w:rFonts w:ascii="Arial" w:eastAsia="Arial" w:hAnsi="Arial" w:cs="Arial"/>
          <w:color w:val="000000"/>
          <w:sz w:val="20"/>
        </w:rPr>
        <w:t xml:space="preserve">231 F.3d 1301, 1303, 1307 (11th Cir. 2000) ("[T]he disclosure that Cash complains of was not of the result of an examination ordered by [the employer], but of a voluntary  [*51] disclosure that Cash made to [her supervisor]. The statute and regulation cited by Cash [i.e., ADA § 102(d) and 29 C.F.R. § 1630.14(c)] do not govern voluntary disclosures initiated by the employee, and therefore the district court correctly granted [the employer's] motion for summary judgment on this count."). </w:t>
      </w:r>
      <w:r>
        <w:rPr>
          <w:rFonts w:ascii="Arial" w:eastAsia="Arial" w:hAnsi="Arial" w:cs="Arial"/>
          <w:vertAlign w:val="superscript"/>
        </w:rPr>
        <w:footnoteReference w:customMarkFollows="1" w:id="187"/>
        <w:t>16</w:t>
      </w:r>
    </w:p>
    <w:p w14:paraId="4FC00701" w14:textId="77777777" w:rsidR="00D041A2" w:rsidRDefault="00000000">
      <w:pPr>
        <w:pStyle w:val="Normal31"/>
        <w:widowControl w:val="0"/>
        <w:spacing w:before="200" w:line="260" w:lineRule="atLeast"/>
        <w:jc w:val="both"/>
      </w:pPr>
      <w:bookmarkStart w:id="3779" w:name="Bookmark_para_52_5"/>
      <w:bookmarkEnd w:id="3779"/>
      <w:r>
        <w:rPr>
          <w:rFonts w:ascii="Arial" w:eastAsia="Arial" w:hAnsi="Arial" w:cs="Arial"/>
          <w:color w:val="000000"/>
          <w:sz w:val="20"/>
        </w:rPr>
        <w:t xml:space="preserve"> [**1048]  </w:t>
      </w:r>
      <w:bookmarkStart w:id="3780" w:name="Bookmark_I532DVDH2SF8GS0050000400"/>
      <w:bookmarkEnd w:id="3780"/>
      <w:r>
        <w:rPr>
          <w:rFonts w:ascii="Arial" w:eastAsia="Arial" w:hAnsi="Arial" w:cs="Arial"/>
          <w:color w:val="000000"/>
          <w:sz w:val="20"/>
        </w:rPr>
        <w:t xml:space="preserve">The parties do not dispute that Mr. Watson voluntarily disclosed to Ms. Johansen that he was HIV-positive, and neither party suggests that Mr. Watson's disclosure was the result of any sort of examination or inquiry. </w:t>
      </w:r>
      <w:r>
        <w:rPr>
          <w:rFonts w:ascii="Arial" w:eastAsia="Arial" w:hAnsi="Arial" w:cs="Arial"/>
          <w:i/>
          <w:color w:val="000000"/>
          <w:sz w:val="20"/>
        </w:rPr>
        <w:t xml:space="preserve">See </w:t>
      </w:r>
      <w:bookmarkStart w:id="3781" w:name="Bookmark_I532DVDH2SF8GS0040000400"/>
      <w:bookmarkEnd w:id="3781"/>
      <w:r>
        <w:rPr>
          <w:rFonts w:ascii="Arial" w:eastAsia="Arial" w:hAnsi="Arial" w:cs="Arial"/>
          <w:i/>
          <w:color w:val="000000"/>
          <w:sz w:val="20"/>
        </w:rPr>
        <w:t>EEOC v. C.R. England</w:t>
      </w:r>
      <w:r>
        <w:rPr>
          <w:rFonts w:ascii="Arial" w:eastAsia="Arial" w:hAnsi="Arial" w:cs="Arial"/>
          <w:color w:val="000000"/>
          <w:sz w:val="20"/>
        </w:rPr>
        <w:t>, No. 2:06-CV-00811BSJ, slip op. at 16 n.6 [*53]  ("Nothing in the parties' memoranda suggests that any [C.R. England] employee asked Watson a question likely to elicit information about Watson's HIV status."). Accordingly, the information Mr. Watson voluntarily provided to C.R. England was not protected by § 102(d), and the company's disclosure of this information did not violate that provision. As a matter of law, C.R. England was entitled to judgment on this issue, and the district court's grant of summary judgment in favor of the company was not erroneous.</w:t>
      </w:r>
    </w:p>
    <w:p w14:paraId="14D98E6D" w14:textId="77777777" w:rsidR="00D041A2" w:rsidRDefault="00000000">
      <w:pPr>
        <w:pStyle w:val="Normal31"/>
        <w:widowControl w:val="0"/>
        <w:spacing w:before="240" w:line="260" w:lineRule="atLeast"/>
      </w:pPr>
      <w:r>
        <w:br/>
      </w:r>
      <w:r>
        <w:rPr>
          <w:rFonts w:ascii="Arial" w:eastAsia="Arial" w:hAnsi="Arial" w:cs="Arial"/>
          <w:b/>
          <w:color w:val="000000"/>
          <w:sz w:val="20"/>
        </w:rPr>
        <w:t>C. Mr. Watson's Reasonable Accommodation Claim</w:t>
      </w:r>
    </w:p>
    <w:p w14:paraId="7939B600" w14:textId="77777777" w:rsidR="00D041A2" w:rsidRDefault="00000000">
      <w:pPr>
        <w:pStyle w:val="Normal31"/>
        <w:widowControl w:val="0"/>
        <w:spacing w:before="200" w:line="260" w:lineRule="atLeast"/>
        <w:jc w:val="both"/>
      </w:pPr>
      <w:bookmarkStart w:id="3782" w:name="Bookmark_para_53_4"/>
      <w:bookmarkStart w:id="3783" w:name="Bookmark_I532DVDH2HM6G20020000400"/>
      <w:bookmarkEnd w:id="3782"/>
      <w:bookmarkEnd w:id="3783"/>
      <w:r>
        <w:rPr>
          <w:rFonts w:ascii="Arial" w:eastAsia="Arial" w:hAnsi="Arial" w:cs="Arial"/>
          <w:color w:val="000000"/>
          <w:sz w:val="20"/>
        </w:rPr>
        <w:t xml:space="preserve">Mr. Watson next asserts that C.R. England violated the ADA by denying his request for "home time." He claims that by refusing his request, C.R. England failed to provide the "reasonable accommodations" for his disability that the ADA requires. The district court entered summary judgment in favor of C.R. England on this claim because Mr. Watson had failed to show that he needed "'home time' both prior to and following his arrival in Omaha," and because "he made no reference to any disability in his request for 'home time'" that would put C.R. England "on notice that a reasonable  [*54] accommodation was being requested under the ADA." </w:t>
      </w:r>
      <w:bookmarkStart w:id="3784" w:name="Bookmark_I532DVDH2HM6G20010000400"/>
      <w:bookmarkEnd w:id="3784"/>
      <w:r>
        <w:rPr>
          <w:rFonts w:ascii="Arial" w:eastAsia="Arial" w:hAnsi="Arial" w:cs="Arial"/>
          <w:i/>
          <w:color w:val="000000"/>
          <w:sz w:val="20"/>
        </w:rPr>
        <w:t>Id</w:t>
      </w:r>
      <w:r>
        <w:rPr>
          <w:rFonts w:ascii="Arial" w:eastAsia="Arial" w:hAnsi="Arial" w:cs="Arial"/>
          <w:color w:val="000000"/>
          <w:sz w:val="20"/>
        </w:rPr>
        <w:t>. at 25.</w:t>
      </w:r>
    </w:p>
    <w:p w14:paraId="36080600" w14:textId="77777777" w:rsidR="00D041A2" w:rsidRDefault="00000000">
      <w:pPr>
        <w:pStyle w:val="Normal31"/>
        <w:widowControl w:val="0"/>
        <w:spacing w:before="200" w:line="260" w:lineRule="atLeast"/>
        <w:jc w:val="both"/>
      </w:pPr>
      <w:bookmarkStart w:id="3785" w:name="Bookmark_para_54_4"/>
      <w:bookmarkStart w:id="3786" w:name="Bookmark_I532DVDH2HM6G20040000400"/>
      <w:bookmarkStart w:id="3787" w:name="Bookmark_I532DVDH2SF8GT0010000400"/>
      <w:bookmarkStart w:id="3788" w:name="Bookmark_LNHNREFclscc21_2"/>
      <w:bookmarkEnd w:id="3785"/>
      <w:bookmarkEnd w:id="3786"/>
      <w:bookmarkEnd w:id="3787"/>
      <w:bookmarkEnd w:id="3788"/>
      <w:r>
        <w:rPr>
          <w:rFonts w:ascii="Arial" w:eastAsia="Arial" w:hAnsi="Arial" w:cs="Arial"/>
          <w:color w:val="000000"/>
          <w:sz w:val="20"/>
        </w:rPr>
        <w:t xml:space="preserve">Under ADA § 102(b)(5)(A), an employer can unlawfully "discriminate" against an employee by failing to "mak[e] reasonable accommodations to the known physical or mental limitations of an otherwise qualified individual with a disability who is an . . . employee." 42 U.S.C. § 12112(b)(5)(A); </w:t>
      </w:r>
      <w:r>
        <w:rPr>
          <w:rFonts w:ascii="Arial" w:eastAsia="Arial" w:hAnsi="Arial" w:cs="Arial"/>
          <w:i/>
          <w:color w:val="000000"/>
          <w:sz w:val="20"/>
        </w:rPr>
        <w:t xml:space="preserve">accord </w:t>
      </w:r>
      <w:bookmarkStart w:id="3789" w:name="Bookmark_I532DVDH2HM6G20030000400"/>
      <w:bookmarkEnd w:id="3789"/>
      <w:r>
        <w:rPr>
          <w:rFonts w:ascii="Arial" w:eastAsia="Arial" w:hAnsi="Arial" w:cs="Arial"/>
          <w:i/>
          <w:color w:val="000000"/>
          <w:sz w:val="20"/>
        </w:rPr>
        <w:t>Lowe v. Angelo's Italian Foods, Inc</w:t>
      </w:r>
      <w:r>
        <w:rPr>
          <w:rFonts w:ascii="Arial" w:eastAsia="Arial" w:hAnsi="Arial" w:cs="Arial"/>
          <w:color w:val="000000"/>
          <w:sz w:val="20"/>
        </w:rPr>
        <w:t xml:space="preserve">., 87 F.3d 1170, 1174 (10th Cir. 1996). "The statute thus establishes a cause of action for disabled employees whose employers fail to reasonably accommodate them." </w:t>
      </w:r>
      <w:bookmarkStart w:id="3790" w:name="Bookmark_I532DVDH2HM6G20050000400"/>
      <w:bookmarkEnd w:id="3790"/>
      <w:r>
        <w:rPr>
          <w:rFonts w:ascii="Arial" w:eastAsia="Arial" w:hAnsi="Arial" w:cs="Arial"/>
          <w:i/>
          <w:color w:val="000000"/>
          <w:sz w:val="20"/>
        </w:rPr>
        <w:t>Selenke v. Med. Imaging of Colo</w:t>
      </w:r>
      <w:r>
        <w:rPr>
          <w:rFonts w:ascii="Arial" w:eastAsia="Arial" w:hAnsi="Arial" w:cs="Arial"/>
          <w:color w:val="000000"/>
          <w:sz w:val="20"/>
        </w:rPr>
        <w:t>., 248 F.3d 1249, 1261 (10th Cir. 2001).</w:t>
      </w:r>
    </w:p>
    <w:p w14:paraId="6CDB0C55" w14:textId="77777777" w:rsidR="00D041A2" w:rsidRDefault="00000000">
      <w:pPr>
        <w:pStyle w:val="Normal31"/>
        <w:widowControl w:val="0"/>
        <w:spacing w:before="200" w:line="260" w:lineRule="atLeast"/>
        <w:jc w:val="both"/>
      </w:pPr>
      <w:bookmarkStart w:id="3791" w:name="Bookmark_para_55_3"/>
      <w:bookmarkStart w:id="3792" w:name="Bookmark_LNHNREFclscc22_2"/>
      <w:bookmarkEnd w:id="3791"/>
      <w:bookmarkEnd w:id="3792"/>
      <w:r>
        <w:rPr>
          <w:rFonts w:ascii="Arial" w:eastAsia="Arial" w:hAnsi="Arial" w:cs="Arial"/>
          <w:color w:val="000000"/>
          <w:sz w:val="20"/>
        </w:rPr>
        <w:t>The Act defines "reasonable accommodation" to include:</w:t>
      </w:r>
    </w:p>
    <w:p w14:paraId="2A750D05" w14:textId="77777777" w:rsidR="00D041A2" w:rsidRDefault="00000000">
      <w:pPr>
        <w:pStyle w:val="Normal31"/>
        <w:widowControl w:val="0"/>
        <w:spacing w:line="260" w:lineRule="atLeast"/>
        <w:ind w:left="400"/>
        <w:jc w:val="both"/>
      </w:pPr>
      <w:bookmarkStart w:id="3793" w:name="Bookmark_para_56_3"/>
      <w:bookmarkEnd w:id="3793"/>
      <w:r>
        <w:rPr>
          <w:rFonts w:ascii="Arial" w:eastAsia="Arial" w:hAnsi="Arial" w:cs="Arial"/>
          <w:color w:val="000000"/>
          <w:sz w:val="20"/>
        </w:rPr>
        <w:t>(A) making existing facilities used by employees readily accessible to and usable by individuals with disabilities; and</w:t>
      </w:r>
    </w:p>
    <w:p w14:paraId="67814145" w14:textId="77777777" w:rsidR="00D041A2" w:rsidRDefault="00000000">
      <w:pPr>
        <w:pStyle w:val="Normal31"/>
        <w:widowControl w:val="0"/>
        <w:spacing w:line="260" w:lineRule="atLeast"/>
        <w:ind w:left="400"/>
        <w:jc w:val="both"/>
      </w:pPr>
      <w:bookmarkStart w:id="3794" w:name="Bookmark_para_57_3"/>
      <w:bookmarkStart w:id="3795" w:name="Bookmark_I532DVDH2SF8GT0030000400"/>
      <w:bookmarkEnd w:id="3794"/>
      <w:bookmarkEnd w:id="3795"/>
      <w:r>
        <w:rPr>
          <w:rFonts w:ascii="Arial" w:eastAsia="Arial" w:hAnsi="Arial" w:cs="Arial"/>
          <w:color w:val="000000"/>
          <w:sz w:val="20"/>
        </w:rPr>
        <w:t>(B) job restructuring, part-time or modified work schedules, reassignment to a vacant position, acquisition or modification of equipment or devices, appropriate adjustment or modifications of examinations, training materials or policies, the provision of qualified readers or interpreters, and other similar accommodations for individuals with disabilities.</w:t>
      </w:r>
    </w:p>
    <w:p w14:paraId="64B1E6B4" w14:textId="77777777" w:rsidR="00D041A2" w:rsidRDefault="00000000">
      <w:pPr>
        <w:pStyle w:val="Normal31"/>
        <w:widowControl w:val="0"/>
        <w:spacing w:before="200" w:line="260" w:lineRule="atLeast"/>
        <w:jc w:val="both"/>
      </w:pPr>
      <w:bookmarkStart w:id="3796" w:name="Bookmark_I532DVDH2SF8GT0030000400_2"/>
      <w:bookmarkEnd w:id="3796"/>
      <w:r>
        <w:rPr>
          <w:rFonts w:ascii="Arial" w:eastAsia="Arial" w:hAnsi="Arial" w:cs="Arial"/>
          <w:color w:val="000000"/>
          <w:sz w:val="20"/>
        </w:rPr>
        <w:t xml:space="preserve">42 U.S.C. § 12111(9)(A)-(B); </w:t>
      </w:r>
      <w:r>
        <w:rPr>
          <w:rFonts w:ascii="Arial" w:eastAsia="Arial" w:hAnsi="Arial" w:cs="Arial"/>
          <w:i/>
          <w:color w:val="000000"/>
          <w:sz w:val="20"/>
        </w:rPr>
        <w:t>see also</w:t>
      </w:r>
      <w:r>
        <w:rPr>
          <w:rFonts w:ascii="Arial" w:eastAsia="Arial" w:hAnsi="Arial" w:cs="Arial"/>
          <w:color w:val="000000"/>
          <w:sz w:val="20"/>
        </w:rPr>
        <w:t xml:space="preserve"> </w:t>
      </w:r>
      <w:bookmarkStart w:id="3797" w:name="Bookmark_LNHNREFclscc23_1"/>
      <w:bookmarkEnd w:id="3797"/>
      <w:r>
        <w:rPr>
          <w:rFonts w:ascii="Arial" w:eastAsia="Arial" w:hAnsi="Arial" w:cs="Arial"/>
          <w:color w:val="000000"/>
          <w:sz w:val="20"/>
        </w:rPr>
        <w:t xml:space="preserve">29 C.F.R. § 1630.2(o)  [*55] (defining "reasonable accommodation"). We have held that, under the appropriate circumstances, "[a]n allowance of time for medical care or treatment may constitute a reasonable accommodation." </w:t>
      </w:r>
      <w:bookmarkStart w:id="3798" w:name="Bookmark_I532DVDH2SF8GT0020000400"/>
      <w:bookmarkEnd w:id="3798"/>
      <w:r>
        <w:rPr>
          <w:rFonts w:ascii="Arial" w:eastAsia="Arial" w:hAnsi="Arial" w:cs="Arial"/>
          <w:i/>
          <w:color w:val="000000"/>
          <w:sz w:val="20"/>
        </w:rPr>
        <w:t>Rascon v. U S W. Commc'ns, Inc</w:t>
      </w:r>
      <w:r>
        <w:rPr>
          <w:rFonts w:ascii="Arial" w:eastAsia="Arial" w:hAnsi="Arial" w:cs="Arial"/>
          <w:color w:val="000000"/>
          <w:sz w:val="20"/>
        </w:rPr>
        <w:t xml:space="preserve">., 143 F.3d 1324, 1333-34 (10th Cir.  [**1049]  1998); </w:t>
      </w:r>
      <w:r>
        <w:rPr>
          <w:rFonts w:ascii="Arial" w:eastAsia="Arial" w:hAnsi="Arial" w:cs="Arial"/>
          <w:i/>
          <w:color w:val="000000"/>
          <w:sz w:val="20"/>
        </w:rPr>
        <w:t xml:space="preserve">see also </w:t>
      </w:r>
      <w:bookmarkStart w:id="3799" w:name="Bookmark_I532DVDH2SF8GT0040000400"/>
      <w:bookmarkEnd w:id="3799"/>
      <w:r>
        <w:rPr>
          <w:rFonts w:ascii="Arial" w:eastAsia="Arial" w:hAnsi="Arial" w:cs="Arial"/>
          <w:i/>
          <w:color w:val="000000"/>
          <w:sz w:val="20"/>
        </w:rPr>
        <w:t>Hudson v. MCI Telecommc'ns Corp</w:t>
      </w:r>
      <w:r>
        <w:rPr>
          <w:rFonts w:ascii="Arial" w:eastAsia="Arial" w:hAnsi="Arial" w:cs="Arial"/>
          <w:color w:val="000000"/>
          <w:sz w:val="20"/>
        </w:rPr>
        <w:t>., 87 F.3d 1167, 1169 (10th Cir. 1996) ("This court agrees with plaintiff that a reasonable allowance of time for medical care and treatment may, in appropriate circumstances, constitute a reasonable accommodation.").</w:t>
      </w:r>
    </w:p>
    <w:p w14:paraId="17EC8426" w14:textId="77777777" w:rsidR="00D041A2" w:rsidRDefault="00000000">
      <w:pPr>
        <w:pStyle w:val="Normal31"/>
        <w:widowControl w:val="0"/>
        <w:spacing w:before="200" w:line="260" w:lineRule="atLeast"/>
        <w:jc w:val="both"/>
      </w:pPr>
      <w:bookmarkStart w:id="3800" w:name="Bookmark_para_58_3"/>
      <w:bookmarkStart w:id="3801" w:name="Bookmark_I532DVDH2D6N980020000400"/>
      <w:bookmarkStart w:id="3802" w:name="Bookmark_I532DVDH28T4JS0010000400"/>
      <w:bookmarkStart w:id="3803" w:name="Bookmark_LNHNREFclscc24_0"/>
      <w:bookmarkEnd w:id="3800"/>
      <w:bookmarkEnd w:id="3801"/>
      <w:bookmarkEnd w:id="3802"/>
      <w:bookmarkEnd w:id="3803"/>
      <w:r>
        <w:rPr>
          <w:rFonts w:ascii="Arial" w:eastAsia="Arial" w:hAnsi="Arial" w:cs="Arial"/>
          <w:color w:val="000000"/>
          <w:sz w:val="20"/>
        </w:rPr>
        <w:t xml:space="preserve">"To facilitate the reasonable accommodation, '[t]he federal regulations implementing the ADA envision an interactive process that requires participation by both parties.'" </w:t>
      </w:r>
      <w:bookmarkStart w:id="3804" w:name="Bookmark_I532DVDH2D6N980010000400"/>
      <w:bookmarkEnd w:id="3804"/>
      <w:r>
        <w:rPr>
          <w:rFonts w:ascii="Arial" w:eastAsia="Arial" w:hAnsi="Arial" w:cs="Arial"/>
          <w:i/>
          <w:color w:val="000000"/>
          <w:sz w:val="20"/>
        </w:rPr>
        <w:t>Bartee v. Michelin N. Am., Inc</w:t>
      </w:r>
      <w:r>
        <w:rPr>
          <w:rFonts w:ascii="Arial" w:eastAsia="Arial" w:hAnsi="Arial" w:cs="Arial"/>
          <w:color w:val="000000"/>
          <w:sz w:val="20"/>
        </w:rPr>
        <w:t xml:space="preserve">., 374 F.3d 906, 916 (10th Cir. 2004) (alteration in original) (quoting </w:t>
      </w:r>
      <w:bookmarkStart w:id="3805" w:name="Bookmark_I532DVDH2D6N980030000400"/>
      <w:bookmarkEnd w:id="3805"/>
      <w:r>
        <w:rPr>
          <w:rFonts w:ascii="Arial" w:eastAsia="Arial" w:hAnsi="Arial" w:cs="Arial"/>
          <w:i/>
          <w:color w:val="000000"/>
          <w:sz w:val="20"/>
        </w:rPr>
        <w:t>Templeton v. Neodata Servs., Inc</w:t>
      </w:r>
      <w:r>
        <w:rPr>
          <w:rFonts w:ascii="Arial" w:eastAsia="Arial" w:hAnsi="Arial" w:cs="Arial"/>
          <w:color w:val="000000"/>
          <w:sz w:val="20"/>
        </w:rPr>
        <w:t xml:space="preserve">., 162 F.3d 617, 619 (10th Cir. 1998)); </w:t>
      </w:r>
      <w:r>
        <w:rPr>
          <w:rFonts w:ascii="Arial" w:eastAsia="Arial" w:hAnsi="Arial" w:cs="Arial"/>
          <w:i/>
          <w:color w:val="000000"/>
          <w:sz w:val="20"/>
        </w:rPr>
        <w:t>see also</w:t>
      </w:r>
      <w:r>
        <w:rPr>
          <w:rFonts w:ascii="Arial" w:eastAsia="Arial" w:hAnsi="Arial" w:cs="Arial"/>
          <w:color w:val="000000"/>
          <w:sz w:val="20"/>
        </w:rPr>
        <w:t xml:space="preserve"> 29 C.F.R. § 1630.2(o)(3). However, before an employer's duty to provide reasonable accommodations—or even to participate in the "interactive process"—is triggered under the ADA, the employee must make an adequate request, thereby putting the employer on notice. </w:t>
      </w:r>
      <w:r>
        <w:rPr>
          <w:rFonts w:ascii="Arial" w:eastAsia="Arial" w:hAnsi="Arial" w:cs="Arial"/>
          <w:i/>
          <w:color w:val="000000"/>
          <w:sz w:val="20"/>
        </w:rPr>
        <w:t xml:space="preserve">See, e.g., </w:t>
      </w:r>
      <w:bookmarkStart w:id="3806" w:name="Bookmark_I532DVDH2D6N980050000400"/>
      <w:bookmarkEnd w:id="3806"/>
      <w:r>
        <w:rPr>
          <w:rFonts w:ascii="Arial" w:eastAsia="Arial" w:hAnsi="Arial" w:cs="Arial"/>
          <w:i/>
          <w:color w:val="000000"/>
          <w:sz w:val="20"/>
        </w:rPr>
        <w:t>Midland Brake</w:t>
      </w:r>
      <w:r>
        <w:rPr>
          <w:rFonts w:ascii="Arial" w:eastAsia="Arial" w:hAnsi="Arial" w:cs="Arial"/>
          <w:color w:val="000000"/>
          <w:sz w:val="20"/>
        </w:rPr>
        <w:t xml:space="preserve">, 180 F.3d at 1171 ("In general, the  [*56] interactive process must ordinarily begin with the employee providing notice to the employer of the employee's disability and any resulting limitations . . . ."); </w:t>
      </w:r>
      <w:bookmarkStart w:id="3807" w:name="Bookmark_I532DVDH28T4JS0020000400"/>
      <w:bookmarkEnd w:id="3807"/>
      <w:r>
        <w:rPr>
          <w:rFonts w:ascii="Arial" w:eastAsia="Arial" w:hAnsi="Arial" w:cs="Arial"/>
          <w:i/>
          <w:color w:val="000000"/>
          <w:sz w:val="20"/>
        </w:rPr>
        <w:t>Woodman v. Runyon</w:t>
      </w:r>
      <w:r>
        <w:rPr>
          <w:rFonts w:ascii="Arial" w:eastAsia="Arial" w:hAnsi="Arial" w:cs="Arial"/>
          <w:color w:val="000000"/>
          <w:sz w:val="20"/>
        </w:rPr>
        <w:t xml:space="preserve">, 132 F.3d 1330, 1345 (10th Cir. 1997) ("The 'employee's initial request for an accommodation . . . triggers the employer's obligation to participate in the interactive process.'" (quoting </w:t>
      </w:r>
      <w:bookmarkStart w:id="3808" w:name="Bookmark_I532DVDH28T4JS0040000400"/>
      <w:bookmarkEnd w:id="3808"/>
      <w:r>
        <w:rPr>
          <w:rFonts w:ascii="Arial" w:eastAsia="Arial" w:hAnsi="Arial" w:cs="Arial"/>
          <w:i/>
          <w:color w:val="000000"/>
          <w:sz w:val="20"/>
        </w:rPr>
        <w:t>Taylor v. Principal Fin. Grp., Inc</w:t>
      </w:r>
      <w:r>
        <w:rPr>
          <w:rFonts w:ascii="Arial" w:eastAsia="Arial" w:hAnsi="Arial" w:cs="Arial"/>
          <w:color w:val="000000"/>
          <w:sz w:val="20"/>
        </w:rPr>
        <w:t xml:space="preserve">., 93 F.3d 155, 165 (5th Cir. 1996))); </w:t>
      </w:r>
      <w:r>
        <w:rPr>
          <w:rFonts w:ascii="Arial" w:eastAsia="Arial" w:hAnsi="Arial" w:cs="Arial"/>
          <w:i/>
          <w:color w:val="000000"/>
          <w:sz w:val="20"/>
        </w:rPr>
        <w:t xml:space="preserve">see also, e.g., </w:t>
      </w:r>
      <w:bookmarkStart w:id="3809" w:name="Bookmark_I532DVDH2SF8GV0010000400"/>
      <w:bookmarkEnd w:id="3809"/>
      <w:r>
        <w:rPr>
          <w:rFonts w:ascii="Arial" w:eastAsia="Arial" w:hAnsi="Arial" w:cs="Arial"/>
          <w:i/>
          <w:color w:val="000000"/>
          <w:sz w:val="20"/>
        </w:rPr>
        <w:t>Colwell v. Rite Aid Corp</w:t>
      </w:r>
      <w:r>
        <w:rPr>
          <w:rFonts w:ascii="Arial" w:eastAsia="Arial" w:hAnsi="Arial" w:cs="Arial"/>
          <w:color w:val="000000"/>
          <w:sz w:val="20"/>
        </w:rPr>
        <w:t xml:space="preserve">., 602 F.3d 495, 506 (3d Cir. 2010) ("[E]ither by direct communication or other appropriate means, the employee must make clear that the [he/she] wants assistance </w:t>
      </w:r>
      <w:r>
        <w:rPr>
          <w:rFonts w:ascii="Arial" w:eastAsia="Arial" w:hAnsi="Arial" w:cs="Arial"/>
          <w:i/>
          <w:color w:val="000000"/>
          <w:sz w:val="20"/>
        </w:rPr>
        <w:t>for his or her disability</w:t>
      </w:r>
      <w:r>
        <w:rPr>
          <w:rFonts w:ascii="Arial" w:eastAsia="Arial" w:hAnsi="Arial" w:cs="Arial"/>
          <w:color w:val="000000"/>
          <w:sz w:val="20"/>
        </w:rPr>
        <w:t xml:space="preserve">." (alterations in original) (emphasis added) (quoting </w:t>
      </w:r>
      <w:bookmarkStart w:id="3810" w:name="Bookmark_I532DVDH2SF8GV0030000400"/>
      <w:bookmarkEnd w:id="3810"/>
      <w:r>
        <w:rPr>
          <w:rFonts w:ascii="Arial" w:eastAsia="Arial" w:hAnsi="Arial" w:cs="Arial"/>
          <w:i/>
          <w:color w:val="000000"/>
          <w:sz w:val="20"/>
        </w:rPr>
        <w:t>Conneen v. MBNA Am. Bank, N.A</w:t>
      </w:r>
      <w:r>
        <w:rPr>
          <w:rFonts w:ascii="Arial" w:eastAsia="Arial" w:hAnsi="Arial" w:cs="Arial"/>
          <w:color w:val="000000"/>
          <w:sz w:val="20"/>
        </w:rPr>
        <w:t xml:space="preserve">., 334 F.3d 318, 332 (3d Cir. 2003)) (internal quotation marks omitted)); </w:t>
      </w:r>
      <w:bookmarkStart w:id="3811" w:name="Bookmark_I532DVDH2SF8GV0050000400"/>
      <w:bookmarkEnd w:id="3811"/>
      <w:r>
        <w:rPr>
          <w:rFonts w:ascii="Arial" w:eastAsia="Arial" w:hAnsi="Arial" w:cs="Arial"/>
          <w:i/>
          <w:color w:val="000000"/>
          <w:sz w:val="20"/>
        </w:rPr>
        <w:t>Calero-Cerezo v. U.S. Dept. of Justice</w:t>
      </w:r>
      <w:r>
        <w:rPr>
          <w:rFonts w:ascii="Arial" w:eastAsia="Arial" w:hAnsi="Arial" w:cs="Arial"/>
          <w:color w:val="000000"/>
          <w:sz w:val="20"/>
        </w:rPr>
        <w:t xml:space="preserve">, 355 F.3d 6, 23 (1st Cir. 2004) ("The request for accommodation must be sufficiently direct and specific, giving notice that she needs a special accommodation." (quoting </w:t>
      </w:r>
      <w:bookmarkStart w:id="3812" w:name="Bookmark_I532DVDH2HM6G50020000400"/>
      <w:bookmarkEnd w:id="3812"/>
      <w:r>
        <w:rPr>
          <w:rFonts w:ascii="Arial" w:eastAsia="Arial" w:hAnsi="Arial" w:cs="Arial"/>
          <w:i/>
          <w:color w:val="000000"/>
          <w:sz w:val="20"/>
        </w:rPr>
        <w:t>Reed v. LePage Bakeries, Inc</w:t>
      </w:r>
      <w:r>
        <w:rPr>
          <w:rFonts w:ascii="Arial" w:eastAsia="Arial" w:hAnsi="Arial" w:cs="Arial"/>
          <w:color w:val="000000"/>
          <w:sz w:val="20"/>
        </w:rPr>
        <w:t>., 244 F.3d 254, 261 (1st Cir. 2001)) (internal quotation marks omitted)).</w:t>
      </w:r>
    </w:p>
    <w:p w14:paraId="679669D6" w14:textId="77777777" w:rsidR="00D041A2" w:rsidRDefault="00000000">
      <w:pPr>
        <w:pStyle w:val="Normal31"/>
        <w:widowControl w:val="0"/>
        <w:spacing w:before="200" w:line="260" w:lineRule="atLeast"/>
        <w:jc w:val="both"/>
      </w:pPr>
      <w:bookmarkStart w:id="3813" w:name="Bookmark_para_59_3"/>
      <w:bookmarkStart w:id="3814" w:name="Bookmark_I33FYXHH0KF000CXWC2000B4"/>
      <w:bookmarkStart w:id="3815" w:name="Bookmark_I532DVDH2HM6G50050000400"/>
      <w:bookmarkStart w:id="3816" w:name="Bookmark_I33FYXHH87R000CXWC2001C8"/>
      <w:bookmarkStart w:id="3817" w:name="Bookmark_I33FYXHH4DK000CXWC2001C7"/>
      <w:bookmarkStart w:id="3818" w:name="Bookmark_I532DVDH2N1PNM0020000400"/>
      <w:bookmarkStart w:id="3819" w:name="Bookmark_LNHNREFclscc25"/>
      <w:bookmarkEnd w:id="3813"/>
      <w:bookmarkEnd w:id="3814"/>
      <w:bookmarkEnd w:id="3815"/>
      <w:bookmarkEnd w:id="3816"/>
      <w:bookmarkEnd w:id="3817"/>
      <w:bookmarkEnd w:id="3818"/>
      <w:bookmarkEnd w:id="3819"/>
      <w:r>
        <w:rPr>
          <w:rFonts w:ascii="Arial" w:eastAsia="Arial" w:hAnsi="Arial" w:cs="Arial"/>
          <w:color w:val="000000"/>
          <w:sz w:val="20"/>
        </w:rPr>
        <w:t xml:space="preserve">Although the notice or request "does not have to be in writing,  [*57] be made by the employee, or formally invoke the magic words 'reasonable accommodation,'" it "nonetheless must make clear that the employee wants assistance </w:t>
      </w:r>
      <w:r>
        <w:rPr>
          <w:rFonts w:ascii="Arial" w:eastAsia="Arial" w:hAnsi="Arial" w:cs="Arial"/>
          <w:i/>
          <w:color w:val="000000"/>
          <w:sz w:val="20"/>
        </w:rPr>
        <w:t xml:space="preserve">for his or her disability." </w:t>
      </w:r>
      <w:bookmarkStart w:id="3820" w:name="Bookmark_I532DVDH2HM6G50040000400"/>
      <w:bookmarkEnd w:id="3820"/>
      <w:r>
        <w:rPr>
          <w:rFonts w:ascii="Arial" w:eastAsia="Arial" w:hAnsi="Arial" w:cs="Arial"/>
          <w:i/>
          <w:color w:val="000000"/>
          <w:sz w:val="20"/>
        </w:rPr>
        <w:t>Taylor v. Phoenixville Sch. Dist</w:t>
      </w:r>
      <w:r>
        <w:rPr>
          <w:rFonts w:ascii="Arial" w:eastAsia="Arial" w:hAnsi="Arial" w:cs="Arial"/>
          <w:color w:val="000000"/>
          <w:sz w:val="20"/>
        </w:rPr>
        <w:t xml:space="preserve">., 184 F.3d 296, 313 (3d Cir. 1999) (emphasis added). That is, "the employer must know of both the disability and the employee's desire for accommodations for that disability." </w:t>
      </w:r>
      <w:r>
        <w:rPr>
          <w:rFonts w:ascii="Arial" w:eastAsia="Arial" w:hAnsi="Arial" w:cs="Arial"/>
          <w:i/>
          <w:color w:val="000000"/>
          <w:sz w:val="20"/>
        </w:rPr>
        <w:t xml:space="preserve">Id.; see </w:t>
      </w:r>
      <w:bookmarkStart w:id="3821" w:name="Bookmark_I532DVDH2N1PNM0010000400"/>
      <w:bookmarkEnd w:id="3821"/>
      <w:r>
        <w:rPr>
          <w:rFonts w:ascii="Arial" w:eastAsia="Arial" w:hAnsi="Arial" w:cs="Arial"/>
          <w:i/>
          <w:color w:val="000000"/>
          <w:sz w:val="20"/>
        </w:rPr>
        <w:t>Zivkovic v. S. Cal. Edison Co</w:t>
      </w:r>
      <w:r>
        <w:rPr>
          <w:rFonts w:ascii="Arial" w:eastAsia="Arial" w:hAnsi="Arial" w:cs="Arial"/>
          <w:color w:val="000000"/>
          <w:sz w:val="20"/>
        </w:rPr>
        <w:t xml:space="preserve">., 302 F.3d 1080, 1089 (9th Cir. 2002) ("An employee is not required to use any particular language when requesting an accommodation but need only 'inform the employer of the need for an adjustment due to a medical condition.'" (quoting </w:t>
      </w:r>
      <w:bookmarkStart w:id="3822" w:name="Bookmark_I532DVDH2N1PNM0030000400"/>
      <w:bookmarkEnd w:id="3822"/>
      <w:r>
        <w:rPr>
          <w:rFonts w:ascii="Arial" w:eastAsia="Arial" w:hAnsi="Arial" w:cs="Arial"/>
          <w:i/>
          <w:color w:val="000000"/>
          <w:sz w:val="20"/>
        </w:rPr>
        <w:t>Barnett v. U.S. Air, Inc</w:t>
      </w:r>
      <w:r>
        <w:rPr>
          <w:rFonts w:ascii="Arial" w:eastAsia="Arial" w:hAnsi="Arial" w:cs="Arial"/>
          <w:color w:val="000000"/>
          <w:sz w:val="20"/>
        </w:rPr>
        <w:t xml:space="preserve">., 228 F.3d 1105, 1114 n.5 (9th Cir. 2000) (en banc), </w:t>
      </w:r>
      <w:r>
        <w:rPr>
          <w:rFonts w:ascii="Arial" w:eastAsia="Arial" w:hAnsi="Arial" w:cs="Arial"/>
          <w:i/>
          <w:color w:val="000000"/>
          <w:sz w:val="20"/>
        </w:rPr>
        <w:t>vacated on other grounds by</w:t>
      </w:r>
      <w:r>
        <w:rPr>
          <w:rFonts w:ascii="Arial" w:eastAsia="Arial" w:hAnsi="Arial" w:cs="Arial"/>
          <w:color w:val="000000"/>
          <w:sz w:val="20"/>
        </w:rPr>
        <w:t xml:space="preserve"> 535 U.S. 391, 122 S. Ct. 1516, 152 L. Ed. 2d 589 (2002))); </w:t>
      </w:r>
      <w:r>
        <w:rPr>
          <w:rFonts w:ascii="Arial" w:eastAsia="Arial" w:hAnsi="Arial" w:cs="Arial"/>
          <w:i/>
          <w:color w:val="000000"/>
          <w:sz w:val="20"/>
        </w:rPr>
        <w:t>see also</w:t>
      </w:r>
      <w:r>
        <w:rPr>
          <w:rFonts w:ascii="Arial" w:eastAsia="Arial" w:hAnsi="Arial" w:cs="Arial"/>
          <w:color w:val="000000"/>
          <w:sz w:val="20"/>
        </w:rPr>
        <w:t xml:space="preserve"> Enforcement Guidance: Reasonable Accommodation and Undue Hardship Under the Americans with Disabilities Act, 1999 WL 33305876, at *4 (Mar. 1, 1999) ("When an individual decides to request accommodation, the individual . . . must let the employer know that s/he needs an adjustment or change at work for a reason related to a medical condition. To request accommodation, an individual may use 'plain  [*58] English' and need not mention the ADA or use the phrase 'reasonable accommodation.'").</w:t>
      </w:r>
    </w:p>
    <w:p w14:paraId="10673440" w14:textId="77777777" w:rsidR="00D041A2" w:rsidRDefault="00000000">
      <w:pPr>
        <w:pStyle w:val="Normal31"/>
        <w:widowControl w:val="0"/>
        <w:spacing w:before="200" w:line="260" w:lineRule="atLeast"/>
        <w:jc w:val="both"/>
      </w:pPr>
      <w:bookmarkStart w:id="3823" w:name="Bookmark_para_60_2"/>
      <w:bookmarkEnd w:id="3823"/>
      <w:r>
        <w:rPr>
          <w:rFonts w:ascii="Arial" w:eastAsia="Arial" w:hAnsi="Arial" w:cs="Arial"/>
          <w:color w:val="000000"/>
          <w:sz w:val="20"/>
        </w:rPr>
        <w:t xml:space="preserve">In this instance, Mr. Watson's accommodation claim fails because he did not make an adequate request for reasonable accommodation regarding his alleged disability. </w:t>
      </w:r>
      <w:r>
        <w:rPr>
          <w:rFonts w:ascii="Arial" w:eastAsia="Arial" w:hAnsi="Arial" w:cs="Arial"/>
          <w:vertAlign w:val="superscript"/>
        </w:rPr>
        <w:footnoteReference w:customMarkFollows="1" w:id="188"/>
        <w:t>17</w:t>
      </w:r>
      <w:r>
        <w:rPr>
          <w:rFonts w:ascii="Arial" w:eastAsia="Arial" w:hAnsi="Arial" w:cs="Arial"/>
          <w:color w:val="000000"/>
          <w:sz w:val="20"/>
        </w:rPr>
        <w:t xml:space="preserve"> Therefore, C.R. England's obligation under the ADA to provide reasonable accommodation was never triggered.  [**1050]  wThe first time Mr. Watson requested "home time," on February 11, 2003, the stated reason was "family time." EEOC App. at 1035. Although C.R. England had been informed of his HIV-positive status by this time, a request for time off for "family time" would in no way put the company on notice that he needed time off due to his illness, if he in fact did. Furthermore, when C.R. England denied Mr. Watson's request because it was not made two weeks in advance in accordance with company policy, he did not object; more to the point, Mr. Watson did not indicate that the time off was needed for his medical impairment—to the contrary, Mr. Watson replied: "Ok, just when ava[i]lable." </w:t>
      </w:r>
      <w:r>
        <w:rPr>
          <w:rFonts w:ascii="Arial" w:eastAsia="Arial" w:hAnsi="Arial" w:cs="Arial"/>
          <w:i/>
          <w:color w:val="000000"/>
          <w:sz w:val="20"/>
        </w:rPr>
        <w:t>Id</w:t>
      </w:r>
      <w:r>
        <w:rPr>
          <w:rFonts w:ascii="Arial" w:eastAsia="Arial" w:hAnsi="Arial" w:cs="Arial"/>
          <w:color w:val="000000"/>
          <w:sz w:val="20"/>
        </w:rPr>
        <w:t>. at 1038.</w:t>
      </w:r>
    </w:p>
    <w:p w14:paraId="624C383D" w14:textId="77777777" w:rsidR="00D041A2" w:rsidRDefault="00000000">
      <w:pPr>
        <w:pStyle w:val="Normal31"/>
        <w:widowControl w:val="0"/>
        <w:spacing w:before="200" w:line="260" w:lineRule="atLeast"/>
        <w:jc w:val="both"/>
      </w:pPr>
      <w:bookmarkStart w:id="3825" w:name="Bookmark_para_61_2"/>
      <w:bookmarkEnd w:id="3825"/>
      <w:r>
        <w:rPr>
          <w:rFonts w:ascii="Arial" w:eastAsia="Arial" w:hAnsi="Arial" w:cs="Arial"/>
          <w:color w:val="000000"/>
          <w:sz w:val="20"/>
        </w:rPr>
        <w:t xml:space="preserve">Mr. Watson's  [*59] second "request" for time off occurred during an exchange with a C.R. England employee over the Qualcomm system. During that communication, which took place the day after the initial request, Mr. Watson stated that "[he] need[ed] home time, and [he] c[ould] not wait two more weeks." </w:t>
      </w:r>
      <w:r>
        <w:rPr>
          <w:rFonts w:ascii="Arial" w:eastAsia="Arial" w:hAnsi="Arial" w:cs="Arial"/>
          <w:i/>
          <w:color w:val="000000"/>
          <w:sz w:val="20"/>
        </w:rPr>
        <w:t>Id</w:t>
      </w:r>
      <w:r>
        <w:rPr>
          <w:rFonts w:ascii="Arial" w:eastAsia="Arial" w:hAnsi="Arial" w:cs="Arial"/>
          <w:color w:val="000000"/>
          <w:sz w:val="20"/>
        </w:rPr>
        <w:t xml:space="preserve">. at 426. Again, Mr. Watson gave no indication that he needed time off due to his HIV status. As with his initial request, Mr. Watson's second demand for time off was denied because he had failed to provide "2 weeks notice." </w:t>
      </w:r>
      <w:r>
        <w:rPr>
          <w:rFonts w:ascii="Arial" w:eastAsia="Arial" w:hAnsi="Arial" w:cs="Arial"/>
          <w:i/>
          <w:color w:val="000000"/>
          <w:sz w:val="20"/>
        </w:rPr>
        <w:t>Id</w:t>
      </w:r>
      <w:r>
        <w:rPr>
          <w:rFonts w:ascii="Arial" w:eastAsia="Arial" w:hAnsi="Arial" w:cs="Arial"/>
          <w:color w:val="000000"/>
          <w:sz w:val="20"/>
        </w:rPr>
        <w:t>. at 427.</w:t>
      </w:r>
    </w:p>
    <w:p w14:paraId="211676D2" w14:textId="77777777" w:rsidR="00D041A2" w:rsidRDefault="00000000">
      <w:pPr>
        <w:pStyle w:val="Normal31"/>
        <w:widowControl w:val="0"/>
        <w:spacing w:before="200" w:line="260" w:lineRule="atLeast"/>
        <w:jc w:val="both"/>
      </w:pPr>
      <w:bookmarkStart w:id="3826" w:name="Bookmark_para_62_2"/>
      <w:bookmarkEnd w:id="3826"/>
      <w:r>
        <w:rPr>
          <w:rFonts w:ascii="Arial" w:eastAsia="Arial" w:hAnsi="Arial" w:cs="Arial"/>
          <w:color w:val="000000"/>
          <w:sz w:val="20"/>
        </w:rPr>
        <w:t xml:space="preserve">Following this second denial, Mr. Watson informed the C.R. England employee that he was leaving Omaha because couldn't handle the "stress level" and that he was "dead heading to [his] family house in [Florida]"; he further indicated that this was "where [his] [doctor] is, and [he had] to see [his doctor]." </w:t>
      </w:r>
      <w:r>
        <w:rPr>
          <w:rFonts w:ascii="Arial" w:eastAsia="Arial" w:hAnsi="Arial" w:cs="Arial"/>
          <w:i/>
          <w:color w:val="000000"/>
          <w:sz w:val="20"/>
        </w:rPr>
        <w:t>Id</w:t>
      </w:r>
      <w:r>
        <w:rPr>
          <w:rFonts w:ascii="Arial" w:eastAsia="Arial" w:hAnsi="Arial" w:cs="Arial"/>
          <w:color w:val="000000"/>
          <w:sz w:val="20"/>
        </w:rPr>
        <w:t>. at 428. This fleeting reference to his "doctor"—which was seemingly made in conjunction with his unmanageable "stress level," not his alleged disability—is insufficient to place the company on notice that he needed time off due to his alleged disability (i.e., his HIV-positive status). In some circumstances, an employee's reference to the need to see a physician may  [*60] constitute significant proof that the employee was seeking a reasonable accommodation, especially when combined with an actual request for time off and some reference to the employee's disability. However, we need not endeavor here to detail those circumstances under which a physician reference would constitute such significant proof. It suffices for us to observe that Mr. Watson's physician reference does not come anywhere close to the mark.</w:t>
      </w:r>
    </w:p>
    <w:p w14:paraId="75D91706" w14:textId="77777777" w:rsidR="00D041A2" w:rsidRDefault="00000000">
      <w:pPr>
        <w:pStyle w:val="Normal31"/>
        <w:widowControl w:val="0"/>
        <w:spacing w:before="200" w:line="260" w:lineRule="atLeast"/>
        <w:jc w:val="both"/>
      </w:pPr>
      <w:bookmarkStart w:id="3827" w:name="Bookmark_para_63_2"/>
      <w:bookmarkEnd w:id="3827"/>
      <w:r>
        <w:rPr>
          <w:rFonts w:ascii="Arial" w:eastAsia="Arial" w:hAnsi="Arial" w:cs="Arial"/>
          <w:color w:val="000000"/>
          <w:sz w:val="20"/>
        </w:rPr>
        <w:t>In sum, Mr. Watson's two requests for home time—which were for "family time," rather than his illness—and his after-the-fact, fleeting statement mentioning a need to see his doctor, did not put C.R. England on notice that Mr. Watson was requesting reasonable accommodation due to his HIV status. Therefore, his requests did not trigger the company's duty under ADA § 102(b)(5). Accordingly, the district court did not err in granting summary judgment in favor of C.R. England on this claim.</w:t>
      </w:r>
    </w:p>
    <w:p w14:paraId="24553EFC" w14:textId="77777777" w:rsidR="00D041A2" w:rsidRDefault="00000000">
      <w:pPr>
        <w:pStyle w:val="Normal31"/>
        <w:widowControl w:val="0"/>
        <w:spacing w:before="240" w:line="260" w:lineRule="atLeast"/>
      </w:pPr>
      <w:r>
        <w:br/>
      </w:r>
      <w:r>
        <w:rPr>
          <w:rFonts w:ascii="Arial" w:eastAsia="Arial" w:hAnsi="Arial" w:cs="Arial"/>
          <w:b/>
          <w:color w:val="000000"/>
          <w:sz w:val="20"/>
        </w:rPr>
        <w:t>D. Mr. Watson's Retaliation Claim</w:t>
      </w:r>
    </w:p>
    <w:p w14:paraId="755E227C" w14:textId="77777777" w:rsidR="00D041A2" w:rsidRDefault="00000000">
      <w:pPr>
        <w:pStyle w:val="Normal31"/>
        <w:widowControl w:val="0"/>
        <w:spacing w:before="200" w:line="260" w:lineRule="atLeast"/>
        <w:jc w:val="both"/>
      </w:pPr>
      <w:bookmarkStart w:id="3828" w:name="Bookmark_para_64_2"/>
      <w:bookmarkStart w:id="3829" w:name="Bookmark_I0678JVC6NW00002TFW000WD"/>
      <w:bookmarkStart w:id="3830" w:name="Bookmark_I0678JVC87700002TFW000WF"/>
      <w:bookmarkStart w:id="3831" w:name="Bookmark_I532DVDH2D6N9B0010000400"/>
      <w:bookmarkEnd w:id="3828"/>
      <w:bookmarkEnd w:id="3829"/>
      <w:bookmarkEnd w:id="3830"/>
      <w:bookmarkEnd w:id="3831"/>
      <w:r>
        <w:rPr>
          <w:rFonts w:ascii="Arial" w:eastAsia="Arial" w:hAnsi="Arial" w:cs="Arial"/>
          <w:color w:val="000000"/>
          <w:sz w:val="20"/>
        </w:rPr>
        <w:t xml:space="preserve">Mr. Watson next asserts a claim of retaliation under the ADA, arguing that C.R. England impermissibly retaliated against him by sending the debt he owed under the Lease Agreement to a collection agency in response to the complaint  [*61] he filed with EEOC. </w:t>
      </w:r>
      <w:r>
        <w:rPr>
          <w:rFonts w:ascii="Arial" w:eastAsia="Arial" w:hAnsi="Arial" w:cs="Arial"/>
          <w:vertAlign w:val="superscript"/>
        </w:rPr>
        <w:footnoteReference w:customMarkFollows="1" w:id="189"/>
        <w:t>18</w:t>
      </w:r>
      <w:bookmarkStart w:id="3839" w:name="Bookmark_LNHNREFclscc26"/>
      <w:bookmarkEnd w:id="3839"/>
      <w:r>
        <w:rPr>
          <w:rFonts w:ascii="Arial" w:eastAsia="Arial" w:hAnsi="Arial" w:cs="Arial"/>
          <w:color w:val="000000"/>
          <w:sz w:val="20"/>
        </w:rPr>
        <w:t xml:space="preserve"> Under ADA § 503— [**1051]  which prohibits employer "retaliation and coercion"—"[n]o person shall discriminate against any individual because such individual has opposed any act or practice made unlawful by this chapter or because such individual made a charge, testified, assisted, or participated in any manner in an investigation, proceeding, or hearing under this chapter." 42 U.S.C. § 12203(a). In order to establish a prima facie case of retaliation under the ADA, Mr. Watson must demonstrate "(1) that he engaged in protected opposition to discrimination, (2) that a reasonable employee would have found the challenged action materially adverse, and (3) that a causal connection existed between the protected activity and the materially adverse action." </w:t>
      </w:r>
      <w:bookmarkStart w:id="3840" w:name="Bookmark_I532DVDH2N1PNM0050000400"/>
      <w:bookmarkEnd w:id="3840"/>
      <w:r>
        <w:rPr>
          <w:rFonts w:ascii="Arial" w:eastAsia="Arial" w:hAnsi="Arial" w:cs="Arial"/>
          <w:i/>
          <w:color w:val="000000"/>
          <w:sz w:val="20"/>
        </w:rPr>
        <w:t>Proctor</w:t>
      </w:r>
      <w:r>
        <w:rPr>
          <w:rFonts w:ascii="Arial" w:eastAsia="Arial" w:hAnsi="Arial" w:cs="Arial"/>
          <w:color w:val="000000"/>
          <w:sz w:val="20"/>
        </w:rPr>
        <w:t xml:space="preserve">, 502 F.3d at 1208 (10th Cir. 2007) (quoting </w:t>
      </w:r>
      <w:bookmarkStart w:id="3841" w:name="Bookmark_I532DVDH2D6N9B0020000400"/>
      <w:bookmarkEnd w:id="3841"/>
      <w:r>
        <w:rPr>
          <w:rFonts w:ascii="Arial" w:eastAsia="Arial" w:hAnsi="Arial" w:cs="Arial"/>
          <w:i/>
          <w:color w:val="000000"/>
          <w:sz w:val="20"/>
        </w:rPr>
        <w:t>Argo v. Blue Cross &amp; Blue Shield of Kan., Inc</w:t>
      </w:r>
      <w:r>
        <w:rPr>
          <w:rFonts w:ascii="Arial" w:eastAsia="Arial" w:hAnsi="Arial" w:cs="Arial"/>
          <w:color w:val="000000"/>
          <w:sz w:val="20"/>
        </w:rPr>
        <w:t>., 452 F.3d 1193, 1202 (10th Cir. 2006)) (internal quotation marks omitted).</w:t>
      </w:r>
    </w:p>
    <w:p w14:paraId="375DE031" w14:textId="77777777" w:rsidR="00D041A2" w:rsidRDefault="00000000">
      <w:pPr>
        <w:pStyle w:val="Normal31"/>
        <w:widowControl w:val="0"/>
        <w:spacing w:before="200" w:line="260" w:lineRule="atLeast"/>
        <w:jc w:val="both"/>
      </w:pPr>
      <w:bookmarkStart w:id="3842" w:name="Bookmark_para_65_2"/>
      <w:bookmarkStart w:id="3843" w:name="Bookmark_I33FYXHMC09000CXWC2001D2"/>
      <w:bookmarkStart w:id="3844" w:name="Bookmark_I532DVDH2D6N9C0010000400"/>
      <w:bookmarkStart w:id="3845" w:name="Bookmark_I33FYXHHNR5000CXWC2000B8"/>
      <w:bookmarkStart w:id="3846" w:name="Bookmark_I532DVDH2D6N9C0030000400"/>
      <w:bookmarkStart w:id="3847" w:name="Bookmark_I532DVDH2D6N9C0050000400"/>
      <w:bookmarkEnd w:id="3842"/>
      <w:bookmarkEnd w:id="3843"/>
      <w:bookmarkEnd w:id="3844"/>
      <w:bookmarkEnd w:id="3845"/>
      <w:bookmarkEnd w:id="3846"/>
      <w:bookmarkEnd w:id="3847"/>
      <w:r>
        <w:rPr>
          <w:rFonts w:ascii="Arial" w:eastAsia="Arial" w:hAnsi="Arial" w:cs="Arial"/>
          <w:color w:val="000000"/>
          <w:sz w:val="20"/>
        </w:rPr>
        <w:t xml:space="preserve">Because Mr. Watson has offered no direct evidence of discrimination regarding C.R. England's  [*63] report of his debt to the collection agency, we analyze his retaliation claim under the burden-shifting framework delineated in </w:t>
      </w:r>
      <w:bookmarkStart w:id="3848" w:name="Bookmark_I532DVDH28T4JV0050000400"/>
      <w:bookmarkEnd w:id="3848"/>
      <w:r>
        <w:rPr>
          <w:rFonts w:ascii="Arial" w:eastAsia="Arial" w:hAnsi="Arial" w:cs="Arial"/>
          <w:color w:val="000000"/>
          <w:sz w:val="20"/>
        </w:rPr>
        <w:t xml:space="preserve">McDonnell Douglas. </w:t>
      </w:r>
      <w:bookmarkStart w:id="3849" w:name="Bookmark_I532DVDH2D6N9C0020000400"/>
      <w:bookmarkEnd w:id="3849"/>
      <w:r>
        <w:rPr>
          <w:rFonts w:ascii="Arial" w:eastAsia="Arial" w:hAnsi="Arial" w:cs="Arial"/>
          <w:i/>
          <w:color w:val="000000"/>
          <w:sz w:val="20"/>
        </w:rPr>
        <w:t>Proctor</w:t>
      </w:r>
      <w:r>
        <w:rPr>
          <w:rFonts w:ascii="Arial" w:eastAsia="Arial" w:hAnsi="Arial" w:cs="Arial"/>
          <w:color w:val="000000"/>
          <w:sz w:val="20"/>
        </w:rPr>
        <w:t xml:space="preserve">, 502 F.3d at 1207-08. In this instance, Mr. Watson's retaliation claim fails for two reasons: (1) he has not demonstrated a causal connection between the protected activity and the materially adverse action, and therefore he cannot make out a prima facie case; and (2) even if he could make out a prima facie case of retaliation, C.R. England has put forth a "legitimate, nondiscriminatory reason" for attempting to collect the debt, which Mr. Watson has not shown is mere "pretext masking discriminatory animus," </w:t>
      </w:r>
      <w:r>
        <w:rPr>
          <w:rFonts w:ascii="Arial" w:eastAsia="Arial" w:hAnsi="Arial" w:cs="Arial"/>
          <w:i/>
          <w:color w:val="000000"/>
          <w:sz w:val="20"/>
        </w:rPr>
        <w:t>id</w:t>
      </w:r>
      <w:r>
        <w:rPr>
          <w:rFonts w:ascii="Arial" w:eastAsia="Arial" w:hAnsi="Arial" w:cs="Arial"/>
          <w:color w:val="000000"/>
          <w:sz w:val="20"/>
        </w:rPr>
        <w:t xml:space="preserve">. (quoting </w:t>
      </w:r>
      <w:bookmarkStart w:id="3850" w:name="Bookmark_I532DVDH2D6N9C0040000400"/>
      <w:bookmarkEnd w:id="3850"/>
      <w:r>
        <w:rPr>
          <w:rFonts w:ascii="Arial" w:eastAsia="Arial" w:hAnsi="Arial" w:cs="Arial"/>
          <w:i/>
          <w:color w:val="000000"/>
          <w:sz w:val="20"/>
        </w:rPr>
        <w:t>Piercy</w:t>
      </w:r>
      <w:r>
        <w:rPr>
          <w:rFonts w:ascii="Arial" w:eastAsia="Arial" w:hAnsi="Arial" w:cs="Arial"/>
          <w:color w:val="000000"/>
          <w:sz w:val="20"/>
        </w:rPr>
        <w:t>, 480 F.3d at 1198) (internal quotation marks omitted).</w:t>
      </w:r>
    </w:p>
    <w:p w14:paraId="276E7611" w14:textId="77777777" w:rsidR="00D041A2" w:rsidRDefault="00000000">
      <w:pPr>
        <w:pStyle w:val="Normal31"/>
        <w:widowControl w:val="0"/>
        <w:spacing w:before="200" w:line="260" w:lineRule="atLeast"/>
        <w:jc w:val="both"/>
      </w:pPr>
      <w:bookmarkStart w:id="3851" w:name="Bookmark_para_66_2"/>
      <w:bookmarkStart w:id="3852" w:name="Bookmark_I532DVDH28T4JW0020000400"/>
      <w:bookmarkStart w:id="3853" w:name="Bookmark_I532DVDH2HM6G90010000400"/>
      <w:bookmarkEnd w:id="3851"/>
      <w:bookmarkEnd w:id="3852"/>
      <w:bookmarkEnd w:id="3853"/>
      <w:r>
        <w:rPr>
          <w:rFonts w:ascii="Arial" w:eastAsia="Arial" w:hAnsi="Arial" w:cs="Arial"/>
          <w:color w:val="000000"/>
          <w:sz w:val="20"/>
        </w:rPr>
        <w:t xml:space="preserve">First, under the evidence presented, Mr. Watson has not shown a "causal connection" between his filing of the EEOC complaint and the collection of his debts owed under the Lease Agreement. </w:t>
      </w:r>
      <w:bookmarkStart w:id="3854" w:name="Bookmark_LNHNREFclscc27"/>
      <w:bookmarkEnd w:id="3854"/>
      <w:r>
        <w:rPr>
          <w:rFonts w:ascii="Arial" w:eastAsia="Arial" w:hAnsi="Arial" w:cs="Arial"/>
          <w:color w:val="000000"/>
          <w:sz w:val="20"/>
        </w:rPr>
        <w:t xml:space="preserve">A "causal connection" between a protected action and a subsequent adverse action can be shown through "evidence of circumstances that justify an inference of retaliatory motive, such as protected conduct closely followed by adverse action." </w:t>
      </w:r>
      <w:bookmarkStart w:id="3855" w:name="Bookmark_I532DVDH28T4JW0010000400"/>
      <w:bookmarkEnd w:id="3855"/>
      <w:r>
        <w:rPr>
          <w:rFonts w:ascii="Arial" w:eastAsia="Arial" w:hAnsi="Arial" w:cs="Arial"/>
          <w:i/>
          <w:color w:val="000000"/>
          <w:sz w:val="20"/>
        </w:rPr>
        <w:t>Id</w:t>
      </w:r>
      <w:r>
        <w:rPr>
          <w:rFonts w:ascii="Arial" w:eastAsia="Arial" w:hAnsi="Arial" w:cs="Arial"/>
          <w:color w:val="000000"/>
          <w:sz w:val="20"/>
        </w:rPr>
        <w:t xml:space="preserve">. at 1208 (quoting </w:t>
      </w:r>
      <w:bookmarkStart w:id="3856" w:name="Bookmark_I532DVDH28T4JW0030000400"/>
      <w:bookmarkEnd w:id="3856"/>
      <w:r>
        <w:rPr>
          <w:rFonts w:ascii="Arial" w:eastAsia="Arial" w:hAnsi="Arial" w:cs="Arial"/>
          <w:i/>
          <w:color w:val="000000"/>
          <w:sz w:val="20"/>
        </w:rPr>
        <w:t>Haynes</w:t>
      </w:r>
      <w:r>
        <w:rPr>
          <w:rFonts w:ascii="Arial" w:eastAsia="Arial" w:hAnsi="Arial" w:cs="Arial"/>
          <w:color w:val="000000"/>
          <w:sz w:val="20"/>
        </w:rPr>
        <w:t xml:space="preserve">, 456 F.3d at 1228)  [*64] (internal quotation marks omitted). Although the record does not include the precise amount of time that passed between the filing of the complaint and the reporting of the debt, Mr. Watson acknowledges in his brief that the submission of his debt to the collection agency "occurred well over a year after the initial dispute," Watson Opening Br., No. 09-4217, at 48, which is too large of a gap to raise an inference of retaliatory motive on its own, </w:t>
      </w:r>
      <w:r>
        <w:rPr>
          <w:rFonts w:ascii="Arial" w:eastAsia="Arial" w:hAnsi="Arial" w:cs="Arial"/>
          <w:i/>
          <w:color w:val="000000"/>
          <w:sz w:val="20"/>
        </w:rPr>
        <w:t xml:space="preserve">see, e.g., </w:t>
      </w:r>
      <w:bookmarkStart w:id="3857" w:name="Bookmark_I532DVDH28T4JW0050000400"/>
      <w:bookmarkEnd w:id="3857"/>
      <w:r>
        <w:rPr>
          <w:rFonts w:ascii="Arial" w:eastAsia="Arial" w:hAnsi="Arial" w:cs="Arial"/>
          <w:i/>
          <w:color w:val="000000"/>
          <w:sz w:val="20"/>
        </w:rPr>
        <w:t>Proctor</w:t>
      </w:r>
      <w:r>
        <w:rPr>
          <w:rFonts w:ascii="Arial" w:eastAsia="Arial" w:hAnsi="Arial" w:cs="Arial"/>
          <w:color w:val="000000"/>
          <w:sz w:val="20"/>
        </w:rPr>
        <w:t xml:space="preserve">, 502 F.3d at 1208 (finding that a four-month gap between the protected action and the alleged retaliatory action was "too large a time gap to establish a causal connection"); </w:t>
      </w:r>
      <w:bookmarkStart w:id="3858" w:name="Bookmark_I532DVDH2HM6G90020000400"/>
      <w:bookmarkEnd w:id="3858"/>
      <w:r>
        <w:rPr>
          <w:rFonts w:ascii="Arial" w:eastAsia="Arial" w:hAnsi="Arial" w:cs="Arial"/>
          <w:i/>
          <w:color w:val="000000"/>
          <w:sz w:val="20"/>
        </w:rPr>
        <w:t>Piercy</w:t>
      </w:r>
      <w:r>
        <w:rPr>
          <w:rFonts w:ascii="Arial" w:eastAsia="Arial" w:hAnsi="Arial" w:cs="Arial"/>
          <w:color w:val="000000"/>
          <w:sz w:val="20"/>
        </w:rPr>
        <w:t>, 480 F.3d at 1198 (stating that "an adverse employment action that happened more than three months after the protected activity  [**1052]  was not entitled to a presumption of causation").</w:t>
      </w:r>
    </w:p>
    <w:p w14:paraId="53B441D7" w14:textId="77777777" w:rsidR="00D041A2" w:rsidRDefault="00000000">
      <w:pPr>
        <w:pStyle w:val="Normal31"/>
        <w:widowControl w:val="0"/>
        <w:spacing w:before="200" w:line="260" w:lineRule="atLeast"/>
        <w:jc w:val="both"/>
      </w:pPr>
      <w:bookmarkStart w:id="3859" w:name="Bookmark_para_67_1"/>
      <w:bookmarkStart w:id="3860" w:name="Bookmark_I532DVDH2HM6G90050000400"/>
      <w:bookmarkStart w:id="3861" w:name="Bookmark_LNHNREFclscc28"/>
      <w:bookmarkEnd w:id="3859"/>
      <w:bookmarkEnd w:id="3860"/>
      <w:bookmarkEnd w:id="3861"/>
      <w:r>
        <w:rPr>
          <w:rFonts w:ascii="Arial" w:eastAsia="Arial" w:hAnsi="Arial" w:cs="Arial"/>
          <w:color w:val="000000"/>
          <w:sz w:val="20"/>
        </w:rPr>
        <w:t>If the adverse employment action was not "</w:t>
      </w:r>
      <w:r>
        <w:rPr>
          <w:rFonts w:ascii="Arial" w:eastAsia="Arial" w:hAnsi="Arial" w:cs="Arial"/>
          <w:i/>
          <w:color w:val="000000"/>
          <w:sz w:val="20"/>
        </w:rPr>
        <w:t>very closely</w:t>
      </w:r>
      <w:r>
        <w:rPr>
          <w:rFonts w:ascii="Arial" w:eastAsia="Arial" w:hAnsi="Arial" w:cs="Arial"/>
          <w:color w:val="000000"/>
          <w:sz w:val="20"/>
        </w:rPr>
        <w:t xml:space="preserve"> connected in time to the protected activity"—which, as Mr. Watson concedes, it was not in the present case—"the plaintiff must rely on additional evidence beyond temporal proximity to establish causation." </w:t>
      </w:r>
      <w:bookmarkStart w:id="3862" w:name="Bookmark_I532DVDH2HM6G90040000400"/>
      <w:bookmarkEnd w:id="3862"/>
      <w:r>
        <w:rPr>
          <w:rFonts w:ascii="Arial" w:eastAsia="Arial" w:hAnsi="Arial" w:cs="Arial"/>
          <w:i/>
          <w:color w:val="000000"/>
          <w:sz w:val="20"/>
        </w:rPr>
        <w:t>Piercy</w:t>
      </w:r>
      <w:r>
        <w:rPr>
          <w:rFonts w:ascii="Arial" w:eastAsia="Arial" w:hAnsi="Arial" w:cs="Arial"/>
          <w:color w:val="000000"/>
          <w:sz w:val="20"/>
        </w:rPr>
        <w:t xml:space="preserve">, 480 F.3d at 1198 (quoting </w:t>
      </w:r>
      <w:bookmarkStart w:id="3863" w:name="Bookmark_I532DVDH2SF8H00010000400"/>
      <w:bookmarkEnd w:id="3863"/>
      <w:r>
        <w:rPr>
          <w:rFonts w:ascii="Arial" w:eastAsia="Arial" w:hAnsi="Arial" w:cs="Arial"/>
          <w:i/>
          <w:color w:val="000000"/>
          <w:sz w:val="20"/>
        </w:rPr>
        <w:t>Coors Brewing Co</w:t>
      </w:r>
      <w:r>
        <w:rPr>
          <w:rFonts w:ascii="Arial" w:eastAsia="Arial" w:hAnsi="Arial" w:cs="Arial"/>
          <w:color w:val="000000"/>
          <w:sz w:val="20"/>
        </w:rPr>
        <w:t>., 181 F.3d at 1179) (internal quotation marks omitted). The  [*65] only additional evidence presented by Mr. Watson was that the company failed to abide by an arbitration provision contained in the ICOA and Lease Agreement. However, he fails to explain how this establishes a causal connection between his EEOC complaint and the alleged adverse action of sending his debt to a collection agency, and we do not think that it does so. Because he offers no other evidence to demonstrate the necessary connection, Mr. Watson has failed to establish a prima facie case of retaliation.</w:t>
      </w:r>
    </w:p>
    <w:p w14:paraId="454EC2E0" w14:textId="77777777" w:rsidR="00D041A2" w:rsidRDefault="00000000">
      <w:pPr>
        <w:pStyle w:val="Normal31"/>
        <w:widowControl w:val="0"/>
        <w:spacing w:before="200" w:line="260" w:lineRule="atLeast"/>
        <w:jc w:val="both"/>
      </w:pPr>
      <w:bookmarkStart w:id="3864" w:name="Bookmark_para_68_1"/>
      <w:bookmarkEnd w:id="3864"/>
      <w:r>
        <w:rPr>
          <w:rFonts w:ascii="Arial" w:eastAsia="Arial" w:hAnsi="Arial" w:cs="Arial"/>
          <w:color w:val="000000"/>
          <w:sz w:val="20"/>
        </w:rPr>
        <w:t>In addition, even if Mr. Watson could make out his prima facie case, C.R. England has offered a legitimate, non-discriminatory reason for reporting the debt to a collection agency. Specifically, it has demonstrated that the amount charged off was a "just debt" that Mr. Watson "genuinely owed" under the lease agreement. C.R. England Br., No. 09-4217, at 46. Mr. Watson does not contest this on appeal.</w:t>
      </w:r>
    </w:p>
    <w:p w14:paraId="7996E92F" w14:textId="77777777" w:rsidR="00D041A2" w:rsidRDefault="00000000">
      <w:pPr>
        <w:pStyle w:val="Normal31"/>
        <w:widowControl w:val="0"/>
        <w:spacing w:before="200" w:line="260" w:lineRule="atLeast"/>
        <w:jc w:val="both"/>
      </w:pPr>
      <w:bookmarkStart w:id="3865" w:name="Bookmark_para_69_1"/>
      <w:bookmarkStart w:id="3866" w:name="Bookmark_I532DVDH2SF8H00040000400"/>
      <w:bookmarkStart w:id="3867" w:name="Bookmark_I532DVDH28T4JY0010000400"/>
      <w:bookmarkEnd w:id="3865"/>
      <w:bookmarkEnd w:id="3866"/>
      <w:bookmarkEnd w:id="3867"/>
      <w:r>
        <w:rPr>
          <w:rFonts w:ascii="Arial" w:eastAsia="Arial" w:hAnsi="Arial" w:cs="Arial"/>
          <w:color w:val="000000"/>
          <w:sz w:val="20"/>
        </w:rPr>
        <w:t xml:space="preserve">Because the company has put forth an acceptable justification for its actions, the burden then shifted back to Mr. Watson to show that C.R. England's proffered reason was mere pretext. </w:t>
      </w:r>
      <w:bookmarkStart w:id="3868" w:name="Bookmark_I532DVDH2SF8H00030000400"/>
      <w:bookmarkEnd w:id="3868"/>
      <w:r>
        <w:rPr>
          <w:rFonts w:ascii="Arial" w:eastAsia="Arial" w:hAnsi="Arial" w:cs="Arial"/>
          <w:i/>
          <w:color w:val="000000"/>
          <w:sz w:val="20"/>
        </w:rPr>
        <w:t>Proctor</w:t>
      </w:r>
      <w:r>
        <w:rPr>
          <w:rFonts w:ascii="Arial" w:eastAsia="Arial" w:hAnsi="Arial" w:cs="Arial"/>
          <w:color w:val="000000"/>
          <w:sz w:val="20"/>
        </w:rPr>
        <w:t xml:space="preserve">, 502 F.3d at 1208. As discussed above, Mr. Watson can meet this burden "by demonstrating 'such  [*66] weaknesses, implausibilities, inconsistencies, incoherencies, or contradictions in the employer's proffered legitimate reasons for its action that a reasonable factfinder could rationally find them unworthy of credence and hence infer that the employer did not act for the asserted non-discriminatory reasons.'" </w:t>
      </w:r>
      <w:bookmarkStart w:id="3869" w:name="Bookmark_I532DVDH2SF8H00050000400"/>
      <w:bookmarkEnd w:id="3869"/>
      <w:r>
        <w:rPr>
          <w:rFonts w:ascii="Arial" w:eastAsia="Arial" w:hAnsi="Arial" w:cs="Arial"/>
          <w:i/>
          <w:color w:val="000000"/>
          <w:sz w:val="20"/>
        </w:rPr>
        <w:t>Coors Brewing Co</w:t>
      </w:r>
      <w:r>
        <w:rPr>
          <w:rFonts w:ascii="Arial" w:eastAsia="Arial" w:hAnsi="Arial" w:cs="Arial"/>
          <w:color w:val="000000"/>
          <w:sz w:val="20"/>
        </w:rPr>
        <w:t xml:space="preserve">., 181 F.3d at 1179 (quoting </w:t>
      </w:r>
      <w:bookmarkStart w:id="3870" w:name="Bookmark_I532DVDH28T4JY0020000400"/>
      <w:bookmarkEnd w:id="3870"/>
      <w:r>
        <w:rPr>
          <w:rFonts w:ascii="Arial" w:eastAsia="Arial" w:hAnsi="Arial" w:cs="Arial"/>
          <w:i/>
          <w:color w:val="000000"/>
          <w:sz w:val="20"/>
        </w:rPr>
        <w:t>Morgan v. Hilti, Inc</w:t>
      </w:r>
      <w:r>
        <w:rPr>
          <w:rFonts w:ascii="Arial" w:eastAsia="Arial" w:hAnsi="Arial" w:cs="Arial"/>
          <w:color w:val="000000"/>
          <w:sz w:val="20"/>
        </w:rPr>
        <w:t xml:space="preserve">., 108 F.3d 1319, 1323 (10th Cir. 1997)). However, "[m]ere conjecture that the employer's explanation is pretext is insufficient to defeat summary judgment." </w:t>
      </w:r>
      <w:r>
        <w:rPr>
          <w:rFonts w:ascii="Arial" w:eastAsia="Arial" w:hAnsi="Arial" w:cs="Arial"/>
          <w:i/>
          <w:color w:val="000000"/>
          <w:sz w:val="20"/>
        </w:rPr>
        <w:t>Id</w:t>
      </w:r>
      <w:r>
        <w:rPr>
          <w:rFonts w:ascii="Arial" w:eastAsia="Arial" w:hAnsi="Arial" w:cs="Arial"/>
          <w:color w:val="000000"/>
          <w:sz w:val="20"/>
        </w:rPr>
        <w:t>.</w:t>
      </w:r>
    </w:p>
    <w:p w14:paraId="2D7C99CD" w14:textId="77777777" w:rsidR="00D041A2" w:rsidRDefault="00000000">
      <w:pPr>
        <w:pStyle w:val="Normal31"/>
        <w:widowControl w:val="0"/>
        <w:spacing w:before="200" w:line="260" w:lineRule="atLeast"/>
        <w:jc w:val="both"/>
      </w:pPr>
      <w:bookmarkStart w:id="3871" w:name="Bookmark_para_70_1"/>
      <w:bookmarkEnd w:id="3871"/>
      <w:r>
        <w:rPr>
          <w:rFonts w:ascii="Arial" w:eastAsia="Arial" w:hAnsi="Arial" w:cs="Arial"/>
          <w:color w:val="000000"/>
          <w:sz w:val="20"/>
        </w:rPr>
        <w:t>In arguing that C.R. England acted with a discriminatory animus, Mr. Watson states that "Defendant England's actions can only be viewed as an intimidation tactic to dissuade Plaintiff Watson from pursuing his ADA complaint," because the company did not abide by the arbitration provision. Watson Opening Br., No. 09-4217, at 48. According to Mr. Watson, because the company "clearly waived [its] rights under the Leasing Agreement by not requesting arbitration" within the one-year time limit contained in the agreement, the company's continuing attempts to collect the debt—which he does not dispute that he owes—can only be motivated by a discriminatory animus.  [*67] </w:t>
      </w:r>
      <w:r>
        <w:rPr>
          <w:rFonts w:ascii="Arial" w:eastAsia="Arial" w:hAnsi="Arial" w:cs="Arial"/>
          <w:i/>
          <w:color w:val="000000"/>
          <w:sz w:val="20"/>
        </w:rPr>
        <w:t>Id</w:t>
      </w:r>
      <w:r>
        <w:rPr>
          <w:rFonts w:ascii="Arial" w:eastAsia="Arial" w:hAnsi="Arial" w:cs="Arial"/>
          <w:color w:val="000000"/>
          <w:sz w:val="20"/>
        </w:rPr>
        <w:t>.</w:t>
      </w:r>
    </w:p>
    <w:p w14:paraId="20250C57" w14:textId="77777777" w:rsidR="00D041A2" w:rsidRDefault="00000000">
      <w:pPr>
        <w:pStyle w:val="Normal31"/>
        <w:widowControl w:val="0"/>
        <w:spacing w:before="200" w:line="260" w:lineRule="atLeast"/>
        <w:jc w:val="both"/>
      </w:pPr>
      <w:bookmarkStart w:id="3872" w:name="Bookmark_para_71_1"/>
      <w:bookmarkEnd w:id="3872"/>
      <w:r>
        <w:rPr>
          <w:rFonts w:ascii="Arial" w:eastAsia="Arial" w:hAnsi="Arial" w:cs="Arial"/>
          <w:color w:val="000000"/>
          <w:sz w:val="20"/>
        </w:rPr>
        <w:t xml:space="preserve">We fail to see how this demonstrates pretext. In fact, Mr. Watson's assertion that the company's use of a collection agency is an "intimidation tactic to dissuade [him] from pursuing his ADA complaint" is undermined by the fact that C.R. England notified him in April 2003 that it would "pursue the collection . . . through all legal channels including collections agencies," EEOC App. at 606, </w:t>
      </w:r>
      <w:r>
        <w:rPr>
          <w:rFonts w:ascii="Arial" w:eastAsia="Arial" w:hAnsi="Arial" w:cs="Arial"/>
          <w:i/>
          <w:color w:val="000000"/>
          <w:sz w:val="20"/>
        </w:rPr>
        <w:t>before</w:t>
      </w:r>
      <w:r>
        <w:rPr>
          <w:rFonts w:ascii="Arial" w:eastAsia="Arial" w:hAnsi="Arial" w:cs="Arial"/>
          <w:color w:val="000000"/>
          <w:sz w:val="20"/>
        </w:rPr>
        <w:t xml:space="preserve"> he filed his initial complaint with the EEOC in August 2003. </w:t>
      </w:r>
      <w:bookmarkStart w:id="3873" w:name="Bookmark_I532DVDH28T4JY0050000400"/>
      <w:bookmarkEnd w:id="3873"/>
      <w:r>
        <w:rPr>
          <w:rFonts w:ascii="Arial" w:eastAsia="Arial" w:hAnsi="Arial" w:cs="Arial"/>
          <w:color w:val="000000"/>
          <w:sz w:val="20"/>
        </w:rPr>
        <w:t xml:space="preserve">Furthermore, although the Lease Agreement contained an arbitration provision, it also provided that any "default in the payment of any amount due" under the agreement could be "placed in the hands of an agency or attorney for collections or legal action," and that Mr. Watson would bear the cost of such collection. EEOC App. at 337-47. Under these facts, Mr. Watson has not shown that C.R. England's proffered reason  [**1053]  for sending the debt to a collection agency was pretext for discrimination—that is, he has not met his burden to show that C.R. England's legitimate, non-discriminatory justification is "unworthy of belief." </w:t>
      </w:r>
      <w:bookmarkStart w:id="3874" w:name="Bookmark_I532DVDH28T4JY0040000400"/>
      <w:bookmarkEnd w:id="3874"/>
      <w:r>
        <w:rPr>
          <w:rFonts w:ascii="Arial" w:eastAsia="Arial" w:hAnsi="Arial" w:cs="Arial"/>
          <w:i/>
          <w:color w:val="000000"/>
          <w:sz w:val="20"/>
        </w:rPr>
        <w:t>Stover</w:t>
      </w:r>
      <w:r>
        <w:rPr>
          <w:rFonts w:ascii="Arial" w:eastAsia="Arial" w:hAnsi="Arial" w:cs="Arial"/>
          <w:color w:val="000000"/>
          <w:sz w:val="20"/>
        </w:rPr>
        <w:t>, 382 F.3d at 1071. Accordingly, C.R. England is entitled to judgment as a matter of law on this claim,  [*68] and the district court did not err in granting summary judgment in its favor.</w:t>
      </w:r>
    </w:p>
    <w:p w14:paraId="4857284B" w14:textId="77777777" w:rsidR="00D041A2" w:rsidRDefault="00000000">
      <w:pPr>
        <w:pStyle w:val="Normal31"/>
        <w:widowControl w:val="0"/>
        <w:spacing w:before="240" w:line="260" w:lineRule="atLeast"/>
      </w:pPr>
      <w:r>
        <w:br/>
      </w:r>
      <w:r>
        <w:rPr>
          <w:rFonts w:ascii="Arial" w:eastAsia="Arial" w:hAnsi="Arial" w:cs="Arial"/>
          <w:b/>
          <w:color w:val="000000"/>
          <w:sz w:val="20"/>
        </w:rPr>
        <w:t>III. State Law Claims</w:t>
      </w:r>
    </w:p>
    <w:p w14:paraId="52B1920C" w14:textId="77777777" w:rsidR="00D041A2" w:rsidRDefault="00000000">
      <w:pPr>
        <w:pStyle w:val="Normal31"/>
        <w:widowControl w:val="0"/>
        <w:spacing w:before="240" w:line="260" w:lineRule="atLeast"/>
      </w:pPr>
      <w:r>
        <w:br/>
      </w:r>
      <w:r>
        <w:rPr>
          <w:rFonts w:ascii="Arial" w:eastAsia="Arial" w:hAnsi="Arial" w:cs="Arial"/>
          <w:b/>
          <w:color w:val="000000"/>
          <w:sz w:val="20"/>
        </w:rPr>
        <w:t>A. Mr. Watson's Intentional Infliction of Emotional Distress Claim</w:t>
      </w:r>
    </w:p>
    <w:p w14:paraId="013CB72C" w14:textId="77777777" w:rsidR="00D041A2" w:rsidRDefault="00000000">
      <w:pPr>
        <w:pStyle w:val="Normal31"/>
        <w:widowControl w:val="0"/>
        <w:spacing w:before="200" w:line="260" w:lineRule="atLeast"/>
        <w:jc w:val="both"/>
      </w:pPr>
      <w:bookmarkStart w:id="3875" w:name="Bookmark_para_72_1"/>
      <w:bookmarkEnd w:id="3875"/>
      <w:r>
        <w:rPr>
          <w:rFonts w:ascii="Arial" w:eastAsia="Arial" w:hAnsi="Arial" w:cs="Arial"/>
          <w:color w:val="000000"/>
          <w:sz w:val="20"/>
        </w:rPr>
        <w:t xml:space="preserve">Mr. Watson next argues that the district court erred in granting summary judgment in C.R. England's favor on his intentional infliction of emotional distress claim. </w:t>
      </w:r>
      <w:bookmarkStart w:id="3876" w:name="Bookmark_I33FYXHHTJ9000CXWC2000B9"/>
      <w:bookmarkStart w:id="3877" w:name="Bookmark_I33FYXHJBVW000CXWC2000BC"/>
      <w:bookmarkStart w:id="3878" w:name="Bookmark_I532DVDH2HM6GC0020000400"/>
      <w:bookmarkEnd w:id="3876"/>
      <w:bookmarkEnd w:id="3877"/>
      <w:bookmarkEnd w:id="3878"/>
      <w:r>
        <w:rPr>
          <w:rFonts w:ascii="Arial" w:eastAsia="Arial" w:hAnsi="Arial" w:cs="Arial"/>
          <w:vertAlign w:val="superscript"/>
        </w:rPr>
        <w:footnoteReference w:customMarkFollows="1" w:id="190"/>
        <w:t>19</w:t>
      </w:r>
    </w:p>
    <w:p w14:paraId="114BBA2D" w14:textId="77777777" w:rsidR="00D041A2" w:rsidRDefault="00000000">
      <w:pPr>
        <w:pStyle w:val="Normal31"/>
        <w:widowControl w:val="0"/>
        <w:spacing w:before="200" w:line="260" w:lineRule="atLeast"/>
        <w:ind w:left="400"/>
        <w:jc w:val="both"/>
      </w:pPr>
      <w:bookmarkStart w:id="3880" w:name="Bookmark_para_73_1"/>
      <w:bookmarkStart w:id="3881" w:name="Bookmark_I0678JVCCCM00002TFW000WH"/>
      <w:bookmarkStart w:id="3882" w:name="Bookmark_I0678JVCJ4100002TFW000WM"/>
      <w:bookmarkStart w:id="3883" w:name="Bookmark_I532DVDH2HM6GC0020000400_2"/>
      <w:bookmarkStart w:id="3884" w:name="Bookmark_I33FYXHJSB9000CXWC2001CM"/>
      <w:bookmarkStart w:id="3885" w:name="Bookmark_I33FYXHK20K000CXWC2000BH"/>
      <w:bookmarkStart w:id="3886" w:name="Bookmark_I532DVDH2SF8H20030000400"/>
      <w:bookmarkStart w:id="3887" w:name="Bookmark_LNHNREFclscc29"/>
      <w:bookmarkEnd w:id="3880"/>
      <w:bookmarkEnd w:id="3881"/>
      <w:bookmarkEnd w:id="3882"/>
      <w:bookmarkEnd w:id="3883"/>
      <w:bookmarkEnd w:id="3884"/>
      <w:bookmarkEnd w:id="3885"/>
      <w:bookmarkEnd w:id="3886"/>
      <w:bookmarkEnd w:id="3887"/>
      <w:r>
        <w:rPr>
          <w:rFonts w:ascii="Arial" w:eastAsia="Arial" w:hAnsi="Arial" w:cs="Arial"/>
          <w:color w:val="000000"/>
          <w:sz w:val="20"/>
        </w:rPr>
        <w:t>To state a claim for intentional infliction of emotional distress, a party must plead facts indicating that the defendant "intentionally engaged in some conduct toward the plaintiff, (a) with the purpose of inflicting emotional distress, or, (b) where any reasonable person would have known that such would result; and his actions are of such a nature as to be considered outrageous and intolerable in that they offend against the generally accepted standards of decency and morality."</w:t>
      </w:r>
    </w:p>
    <w:p w14:paraId="213203C0" w14:textId="77777777" w:rsidR="00D041A2" w:rsidRDefault="00000000">
      <w:pPr>
        <w:pStyle w:val="Normal31"/>
        <w:widowControl w:val="0"/>
        <w:spacing w:before="200" w:line="260" w:lineRule="atLeast"/>
        <w:jc w:val="both"/>
      </w:pPr>
      <w:bookmarkStart w:id="3888" w:name="Bookmark_I532DVDH2SF8H20030000400_2"/>
      <w:bookmarkStart w:id="3889" w:name="Bookmark_I532DVDH2HM6GC0020000400_3"/>
      <w:bookmarkStart w:id="3890" w:name="Bookmark_I532DVDH2HM6GC0010000400"/>
      <w:bookmarkEnd w:id="3888"/>
      <w:bookmarkEnd w:id="3889"/>
      <w:bookmarkEnd w:id="3890"/>
      <w:r>
        <w:rPr>
          <w:rFonts w:ascii="Arial" w:eastAsia="Arial" w:hAnsi="Arial" w:cs="Arial"/>
          <w:i/>
          <w:color w:val="000000"/>
          <w:sz w:val="20"/>
        </w:rPr>
        <w:t>Anderson Dev. Co. v. Tobias</w:t>
      </w:r>
      <w:r>
        <w:rPr>
          <w:rFonts w:ascii="Arial" w:eastAsia="Arial" w:hAnsi="Arial" w:cs="Arial"/>
          <w:color w:val="000000"/>
          <w:sz w:val="20"/>
        </w:rPr>
        <w:t xml:space="preserve">, 2005 UT 36, 116 P.3d 323, 338 (Utah 2005) (quoting </w:t>
      </w:r>
      <w:bookmarkStart w:id="3891" w:name="Bookmark_I532DVDH2HM6GC0030000400"/>
      <w:bookmarkEnd w:id="3891"/>
      <w:r>
        <w:rPr>
          <w:rFonts w:ascii="Arial" w:eastAsia="Arial" w:hAnsi="Arial" w:cs="Arial"/>
          <w:i/>
          <w:color w:val="000000"/>
          <w:sz w:val="20"/>
        </w:rPr>
        <w:t>Bennett v. Jones, Waldo, Holbrook &amp; McDonough</w:t>
      </w:r>
      <w:r>
        <w:rPr>
          <w:rFonts w:ascii="Arial" w:eastAsia="Arial" w:hAnsi="Arial" w:cs="Arial"/>
          <w:color w:val="000000"/>
          <w:sz w:val="20"/>
        </w:rPr>
        <w:t xml:space="preserve">, 2003 UT 9, 70 P.3d 17, 30 (Utah 2003)); </w:t>
      </w:r>
      <w:r>
        <w:rPr>
          <w:rFonts w:ascii="Arial" w:eastAsia="Arial" w:hAnsi="Arial" w:cs="Arial"/>
          <w:i/>
          <w:color w:val="000000"/>
          <w:sz w:val="20"/>
        </w:rPr>
        <w:t xml:space="preserve">accord </w:t>
      </w:r>
      <w:bookmarkStart w:id="3892" w:name="Bookmark_I532DVDH2HM6GC0050000400"/>
      <w:bookmarkEnd w:id="3892"/>
      <w:r>
        <w:rPr>
          <w:rFonts w:ascii="Arial" w:eastAsia="Arial" w:hAnsi="Arial" w:cs="Arial"/>
          <w:i/>
          <w:color w:val="000000"/>
          <w:sz w:val="20"/>
        </w:rPr>
        <w:t>Cabaness v. Thomas</w:t>
      </w:r>
      <w:r>
        <w:rPr>
          <w:rFonts w:ascii="Arial" w:eastAsia="Arial" w:hAnsi="Arial" w:cs="Arial"/>
          <w:color w:val="000000"/>
          <w:sz w:val="20"/>
        </w:rPr>
        <w:t xml:space="preserve">, 2010 UT 23, 232 P.3d 486, 499 (Utah 2010). </w:t>
      </w:r>
      <w:bookmarkStart w:id="3893" w:name="Bookmark_LNHNREFclscc30"/>
      <w:bookmarkEnd w:id="3893"/>
      <w:r>
        <w:rPr>
          <w:rFonts w:ascii="Arial" w:eastAsia="Arial" w:hAnsi="Arial" w:cs="Arial"/>
          <w:color w:val="000000"/>
          <w:sz w:val="20"/>
        </w:rPr>
        <w:t xml:space="preserve">"[I]t is for the court to determine, in the first instance, whether the defendant's conduct may reasonably be regarded as so extreme and outrageous as to permit recovery." </w:t>
      </w:r>
      <w:bookmarkStart w:id="3894" w:name="Bookmark_I532DVDH2SF8H20020000400"/>
      <w:bookmarkEnd w:id="3894"/>
      <w:r>
        <w:rPr>
          <w:rFonts w:ascii="Arial" w:eastAsia="Arial" w:hAnsi="Arial" w:cs="Arial"/>
          <w:i/>
          <w:color w:val="000000"/>
          <w:sz w:val="20"/>
        </w:rPr>
        <w:t>Cabaness</w:t>
      </w:r>
      <w:r>
        <w:rPr>
          <w:rFonts w:ascii="Arial" w:eastAsia="Arial" w:hAnsi="Arial" w:cs="Arial"/>
          <w:color w:val="000000"/>
          <w:sz w:val="20"/>
        </w:rPr>
        <w:t xml:space="preserve">, 232 P.3d at 499  [*69] (quoting </w:t>
      </w:r>
      <w:bookmarkStart w:id="3895" w:name="Bookmark_I532DVDH2SF8H20040000400"/>
      <w:bookmarkEnd w:id="3895"/>
      <w:r>
        <w:rPr>
          <w:rFonts w:ascii="Arial" w:eastAsia="Arial" w:hAnsi="Arial" w:cs="Arial"/>
          <w:i/>
          <w:color w:val="000000"/>
          <w:sz w:val="20"/>
        </w:rPr>
        <w:t>Gygi v. Storch</w:t>
      </w:r>
      <w:r>
        <w:rPr>
          <w:rFonts w:ascii="Arial" w:eastAsia="Arial" w:hAnsi="Arial" w:cs="Arial"/>
          <w:color w:val="000000"/>
          <w:sz w:val="20"/>
        </w:rPr>
        <w:t>, 28 Utah 2d 399, 503 P.2d 449, 450 (1972)) (internal quotation marks omitted).</w:t>
      </w:r>
    </w:p>
    <w:p w14:paraId="16C6B2F5" w14:textId="77777777" w:rsidR="00D041A2" w:rsidRDefault="00000000">
      <w:pPr>
        <w:pStyle w:val="Normal31"/>
        <w:widowControl w:val="0"/>
        <w:spacing w:before="200" w:line="260" w:lineRule="atLeast"/>
        <w:jc w:val="both"/>
      </w:pPr>
      <w:bookmarkStart w:id="3896" w:name="Bookmark_para_74_1"/>
      <w:bookmarkStart w:id="3897" w:name="Bookmark_I33FYXHK9MW000CXWC2000BK"/>
      <w:bookmarkStart w:id="3898" w:name="Bookmark_I532DVDH2N1PNV0020000400"/>
      <w:bookmarkStart w:id="3899" w:name="Bookmark_I33FYXHKFG1000CXWC2001CT"/>
      <w:bookmarkStart w:id="3900" w:name="Bookmark_I532DVDH2N1PNV0040000400"/>
      <w:bookmarkStart w:id="3901" w:name="Bookmark_LNHNREFclscc31"/>
      <w:bookmarkEnd w:id="3896"/>
      <w:bookmarkEnd w:id="3897"/>
      <w:bookmarkEnd w:id="3898"/>
      <w:bookmarkEnd w:id="3899"/>
      <w:bookmarkEnd w:id="3900"/>
      <w:bookmarkEnd w:id="3901"/>
      <w:r>
        <w:rPr>
          <w:rFonts w:ascii="Arial" w:eastAsia="Arial" w:hAnsi="Arial" w:cs="Arial"/>
          <w:color w:val="000000"/>
          <w:sz w:val="20"/>
        </w:rPr>
        <w:t xml:space="preserve">In order for conduct to be considered "extreme or outrageous," it "must evoke outrage or revulsion; it must be more than unreasonable, unkind, or unfair." </w:t>
      </w:r>
      <w:bookmarkStart w:id="3902" w:name="Bookmark_I532DVDH2N1PNV0010000400"/>
      <w:bookmarkEnd w:id="3902"/>
      <w:r>
        <w:rPr>
          <w:rFonts w:ascii="Arial" w:eastAsia="Arial" w:hAnsi="Arial" w:cs="Arial"/>
          <w:i/>
          <w:color w:val="000000"/>
          <w:sz w:val="20"/>
        </w:rPr>
        <w:t>Franco v. Church of Jesus Christ of Latter-day Saints</w:t>
      </w:r>
      <w:r>
        <w:rPr>
          <w:rFonts w:ascii="Arial" w:eastAsia="Arial" w:hAnsi="Arial" w:cs="Arial"/>
          <w:color w:val="000000"/>
          <w:sz w:val="20"/>
        </w:rPr>
        <w:t xml:space="preserve">, 2001 UT 25, 21 P.3d 198, 207 (Utah 2001). A defendant's intentional behavior does not necessarily meet this standard "merely because it is tortious, injurious, or malicious, or because it would give rise to punitive damages, or because it is illegal." </w:t>
      </w:r>
      <w:r>
        <w:rPr>
          <w:rFonts w:ascii="Arial" w:eastAsia="Arial" w:hAnsi="Arial" w:cs="Arial"/>
          <w:i/>
          <w:color w:val="000000"/>
          <w:sz w:val="20"/>
        </w:rPr>
        <w:t>Id</w:t>
      </w:r>
      <w:r>
        <w:rPr>
          <w:rFonts w:ascii="Arial" w:eastAsia="Arial" w:hAnsi="Arial" w:cs="Arial"/>
          <w:color w:val="000000"/>
          <w:sz w:val="20"/>
        </w:rPr>
        <w:t xml:space="preserve">. Furthermore, in the employment context—as this case is—"liability under the tort of intentional infliction of emotional distress . . . may be found only where the conduct complained of has been so extreme in degree as to go beyond all possible bounds of decency, so as to be regarded as atrocious and utterly intolerable in a civilized society." </w:t>
      </w:r>
      <w:bookmarkStart w:id="3903" w:name="Bookmark_I532DVDH2N1PNV0030000400"/>
      <w:bookmarkEnd w:id="3903"/>
      <w:r>
        <w:rPr>
          <w:rFonts w:ascii="Arial" w:eastAsia="Arial" w:hAnsi="Arial" w:cs="Arial"/>
          <w:i/>
          <w:color w:val="000000"/>
          <w:sz w:val="20"/>
        </w:rPr>
        <w:t>Oman v. Davis Sch. Dist</w:t>
      </w:r>
      <w:r>
        <w:rPr>
          <w:rFonts w:ascii="Arial" w:eastAsia="Arial" w:hAnsi="Arial" w:cs="Arial"/>
          <w:color w:val="000000"/>
          <w:sz w:val="20"/>
        </w:rPr>
        <w:t>., 2008 UT 70, 194 P.3d 956, 970 (Utah 2008).</w:t>
      </w:r>
    </w:p>
    <w:p w14:paraId="5FCC26CC" w14:textId="77777777" w:rsidR="00D041A2" w:rsidRDefault="00000000">
      <w:pPr>
        <w:pStyle w:val="Normal31"/>
        <w:widowControl w:val="0"/>
        <w:spacing w:before="200" w:line="260" w:lineRule="atLeast"/>
        <w:jc w:val="both"/>
      </w:pPr>
      <w:bookmarkStart w:id="3904" w:name="Bookmark_para_75_1"/>
      <w:bookmarkStart w:id="3905" w:name="Bookmark_I532DVDH2N1PNW0010000400"/>
      <w:bookmarkStart w:id="3906" w:name="Bookmark_I532DVDH2N1PNW0030000400"/>
      <w:bookmarkEnd w:id="3904"/>
      <w:bookmarkEnd w:id="3905"/>
      <w:bookmarkEnd w:id="3906"/>
      <w:r>
        <w:rPr>
          <w:rFonts w:ascii="Arial" w:eastAsia="Arial" w:hAnsi="Arial" w:cs="Arial"/>
          <w:color w:val="000000"/>
          <w:sz w:val="20"/>
        </w:rPr>
        <w:t xml:space="preserve">In granting summary judgment in favor of C.R. England,  [*70] the district court concluded that the company's "conduct in presenting Watson's trainee with the acknowledgment form disclosing [his] HIV status may not be reasonably regarded as extreme or outrageous." </w:t>
      </w:r>
      <w:bookmarkStart w:id="3907" w:name="Bookmark_I532DVDH2N1PNV0050000400"/>
      <w:bookmarkEnd w:id="3907"/>
      <w:r>
        <w:rPr>
          <w:rFonts w:ascii="Arial" w:eastAsia="Arial" w:hAnsi="Arial" w:cs="Arial"/>
          <w:i/>
          <w:color w:val="000000"/>
          <w:sz w:val="20"/>
        </w:rPr>
        <w:t>EEOC v. C.R. England</w:t>
      </w:r>
      <w:r>
        <w:rPr>
          <w:rFonts w:ascii="Arial" w:eastAsia="Arial" w:hAnsi="Arial" w:cs="Arial"/>
          <w:color w:val="000000"/>
          <w:sz w:val="20"/>
        </w:rPr>
        <w:t xml:space="preserve">, No. 2:06-CV-00811BSJ, slip op. at 27. We agree. Although some might view C.R. England's use of the HIV-acknowledgment form as "unreasonable" or "unfair," we would be hard-pressed to conclude that its actions qualify as "revulsi[ve]" or "so extreme in degree as to go beyond all possible bounds of decency, so as to be regarded as atrocious and utterly intolerable in a civilized society." </w:t>
      </w:r>
      <w:bookmarkStart w:id="3908" w:name="Bookmark_I532DVDH2N1PNW0020000400"/>
      <w:bookmarkEnd w:id="3908"/>
      <w:r>
        <w:rPr>
          <w:rFonts w:ascii="Arial" w:eastAsia="Arial" w:hAnsi="Arial" w:cs="Arial"/>
          <w:i/>
          <w:color w:val="000000"/>
          <w:sz w:val="20"/>
        </w:rPr>
        <w:t>Franco</w:t>
      </w:r>
      <w:r>
        <w:rPr>
          <w:rFonts w:ascii="Arial" w:eastAsia="Arial" w:hAnsi="Arial" w:cs="Arial"/>
          <w:color w:val="000000"/>
          <w:sz w:val="20"/>
        </w:rPr>
        <w:t>, 21 P.3d at 207. Because Mr. Watson cannot satisfy this element of his intentional infliction of emotional distress claim, C.R.  [**1054]  England is entitled to judgment as a matter of law. Accordingly, the district court did not err in granting summary judgment in C.R. England's favor on this claim.</w:t>
      </w:r>
    </w:p>
    <w:p w14:paraId="35F954BC" w14:textId="77777777" w:rsidR="00D041A2" w:rsidRDefault="00000000">
      <w:pPr>
        <w:pStyle w:val="Normal31"/>
        <w:widowControl w:val="0"/>
        <w:spacing w:before="240" w:line="260" w:lineRule="atLeast"/>
      </w:pPr>
      <w:r>
        <w:br/>
      </w:r>
      <w:r>
        <w:rPr>
          <w:rFonts w:ascii="Arial" w:eastAsia="Arial" w:hAnsi="Arial" w:cs="Arial"/>
          <w:b/>
          <w:color w:val="000000"/>
          <w:sz w:val="20"/>
        </w:rPr>
        <w:t>B. Mr. Watson's Invasion of Privacy Claim</w:t>
      </w:r>
    </w:p>
    <w:p w14:paraId="393492C1" w14:textId="77777777" w:rsidR="00D041A2" w:rsidRDefault="00000000">
      <w:pPr>
        <w:pStyle w:val="Normal31"/>
        <w:widowControl w:val="0"/>
        <w:spacing w:before="200" w:line="260" w:lineRule="atLeast"/>
        <w:jc w:val="both"/>
      </w:pPr>
      <w:bookmarkStart w:id="3909" w:name="Bookmark_para_76_1"/>
      <w:bookmarkEnd w:id="3909"/>
      <w:r>
        <w:rPr>
          <w:rFonts w:ascii="Arial" w:eastAsia="Arial" w:hAnsi="Arial" w:cs="Arial"/>
          <w:color w:val="000000"/>
          <w:sz w:val="20"/>
        </w:rPr>
        <w:t xml:space="preserve">Mr. Watson also brings a second claim under Utah law—invasion of privacy—based on a theory of public disclosure of private embarrassing information. Mr. Watson asserts that C.R. England invaded his privacy when it disclosed his HIV-positive status  [*71] to a potential trainee and other C.R. England employees. </w:t>
      </w:r>
      <w:bookmarkStart w:id="3910" w:name="Bookmark_LNHNREFclscc32"/>
      <w:bookmarkEnd w:id="3910"/>
      <w:r>
        <w:rPr>
          <w:rFonts w:ascii="Arial" w:eastAsia="Arial" w:hAnsi="Arial" w:cs="Arial"/>
          <w:color w:val="000000"/>
          <w:sz w:val="20"/>
        </w:rPr>
        <w:t>To prevail on his claim for invasion of privacy based on public disclosure of private information, Mr. Watson must establish three elements:</w:t>
      </w:r>
    </w:p>
    <w:p w14:paraId="30EEC384" w14:textId="77777777" w:rsidR="00D041A2" w:rsidRDefault="00000000">
      <w:pPr>
        <w:pStyle w:val="Normal31"/>
        <w:widowControl w:val="0"/>
        <w:spacing w:line="260" w:lineRule="atLeast"/>
        <w:ind w:left="400"/>
        <w:jc w:val="both"/>
      </w:pPr>
      <w:bookmarkStart w:id="3911" w:name="Bookmark_para_77_1"/>
      <w:bookmarkEnd w:id="3911"/>
      <w:r>
        <w:rPr>
          <w:rFonts w:ascii="Arial" w:eastAsia="Arial" w:hAnsi="Arial" w:cs="Arial"/>
          <w:color w:val="000000"/>
          <w:sz w:val="20"/>
        </w:rPr>
        <w:t>(1) the disclosure of the private facts must be a public disclosure and not a private one;</w:t>
      </w:r>
    </w:p>
    <w:p w14:paraId="52CF6AC8" w14:textId="77777777" w:rsidR="00D041A2" w:rsidRDefault="00000000">
      <w:pPr>
        <w:pStyle w:val="Normal31"/>
        <w:widowControl w:val="0"/>
        <w:spacing w:before="200" w:line="260" w:lineRule="atLeast"/>
        <w:ind w:left="400"/>
        <w:jc w:val="both"/>
      </w:pPr>
      <w:bookmarkStart w:id="3912" w:name="Bookmark_para_78_1"/>
      <w:bookmarkStart w:id="3913" w:name="Bookmark_I33FYXHKJ1F000CXWC2001CV"/>
      <w:bookmarkStart w:id="3914" w:name="Bookmark_I532DVDH2N1PNW0050000400"/>
      <w:bookmarkEnd w:id="3912"/>
      <w:bookmarkEnd w:id="3913"/>
      <w:bookmarkEnd w:id="3914"/>
      <w:r>
        <w:rPr>
          <w:rFonts w:ascii="Arial" w:eastAsia="Arial" w:hAnsi="Arial" w:cs="Arial"/>
          <w:color w:val="000000"/>
          <w:sz w:val="20"/>
        </w:rPr>
        <w:t>(2) the facts disclosed to the public must be private facts, and not public ones;</w:t>
      </w:r>
    </w:p>
    <w:p w14:paraId="7A404D99" w14:textId="77777777" w:rsidR="00D041A2" w:rsidRDefault="00000000">
      <w:pPr>
        <w:pStyle w:val="Normal31"/>
        <w:widowControl w:val="0"/>
        <w:spacing w:before="200" w:line="260" w:lineRule="atLeast"/>
        <w:ind w:left="400"/>
        <w:jc w:val="both"/>
      </w:pPr>
      <w:bookmarkStart w:id="3915" w:name="Bookmark_para_79_1"/>
      <w:bookmarkStart w:id="3916" w:name="Bookmark_I532DVDH2N1PNW0050000400_2"/>
      <w:bookmarkEnd w:id="3915"/>
      <w:bookmarkEnd w:id="3916"/>
      <w:r>
        <w:rPr>
          <w:rFonts w:ascii="Arial" w:eastAsia="Arial" w:hAnsi="Arial" w:cs="Arial"/>
          <w:color w:val="000000"/>
          <w:sz w:val="20"/>
        </w:rPr>
        <w:t>(3) the matter made public must be one that would be highly offensive and objectionable to a reasonable person of ordinary sensibilities.</w:t>
      </w:r>
    </w:p>
    <w:p w14:paraId="0FEDE9B6" w14:textId="77777777" w:rsidR="00D041A2" w:rsidRDefault="00000000">
      <w:pPr>
        <w:pStyle w:val="Normal31"/>
        <w:widowControl w:val="0"/>
        <w:spacing w:before="200" w:line="260" w:lineRule="atLeast"/>
        <w:jc w:val="both"/>
      </w:pPr>
      <w:bookmarkStart w:id="3917" w:name="Bookmark_I532DVDH2N1PNW0050000400_3"/>
      <w:bookmarkStart w:id="3918" w:name="Bookmark_I532DVDH2HM6GG0020000400"/>
      <w:bookmarkStart w:id="3919" w:name="Bookmark_I532DVDH2N1PNW0040000400"/>
      <w:bookmarkEnd w:id="3917"/>
      <w:bookmarkEnd w:id="3918"/>
      <w:bookmarkEnd w:id="3919"/>
      <w:r>
        <w:rPr>
          <w:rFonts w:ascii="Arial" w:eastAsia="Arial" w:hAnsi="Arial" w:cs="Arial"/>
          <w:i/>
          <w:color w:val="000000"/>
          <w:sz w:val="20"/>
        </w:rPr>
        <w:t>Shattuck-Owen v. Snowbird Corp</w:t>
      </w:r>
      <w:r>
        <w:rPr>
          <w:rFonts w:ascii="Arial" w:eastAsia="Arial" w:hAnsi="Arial" w:cs="Arial"/>
          <w:color w:val="000000"/>
          <w:sz w:val="20"/>
        </w:rPr>
        <w:t xml:space="preserve">., 2000 UT 94, 16 P.3d 555, 558 (Utah 2000). </w:t>
      </w:r>
      <w:bookmarkStart w:id="3920" w:name="Bookmark_I532DVDH2HM6GG0020000400_2"/>
      <w:bookmarkEnd w:id="3920"/>
      <w:r>
        <w:rPr>
          <w:rFonts w:ascii="Arial" w:eastAsia="Arial" w:hAnsi="Arial" w:cs="Arial"/>
          <w:color w:val="000000"/>
          <w:sz w:val="20"/>
        </w:rPr>
        <w:t xml:space="preserve">Under the first element, "public disclosure" has been interpreted to "mean [] that the matter is made public, by communicating it to the public at large, or to so many persons that the matter must be regarded as substantially certain to become one of public knowledge." </w:t>
      </w:r>
      <w:r>
        <w:rPr>
          <w:rFonts w:ascii="Arial" w:eastAsia="Arial" w:hAnsi="Arial" w:cs="Arial"/>
          <w:i/>
          <w:color w:val="000000"/>
          <w:sz w:val="20"/>
        </w:rPr>
        <w:t>Id</w:t>
      </w:r>
      <w:r>
        <w:rPr>
          <w:rFonts w:ascii="Arial" w:eastAsia="Arial" w:hAnsi="Arial" w:cs="Arial"/>
          <w:color w:val="000000"/>
          <w:sz w:val="20"/>
        </w:rPr>
        <w:t xml:space="preserve">. (quoting Restatement (Second) of Torts § 652D cmt. a (1977)) (internal quotation marks omitted). On the other hand, "communicating a private fact 'to a small group of persons' . . . does not constitute public disclosure." </w:t>
      </w:r>
      <w:bookmarkStart w:id="3921" w:name="Bookmark_I532DVDH2HM6GG0010000400"/>
      <w:bookmarkEnd w:id="3921"/>
      <w:r>
        <w:rPr>
          <w:rFonts w:ascii="Arial" w:eastAsia="Arial" w:hAnsi="Arial" w:cs="Arial"/>
          <w:i/>
          <w:color w:val="000000"/>
          <w:sz w:val="20"/>
        </w:rPr>
        <w:t>Id</w:t>
      </w:r>
      <w:r>
        <w:rPr>
          <w:rFonts w:ascii="Arial" w:eastAsia="Arial" w:hAnsi="Arial" w:cs="Arial"/>
          <w:color w:val="000000"/>
          <w:sz w:val="20"/>
        </w:rPr>
        <w:t>. at 558-59 (quoting Restatement (Second) of Torts § 652D cmt. a).</w:t>
      </w:r>
    </w:p>
    <w:p w14:paraId="352B99CC" w14:textId="77777777" w:rsidR="00D041A2" w:rsidRDefault="00000000">
      <w:pPr>
        <w:pStyle w:val="Normal31"/>
        <w:widowControl w:val="0"/>
        <w:spacing w:before="200" w:line="260" w:lineRule="atLeast"/>
        <w:jc w:val="both"/>
      </w:pPr>
      <w:bookmarkStart w:id="3922" w:name="Bookmark_para_80_0"/>
      <w:bookmarkEnd w:id="3922"/>
      <w:r>
        <w:rPr>
          <w:rFonts w:ascii="Arial" w:eastAsia="Arial" w:hAnsi="Arial" w:cs="Arial"/>
          <w:color w:val="000000"/>
          <w:sz w:val="20"/>
        </w:rPr>
        <w:t xml:space="preserve">As a matter of law, summary judgment was properly entered in favor of  [*72] C.R. England because the disclosure to one potential trainee and a handful of C.R. England employees does not constitute "public disclosure." </w:t>
      </w:r>
      <w:r>
        <w:rPr>
          <w:rFonts w:ascii="Arial" w:eastAsia="Arial" w:hAnsi="Arial" w:cs="Arial"/>
          <w:i/>
          <w:color w:val="000000"/>
          <w:sz w:val="20"/>
        </w:rPr>
        <w:t>See id</w:t>
      </w:r>
      <w:r>
        <w:rPr>
          <w:rFonts w:ascii="Arial" w:eastAsia="Arial" w:hAnsi="Arial" w:cs="Arial"/>
          <w:color w:val="000000"/>
          <w:sz w:val="20"/>
        </w:rPr>
        <w:t>. (concluding that disclosure to twelve or thirteen people did not constitute public disclosure). Accordingly, the district court did not err in entering judgment in favor of C.R. England on this claim.</w:t>
      </w:r>
    </w:p>
    <w:p w14:paraId="64B8072A" w14:textId="77777777" w:rsidR="00D041A2" w:rsidRDefault="00000000">
      <w:pPr>
        <w:pStyle w:val="Normal31"/>
        <w:widowControl w:val="0"/>
        <w:spacing w:before="240" w:line="260" w:lineRule="atLeast"/>
      </w:pPr>
      <w:r>
        <w:br/>
      </w:r>
      <w:r>
        <w:rPr>
          <w:rFonts w:ascii="Arial" w:eastAsia="Arial" w:hAnsi="Arial" w:cs="Arial"/>
          <w:b/>
          <w:color w:val="000000"/>
          <w:sz w:val="20"/>
        </w:rPr>
        <w:t>CONCLUSION</w:t>
      </w:r>
    </w:p>
    <w:p w14:paraId="02F7D138" w14:textId="77777777" w:rsidR="00D041A2" w:rsidRDefault="00000000">
      <w:pPr>
        <w:pStyle w:val="Normal31"/>
        <w:widowControl w:val="0"/>
        <w:spacing w:before="200" w:line="260" w:lineRule="atLeast"/>
        <w:jc w:val="both"/>
      </w:pPr>
      <w:bookmarkStart w:id="3923" w:name="Bookmark_para_81_0"/>
      <w:bookmarkEnd w:id="3923"/>
      <w:r>
        <w:rPr>
          <w:rFonts w:ascii="Arial" w:eastAsia="Arial" w:hAnsi="Arial" w:cs="Arial"/>
          <w:color w:val="000000"/>
          <w:sz w:val="20"/>
        </w:rPr>
        <w:t xml:space="preserve">Based on the foregoing, we </w:t>
      </w:r>
      <w:r>
        <w:rPr>
          <w:rFonts w:ascii="Arial" w:eastAsia="Arial" w:hAnsi="Arial" w:cs="Arial"/>
          <w:b/>
          <w:color w:val="000000"/>
          <w:sz w:val="20"/>
        </w:rPr>
        <w:t>AFFIRM</w:t>
      </w:r>
      <w:r>
        <w:rPr>
          <w:rFonts w:ascii="Arial" w:eastAsia="Arial" w:hAnsi="Arial" w:cs="Arial"/>
          <w:color w:val="000000"/>
          <w:sz w:val="20"/>
        </w:rPr>
        <w:t xml:space="preserve"> the district court's grant of summary judgment in favor of C.R. England on all of EEOC's and Mr. Watson's claims. </w:t>
      </w:r>
      <w:r>
        <w:rPr>
          <w:rFonts w:ascii="Arial" w:eastAsia="Arial" w:hAnsi="Arial" w:cs="Arial"/>
          <w:vertAlign w:val="superscript"/>
        </w:rPr>
        <w:footnoteReference w:customMarkFollows="1" w:id="191"/>
        <w:t>20</w:t>
      </w:r>
    </w:p>
    <w:p w14:paraId="78220797" w14:textId="77777777" w:rsidR="00D041A2" w:rsidRDefault="00D041A2">
      <w:pPr>
        <w:pStyle w:val="Normal31"/>
      </w:pPr>
    </w:p>
    <w:p w14:paraId="4C8A192E" w14:textId="127F119E" w:rsidR="00D041A2" w:rsidRDefault="00000000">
      <w:pPr>
        <w:pStyle w:val="Normal31"/>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25824" behindDoc="0" locked="0" layoutInCell="1" allowOverlap="1" wp14:anchorId="7246BF80" wp14:editId="77444E5C">
                <wp:simplePos x="0" y="0"/>
                <wp:positionH relativeFrom="column">
                  <wp:posOffset>0</wp:posOffset>
                </wp:positionH>
                <wp:positionV relativeFrom="paragraph">
                  <wp:posOffset>127000</wp:posOffset>
                </wp:positionV>
                <wp:extent cx="6502400" cy="0"/>
                <wp:effectExtent l="9525" t="12700" r="12700" b="6350"/>
                <wp:wrapNone/>
                <wp:docPr id="206847751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0329A" id="Line 6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8F4C4B6" w14:textId="77777777" w:rsidR="00D041A2" w:rsidRDefault="00D041A2">
      <w:pPr>
        <w:pStyle w:val="Normal32"/>
        <w:sectPr w:rsidR="00D041A2">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gutter="0"/>
          <w:cols w:space="720"/>
          <w:titlePg/>
        </w:sectPr>
      </w:pPr>
    </w:p>
    <w:p w14:paraId="112B7381" w14:textId="77777777" w:rsidR="00D041A2" w:rsidRDefault="00D041A2">
      <w:pPr>
        <w:pStyle w:val="Normal32"/>
      </w:pPr>
    </w:p>
    <w:p w14:paraId="4AFAD93B" w14:textId="77777777" w:rsidR="00D041A2" w:rsidRDefault="00000000">
      <w:pPr>
        <w:pStyle w:val="Heading131"/>
        <w:keepNext w:val="0"/>
        <w:widowControl w:val="0"/>
        <w:spacing w:after="200" w:line="340" w:lineRule="atLeast"/>
        <w:jc w:val="center"/>
      </w:pPr>
      <w:r>
        <w:rPr>
          <w:rFonts w:eastAsia="Arial"/>
          <w:color w:val="000000"/>
          <w:sz w:val="28"/>
        </w:rPr>
        <w:t>Feldman v. Pro Football, Inc.</w:t>
      </w:r>
    </w:p>
    <w:p w14:paraId="146C7D36" w14:textId="77777777" w:rsidR="00D041A2" w:rsidRDefault="00000000">
      <w:pPr>
        <w:pStyle w:val="Normal32"/>
        <w:widowControl w:val="0"/>
        <w:spacing w:before="120" w:line="260" w:lineRule="atLeast"/>
        <w:jc w:val="center"/>
      </w:pPr>
      <w:r>
        <w:rPr>
          <w:rFonts w:ascii="Arial" w:eastAsia="Arial" w:hAnsi="Arial" w:cs="Arial"/>
          <w:color w:val="000000"/>
          <w:sz w:val="20"/>
        </w:rPr>
        <w:t>United States Court of Appeals for the Fourth Circuit</w:t>
      </w:r>
    </w:p>
    <w:p w14:paraId="210C2CC1" w14:textId="77777777" w:rsidR="00D041A2" w:rsidRDefault="00000000">
      <w:pPr>
        <w:pStyle w:val="Normal32"/>
        <w:widowControl w:val="0"/>
        <w:spacing w:before="120" w:line="260" w:lineRule="atLeast"/>
        <w:jc w:val="center"/>
      </w:pPr>
      <w:r>
        <w:rPr>
          <w:rFonts w:ascii="Arial" w:eastAsia="Arial" w:hAnsi="Arial" w:cs="Arial"/>
          <w:color w:val="000000"/>
          <w:sz w:val="20"/>
        </w:rPr>
        <w:t>March 25, 2010, Argued; March 25, 2011, Decided</w:t>
      </w:r>
    </w:p>
    <w:p w14:paraId="6B1D9B10" w14:textId="77777777" w:rsidR="00D041A2" w:rsidRDefault="00000000">
      <w:pPr>
        <w:pStyle w:val="Normal32"/>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09-1021, No. 09-1023</w:t>
      </w:r>
    </w:p>
    <w:p w14:paraId="69D2A26E" w14:textId="77777777" w:rsidR="00D041A2" w:rsidRDefault="00D041A2">
      <w:pPr>
        <w:pStyle w:val="Normal32"/>
        <w:widowControl w:val="0"/>
        <w:spacing w:line="240" w:lineRule="atLeast"/>
        <w:jc w:val="both"/>
      </w:pPr>
      <w:bookmarkStart w:id="3925" w:name="Bookmark_33"/>
      <w:bookmarkEnd w:id="3925"/>
    </w:p>
    <w:p w14:paraId="50AE4C46" w14:textId="77777777" w:rsidR="00D041A2" w:rsidRDefault="00000000">
      <w:pPr>
        <w:pStyle w:val="Normal32"/>
        <w:widowControl w:val="0"/>
        <w:spacing w:before="200" w:line="240" w:lineRule="atLeast"/>
      </w:pPr>
      <w:bookmarkStart w:id="3926" w:name="Reporter_31"/>
      <w:bookmarkEnd w:id="3926"/>
      <w:r>
        <w:rPr>
          <w:rFonts w:ascii="Arial" w:eastAsia="Arial" w:hAnsi="Arial" w:cs="Arial"/>
          <w:b/>
          <w:color w:val="000000"/>
          <w:sz w:val="18"/>
        </w:rPr>
        <w:t>Reporter</w:t>
      </w:r>
    </w:p>
    <w:p w14:paraId="49B0EC00" w14:textId="77777777" w:rsidR="00D041A2" w:rsidRDefault="00000000">
      <w:pPr>
        <w:pStyle w:val="Normal32"/>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419 Fed. Appx. 381 *; 2011 U.S. App. LEXIS 6188 **; 24 Am. Disabilities Cas. (BNA) 1178</w:t>
      </w:r>
    </w:p>
    <w:p w14:paraId="235A9C49" w14:textId="77777777" w:rsidR="00D041A2" w:rsidRDefault="00000000">
      <w:pPr>
        <w:pStyle w:val="Normal32"/>
        <w:widowControl w:val="0"/>
        <w:spacing w:before="120" w:line="260" w:lineRule="atLeast"/>
      </w:pPr>
      <w:r>
        <w:rPr>
          <w:rFonts w:ascii="Arial" w:eastAsia="Arial" w:hAnsi="Arial" w:cs="Arial"/>
          <w:color w:val="000000"/>
          <w:sz w:val="20"/>
        </w:rPr>
        <w:t>SHANE FELDMAN; BRIAN KELLY; PAUL SINGLETON, Plaintiffs - Appellees, v. PRO FOOTBALL, INCORPORATED; WFI STADIUM, INCORPORATED, Defendants - Appellants.</w:t>
      </w:r>
    </w:p>
    <w:p w14:paraId="662A5FA7" w14:textId="77777777" w:rsidR="00D041A2" w:rsidRDefault="00000000">
      <w:pPr>
        <w:pStyle w:val="Normal32"/>
        <w:widowControl w:val="0"/>
        <w:spacing w:before="240" w:line="260" w:lineRule="atLeast"/>
        <w:jc w:val="both"/>
      </w:pPr>
      <w:bookmarkStart w:id="3927" w:name="Notice_19"/>
      <w:bookmarkEnd w:id="3927"/>
      <w:r>
        <w:rPr>
          <w:rFonts w:ascii="Arial" w:eastAsia="Arial" w:hAnsi="Arial" w:cs="Arial"/>
          <w:b/>
          <w:color w:val="000000"/>
          <w:sz w:val="20"/>
        </w:rPr>
        <w:t>Notice:</w:t>
      </w:r>
      <w:r>
        <w:rPr>
          <w:rFonts w:ascii="Arial" w:eastAsia="Arial" w:hAnsi="Arial" w:cs="Arial"/>
          <w:color w:val="000000"/>
          <w:sz w:val="20"/>
        </w:rPr>
        <w:t> </w:t>
      </w:r>
      <w:bookmarkStart w:id="3928" w:name="Bookmark_para_1_31"/>
      <w:bookmarkEnd w:id="3928"/>
      <w:r>
        <w:rPr>
          <w:rFonts w:ascii="Arial" w:eastAsia="Arial" w:hAnsi="Arial" w:cs="Arial"/>
          <w:color w:val="000000"/>
          <w:sz w:val="20"/>
        </w:rPr>
        <w:t>PLEASE REFER TO FEDERAL RULES OF APPELLATE PROCEDURE RULE 32.1 GOVERNING THE CITATION TO UNPUBLISHED OPINIONS.</w:t>
      </w:r>
    </w:p>
    <w:p w14:paraId="02A48049" w14:textId="77777777" w:rsidR="00D041A2" w:rsidRDefault="00000000">
      <w:pPr>
        <w:pStyle w:val="Normal32"/>
        <w:widowControl w:val="0"/>
        <w:spacing w:before="240" w:line="260" w:lineRule="atLeast"/>
        <w:jc w:val="both"/>
      </w:pPr>
      <w:bookmarkStart w:id="3929" w:name="Prior_History_31"/>
      <w:bookmarkEnd w:id="3929"/>
      <w:r>
        <w:rPr>
          <w:rFonts w:ascii="Arial" w:eastAsia="Arial" w:hAnsi="Arial" w:cs="Arial"/>
          <w:b/>
          <w:color w:val="000000"/>
          <w:sz w:val="20"/>
        </w:rPr>
        <w:t>Prior History:</w:t>
      </w:r>
      <w:r>
        <w:rPr>
          <w:rFonts w:ascii="Arial" w:eastAsia="Arial" w:hAnsi="Arial" w:cs="Arial"/>
          <w:color w:val="000000"/>
          <w:sz w:val="20"/>
        </w:rPr>
        <w:t>  [**1] </w:t>
      </w:r>
      <w:bookmarkStart w:id="3930" w:name="Bookmark_para_2_31"/>
      <w:bookmarkEnd w:id="3930"/>
      <w:r>
        <w:rPr>
          <w:rFonts w:ascii="Arial" w:eastAsia="Arial" w:hAnsi="Arial" w:cs="Arial"/>
          <w:color w:val="000000"/>
          <w:sz w:val="20"/>
        </w:rPr>
        <w:t>Appeals from the United States District Court for the District of Maryland, at Greenbelt. (8:06-cv-02266-AW). Alexander Williams, Jr., District Judge.</w:t>
      </w:r>
    </w:p>
    <w:p w14:paraId="7BDA123C" w14:textId="77777777" w:rsidR="00D041A2" w:rsidRDefault="00000000">
      <w:pPr>
        <w:pStyle w:val="Normal32"/>
        <w:widowControl w:val="0"/>
        <w:spacing w:before="120" w:line="260" w:lineRule="atLeast"/>
      </w:pPr>
      <w:r>
        <w:rPr>
          <w:rFonts w:ascii="Arial" w:eastAsia="Arial" w:hAnsi="Arial" w:cs="Arial"/>
          <w:color w:val="000000"/>
          <w:sz w:val="20"/>
        </w:rPr>
        <w:t>Feldman v. Pro Football, Inc., 579 F. Supp. 2d 697, 2008 U.S. Dist. LEXIS 85149 (D. Md., 2008)</w:t>
      </w:r>
    </w:p>
    <w:p w14:paraId="77FA7DF5" w14:textId="77777777" w:rsidR="00D041A2" w:rsidRDefault="00000000">
      <w:pPr>
        <w:pStyle w:val="Normal32"/>
        <w:widowControl w:val="0"/>
        <w:spacing w:before="240" w:line="260" w:lineRule="atLeast"/>
      </w:pPr>
      <w:bookmarkStart w:id="3931" w:name="Counsel_31"/>
      <w:bookmarkEnd w:id="3931"/>
      <w:r>
        <w:rPr>
          <w:rFonts w:ascii="Arial" w:eastAsia="Arial" w:hAnsi="Arial" w:cs="Arial"/>
          <w:b/>
          <w:color w:val="000000"/>
          <w:sz w:val="20"/>
        </w:rPr>
        <w:t>Counsel:</w:t>
      </w:r>
      <w:r>
        <w:rPr>
          <w:rFonts w:ascii="Arial" w:eastAsia="Arial" w:hAnsi="Arial" w:cs="Arial"/>
          <w:color w:val="000000"/>
          <w:sz w:val="20"/>
        </w:rPr>
        <w:t> ARGUED: Roger William Yoerges, STEPTOE &amp; JOHNSON, LLP, Washington, D.C., for Appellants/Cross-Appellees.</w:t>
      </w:r>
    </w:p>
    <w:p w14:paraId="5FBF2201" w14:textId="77777777" w:rsidR="00D041A2" w:rsidRDefault="00000000">
      <w:pPr>
        <w:pStyle w:val="Normal32"/>
        <w:widowControl w:val="0"/>
        <w:spacing w:before="120" w:line="260" w:lineRule="atLeast"/>
      </w:pPr>
      <w:r>
        <w:rPr>
          <w:rFonts w:ascii="Arial" w:eastAsia="Arial" w:hAnsi="Arial" w:cs="Arial"/>
          <w:color w:val="000000"/>
          <w:sz w:val="20"/>
        </w:rPr>
        <w:t>Joseph B. Espo, BROWN, GOLDSTEIN &amp; LEVY, LLP, Baltimore, Maryland, for Appellees/Cross-Appellants.</w:t>
      </w:r>
    </w:p>
    <w:p w14:paraId="42885FE6" w14:textId="77777777" w:rsidR="00D041A2" w:rsidRDefault="00000000">
      <w:pPr>
        <w:pStyle w:val="Normal32"/>
        <w:widowControl w:val="0"/>
        <w:spacing w:before="120" w:line="260" w:lineRule="atLeast"/>
      </w:pPr>
      <w:r>
        <w:rPr>
          <w:rFonts w:ascii="Arial" w:eastAsia="Arial" w:hAnsi="Arial" w:cs="Arial"/>
          <w:color w:val="000000"/>
          <w:sz w:val="20"/>
        </w:rPr>
        <w:t>ON BRIEF: Kathryn J. Gainey, STEPTOE &amp; JOHNSON, LLP, Washington, D.C., for Appellants/Cross-Appellees.</w:t>
      </w:r>
    </w:p>
    <w:p w14:paraId="04D3C4BD" w14:textId="77777777" w:rsidR="00D041A2" w:rsidRDefault="00000000">
      <w:pPr>
        <w:pStyle w:val="Normal32"/>
        <w:widowControl w:val="0"/>
        <w:spacing w:before="120" w:line="260" w:lineRule="atLeast"/>
      </w:pPr>
      <w:r>
        <w:rPr>
          <w:rFonts w:ascii="Arial" w:eastAsia="Arial" w:hAnsi="Arial" w:cs="Arial"/>
          <w:color w:val="000000"/>
          <w:sz w:val="20"/>
        </w:rPr>
        <w:t>Marc P. Charmatz, Rosaline Crawford, NATIONAL ASSOCIATION OF THE DEAF, Law And Advocacy Center, Silver Spring, Maryland, for Appellees/Cross-Appellants.</w:t>
      </w:r>
    </w:p>
    <w:p w14:paraId="4B2F3364" w14:textId="77777777" w:rsidR="00D041A2" w:rsidRDefault="00000000">
      <w:pPr>
        <w:pStyle w:val="Normal32"/>
        <w:widowControl w:val="0"/>
        <w:spacing w:before="240" w:line="260" w:lineRule="atLeast"/>
      </w:pPr>
      <w:bookmarkStart w:id="3932" w:name="Judges_31"/>
      <w:bookmarkEnd w:id="3932"/>
      <w:r>
        <w:rPr>
          <w:rFonts w:ascii="Arial" w:eastAsia="Arial" w:hAnsi="Arial" w:cs="Arial"/>
          <w:b/>
          <w:color w:val="000000"/>
          <w:sz w:val="20"/>
        </w:rPr>
        <w:t>Judges:</w:t>
      </w:r>
      <w:r>
        <w:rPr>
          <w:rFonts w:ascii="Arial" w:eastAsia="Arial" w:hAnsi="Arial" w:cs="Arial"/>
          <w:color w:val="000000"/>
          <w:sz w:val="20"/>
        </w:rPr>
        <w:t> Before MICHAEL and DAVIS, Circuit Judges, and James A. BEATY, Jr., Chief United States District Judge for the Middle District of North Carolina, sitting by designation. Judge Beaty wrote a separate opinion dissenting in part.</w:t>
      </w:r>
    </w:p>
    <w:p w14:paraId="6CD36E06" w14:textId="77777777" w:rsidR="00D041A2" w:rsidRDefault="00000000">
      <w:pPr>
        <w:pStyle w:val="Normal32"/>
        <w:keepNext/>
        <w:widowControl w:val="0"/>
        <w:spacing w:before="240" w:line="340" w:lineRule="atLeast"/>
      </w:pPr>
      <w:bookmarkStart w:id="3933" w:name="Opinion_31"/>
      <w:bookmarkEnd w:id="3933"/>
      <w:r>
        <w:rPr>
          <w:rFonts w:ascii="Arial" w:eastAsia="Arial" w:hAnsi="Arial" w:cs="Arial"/>
          <w:b/>
          <w:color w:val="000000"/>
          <w:sz w:val="28"/>
        </w:rPr>
        <w:t>Opinion</w:t>
      </w:r>
    </w:p>
    <w:p w14:paraId="0630CF33" w14:textId="65E39556" w:rsidR="00D041A2" w:rsidRDefault="004D4403">
      <w:pPr>
        <w:pStyle w:val="Normal32"/>
        <w:spacing w:line="60" w:lineRule="exact"/>
      </w:pPr>
      <w:r>
        <w:rPr>
          <w:noProof/>
        </w:rPr>
        <mc:AlternateContent>
          <mc:Choice Requires="wps">
            <w:drawing>
              <wp:anchor distT="0" distB="0" distL="114300" distR="114300" simplePos="0" relativeHeight="251726848" behindDoc="0" locked="0" layoutInCell="1" allowOverlap="1" wp14:anchorId="1F2D9381" wp14:editId="2C3AC6A6">
                <wp:simplePos x="0" y="0"/>
                <wp:positionH relativeFrom="column">
                  <wp:posOffset>0</wp:posOffset>
                </wp:positionH>
                <wp:positionV relativeFrom="paragraph">
                  <wp:posOffset>25400</wp:posOffset>
                </wp:positionV>
                <wp:extent cx="3187700" cy="0"/>
                <wp:effectExtent l="19050" t="15875" r="12700" b="12700"/>
                <wp:wrapTopAndBottom/>
                <wp:docPr id="1585255052"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9B14F" id="Line 68"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989841D" w14:textId="77777777" w:rsidR="00D041A2" w:rsidRDefault="00D041A2">
      <w:pPr>
        <w:pStyle w:val="Normal32"/>
      </w:pPr>
    </w:p>
    <w:p w14:paraId="4B9E02EF" w14:textId="77777777" w:rsidR="00D041A2" w:rsidRDefault="00000000">
      <w:pPr>
        <w:pStyle w:val="Normal32"/>
        <w:widowControl w:val="0"/>
        <w:spacing w:before="200" w:line="260" w:lineRule="atLeast"/>
        <w:jc w:val="both"/>
      </w:pPr>
      <w:bookmarkStart w:id="3934" w:name="Bookmark_para_3_31"/>
      <w:bookmarkEnd w:id="3934"/>
      <w:r>
        <w:rPr>
          <w:rFonts w:ascii="Arial" w:eastAsia="Arial" w:hAnsi="Arial" w:cs="Arial"/>
          <w:color w:val="000000"/>
          <w:sz w:val="20"/>
        </w:rPr>
        <w:t> [*383]  PER CURIAM:</w:t>
      </w:r>
    </w:p>
    <w:p w14:paraId="07E35FB9" w14:textId="77777777" w:rsidR="00D041A2" w:rsidRDefault="00000000">
      <w:pPr>
        <w:pStyle w:val="Normal32"/>
        <w:widowControl w:val="0"/>
        <w:spacing w:before="200" w:line="260" w:lineRule="atLeast"/>
        <w:jc w:val="both"/>
      </w:pPr>
      <w:bookmarkStart w:id="3935" w:name="Bookmark_para_4_31"/>
      <w:bookmarkEnd w:id="3935"/>
      <w:r>
        <w:rPr>
          <w:rFonts w:ascii="Arial" w:eastAsia="Arial" w:hAnsi="Arial" w:cs="Arial"/>
          <w:color w:val="000000"/>
          <w:sz w:val="20"/>
        </w:rPr>
        <w:t>Defendants Pro Football, Inc. and WFI Stadium, Inc. operate, respectively, the Washington Redskins football team and FedEx Field, where the Redskins play home games. Plaintiffs are three individuals who are deaf or hard of hearing and who regularly attend Redskins games at FedEx Field. Plaintiffs argue that the Americans with Disabilities Act (ADA) obligates  [**2] defendants to provide auxiliary access to the content of broadcasts from FedEx Field's public address system. Soon after plaintiffs filed their complaint, defendants captioned most of the aural content to which plaintiffs seek access. The district court nevertheless held that the case was not moot and granted summary judgment to plaintiffs.</w:t>
      </w:r>
    </w:p>
    <w:p w14:paraId="38DBE7F7" w14:textId="77777777" w:rsidR="00D041A2" w:rsidRDefault="00000000">
      <w:pPr>
        <w:pStyle w:val="Normal32"/>
        <w:widowControl w:val="0"/>
        <w:spacing w:before="200" w:line="260" w:lineRule="atLeast"/>
        <w:jc w:val="both"/>
      </w:pPr>
      <w:bookmarkStart w:id="3936" w:name="Bookmark_para_5_31"/>
      <w:bookmarkEnd w:id="3936"/>
      <w:r>
        <w:rPr>
          <w:rFonts w:ascii="Arial" w:eastAsia="Arial" w:hAnsi="Arial" w:cs="Arial"/>
          <w:color w:val="000000"/>
          <w:sz w:val="20"/>
        </w:rPr>
        <w:t xml:space="preserve">The district court's holding rested in part on the fact that defendants were not providing plaintiffs with access to the lyrics to music played over the stadium's public address system. Defendants appeal the district court's summary judgment ruling that the ADA requires them to provide plaintiffs with auxiliary access to the aural content broadcast over the public address system, including music lyrics. They ask this court to decide whether deaf and hearing-impaired game spectators require access to music lyrics in order to fully and equally enjoy defendants' goods, services, privileges, and facilities. Whatever the poetic merit of the lyrics and their relevance to the sport of football, </w:t>
      </w:r>
      <w:r>
        <w:rPr>
          <w:rFonts w:ascii="Arial" w:eastAsia="Arial" w:hAnsi="Arial" w:cs="Arial"/>
          <w:vertAlign w:val="superscript"/>
        </w:rPr>
        <w:footnoteReference w:customMarkFollows="1" w:id="192"/>
        <w:t>1</w:t>
      </w:r>
      <w:r>
        <w:rPr>
          <w:rFonts w:ascii="Arial" w:eastAsia="Arial" w:hAnsi="Arial" w:cs="Arial"/>
          <w:color w:val="000000"/>
          <w:sz w:val="20"/>
        </w:rPr>
        <w:t xml:space="preserve"> we agree  [*384]  with the district court that the music played over the public address system during Redskins home games is part of the football game experience that defendants  [**3] provide as a good or service, and that the ADA requires full and equal access to the music lyrics. Accordingly, we affirm the district court's declaratory judgment requiring defendants to provide auxiliary access to the aural content broadcast over FedEx Field's public address system. We also affirm the district court's holding that plaintiffs' complaint cannot be construed as requesting auxiliary access to aural content that is not broadcast over the public address system, including the content of a separate radio program.</w:t>
      </w:r>
    </w:p>
    <w:p w14:paraId="675ECB91" w14:textId="77777777" w:rsidR="00D041A2" w:rsidRDefault="00000000">
      <w:pPr>
        <w:pStyle w:val="Normal32"/>
        <w:widowControl w:val="0"/>
        <w:spacing w:before="120" w:line="260" w:lineRule="atLeast"/>
      </w:pPr>
      <w:r>
        <w:rPr>
          <w:rFonts w:ascii="Arial" w:eastAsia="Arial" w:hAnsi="Arial" w:cs="Arial"/>
          <w:color w:val="000000"/>
          <w:sz w:val="20"/>
        </w:rPr>
        <w:t>I.</w:t>
      </w:r>
    </w:p>
    <w:p w14:paraId="3AB4558A" w14:textId="77777777" w:rsidR="00D041A2" w:rsidRDefault="00000000">
      <w:pPr>
        <w:pStyle w:val="Normal32"/>
        <w:widowControl w:val="0"/>
        <w:spacing w:before="120" w:line="260" w:lineRule="atLeast"/>
      </w:pPr>
      <w:r>
        <w:rPr>
          <w:rFonts w:ascii="Arial" w:eastAsia="Arial" w:hAnsi="Arial" w:cs="Arial"/>
          <w:color w:val="000000"/>
          <w:sz w:val="20"/>
        </w:rPr>
        <w:t>A.</w:t>
      </w:r>
    </w:p>
    <w:p w14:paraId="33425D22" w14:textId="77777777" w:rsidR="00D041A2" w:rsidRDefault="00000000">
      <w:pPr>
        <w:pStyle w:val="Normal32"/>
        <w:widowControl w:val="0"/>
        <w:spacing w:before="200" w:line="260" w:lineRule="atLeast"/>
        <w:jc w:val="both"/>
      </w:pPr>
      <w:bookmarkStart w:id="3938" w:name="Bookmark_para_6_31"/>
      <w:bookmarkEnd w:id="3938"/>
      <w:r>
        <w:rPr>
          <w:rFonts w:ascii="Arial" w:eastAsia="Arial" w:hAnsi="Arial" w:cs="Arial"/>
          <w:color w:val="000000"/>
          <w:sz w:val="20"/>
        </w:rPr>
        <w:t>Plaintiffs Shane Feldman, Brian Kelly, and Paul Singleton are Maryland residents who regularly attend Washington Redskins football games at FedEx Field in Landover, Maryland. They are deaf or hard of hearing to a degree that renders them unable to benefit from assistive listening devices. Defendant Pro Football, Inc. is a Maryland corporation that owns and operates the Redskins. Defendant  [**4] WFI Stadium, Inc. is a Delaware corporation that owns and operates FedEx Field, where the Redskins play home games. FedEx Field seats more than 91,000 fans. Defendants have always provided assistive listening devices to spectators who are hard of hearing, but the 2006 football season marked the first time that defendants captioned announcements made over the stadium's public address system. This change was prompted by communications between defendants and plaintiff Feldman. Feldman first emailed defendants in 2003, introducing himself as a season ticket holder who was deaf and unable to benefit from assistive listening devices. Feldman explained that during the games he was "often at a loss" when the referees called penalties and that he was unable to catch the number of the player who just made a play. J.A. 94. His email also mentioned an incident involving pepper spray during a 2002 night game when he was unable to understand the stadium's emergency announcement. Feldman asked defendants to consider captioning the Jumbotron at FedEx Field.</w:t>
      </w:r>
    </w:p>
    <w:p w14:paraId="13FBBE91" w14:textId="77777777" w:rsidR="00D041A2" w:rsidRDefault="00000000">
      <w:pPr>
        <w:pStyle w:val="Normal32"/>
        <w:widowControl w:val="0"/>
        <w:spacing w:before="200" w:line="260" w:lineRule="atLeast"/>
        <w:jc w:val="both"/>
      </w:pPr>
      <w:bookmarkStart w:id="3939" w:name="Bookmark_para_7_31"/>
      <w:bookmarkEnd w:id="3939"/>
      <w:r>
        <w:rPr>
          <w:rFonts w:ascii="Arial" w:eastAsia="Arial" w:hAnsi="Arial" w:cs="Arial"/>
          <w:color w:val="000000"/>
          <w:sz w:val="20"/>
        </w:rPr>
        <w:t xml:space="preserve">Feldman maintained correspondence with defendants in 2004 regarding possible auxiliary aids. Defendants did not want to caption the Jumbotron because  [**5] doing so would take up one-third of the screen, significantly reducing the remaining video portion. As an alternative, defendants proposed hand-held captioning devices. Feldman responded that spectators who are deaf or hard of hearing would not be pleased with these devices, in part because of reported time delays between announcements and the appearance of the captions and the nuisance of having to glance repeatedly from the device to the field. In February 2006 the National Association of the Deaf (NAD), on behalf of Feldman, wrote to defendants and explained that as a place of public accommodation under the ADA, FedEx Field had a legal obligation to afford full and equal enjoyment of its goods, services, facilities, and privileges to spectators who are deaf or hard of hearing. The NAD demanded that defendants caption the stadium's public address system announcements on the "scoreboards/Jumbotrons." J.A. 101. Specifically, the NAD demanded captioning of "anything that is said by the referee, the public address announcer, or anyone else using the public address system." </w:t>
      </w:r>
      <w:r>
        <w:rPr>
          <w:rFonts w:ascii="Arial" w:eastAsia="Arial" w:hAnsi="Arial" w:cs="Arial"/>
          <w:color w:val="000000"/>
          <w:sz w:val="20"/>
          <w:u w:val="single"/>
        </w:rPr>
        <w:t>Id.</w:t>
      </w:r>
    </w:p>
    <w:p w14:paraId="3BCA72A7" w14:textId="77777777" w:rsidR="00D041A2" w:rsidRDefault="00000000">
      <w:pPr>
        <w:pStyle w:val="Normal32"/>
        <w:widowControl w:val="0"/>
        <w:spacing w:before="200" w:line="260" w:lineRule="atLeast"/>
        <w:jc w:val="both"/>
      </w:pPr>
      <w:bookmarkStart w:id="3940" w:name="Bookmark_para_8_30"/>
      <w:bookmarkEnd w:id="3940"/>
      <w:r>
        <w:rPr>
          <w:rFonts w:ascii="Arial" w:eastAsia="Arial" w:hAnsi="Arial" w:cs="Arial"/>
          <w:color w:val="000000"/>
          <w:sz w:val="20"/>
        </w:rPr>
        <w:t xml:space="preserve">Plaintiffs sued defendants on August 31, 2006. The complaint alleged that defendants were violating Title III  [**6] of the ADA by refusing to caption the Jumbotrons and video monitors at FedEx Field. Plaintiffs  [*385]  requested a declaratory judgment that defendants were violating the ADA and an injunction requiring defendants to "provide individuals with disabilities equal access to the benefits of [defendants'] facilities, programs, services, and activities." J.A. 16. Specifically, plaintiffs asked the court to order defendants to "provide and display captioning on the Jumbotrons and video monitors at FedEx Field for all announcements made over the public address system, including all of the plays that just occurred, all of the penalties called, safety and emergency information, and any other announcements made over the public address system." </w:t>
      </w:r>
      <w:r>
        <w:rPr>
          <w:rFonts w:ascii="Arial" w:eastAsia="Arial" w:hAnsi="Arial" w:cs="Arial"/>
          <w:color w:val="000000"/>
          <w:sz w:val="20"/>
          <w:u w:val="single"/>
        </w:rPr>
        <w:t>Id.</w:t>
      </w:r>
    </w:p>
    <w:p w14:paraId="609D506D" w14:textId="77777777" w:rsidR="00D041A2" w:rsidRDefault="00000000">
      <w:pPr>
        <w:pStyle w:val="Normal32"/>
        <w:widowControl w:val="0"/>
        <w:spacing w:before="200" w:line="260" w:lineRule="atLeast"/>
        <w:jc w:val="both"/>
      </w:pPr>
      <w:bookmarkStart w:id="3941" w:name="Bookmark_para_9_29"/>
      <w:bookmarkEnd w:id="3941"/>
      <w:r>
        <w:rPr>
          <w:rFonts w:ascii="Arial" w:eastAsia="Arial" w:hAnsi="Arial" w:cs="Arial"/>
          <w:color w:val="000000"/>
          <w:sz w:val="20"/>
        </w:rPr>
        <w:t>The first Redskins home game of the 2006 season was on September 11, 2006. During the first game the only content broadcast over the public address system that defendants captioned was an emergency evacuation video. However, defendants started captioning game information shortly thereafter at the third Redskins home game on October 15, 2006, just over a month after being served with the complaint. After receiving Feldman's criticisms of the hand-held captioning  [**7] devices in 2004, defendants had explored other options. They decided to provide most of the captioning on FedEx Field's two light-emitting diode ribbon boards (LED boards) rather than on the Jumbotrons. The LED boards are located on each side of the stadium at the fifty-yard line and are visible from almost every seat. Defendants hired a stenographer, Stephen Clark, as an independent contractor to provide the captioning.</w:t>
      </w:r>
    </w:p>
    <w:p w14:paraId="0E2344AF" w14:textId="77777777" w:rsidR="00D041A2" w:rsidRDefault="00000000">
      <w:pPr>
        <w:pStyle w:val="Normal32"/>
        <w:widowControl w:val="0"/>
        <w:spacing w:before="200" w:line="260" w:lineRule="atLeast"/>
        <w:jc w:val="both"/>
      </w:pPr>
      <w:bookmarkStart w:id="3942" w:name="Bookmark_para_10_29"/>
      <w:bookmarkEnd w:id="3942"/>
      <w:r>
        <w:rPr>
          <w:rFonts w:ascii="Arial" w:eastAsia="Arial" w:hAnsi="Arial" w:cs="Arial"/>
          <w:color w:val="000000"/>
          <w:sz w:val="20"/>
        </w:rPr>
        <w:t>During the October 15 home game defendants captioned a considerable amount of game information and other announcements. On the LED boards defendants captioned: (1) a pre-game announcement encouraging the fans to cheer; (2) after each play an announcement stating the type of play, the names of the key players involved, the number of yards gained or lost, the yard line location of the ball, the down, and the number of yards remaining until first down; (3) two-minute warning announcements and announcements that the quarter had ended; (4) the referee's penalty explanations; (5) announcements that cheerleaders were entering the field; (6) announcements regarding check presentations and other non-musical entertainment during breaks and halftime; (7) public service announcements  [**8] and advertising; and (8) the announcement of the game's end, along with the final score and information regarding the next home game. On the Jumbotrons located in the stadium bowl, defendants captioned an emergency evacuation video played before the game. Additionally, defendants provided captioning in the concourse areas of the stadium so that spectators who are deaf or hard of hearing would not lose track of what was occurring on the field when using the restroom or buying refreshments. The concourse areas contain around 150 televisions, half of which caption the network broadcast from the field while the other half display the Jumbotron video feed. Defendants continue to provide this captioning, and they represent to this court, just as they did to the district court, that they will do so indefinitely.</w:t>
      </w:r>
    </w:p>
    <w:p w14:paraId="7A0EB44E" w14:textId="77777777" w:rsidR="00D041A2" w:rsidRDefault="00000000">
      <w:pPr>
        <w:pStyle w:val="Normal32"/>
        <w:widowControl w:val="0"/>
        <w:spacing w:before="200" w:line="260" w:lineRule="atLeast"/>
        <w:jc w:val="both"/>
      </w:pPr>
      <w:bookmarkStart w:id="3943" w:name="Bookmark_para_11_28"/>
      <w:bookmarkEnd w:id="3943"/>
      <w:r>
        <w:rPr>
          <w:rFonts w:ascii="Arial" w:eastAsia="Arial" w:hAnsi="Arial" w:cs="Arial"/>
          <w:color w:val="000000"/>
          <w:sz w:val="20"/>
        </w:rPr>
        <w:t>Three months after filing their complaint, plaintiffs retained expert Lawrence Goldberg. Goldberg founded the National Center for Accessible Media, a research center dedicated to making new media technologies accessible to persons with disabilities. Goldberg attended a Redskins home game in December 2006 and wrote a report that analyzed the captioning that defendants were providing  [**9] and recommended captioning of additional aural programming, including lyrics to songs played for entertainment and a radio program (the Red Zebra program) that is broadcast in the concourse areas and is separate  [*386]  from the public address system broadcast. Goldberg based his recommendation on the principle that "if there is spoken or performed speech, or essential non-speech information provided via audio systems, a usable text-equivalent should be provided for people who cannot fully perceive such audio." J.A. 399. As he explained in his deposition: "[I]f audio is heard by a hearing person, then it has some reason for being projected; and, therefore, a deaf person should have equal access to that." J.A. 337.</w:t>
      </w:r>
    </w:p>
    <w:p w14:paraId="21280029" w14:textId="77777777" w:rsidR="00D041A2" w:rsidRDefault="00000000">
      <w:pPr>
        <w:pStyle w:val="Normal32"/>
        <w:widowControl w:val="0"/>
        <w:spacing w:before="120" w:line="260" w:lineRule="atLeast"/>
      </w:pPr>
      <w:r>
        <w:rPr>
          <w:rFonts w:ascii="Arial" w:eastAsia="Arial" w:hAnsi="Arial" w:cs="Arial"/>
          <w:color w:val="000000"/>
          <w:sz w:val="20"/>
        </w:rPr>
        <w:t>B.</w:t>
      </w:r>
    </w:p>
    <w:p w14:paraId="169AE70F" w14:textId="77777777" w:rsidR="00D041A2" w:rsidRDefault="00000000">
      <w:pPr>
        <w:pStyle w:val="Normal32"/>
        <w:widowControl w:val="0"/>
        <w:spacing w:before="200" w:line="260" w:lineRule="atLeast"/>
        <w:jc w:val="both"/>
      </w:pPr>
      <w:bookmarkStart w:id="3944" w:name="Bookmark_para_12_27"/>
      <w:bookmarkEnd w:id="3944"/>
      <w:r>
        <w:rPr>
          <w:rFonts w:ascii="Arial" w:eastAsia="Arial" w:hAnsi="Arial" w:cs="Arial"/>
          <w:color w:val="000000"/>
          <w:sz w:val="20"/>
        </w:rPr>
        <w:t>Defendants moved for summary judgment in January 2008, and plaintiffs cross-moved for summary judgment in February 2008. Defendants contended that the case was moot because they were captioning game and emergency information as requested in the complaint and would do so indefinitely. Plaintiffs responded that there remained a live controversy because defendants could, with the "flip of a switch," return to violating the ADA. J.A. 109. Further, plaintiffs alleged that defendants  [**10] continued to violate the ADA by failing to caption music lyrics and the Red Zebra radio program. Plaintiffs also maintained that defendants were not providing full aural accessibility because the LED board captions were not in the same line of sight as the Jumbotrons, but they abandoned this claim after the summary judgment hearing. Defendants urged that the court could not grant relief on the captioning of music lyrics and the radio program because these claims were outside the scope of the complaint and were raised for the first time in plaintiffs' summary judgment motion.</w:t>
      </w:r>
    </w:p>
    <w:p w14:paraId="4F9EECD6" w14:textId="77777777" w:rsidR="00D041A2" w:rsidRDefault="00000000">
      <w:pPr>
        <w:pStyle w:val="Normal32"/>
        <w:widowControl w:val="0"/>
        <w:spacing w:before="200" w:line="260" w:lineRule="atLeast"/>
        <w:jc w:val="both"/>
      </w:pPr>
      <w:bookmarkStart w:id="3945" w:name="Bookmark_para_13_25"/>
      <w:bookmarkEnd w:id="3945"/>
      <w:r>
        <w:rPr>
          <w:rFonts w:ascii="Arial" w:eastAsia="Arial" w:hAnsi="Arial" w:cs="Arial"/>
          <w:color w:val="000000"/>
          <w:sz w:val="20"/>
        </w:rPr>
        <w:t>The district court concluded that plaintiffs' case was not moot because defendants' voluntary provision of captioning did not satisfy the heavy burden of showing no reasonable expectation that the alleged ADA violations would recur. On the issue of which alleged ongoing violations were within the scope of the complaint, the district court concluded that plaintiffs' request for captioning music lyrics, but not their request for captioning the radio program, was encompassed in the complaint. The court relied upon the ongoing disputes regarding the captioning music lyrics and the line-of-sight positioning of the LED  [**11] captions to bolster its holding that the case remained live.</w:t>
      </w:r>
    </w:p>
    <w:p w14:paraId="1EF0A509" w14:textId="77777777" w:rsidR="00D041A2" w:rsidRDefault="00000000">
      <w:pPr>
        <w:pStyle w:val="Normal32"/>
        <w:widowControl w:val="0"/>
        <w:spacing w:before="200" w:line="260" w:lineRule="atLeast"/>
        <w:jc w:val="both"/>
      </w:pPr>
      <w:bookmarkStart w:id="3946" w:name="Bookmark_para_14_22"/>
      <w:bookmarkEnd w:id="3946"/>
      <w:r>
        <w:rPr>
          <w:rFonts w:ascii="Arial" w:eastAsia="Arial" w:hAnsi="Arial" w:cs="Arial"/>
          <w:color w:val="000000"/>
          <w:sz w:val="20"/>
        </w:rPr>
        <w:t>On the substance of the ADA claim, the district court awarded summary judgment to plaintiffs and held that the ADA requires defendants to provide auxiliary aids for the aural content broadcast over FedEx Field's public address system, including music lyrics. The court found it undisputed that the Redskins could provide auxiliary access to the music lyrics without undue burden. Because the ADA does not dictate a particular auxiliary aid, the court declined to issue an injunction requiring captioning as the means of access for the music lyrics. Plaintiffs do not appeal this portion of the district court's ruling. Pursuant to the district court's order defendants make available typed copies of the lyrics to plaintiffs by email before each game.</w:t>
      </w:r>
    </w:p>
    <w:p w14:paraId="10F81533" w14:textId="77777777" w:rsidR="00D041A2" w:rsidRDefault="00000000">
      <w:pPr>
        <w:pStyle w:val="Normal32"/>
        <w:widowControl w:val="0"/>
        <w:spacing w:before="120" w:line="260" w:lineRule="atLeast"/>
      </w:pPr>
      <w:r>
        <w:rPr>
          <w:rFonts w:ascii="Arial" w:eastAsia="Arial" w:hAnsi="Arial" w:cs="Arial"/>
          <w:color w:val="000000"/>
          <w:sz w:val="20"/>
        </w:rPr>
        <w:t>II.</w:t>
      </w:r>
    </w:p>
    <w:p w14:paraId="18521195" w14:textId="77777777" w:rsidR="00D041A2" w:rsidRDefault="00000000">
      <w:pPr>
        <w:pStyle w:val="Normal32"/>
        <w:widowControl w:val="0"/>
        <w:spacing w:before="200" w:line="260" w:lineRule="atLeast"/>
        <w:jc w:val="both"/>
      </w:pPr>
      <w:bookmarkStart w:id="3947" w:name="Bookmark_para_15_21"/>
      <w:bookmarkEnd w:id="3947"/>
      <w:r>
        <w:rPr>
          <w:rFonts w:ascii="Arial" w:eastAsia="Arial" w:hAnsi="Arial" w:cs="Arial"/>
          <w:color w:val="000000"/>
          <w:sz w:val="20"/>
        </w:rPr>
        <w:t>On appeal defendants maintain that the district court erroneously held (1) that plaintiffs' claims were not moot and (2) that the ADA requires defendants to provide auxiliary aids for aural content broadcast over FedEx Field's public address system. Defendants take particular issue with the court's conclusion that the ADA requires them to furnish plaintiffs with access to the lyrics  [**12] to music that is played over the public address system. Plaintiffs cross appeal, arguing that the district court wrongly construed their request for captioning the radio program as outside  [*387]  the scope of the complaint. Alternatively, plaintiffs contend that their request for captioning the Red Zebra radio program was tried by consent of the parties. We affirm the district court's order in its entirety.</w:t>
      </w:r>
    </w:p>
    <w:p w14:paraId="1F79429E" w14:textId="77777777" w:rsidR="00D041A2" w:rsidRDefault="00000000">
      <w:pPr>
        <w:pStyle w:val="Normal32"/>
        <w:widowControl w:val="0"/>
        <w:spacing w:before="120" w:line="260" w:lineRule="atLeast"/>
      </w:pPr>
      <w:r>
        <w:rPr>
          <w:rFonts w:ascii="Arial" w:eastAsia="Arial" w:hAnsi="Arial" w:cs="Arial"/>
          <w:color w:val="000000"/>
          <w:sz w:val="20"/>
        </w:rPr>
        <w:t>A.</w:t>
      </w:r>
    </w:p>
    <w:p w14:paraId="09FD77CD" w14:textId="77777777" w:rsidR="00D041A2" w:rsidRDefault="00000000">
      <w:pPr>
        <w:pStyle w:val="Normal32"/>
        <w:widowControl w:val="0"/>
        <w:spacing w:before="200" w:line="260" w:lineRule="atLeast"/>
        <w:jc w:val="both"/>
      </w:pPr>
      <w:bookmarkStart w:id="3948" w:name="Bookmark_para_16_21"/>
      <w:bookmarkStart w:id="3949" w:name="Bookmark_I52N4R670K51070020000400"/>
      <w:bookmarkStart w:id="3950" w:name="Bookmark_I7GG5HTCM8W000G4PRK000YY"/>
      <w:bookmarkStart w:id="3951" w:name="Bookmark_I52N4R670K51070040000400"/>
      <w:bookmarkStart w:id="3952" w:name="Bookmark_I52N4R8P0K51V60010000400"/>
      <w:bookmarkEnd w:id="3948"/>
      <w:bookmarkEnd w:id="3949"/>
      <w:bookmarkEnd w:id="3950"/>
      <w:bookmarkEnd w:id="3951"/>
      <w:bookmarkEnd w:id="3952"/>
      <w:r>
        <w:rPr>
          <w:rFonts w:ascii="Arial" w:eastAsia="Arial" w:hAnsi="Arial" w:cs="Arial"/>
          <w:color w:val="000000"/>
          <w:sz w:val="20"/>
        </w:rPr>
        <w:t xml:space="preserve">We first address defendants' assertion that plaintiffs' claims are moot. </w:t>
      </w:r>
      <w:bookmarkStart w:id="3953" w:name="Bookmark_LNHNREFclscc1_24"/>
      <w:bookmarkEnd w:id="3953"/>
      <w:r>
        <w:rPr>
          <w:rFonts w:ascii="Arial" w:eastAsia="Arial" w:hAnsi="Arial" w:cs="Arial"/>
          <w:color w:val="000000"/>
          <w:sz w:val="20"/>
        </w:rPr>
        <w:t xml:space="preserve">We review the district court's ruling on constitutional mootness de novo. </w:t>
      </w:r>
      <w:r>
        <w:rPr>
          <w:rFonts w:ascii="Arial" w:eastAsia="Arial" w:hAnsi="Arial" w:cs="Arial"/>
          <w:vertAlign w:val="superscript"/>
        </w:rPr>
        <w:footnoteReference w:customMarkFollows="1" w:id="193"/>
        <w:t>2</w:t>
      </w:r>
      <w:r>
        <w:rPr>
          <w:rFonts w:ascii="Arial" w:eastAsia="Arial" w:hAnsi="Arial" w:cs="Arial"/>
          <w:color w:val="000000"/>
          <w:sz w:val="20"/>
        </w:rPr>
        <w:t xml:space="preserve"> </w:t>
      </w:r>
      <w:bookmarkStart w:id="3955" w:name="Bookmark_I52N4R670K51070010000400"/>
      <w:bookmarkEnd w:id="3955"/>
      <w:r>
        <w:rPr>
          <w:rFonts w:ascii="Arial" w:eastAsia="Arial" w:hAnsi="Arial" w:cs="Arial"/>
          <w:color w:val="000000"/>
          <w:sz w:val="20"/>
          <w:u w:val="single"/>
        </w:rPr>
        <w:t>Green v. City of Raleigh</w:t>
      </w:r>
      <w:r>
        <w:rPr>
          <w:rFonts w:ascii="Arial" w:eastAsia="Arial" w:hAnsi="Arial" w:cs="Arial"/>
          <w:color w:val="000000"/>
          <w:sz w:val="20"/>
        </w:rPr>
        <w:t xml:space="preserve">, 523 F.3d 293, 298 (4th Cir. 2008). </w:t>
      </w:r>
      <w:bookmarkStart w:id="3956" w:name="Bookmark_I52N4R8P0K51V60030000400"/>
      <w:bookmarkEnd w:id="3956"/>
      <w:r>
        <w:rPr>
          <w:rFonts w:ascii="Arial" w:eastAsia="Arial" w:hAnsi="Arial" w:cs="Arial"/>
          <w:color w:val="000000"/>
          <w:sz w:val="20"/>
        </w:rPr>
        <w:t xml:space="preserve">A "case is moot when the issues presented are no longer 'live' or the parties lack a legally cognizable interest in the outcome." </w:t>
      </w:r>
      <w:bookmarkStart w:id="3957" w:name="Bookmark_I52N4R670K51070030000400"/>
      <w:bookmarkEnd w:id="3957"/>
      <w:r>
        <w:rPr>
          <w:rFonts w:ascii="Arial" w:eastAsia="Arial" w:hAnsi="Arial" w:cs="Arial"/>
          <w:color w:val="000000"/>
          <w:sz w:val="20"/>
          <w:u w:val="single"/>
        </w:rPr>
        <w:t>Powell v. McCormack</w:t>
      </w:r>
      <w:r>
        <w:rPr>
          <w:rFonts w:ascii="Arial" w:eastAsia="Arial" w:hAnsi="Arial" w:cs="Arial"/>
          <w:color w:val="000000"/>
          <w:sz w:val="20"/>
        </w:rPr>
        <w:t xml:space="preserve">, 395 U.S. 486, 496, 89 S. Ct. 1944, 23 L. Ed. 2d 491 (1969). "Litigation may become moot during the pendency of an appeal." </w:t>
      </w:r>
      <w:bookmarkStart w:id="3958" w:name="Bookmark_I52N4R670K51070050000400"/>
      <w:bookmarkEnd w:id="3958"/>
      <w:r>
        <w:rPr>
          <w:rFonts w:ascii="Arial" w:eastAsia="Arial" w:hAnsi="Arial" w:cs="Arial"/>
          <w:color w:val="000000"/>
          <w:sz w:val="20"/>
          <w:u w:val="single"/>
        </w:rPr>
        <w:t>Incumaa v. Ozmint</w:t>
      </w:r>
      <w:r>
        <w:rPr>
          <w:rFonts w:ascii="Arial" w:eastAsia="Arial" w:hAnsi="Arial" w:cs="Arial"/>
          <w:color w:val="000000"/>
          <w:sz w:val="20"/>
        </w:rPr>
        <w:t xml:space="preserve">, 507 F.3d 281, 286 (4th Cir. 2007). </w:t>
      </w:r>
      <w:bookmarkStart w:id="3959" w:name="Bookmark_I52N4R8P0K51V60030000400_2"/>
      <w:bookmarkEnd w:id="3959"/>
      <w:r>
        <w:rPr>
          <w:rFonts w:ascii="Arial" w:eastAsia="Arial" w:hAnsi="Arial" w:cs="Arial"/>
          <w:color w:val="000000"/>
          <w:sz w:val="20"/>
        </w:rPr>
        <w:t xml:space="preserve">"The requisite personal interest that must exist at the commencement of the litigation . . . must continue throughout its existence." </w:t>
      </w:r>
      <w:bookmarkStart w:id="3960" w:name="Bookmark_I52N4R8P0K51V60020000400"/>
      <w:bookmarkEnd w:id="3960"/>
      <w:r>
        <w:rPr>
          <w:rFonts w:ascii="Arial" w:eastAsia="Arial" w:hAnsi="Arial" w:cs="Arial"/>
          <w:color w:val="000000"/>
          <w:sz w:val="20"/>
          <w:u w:val="single"/>
        </w:rPr>
        <w:t>United States Parole Comm'n v. Geraghty</w:t>
      </w:r>
      <w:r>
        <w:rPr>
          <w:rFonts w:ascii="Arial" w:eastAsia="Arial" w:hAnsi="Arial" w:cs="Arial"/>
          <w:color w:val="000000"/>
          <w:sz w:val="20"/>
        </w:rPr>
        <w:t xml:space="preserve">, 445 U.S. 388, 397, 100 S. Ct. 1202, 63 L. Ed. 2d 479 (1980) (quoting Henry P. Monaghan, </w:t>
      </w:r>
      <w:r>
        <w:rPr>
          <w:rFonts w:ascii="Arial" w:eastAsia="Arial" w:hAnsi="Arial" w:cs="Arial"/>
          <w:color w:val="000000"/>
          <w:sz w:val="20"/>
          <w:u w:val="single"/>
        </w:rPr>
        <w:t>Constitutional Adjudication: The Who and When</w:t>
      </w:r>
      <w:r>
        <w:rPr>
          <w:rFonts w:ascii="Arial" w:eastAsia="Arial" w:hAnsi="Arial" w:cs="Arial"/>
          <w:color w:val="000000"/>
          <w:sz w:val="20"/>
        </w:rPr>
        <w:t>, 82 Yale L.J. 1363, 1384 (1973)).</w:t>
      </w:r>
    </w:p>
    <w:p w14:paraId="5BE9A320" w14:textId="77777777" w:rsidR="00D041A2" w:rsidRDefault="00000000">
      <w:pPr>
        <w:pStyle w:val="Normal32"/>
        <w:widowControl w:val="0"/>
        <w:spacing w:before="200" w:line="260" w:lineRule="atLeast"/>
        <w:jc w:val="both"/>
      </w:pPr>
      <w:bookmarkStart w:id="3961" w:name="Bookmark_para_17_20"/>
      <w:bookmarkStart w:id="3962" w:name="Bookmark_I52N4R8P0K51V60050000400"/>
      <w:bookmarkStart w:id="3963" w:name="Bookmark_I52N4R8S0K51W80020000400"/>
      <w:bookmarkStart w:id="3964" w:name="Bookmark_LNHNREFclscc2_24"/>
      <w:bookmarkEnd w:id="3961"/>
      <w:bookmarkEnd w:id="3962"/>
      <w:bookmarkEnd w:id="3963"/>
      <w:bookmarkEnd w:id="3964"/>
      <w:r>
        <w:rPr>
          <w:rFonts w:ascii="Arial" w:eastAsia="Arial" w:hAnsi="Arial" w:cs="Arial"/>
          <w:color w:val="000000"/>
          <w:sz w:val="20"/>
        </w:rPr>
        <w:t xml:space="preserve">A case may remain live even if the events giving rise to the lawsuit cease. </w:t>
      </w:r>
      <w:bookmarkStart w:id="3965" w:name="Bookmark_I52N4RC30K52PT0010000400"/>
      <w:bookmarkEnd w:id="3965"/>
      <w:r>
        <w:rPr>
          <w:rFonts w:ascii="Arial" w:eastAsia="Arial" w:hAnsi="Arial" w:cs="Arial"/>
          <w:color w:val="000000"/>
          <w:sz w:val="20"/>
        </w:rPr>
        <w:t xml:space="preserve">The "voluntary discontinuance of challenged activities by a defendant does not necessarily moot a lawsuit." </w:t>
      </w:r>
      <w:bookmarkStart w:id="3966" w:name="Bookmark_I52N4R8P0K51V60040000400"/>
      <w:bookmarkEnd w:id="3966"/>
      <w:r>
        <w:rPr>
          <w:rFonts w:ascii="Arial" w:eastAsia="Arial" w:hAnsi="Arial" w:cs="Arial"/>
          <w:color w:val="000000"/>
          <w:sz w:val="20"/>
          <w:u w:val="single"/>
        </w:rPr>
        <w:t>United States v. Jones</w:t>
      </w:r>
      <w:r>
        <w:rPr>
          <w:rFonts w:ascii="Arial" w:eastAsia="Arial" w:hAnsi="Arial" w:cs="Arial"/>
          <w:color w:val="000000"/>
          <w:sz w:val="20"/>
        </w:rPr>
        <w:t>, 136 F.3d 342, 348 (4th Cir. 1998). The exception to this general rule is when there is "</w:t>
      </w:r>
      <w:r>
        <w:rPr>
          <w:rFonts w:ascii="Arial" w:eastAsia="Arial" w:hAnsi="Arial" w:cs="Arial"/>
          <w:color w:val="000000"/>
          <w:sz w:val="20"/>
          <w:u w:val="single"/>
        </w:rPr>
        <w:t>no</w:t>
      </w:r>
      <w:r>
        <w:rPr>
          <w:rFonts w:ascii="Arial" w:eastAsia="Arial" w:hAnsi="Arial" w:cs="Arial"/>
          <w:color w:val="000000"/>
          <w:sz w:val="20"/>
        </w:rPr>
        <w:t xml:space="preserve"> reasonable expectation that the wrong will be repeated." </w:t>
      </w:r>
      <w:bookmarkStart w:id="3967" w:name="Bookmark_I52N4R8S0K51W80010000400"/>
      <w:bookmarkEnd w:id="3967"/>
      <w:r>
        <w:rPr>
          <w:rFonts w:ascii="Arial" w:eastAsia="Arial" w:hAnsi="Arial" w:cs="Arial"/>
          <w:color w:val="000000"/>
          <w:sz w:val="20"/>
          <w:u w:val="single"/>
        </w:rPr>
        <w:t>Lyons P'Ship, L.P. v. Morris Costumes, Inc.</w:t>
      </w:r>
      <w:r>
        <w:rPr>
          <w:rFonts w:ascii="Arial" w:eastAsia="Arial" w:hAnsi="Arial" w:cs="Arial"/>
          <w:color w:val="000000"/>
          <w:sz w:val="20"/>
        </w:rPr>
        <w:t xml:space="preserve">, 243 F.3d 789, 800 (4th Cir. 2001) (quoting </w:t>
      </w:r>
      <w:bookmarkStart w:id="3968" w:name="Bookmark_I52N4R8S0K51W80030000400"/>
      <w:bookmarkEnd w:id="3968"/>
      <w:r>
        <w:rPr>
          <w:rFonts w:ascii="Arial" w:eastAsia="Arial" w:hAnsi="Arial" w:cs="Arial"/>
          <w:color w:val="000000"/>
          <w:sz w:val="20"/>
          <w:u w:val="single"/>
        </w:rPr>
        <w:t>United States v. W.T. Grant Co.</w:t>
      </w:r>
      <w:r>
        <w:rPr>
          <w:rFonts w:ascii="Arial" w:eastAsia="Arial" w:hAnsi="Arial" w:cs="Arial"/>
          <w:color w:val="000000"/>
          <w:sz w:val="20"/>
        </w:rPr>
        <w:t xml:space="preserve">, 345 U.S. 629, 633, 73 S. Ct. 894, 97 L. Ed. 1303 (1953) (emphasis added)). </w:t>
      </w:r>
      <w:bookmarkStart w:id="3969" w:name="Bookmark_I52N4RC30K52PT0010000400_2"/>
      <w:bookmarkEnd w:id="3969"/>
      <w:r>
        <w:rPr>
          <w:rFonts w:ascii="Arial" w:eastAsia="Arial" w:hAnsi="Arial" w:cs="Arial"/>
          <w:color w:val="000000"/>
          <w:sz w:val="20"/>
        </w:rPr>
        <w:t xml:space="preserve">"But this exception is just that - an exception - and defendants 'face a heavy burden to establish mootness in such cases because otherwise they would simply be free to return to [their] old ways' after the threat of a lawsuit has passed." </w:t>
      </w:r>
      <w:r>
        <w:rPr>
          <w:rFonts w:ascii="Arial" w:eastAsia="Arial" w:hAnsi="Arial" w:cs="Arial"/>
          <w:color w:val="000000"/>
          <w:sz w:val="20"/>
          <w:u w:val="single"/>
        </w:rPr>
        <w:t>Id.</w:t>
      </w:r>
      <w:r>
        <w:rPr>
          <w:rFonts w:ascii="Arial" w:eastAsia="Arial" w:hAnsi="Arial" w:cs="Arial"/>
          <w:color w:val="000000"/>
          <w:sz w:val="20"/>
        </w:rPr>
        <w:t xml:space="preserve"> (quoting </w:t>
      </w:r>
      <w:bookmarkStart w:id="3970" w:name="Bookmark_I52N4R8S0K51W80050000400"/>
      <w:bookmarkEnd w:id="3970"/>
      <w:r>
        <w:rPr>
          <w:rFonts w:ascii="Arial" w:eastAsia="Arial" w:hAnsi="Arial" w:cs="Arial"/>
          <w:color w:val="000000"/>
          <w:sz w:val="20"/>
          <w:u w:val="single"/>
        </w:rPr>
        <w:t>W.T. Grant</w:t>
      </w:r>
      <w:r>
        <w:rPr>
          <w:rFonts w:ascii="Arial" w:eastAsia="Arial" w:hAnsi="Arial" w:cs="Arial"/>
          <w:color w:val="000000"/>
          <w:sz w:val="20"/>
        </w:rPr>
        <w:t>, 345 U.S. at 632).</w:t>
      </w:r>
    </w:p>
    <w:p w14:paraId="2D23F08C" w14:textId="77777777" w:rsidR="00D041A2" w:rsidRDefault="00000000">
      <w:pPr>
        <w:pStyle w:val="Normal32"/>
        <w:widowControl w:val="0"/>
        <w:spacing w:before="200" w:line="260" w:lineRule="atLeast"/>
        <w:jc w:val="both"/>
      </w:pPr>
      <w:bookmarkStart w:id="3971" w:name="Bookmark_para_18_18"/>
      <w:bookmarkStart w:id="3972" w:name="Bookmark_I52N4RC30K52PT0030000400"/>
      <w:bookmarkEnd w:id="3971"/>
      <w:bookmarkEnd w:id="3972"/>
      <w:r>
        <w:rPr>
          <w:rFonts w:ascii="Arial" w:eastAsia="Arial" w:hAnsi="Arial" w:cs="Arial"/>
          <w:color w:val="000000"/>
          <w:sz w:val="20"/>
        </w:rPr>
        <w:t xml:space="preserve">While we commend defendants for providing most of the relief that plaintiffs requested and for engaging with plaintiffs on the benefits and burdens of particular auxiliary aids, we agree with the district court that defendants have not discharged their heavy burden of showing no  [**14] reasonable expectation that they will repeat their alleged wrongs. </w:t>
      </w:r>
      <w:bookmarkStart w:id="3973" w:name="Bookmark_I52N4RC30K52PT0050000400"/>
      <w:bookmarkEnd w:id="3973"/>
      <w:r>
        <w:rPr>
          <w:rFonts w:ascii="Arial" w:eastAsia="Arial" w:hAnsi="Arial" w:cs="Arial"/>
          <w:color w:val="000000"/>
          <w:sz w:val="20"/>
        </w:rPr>
        <w:t xml:space="preserve">Although defendants were investigating possible auxiliary aids years before plaintiffs' lawsuit, they did not actually provide captioning until after plaintiffs filed their complaint. </w:t>
      </w:r>
      <w:r>
        <w:rPr>
          <w:rFonts w:ascii="Arial" w:eastAsia="Arial" w:hAnsi="Arial" w:cs="Arial"/>
          <w:color w:val="000000"/>
          <w:sz w:val="20"/>
          <w:u w:val="single"/>
        </w:rPr>
        <w:t xml:space="preserve">See </w:t>
      </w:r>
      <w:bookmarkStart w:id="3974" w:name="Bookmark_I52N4RC30K52PT0020000400"/>
      <w:bookmarkEnd w:id="3974"/>
      <w:r>
        <w:rPr>
          <w:rFonts w:ascii="Arial" w:eastAsia="Arial" w:hAnsi="Arial" w:cs="Arial"/>
          <w:color w:val="000000"/>
          <w:sz w:val="20"/>
          <w:u w:val="single"/>
        </w:rPr>
        <w:t>Sheely v. MRI Radiology Network, P.A.</w:t>
      </w:r>
      <w:r>
        <w:rPr>
          <w:rFonts w:ascii="Arial" w:eastAsia="Arial" w:hAnsi="Arial" w:cs="Arial"/>
          <w:color w:val="000000"/>
          <w:sz w:val="20"/>
        </w:rPr>
        <w:t xml:space="preserve">, 505 F.3d 1173, 1184 (11th Cir. 2007) (noting that "whether the defendant's cessation of the offending conduct was motivated by a genuine change of heart or timed to anticipate suit" is relevant to the voluntary cessation analysis). </w:t>
      </w:r>
      <w:bookmarkStart w:id="3975" w:name="Bookmark_I52N4RC30K52PT0050000400_2"/>
      <w:bookmarkEnd w:id="3975"/>
      <w:r>
        <w:rPr>
          <w:rFonts w:ascii="Arial" w:eastAsia="Arial" w:hAnsi="Arial" w:cs="Arial"/>
          <w:color w:val="000000"/>
          <w:sz w:val="20"/>
        </w:rPr>
        <w:t xml:space="preserve">Further, this is not a case in which plaintiffs "control[] [their] own fate." </w:t>
      </w:r>
      <w:bookmarkStart w:id="3976" w:name="Bookmark_I52N4RC30K52PT0040000400"/>
      <w:bookmarkEnd w:id="3976"/>
      <w:r>
        <w:rPr>
          <w:rFonts w:ascii="Arial" w:eastAsia="Arial" w:hAnsi="Arial" w:cs="Arial"/>
          <w:color w:val="000000"/>
          <w:sz w:val="20"/>
          <w:u w:val="single"/>
        </w:rPr>
        <w:t>Incumaa</w:t>
      </w:r>
      <w:r>
        <w:rPr>
          <w:rFonts w:ascii="Arial" w:eastAsia="Arial" w:hAnsi="Arial" w:cs="Arial"/>
          <w:color w:val="000000"/>
          <w:sz w:val="20"/>
        </w:rPr>
        <w:t xml:space="preserve">, 507 F.3d at 289. Defendants maintain complete control over the captioning. </w:t>
      </w:r>
      <w:bookmarkStart w:id="3977" w:name="Bookmark_I52N4RDV0K53GG0020000400"/>
      <w:bookmarkEnd w:id="3977"/>
      <w:r>
        <w:rPr>
          <w:rFonts w:ascii="Arial" w:eastAsia="Arial" w:hAnsi="Arial" w:cs="Arial"/>
          <w:color w:val="000000"/>
          <w:sz w:val="20"/>
        </w:rPr>
        <w:t xml:space="preserve">They hired one stenographer, Stephen Clark, as an independent contractor to provide the captioning. If Clark for some reason cannot provide his services at a Redskins home game, he arranges for another certified stenographer to take his place. Given the ease with which defendants could stop providing captioning, we simply cannot say that they have made an affirmative showing that the continuation of their alleged ADA violations is "nearly impossible." </w:t>
      </w:r>
      <w:bookmarkStart w:id="3978" w:name="Bookmark_I52N4RDV0K53GG0010000400"/>
      <w:bookmarkEnd w:id="3978"/>
      <w:r>
        <w:rPr>
          <w:rFonts w:ascii="Arial" w:eastAsia="Arial" w:hAnsi="Arial" w:cs="Arial"/>
          <w:color w:val="000000"/>
          <w:sz w:val="20"/>
          <w:u w:val="single"/>
        </w:rPr>
        <w:t>Lyons</w:t>
      </w:r>
      <w:r>
        <w:rPr>
          <w:rFonts w:ascii="Arial" w:eastAsia="Arial" w:hAnsi="Arial" w:cs="Arial"/>
          <w:color w:val="000000"/>
          <w:sz w:val="20"/>
        </w:rPr>
        <w:t xml:space="preserve">, 243 F.3d at 800; </w:t>
      </w:r>
      <w:r>
        <w:rPr>
          <w:rFonts w:ascii="Arial" w:eastAsia="Arial" w:hAnsi="Arial" w:cs="Arial"/>
          <w:color w:val="000000"/>
          <w:sz w:val="20"/>
          <w:u w:val="single"/>
        </w:rPr>
        <w:t xml:space="preserve">see also </w:t>
      </w:r>
      <w:bookmarkStart w:id="3979" w:name="Bookmark_I52N4RDV0K53GG0030000400"/>
      <w:bookmarkEnd w:id="3979"/>
      <w:r>
        <w:rPr>
          <w:rFonts w:ascii="Arial" w:eastAsia="Arial" w:hAnsi="Arial" w:cs="Arial"/>
          <w:color w:val="000000"/>
          <w:sz w:val="20"/>
          <w:u w:val="single"/>
        </w:rPr>
        <w:t>Tandy v. City of Wichita</w:t>
      </w:r>
      <w:r>
        <w:rPr>
          <w:rFonts w:ascii="Arial" w:eastAsia="Arial" w:hAnsi="Arial" w:cs="Arial"/>
          <w:color w:val="000000"/>
          <w:sz w:val="20"/>
        </w:rPr>
        <w:t>, 380 F.3d 1277, 1291  [*388]  (10th Cir. 2004)  [**15] (observing in an ADA case that defendants' heavy burden under the voluntary cessation doctrine is "typically . . . met only by changes that are permanent in nature and that foreclose a reasonable chance of recurrence").</w:t>
      </w:r>
    </w:p>
    <w:p w14:paraId="56CFF03E" w14:textId="77777777" w:rsidR="00D041A2" w:rsidRDefault="00000000">
      <w:pPr>
        <w:pStyle w:val="Normal32"/>
        <w:widowControl w:val="0"/>
        <w:spacing w:before="200" w:line="260" w:lineRule="atLeast"/>
        <w:jc w:val="both"/>
      </w:pPr>
      <w:bookmarkStart w:id="3980" w:name="Bookmark_para_19_18"/>
      <w:bookmarkEnd w:id="3980"/>
      <w:r>
        <w:rPr>
          <w:rFonts w:ascii="Arial" w:eastAsia="Arial" w:hAnsi="Arial" w:cs="Arial"/>
          <w:color w:val="000000"/>
          <w:sz w:val="20"/>
        </w:rPr>
        <w:t xml:space="preserve">Equally important is the continued existence of a live dispute over captioning music lyrics at Redskins games. </w:t>
      </w:r>
      <w:bookmarkStart w:id="3981" w:name="Bookmark_I52N4RF60K53M60010000400"/>
      <w:bookmarkEnd w:id="3981"/>
      <w:r>
        <w:rPr>
          <w:rFonts w:ascii="Arial" w:eastAsia="Arial" w:hAnsi="Arial" w:cs="Arial"/>
          <w:color w:val="000000"/>
          <w:sz w:val="20"/>
        </w:rPr>
        <w:t xml:space="preserve">The district court construed plaintiffs' complaint to encompass a request for captioning of music lyrics. Because defendants had not provided auxiliary aids for the lyrics, the court concluded that this issue also remained live. As explained below, we agree with the district court's construction of the complaint and therefore hold that plaintiffs' case was not moot when the court ruled on the parties' summary judgment motions, nor is the case moot before this court. </w:t>
      </w:r>
      <w:bookmarkStart w:id="3982" w:name="Bookmark_I52N4RDV0K53GG0050000400"/>
      <w:bookmarkEnd w:id="3982"/>
      <w:r>
        <w:rPr>
          <w:rFonts w:ascii="Arial" w:eastAsia="Arial" w:hAnsi="Arial" w:cs="Arial"/>
          <w:color w:val="000000"/>
          <w:sz w:val="20"/>
          <w:u w:val="single"/>
        </w:rPr>
        <w:t>Ramer v. Saxbe</w:t>
      </w:r>
      <w:r>
        <w:rPr>
          <w:rFonts w:ascii="Arial" w:eastAsia="Arial" w:hAnsi="Arial" w:cs="Arial"/>
          <w:color w:val="000000"/>
          <w:sz w:val="20"/>
        </w:rPr>
        <w:t xml:space="preserve">, 522 F.2d 695, 704, 173 U.S. App. D.C. 83 (D.C. Cir. 1975) ("A case is not moot so long as any single claim for relief remains viable, whether that claim was the primary or secondary relief originally sought.") (citing </w:t>
      </w:r>
      <w:bookmarkStart w:id="3983" w:name="Bookmark_I52N4RF60K53M60020000400"/>
      <w:bookmarkEnd w:id="3983"/>
      <w:r>
        <w:rPr>
          <w:rFonts w:ascii="Arial" w:eastAsia="Arial" w:hAnsi="Arial" w:cs="Arial"/>
          <w:color w:val="000000"/>
          <w:sz w:val="20"/>
          <w:u w:val="single"/>
        </w:rPr>
        <w:t>Powell</w:t>
      </w:r>
      <w:r>
        <w:rPr>
          <w:rFonts w:ascii="Arial" w:eastAsia="Arial" w:hAnsi="Arial" w:cs="Arial"/>
          <w:color w:val="000000"/>
          <w:sz w:val="20"/>
        </w:rPr>
        <w:t>, 395 U.S. at 496-97).</w:t>
      </w:r>
    </w:p>
    <w:p w14:paraId="02405C02" w14:textId="77777777" w:rsidR="00D041A2" w:rsidRDefault="00000000">
      <w:pPr>
        <w:pStyle w:val="Normal32"/>
        <w:widowControl w:val="0"/>
        <w:spacing w:before="200" w:line="260" w:lineRule="atLeast"/>
        <w:jc w:val="both"/>
      </w:pPr>
      <w:bookmarkStart w:id="3984" w:name="Bookmark_para_20_18"/>
      <w:bookmarkEnd w:id="3984"/>
      <w:r>
        <w:rPr>
          <w:rFonts w:ascii="Arial" w:eastAsia="Arial" w:hAnsi="Arial" w:cs="Arial"/>
          <w:color w:val="000000"/>
          <w:sz w:val="20"/>
        </w:rPr>
        <w:t>Defendants argue that even if plaintiffs' request for captioning music lyrics is a live claim, this request must be separated for mootness purposes from captioning  [**16] emergency and game-related information that defendants are voluntarily providing. Because we agree with the district court that defendants have not shown that a continuation of their alleged ADA violations is nearly impossible, we likewise treat all of plaintiffs' requested relief as presenting a live claim.</w:t>
      </w:r>
    </w:p>
    <w:p w14:paraId="7A167843" w14:textId="77777777" w:rsidR="00D041A2" w:rsidRDefault="00000000">
      <w:pPr>
        <w:pStyle w:val="Normal32"/>
        <w:widowControl w:val="0"/>
        <w:spacing w:before="120" w:line="260" w:lineRule="atLeast"/>
      </w:pPr>
      <w:r>
        <w:rPr>
          <w:rFonts w:ascii="Arial" w:eastAsia="Arial" w:hAnsi="Arial" w:cs="Arial"/>
          <w:color w:val="000000"/>
          <w:sz w:val="20"/>
        </w:rPr>
        <w:t>B.</w:t>
      </w:r>
    </w:p>
    <w:p w14:paraId="4B10A3BE" w14:textId="77777777" w:rsidR="00D041A2" w:rsidRDefault="00000000">
      <w:pPr>
        <w:pStyle w:val="Normal32"/>
        <w:widowControl w:val="0"/>
        <w:spacing w:before="200" w:line="260" w:lineRule="atLeast"/>
        <w:jc w:val="both"/>
      </w:pPr>
      <w:bookmarkStart w:id="3985" w:name="Bookmark_para_21_18"/>
      <w:bookmarkStart w:id="3986" w:name="Bookmark_I52N4RF60K53M60050000400"/>
      <w:bookmarkEnd w:id="3985"/>
      <w:bookmarkEnd w:id="3986"/>
      <w:r>
        <w:rPr>
          <w:rFonts w:ascii="Arial" w:eastAsia="Arial" w:hAnsi="Arial" w:cs="Arial"/>
          <w:color w:val="000000"/>
          <w:sz w:val="20"/>
        </w:rPr>
        <w:t xml:space="preserve">We now turn to the district court's interpretation of plaintiffs' complaint. </w:t>
      </w:r>
      <w:bookmarkStart w:id="3987" w:name="Bookmark_LNHNREFclscc3_22"/>
      <w:bookmarkEnd w:id="3987"/>
      <w:r>
        <w:rPr>
          <w:rFonts w:ascii="Arial" w:eastAsia="Arial" w:hAnsi="Arial" w:cs="Arial"/>
          <w:color w:val="000000"/>
          <w:sz w:val="20"/>
        </w:rPr>
        <w:t xml:space="preserve">Federal Rule of Civil Procedure 8(a) requires a "pleading that states a claim for relief" to include "a short and plain statement of the claim showing that the pleader is entitled to relief" and "a demand for the relief sought, which may include relief in the alternative or different types of relief." The statement of the claim must give the defendant "fair notice" of the claim and the "grounds upon which it rests." </w:t>
      </w:r>
      <w:bookmarkStart w:id="3988" w:name="Bookmark_I52N4RF60K53M60040000400"/>
      <w:bookmarkEnd w:id="3988"/>
      <w:r>
        <w:rPr>
          <w:rFonts w:ascii="Arial" w:eastAsia="Arial" w:hAnsi="Arial" w:cs="Arial"/>
          <w:color w:val="000000"/>
          <w:sz w:val="20"/>
          <w:u w:val="single"/>
        </w:rPr>
        <w:t>Bell Atl. Corp. v. Twombly</w:t>
      </w:r>
      <w:r>
        <w:rPr>
          <w:rFonts w:ascii="Arial" w:eastAsia="Arial" w:hAnsi="Arial" w:cs="Arial"/>
          <w:color w:val="000000"/>
          <w:sz w:val="20"/>
        </w:rPr>
        <w:t xml:space="preserve">, 550 U.S. 544, 555, 127 S. Ct. 1955, 167 L. Ed. 2d 929 (2007). A "formulaic recitation of the elements of a cause of action will not do." </w:t>
      </w:r>
      <w:r>
        <w:rPr>
          <w:rFonts w:ascii="Arial" w:eastAsia="Arial" w:hAnsi="Arial" w:cs="Arial"/>
          <w:color w:val="000000"/>
          <w:sz w:val="20"/>
          <w:u w:val="single"/>
        </w:rPr>
        <w:t>Id.</w:t>
      </w:r>
      <w:r>
        <w:rPr>
          <w:rFonts w:ascii="Arial" w:eastAsia="Arial" w:hAnsi="Arial" w:cs="Arial"/>
          <w:color w:val="000000"/>
          <w:sz w:val="20"/>
        </w:rPr>
        <w:t xml:space="preserve"> "Factual allegations must be enough to raise a right to relief above the speculative level." </w:t>
      </w:r>
      <w:r>
        <w:rPr>
          <w:rFonts w:ascii="Arial" w:eastAsia="Arial" w:hAnsi="Arial" w:cs="Arial"/>
          <w:color w:val="000000"/>
          <w:sz w:val="20"/>
          <w:u w:val="single"/>
        </w:rPr>
        <w:t>Id.</w:t>
      </w:r>
    </w:p>
    <w:p w14:paraId="5866951A" w14:textId="77777777" w:rsidR="00D041A2" w:rsidRDefault="00000000">
      <w:pPr>
        <w:pStyle w:val="Normal32"/>
        <w:widowControl w:val="0"/>
        <w:spacing w:before="200" w:line="260" w:lineRule="atLeast"/>
        <w:jc w:val="both"/>
      </w:pPr>
      <w:bookmarkStart w:id="3989" w:name="Bookmark_para_22_18"/>
      <w:bookmarkEnd w:id="3989"/>
      <w:r>
        <w:rPr>
          <w:rFonts w:ascii="Arial" w:eastAsia="Arial" w:hAnsi="Arial" w:cs="Arial"/>
          <w:color w:val="000000"/>
          <w:sz w:val="20"/>
        </w:rPr>
        <w:t>Plaintiffs did not explicitly request that defendants caption the music lyrics accompanying the football game; this specificity appeared for the first time in plaintiffs'  [**17] summary judgment motion. Although the complaint never explicitly mentions music lyrics, it does refer repeatedly to "announcements made over the public address system" and "captioning on the Jumbotrons and video monitors." J.A. 8, 10, 11, 12, 15, 16. Besides requesting captioning of "plays that just occurred," "penalties called," and "safety and emergency information," plaintiffs requested captioning of "any other announcements made over the public address system." J.A. 16. The complaint also referred to "equal access to the information . . . made over the public address system." J.A. 15. Music is part of the aural content that defendants broadcast on FedEx Field's public address system. By repeatedly referring to the "public address system," plaintiffs gave defendants fair notice that they were seeking as much auxiliary access as possible to the football game as experienced from the stadium bowl, an experience which includes music.</w:t>
      </w:r>
    </w:p>
    <w:p w14:paraId="7272E18E" w14:textId="77777777" w:rsidR="00D041A2" w:rsidRDefault="00000000">
      <w:pPr>
        <w:pStyle w:val="Normal32"/>
        <w:widowControl w:val="0"/>
        <w:spacing w:before="120" w:line="260" w:lineRule="atLeast"/>
      </w:pPr>
      <w:r>
        <w:rPr>
          <w:rFonts w:ascii="Arial" w:eastAsia="Arial" w:hAnsi="Arial" w:cs="Arial"/>
          <w:color w:val="000000"/>
          <w:sz w:val="20"/>
        </w:rPr>
        <w:t>C.</w:t>
      </w:r>
    </w:p>
    <w:p w14:paraId="3C43FFFE" w14:textId="77777777" w:rsidR="00D041A2" w:rsidRDefault="00000000">
      <w:pPr>
        <w:pStyle w:val="Normal32"/>
        <w:widowControl w:val="0"/>
        <w:spacing w:before="200" w:line="260" w:lineRule="atLeast"/>
        <w:jc w:val="both"/>
      </w:pPr>
      <w:bookmarkStart w:id="3990" w:name="Bookmark_para_23_17"/>
      <w:bookmarkEnd w:id="3990"/>
      <w:r>
        <w:rPr>
          <w:rFonts w:ascii="Arial" w:eastAsia="Arial" w:hAnsi="Arial" w:cs="Arial"/>
          <w:color w:val="000000"/>
          <w:sz w:val="20"/>
        </w:rPr>
        <w:t>Before turning to defendants' argument on the merits of plaintiffs' ADA claim, we dispose of plaintiffs' cross-appeal challenging the district court's holding that the complaint did not encompass a request  [*389]  for captioning the Red Zebra radio program. As  [**18] with the music lyrics, plaintiffs did not specifically mention captioning the radio program until they moved for summary judgment. Unlike the music lyrics, however, the Red Zebra program is not part of the aural content broadcast over FedEx Field's public address system, which plaintiffs did repeatedly reference in their complaint. The Red Zebra program is a separate broadcast heard only in FedEx Field's concourse areas, and it includes different commentary than what is heard in the stadium bowl. Although the complaint refers to the "video monitors located in the concession areas," J.A. 10, it describes the content on the monitors to which plaintiffs sought access as the "announcements made over the public address system." J.A. 16. The complaint describes the purpose of the concourse monitors as "enabl[ing] attendees to keep track of events on-field when they are not in their seats." J.A. 10. Because the requested relief focuses on what is broadcast from the field, the district court properly held that plaintiffs' request for captioning the Red Zebra program was outside the scope of the complaint and could not be sought at the summary judgment stage.</w:t>
      </w:r>
    </w:p>
    <w:p w14:paraId="17C09369" w14:textId="77777777" w:rsidR="00D041A2" w:rsidRDefault="00000000">
      <w:pPr>
        <w:pStyle w:val="Normal32"/>
        <w:widowControl w:val="0"/>
        <w:spacing w:before="200" w:line="260" w:lineRule="atLeast"/>
        <w:jc w:val="both"/>
      </w:pPr>
      <w:bookmarkStart w:id="3991" w:name="Bookmark_para_24_16"/>
      <w:bookmarkStart w:id="3992" w:name="Bookmark_I52N4RF70K53ND0020000400"/>
      <w:bookmarkEnd w:id="3991"/>
      <w:bookmarkEnd w:id="3992"/>
      <w:r>
        <w:rPr>
          <w:rFonts w:ascii="Arial" w:eastAsia="Arial" w:hAnsi="Arial" w:cs="Arial"/>
          <w:color w:val="000000"/>
          <w:sz w:val="20"/>
        </w:rPr>
        <w:t xml:space="preserve">Plaintiffs argue that even if their  [**19] complaint cannot be construed to encompass captioning the radio program, this issue was tried by implied consent of the parties under Federal Rule of Civil Procedure 15(b)(2). Rule 15(b)(2) provides that </w:t>
      </w:r>
      <w:bookmarkStart w:id="3993" w:name="Bookmark_LNHNREFclscc4_21"/>
      <w:bookmarkEnd w:id="3993"/>
      <w:r>
        <w:rPr>
          <w:rFonts w:ascii="Arial" w:eastAsia="Arial" w:hAnsi="Arial" w:cs="Arial"/>
          <w:color w:val="000000"/>
          <w:sz w:val="20"/>
        </w:rPr>
        <w:t xml:space="preserve">"[w]hen an issue not raised by the pleadings is tried by the parties' express or implied consent, it must be treated in all respects as if raised in the pleadings." </w:t>
      </w:r>
      <w:bookmarkStart w:id="3994" w:name="Bookmark_LNHNREFclscc5_21"/>
      <w:bookmarkEnd w:id="3994"/>
      <w:r>
        <w:rPr>
          <w:rFonts w:ascii="Arial" w:eastAsia="Arial" w:hAnsi="Arial" w:cs="Arial"/>
          <w:color w:val="000000"/>
          <w:sz w:val="20"/>
        </w:rPr>
        <w:t xml:space="preserve">"Because notice to the defendant of the allegations to be proven is essential to sustaining a cause of action, Rule 15(b) applies only when the defendant has consented to trial of the non-pled factual issues and will not be prejudiced by amendment of the pleadings to include them." </w:t>
      </w:r>
      <w:bookmarkStart w:id="3995" w:name="Bookmark_I52N4RF70K53ND0010000400"/>
      <w:bookmarkEnd w:id="3995"/>
      <w:r>
        <w:rPr>
          <w:rFonts w:ascii="Arial" w:eastAsia="Arial" w:hAnsi="Arial" w:cs="Arial"/>
          <w:color w:val="000000"/>
          <w:sz w:val="20"/>
          <w:u w:val="single"/>
        </w:rPr>
        <w:t>Gilbane Bldg. Co. v. Fed. Reserve Bank of Richmond</w:t>
      </w:r>
      <w:r>
        <w:rPr>
          <w:rFonts w:ascii="Arial" w:eastAsia="Arial" w:hAnsi="Arial" w:cs="Arial"/>
          <w:color w:val="000000"/>
          <w:sz w:val="20"/>
        </w:rPr>
        <w:t xml:space="preserve">, 80 F.3d 895, 901 (4th Cir. 1996). The plain language of Rule 15(b)(2) suggests that the non-pled issue must have gone to trial. The rule "is designed to allow amendment of a pleading when the </w:t>
      </w:r>
      <w:r>
        <w:rPr>
          <w:rFonts w:ascii="Arial" w:eastAsia="Arial" w:hAnsi="Arial" w:cs="Arial"/>
          <w:color w:val="000000"/>
          <w:sz w:val="20"/>
          <w:u w:val="single"/>
        </w:rPr>
        <w:t>facts proven at trial</w:t>
      </w:r>
      <w:r>
        <w:rPr>
          <w:rFonts w:ascii="Arial" w:eastAsia="Arial" w:hAnsi="Arial" w:cs="Arial"/>
          <w:color w:val="000000"/>
          <w:sz w:val="20"/>
        </w:rPr>
        <w:t xml:space="preserve"> differ from those alleged in the complaint, and thus support a cause of action that the claimant did not plead." </w:t>
      </w:r>
      <w:r>
        <w:rPr>
          <w:rFonts w:ascii="Arial" w:eastAsia="Arial" w:hAnsi="Arial" w:cs="Arial"/>
          <w:color w:val="000000"/>
          <w:sz w:val="20"/>
          <w:u w:val="single"/>
        </w:rPr>
        <w:t>Id.</w:t>
      </w:r>
      <w:r>
        <w:rPr>
          <w:rFonts w:ascii="Arial" w:eastAsia="Arial" w:hAnsi="Arial" w:cs="Arial"/>
          <w:color w:val="000000"/>
          <w:sz w:val="20"/>
        </w:rPr>
        <w:t xml:space="preserve"> (emphasis added).</w:t>
      </w:r>
    </w:p>
    <w:p w14:paraId="51E3D858" w14:textId="77777777" w:rsidR="00D041A2" w:rsidRDefault="00000000">
      <w:pPr>
        <w:pStyle w:val="Normal32"/>
        <w:widowControl w:val="0"/>
        <w:spacing w:before="200" w:line="260" w:lineRule="atLeast"/>
        <w:jc w:val="both"/>
      </w:pPr>
      <w:bookmarkStart w:id="3996" w:name="Bookmark_para_25_16"/>
      <w:bookmarkStart w:id="3997" w:name="Bookmark_I52N4RF70K53ND0040000400"/>
      <w:bookmarkStart w:id="3998" w:name="Bookmark_I52N4RFF0K53S30010000400"/>
      <w:bookmarkEnd w:id="3996"/>
      <w:bookmarkEnd w:id="3997"/>
      <w:bookmarkEnd w:id="3998"/>
      <w:r>
        <w:rPr>
          <w:rFonts w:ascii="Arial" w:eastAsia="Arial" w:hAnsi="Arial" w:cs="Arial"/>
          <w:color w:val="000000"/>
          <w:sz w:val="20"/>
        </w:rPr>
        <w:t xml:space="preserve">Courts of appeals are split regarding whether Rule 15(b)(2) applies at the summary judgment stage. </w:t>
      </w:r>
      <w:r>
        <w:rPr>
          <w:rFonts w:ascii="Arial" w:eastAsia="Arial" w:hAnsi="Arial" w:cs="Arial"/>
          <w:color w:val="000000"/>
          <w:sz w:val="20"/>
          <w:u w:val="single"/>
        </w:rPr>
        <w:t xml:space="preserve">See </w:t>
      </w:r>
      <w:bookmarkStart w:id="3999" w:name="Bookmark_I52N4RF70K53ND0030000400"/>
      <w:bookmarkEnd w:id="3999"/>
      <w:r>
        <w:rPr>
          <w:rFonts w:ascii="Arial" w:eastAsia="Arial" w:hAnsi="Arial" w:cs="Arial"/>
          <w:color w:val="000000"/>
          <w:sz w:val="20"/>
          <w:u w:val="single"/>
        </w:rPr>
        <w:t>Ahmad v. Furlong</w:t>
      </w:r>
      <w:r>
        <w:rPr>
          <w:rFonts w:ascii="Arial" w:eastAsia="Arial" w:hAnsi="Arial" w:cs="Arial"/>
          <w:color w:val="000000"/>
          <w:sz w:val="20"/>
        </w:rPr>
        <w:t xml:space="preserve">, 435 F.3d 1196, 1203 n.1 (10th Cir. 2006)  [**20] (noting circuit split). </w:t>
      </w:r>
      <w:bookmarkStart w:id="4000" w:name="Bookmark_I7GG5HTD321000G4PRK00100"/>
      <w:bookmarkStart w:id="4001" w:name="Bookmark_I52N4RFF0K53S30030000400"/>
      <w:bookmarkEnd w:id="4000"/>
      <w:bookmarkEnd w:id="4001"/>
      <w:r>
        <w:rPr>
          <w:rFonts w:ascii="Arial" w:eastAsia="Arial" w:hAnsi="Arial" w:cs="Arial"/>
          <w:color w:val="000000"/>
          <w:sz w:val="20"/>
        </w:rPr>
        <w:t xml:space="preserve">In </w:t>
      </w:r>
      <w:bookmarkStart w:id="4002" w:name="Bookmark_I52N4RF70K53ND0050000400"/>
      <w:bookmarkEnd w:id="4002"/>
      <w:r>
        <w:rPr>
          <w:rFonts w:ascii="Arial" w:eastAsia="Arial" w:hAnsi="Arial" w:cs="Arial"/>
          <w:color w:val="000000"/>
          <w:sz w:val="20"/>
          <w:u w:val="single"/>
        </w:rPr>
        <w:t>People for Ethical Treatment of Animals v. Doughney</w:t>
      </w:r>
      <w:r>
        <w:rPr>
          <w:rFonts w:ascii="Arial" w:eastAsia="Arial" w:hAnsi="Arial" w:cs="Arial"/>
          <w:color w:val="000000"/>
          <w:sz w:val="20"/>
        </w:rPr>
        <w:t xml:space="preserve">, 263 F.3d 359, 367 (4th Cir. 2001), we affirmed a district court's grant of summary judgment on an issue raised for the first time in the plaintiffs' motion for summary judgment. </w:t>
      </w:r>
      <w:bookmarkStart w:id="4003" w:name="Bookmark_I52N4RFF0K53S30030000400_2"/>
      <w:bookmarkEnd w:id="4003"/>
      <w:r>
        <w:rPr>
          <w:rFonts w:ascii="Arial" w:eastAsia="Arial" w:hAnsi="Arial" w:cs="Arial"/>
          <w:color w:val="000000"/>
          <w:sz w:val="20"/>
        </w:rPr>
        <w:t xml:space="preserve">We found that although the district court did not allow formal amendment of the complaint to include the plaintiffs' subsequently raised claim, the court recognized constructive amendment of the complaint by granting summary judgment in the plaintiffs' favor on the non-pled issue. </w:t>
      </w:r>
      <w:bookmarkStart w:id="4004" w:name="Bookmark_I52N4RFF0K53S30020000400"/>
      <w:bookmarkEnd w:id="4004"/>
      <w:r>
        <w:rPr>
          <w:rFonts w:ascii="Arial" w:eastAsia="Arial" w:hAnsi="Arial" w:cs="Arial"/>
          <w:color w:val="000000"/>
          <w:sz w:val="20"/>
          <w:u w:val="single"/>
        </w:rPr>
        <w:t>Id.</w:t>
      </w:r>
      <w:r>
        <w:rPr>
          <w:rFonts w:ascii="Arial" w:eastAsia="Arial" w:hAnsi="Arial" w:cs="Arial"/>
          <w:color w:val="000000"/>
          <w:sz w:val="20"/>
        </w:rPr>
        <w:t xml:space="preserve"> at 367-68.</w:t>
      </w:r>
    </w:p>
    <w:p w14:paraId="2CEF8076" w14:textId="77777777" w:rsidR="00D041A2" w:rsidRDefault="00000000">
      <w:pPr>
        <w:pStyle w:val="Normal32"/>
        <w:widowControl w:val="0"/>
        <w:spacing w:before="200" w:line="260" w:lineRule="atLeast"/>
        <w:jc w:val="both"/>
      </w:pPr>
      <w:bookmarkStart w:id="4005" w:name="Bookmark_para_26_15"/>
      <w:bookmarkStart w:id="4006" w:name="Bookmark_I52N4RFF0K53S30050000400"/>
      <w:bookmarkEnd w:id="4005"/>
      <w:bookmarkEnd w:id="4006"/>
      <w:r>
        <w:rPr>
          <w:rFonts w:ascii="Arial" w:eastAsia="Arial" w:hAnsi="Arial" w:cs="Arial"/>
          <w:color w:val="000000"/>
          <w:sz w:val="20"/>
        </w:rPr>
        <w:t xml:space="preserve">Here, in contrast, the district court declined to grant summary judgment on plaintiffs' radio station claim because it found that defendants did not consent to trial of that claim. The court in </w:t>
      </w:r>
      <w:r>
        <w:rPr>
          <w:rFonts w:ascii="Arial" w:eastAsia="Arial" w:hAnsi="Arial" w:cs="Arial"/>
          <w:color w:val="000000"/>
          <w:sz w:val="20"/>
          <w:u w:val="single"/>
        </w:rPr>
        <w:t>Doughney</w:t>
      </w:r>
      <w:r>
        <w:rPr>
          <w:rFonts w:ascii="Arial" w:eastAsia="Arial" w:hAnsi="Arial" w:cs="Arial"/>
          <w:color w:val="000000"/>
          <w:sz w:val="20"/>
        </w:rPr>
        <w:t xml:space="preserve"> found that the defendant had fair notice of the non-pled claim because although the defendant objected to plaintiffs' belated claim, the defendant "also vigorously defended against the claim." </w:t>
      </w:r>
      <w:bookmarkStart w:id="4007" w:name="Bookmark_I52N4RFF0K53S30040000400"/>
      <w:bookmarkEnd w:id="4007"/>
      <w:r>
        <w:rPr>
          <w:rFonts w:ascii="Arial" w:eastAsia="Arial" w:hAnsi="Arial" w:cs="Arial"/>
          <w:color w:val="000000"/>
          <w:sz w:val="20"/>
          <w:u w:val="single"/>
        </w:rPr>
        <w:t>Id.</w:t>
      </w:r>
      <w:r>
        <w:rPr>
          <w:rFonts w:ascii="Arial" w:eastAsia="Arial" w:hAnsi="Arial" w:cs="Arial"/>
          <w:color w:val="000000"/>
          <w:sz w:val="20"/>
        </w:rPr>
        <w:t xml:space="preserve"> at 367.</w:t>
      </w:r>
    </w:p>
    <w:p w14:paraId="7B1FF632" w14:textId="77777777" w:rsidR="00D041A2" w:rsidRDefault="00000000">
      <w:pPr>
        <w:pStyle w:val="Normal32"/>
        <w:widowControl w:val="0"/>
        <w:spacing w:before="200" w:line="260" w:lineRule="atLeast"/>
        <w:jc w:val="both"/>
      </w:pPr>
      <w:bookmarkStart w:id="4008" w:name="Bookmark_para_27_15"/>
      <w:bookmarkEnd w:id="4008"/>
      <w:r>
        <w:rPr>
          <w:rFonts w:ascii="Arial" w:eastAsia="Arial" w:hAnsi="Arial" w:cs="Arial"/>
          <w:color w:val="000000"/>
          <w:sz w:val="20"/>
        </w:rPr>
        <w:t xml:space="preserve">Because defendants here merely objected to plaintiffs' raising the radio program at the summary judgment stage, and did not vigorously defend against it, they did not essentially try or litigate the issue. In their response to plaintiffs'  [**21] summary judgment motion, defendants focused primarily on their argument that the radio program was not raised in the complaint and therefore  [*390]  could not be used to avoid mootness. Moreover, the bulk of that mootness argument focused on the undisputed fact that defendants were already captioning play-by-play information from the field in the concourse areas. Defendants' only response to the Red Zebra program specifically, other than their general assertion that the ADA does not require captioning the program, was a footnote observing that none of plaintiffs claimed to read the captioned coverage from the field while in the concourse areas. Thus, defendants maintained that there was no factual basis for plaintiffs' argument that "the content of the </w:t>
      </w:r>
      <w:r>
        <w:rPr>
          <w:rFonts w:ascii="Arial" w:eastAsia="Arial" w:hAnsi="Arial" w:cs="Arial"/>
          <w:color w:val="000000"/>
          <w:sz w:val="20"/>
          <w:u w:val="single"/>
        </w:rPr>
        <w:t>radio</w:t>
      </w:r>
      <w:r>
        <w:rPr>
          <w:rFonts w:ascii="Arial" w:eastAsia="Arial" w:hAnsi="Arial" w:cs="Arial"/>
          <w:color w:val="000000"/>
          <w:sz w:val="20"/>
        </w:rPr>
        <w:t xml:space="preserve"> broadcast is superior to that provided by the television network broadcasters." J.A. 21 (emphasis in original). This does not amount to a vigorous defense against providing auxiliary access to the Red Zebra program.</w:t>
      </w:r>
    </w:p>
    <w:p w14:paraId="1434D95F" w14:textId="77777777" w:rsidR="00D041A2" w:rsidRDefault="00000000">
      <w:pPr>
        <w:pStyle w:val="Normal32"/>
        <w:widowControl w:val="0"/>
        <w:spacing w:before="200" w:line="260" w:lineRule="atLeast"/>
        <w:jc w:val="both"/>
      </w:pPr>
      <w:bookmarkStart w:id="4009" w:name="Bookmark_para_28_14"/>
      <w:bookmarkStart w:id="4010" w:name="Bookmark_I52N4RFP0K53TK0020000400"/>
      <w:bookmarkEnd w:id="4009"/>
      <w:bookmarkEnd w:id="4010"/>
      <w:r>
        <w:rPr>
          <w:rFonts w:ascii="Arial" w:eastAsia="Arial" w:hAnsi="Arial" w:cs="Arial"/>
          <w:color w:val="000000"/>
          <w:sz w:val="20"/>
        </w:rPr>
        <w:t xml:space="preserve">Plaintiffs also argue that implied consent may be found in defendants' failure to object to the introduction of evidence relevant to the request for captioning the Red Zebra program, namely Goldberg's expert report that recommended  [**22] captioning the program. However, as the Ninth Circuit has said, </w:t>
      </w:r>
      <w:bookmarkStart w:id="4011" w:name="Bookmark_LNHNREFclscc6_21"/>
      <w:bookmarkEnd w:id="4011"/>
      <w:r>
        <w:rPr>
          <w:rFonts w:ascii="Arial" w:eastAsia="Arial" w:hAnsi="Arial" w:cs="Arial"/>
          <w:color w:val="000000"/>
          <w:sz w:val="20"/>
        </w:rPr>
        <w:t xml:space="preserve">although "a party's failure to object to evidence regarding an unpleaded issue may be evidence of implied consent to trial of an issue, it must appear that the party understood the evidence was introduced to prove the unpleaded issue." </w:t>
      </w:r>
      <w:bookmarkStart w:id="4012" w:name="Bookmark_I52N4RFP0K53TK0010000400"/>
      <w:bookmarkEnd w:id="4012"/>
      <w:r>
        <w:rPr>
          <w:rFonts w:ascii="Arial" w:eastAsia="Arial" w:hAnsi="Arial" w:cs="Arial"/>
          <w:color w:val="000000"/>
          <w:sz w:val="20"/>
          <w:u w:val="single"/>
        </w:rPr>
        <w:t>Campbell v. Bd. of Trs. of Leland Stanford Junior Univ.</w:t>
      </w:r>
      <w:r>
        <w:rPr>
          <w:rFonts w:ascii="Arial" w:eastAsia="Arial" w:hAnsi="Arial" w:cs="Arial"/>
          <w:color w:val="000000"/>
          <w:sz w:val="20"/>
        </w:rPr>
        <w:t>, 817 F.2d 499, 506 (9th Cir. 1987). There is no indication of such an understanding on this record.</w:t>
      </w:r>
    </w:p>
    <w:p w14:paraId="4A83D911" w14:textId="77777777" w:rsidR="00D041A2" w:rsidRDefault="00000000">
      <w:pPr>
        <w:pStyle w:val="Normal32"/>
        <w:widowControl w:val="0"/>
        <w:spacing w:before="120" w:line="260" w:lineRule="atLeast"/>
      </w:pPr>
      <w:r>
        <w:rPr>
          <w:rFonts w:ascii="Arial" w:eastAsia="Arial" w:hAnsi="Arial" w:cs="Arial"/>
          <w:color w:val="000000"/>
          <w:sz w:val="20"/>
        </w:rPr>
        <w:t>D.</w:t>
      </w:r>
    </w:p>
    <w:p w14:paraId="3F2B4CEC" w14:textId="77777777" w:rsidR="00D041A2" w:rsidRDefault="00000000">
      <w:pPr>
        <w:pStyle w:val="Normal32"/>
        <w:widowControl w:val="0"/>
        <w:spacing w:before="200" w:line="260" w:lineRule="atLeast"/>
        <w:jc w:val="both"/>
      </w:pPr>
      <w:bookmarkStart w:id="4013" w:name="Bookmark_para_29_13"/>
      <w:bookmarkEnd w:id="4013"/>
      <w:r>
        <w:rPr>
          <w:rFonts w:ascii="Arial" w:eastAsia="Arial" w:hAnsi="Arial" w:cs="Arial"/>
          <w:color w:val="000000"/>
          <w:sz w:val="20"/>
        </w:rPr>
        <w:t xml:space="preserve">Defendants challenge the district court's holding requiring them to provide auxiliary aids that enable "equal access to the aural information broadcast over the stadium bowl public address system at FedEx Field." J.A. 578. The court defined the aural information as the "music with lyrics, play information, advertisements, referee calls, safety/emergency information, and other announcements." </w:t>
      </w:r>
      <w:r>
        <w:rPr>
          <w:rFonts w:ascii="Arial" w:eastAsia="Arial" w:hAnsi="Arial" w:cs="Arial"/>
          <w:color w:val="000000"/>
          <w:sz w:val="20"/>
          <w:u w:val="single"/>
        </w:rPr>
        <w:t>Id.</w:t>
      </w:r>
      <w:r>
        <w:rPr>
          <w:rFonts w:ascii="Arial" w:eastAsia="Arial" w:hAnsi="Arial" w:cs="Arial"/>
          <w:color w:val="000000"/>
          <w:sz w:val="20"/>
        </w:rPr>
        <w:t xml:space="preserve"> Defendants contend this sweeps far broader than what the ADA requires, particularly with regard to the lyrics to music broadcast over the stadium's public address system.</w:t>
      </w:r>
    </w:p>
    <w:p w14:paraId="7B32DB36" w14:textId="77777777" w:rsidR="00D041A2" w:rsidRDefault="00000000">
      <w:pPr>
        <w:pStyle w:val="Normal32"/>
        <w:widowControl w:val="0"/>
        <w:spacing w:before="200" w:line="260" w:lineRule="atLeast"/>
        <w:jc w:val="both"/>
      </w:pPr>
      <w:bookmarkStart w:id="4014" w:name="Bookmark_para_30_13"/>
      <w:bookmarkStart w:id="4015" w:name="Bookmark_LNHNREFclscc7_21"/>
      <w:bookmarkEnd w:id="4014"/>
      <w:bookmarkEnd w:id="4015"/>
      <w:r>
        <w:rPr>
          <w:rFonts w:ascii="Arial" w:eastAsia="Arial" w:hAnsi="Arial" w:cs="Arial"/>
          <w:color w:val="000000"/>
          <w:sz w:val="20"/>
        </w:rPr>
        <w:t>Title III of the ADA mandates that individuals who visit places of public accommodation like FedEx Field may not "be discriminated against on the basis of disability in the full  [**23] and equal enjoyment of the goods, services, facilities, privileges, advantages, or accommodations of any place of public accommodation." 42 U.S.C. § 12182(a). Title III defines discrimination in part as the</w:t>
      </w:r>
    </w:p>
    <w:p w14:paraId="6910B2E1" w14:textId="77777777" w:rsidR="00D041A2" w:rsidRDefault="00000000">
      <w:pPr>
        <w:pStyle w:val="Normal32"/>
        <w:widowControl w:val="0"/>
        <w:spacing w:line="260" w:lineRule="atLeast"/>
        <w:ind w:left="400"/>
        <w:jc w:val="both"/>
      </w:pPr>
      <w:bookmarkStart w:id="4016" w:name="Bookmark_para_31_12"/>
      <w:bookmarkEnd w:id="4016"/>
      <w:r>
        <w:rPr>
          <w:rFonts w:ascii="Arial" w:eastAsia="Arial" w:hAnsi="Arial" w:cs="Arial"/>
          <w:color w:val="000000"/>
          <w:sz w:val="20"/>
        </w:rPr>
        <w:t>failure to take such steps as may be necessary to ensure that no individual with a disability is excluded, denied services, segregated or otherwise treated differently because of the absence of auxiliary aids and services, unless the entity can demonstrate that taking such steps would fundamentally alter the nature of the good, service, facility, privilege . . . or would result in an undue burden.</w:t>
      </w:r>
    </w:p>
    <w:p w14:paraId="40AB6324" w14:textId="77777777" w:rsidR="00D041A2" w:rsidRDefault="00000000">
      <w:pPr>
        <w:pStyle w:val="Normal32"/>
        <w:widowControl w:val="0"/>
        <w:spacing w:before="200" w:line="260" w:lineRule="atLeast"/>
        <w:jc w:val="both"/>
      </w:pPr>
      <w:r>
        <w:rPr>
          <w:rFonts w:ascii="Arial" w:eastAsia="Arial" w:hAnsi="Arial" w:cs="Arial"/>
          <w:color w:val="000000"/>
          <w:sz w:val="20"/>
          <w:u w:val="single"/>
        </w:rPr>
        <w:t>Id.</w:t>
      </w:r>
      <w:r>
        <w:rPr>
          <w:rFonts w:ascii="Arial" w:eastAsia="Arial" w:hAnsi="Arial" w:cs="Arial"/>
          <w:color w:val="000000"/>
          <w:sz w:val="20"/>
        </w:rPr>
        <w:t xml:space="preserve"> § 12182(b)(2)(A)(iii). A Department of Justice (DOJ) regulation implementing Title III further provides that "a public accommodation shall furnish appropriate auxiliary aids and services where necessary to ensure effective communication with individuals with disabilities." 28 C.F.R. § 36.303(c).</w:t>
      </w:r>
    </w:p>
    <w:p w14:paraId="0A072A28" w14:textId="77777777" w:rsidR="00D041A2" w:rsidRDefault="00000000">
      <w:pPr>
        <w:pStyle w:val="Normal32"/>
        <w:widowControl w:val="0"/>
        <w:spacing w:before="200" w:line="260" w:lineRule="atLeast"/>
        <w:jc w:val="both"/>
      </w:pPr>
      <w:bookmarkStart w:id="4017" w:name="Bookmark_para_32_12"/>
      <w:bookmarkEnd w:id="4017"/>
      <w:r>
        <w:rPr>
          <w:rFonts w:ascii="Arial" w:eastAsia="Arial" w:hAnsi="Arial" w:cs="Arial"/>
          <w:color w:val="000000"/>
          <w:sz w:val="20"/>
        </w:rPr>
        <w:t xml:space="preserve">Defendants do not contend that captioning the aural information described in the district court's order would constitute a fundamental alteration or an undue burden. Our inquiry is therefore limited to whether the ADA requires defendants to provide auxiliary aids for the aural content broadcast  [**24] over the stadium bowl's public address system in order to provide plaintiffs with "full and equal enjoyment" of  [*391]  defendants' goods, services, facilities, and privileges. </w:t>
      </w:r>
      <w:r>
        <w:rPr>
          <w:rFonts w:ascii="Arial" w:eastAsia="Arial" w:hAnsi="Arial" w:cs="Arial"/>
          <w:color w:val="000000"/>
          <w:sz w:val="20"/>
          <w:u w:val="single"/>
        </w:rPr>
        <w:t>Id.</w:t>
      </w:r>
      <w:r>
        <w:rPr>
          <w:rFonts w:ascii="Arial" w:eastAsia="Arial" w:hAnsi="Arial" w:cs="Arial"/>
          <w:color w:val="000000"/>
          <w:sz w:val="20"/>
        </w:rPr>
        <w:t xml:space="preserve"> § 36.201(a). Neither the ADA nor the regulations implementing the ADA impart guidance on the specific content that places of public accommodation must communicate to individuals who are deaf or hard of hearing. The DOJ's Technical Assistance Manual for Title III indicates that the type of auxiliary aid that ensures "effective communication" varies by context. U.S. Dep't of Justice, Civil Rights Division, The Americans with Disabilities Act: Title III Technical Assistance Manual III-4.3200. The regulation contemplates that, like the type of auxiliary aid, the content that must be communicated by auxiliary aids is also context-sensitive. What constitutes "full and equal enjoyment" of a place of public accommodation's goods, services, facilities, and privileges necessarily varies based on what the place provides to visitors and consumers.</w:t>
      </w:r>
    </w:p>
    <w:p w14:paraId="4FE8FE59" w14:textId="77777777" w:rsidR="00D041A2" w:rsidRDefault="00000000">
      <w:pPr>
        <w:pStyle w:val="Normal32"/>
        <w:widowControl w:val="0"/>
        <w:spacing w:before="200" w:line="260" w:lineRule="atLeast"/>
        <w:jc w:val="both"/>
      </w:pPr>
      <w:bookmarkStart w:id="4018" w:name="Bookmark_para_33_12"/>
      <w:bookmarkEnd w:id="4018"/>
      <w:r>
        <w:rPr>
          <w:rFonts w:ascii="Arial" w:eastAsia="Arial" w:hAnsi="Arial" w:cs="Arial"/>
          <w:color w:val="000000"/>
          <w:sz w:val="20"/>
        </w:rPr>
        <w:t>We agree with the district court that in the context of a professional football game at a large stadium like FedEx Field, effective communication requires defendants to provide auxiliary  [**25] aids beyond assistive listening devices, which are useless to plaintiffs, to convey the: (1) game-related information broadcast over the public address system, including play information and referee calls; (2) emergency and public address announcements broadcast over the public address system; and (3) the words to music and other entertainment broadcast over the public address system. Plaintiffs need access to this aural content to have full and equal access to the goods and services that defendants provide at FedEx Field.</w:t>
      </w:r>
    </w:p>
    <w:p w14:paraId="3872708D" w14:textId="77777777" w:rsidR="00D041A2" w:rsidRDefault="00000000">
      <w:pPr>
        <w:pStyle w:val="Normal32"/>
        <w:widowControl w:val="0"/>
        <w:spacing w:before="200" w:line="260" w:lineRule="atLeast"/>
        <w:jc w:val="both"/>
      </w:pPr>
      <w:bookmarkStart w:id="4019" w:name="Bookmark_para_34_12"/>
      <w:bookmarkEnd w:id="4019"/>
      <w:r>
        <w:rPr>
          <w:rFonts w:ascii="Arial" w:eastAsia="Arial" w:hAnsi="Arial" w:cs="Arial"/>
          <w:color w:val="000000"/>
          <w:sz w:val="20"/>
        </w:rPr>
        <w:t>To resolve the issue, we must determine the goods and services defendants provide. First and foremost, defendants provide a live football game at FedEx Field. For plaintiffs to enjoy a game on a level as equal as possible with hearing spectators, they must be able to access, in both the stadium bowl and concourse areas, the game-related information broadcast over the public address system. Title III of the ADA also requires defendants to provide auxiliary aids for the content of emergency information, advertisements, and public service announcements broadcast over the stadium bowl's public address system. Without auxiliary aids that provide emergency information,  [**26] spectators with disabilities are almost certain to experience more stress in an emergency than hearing spectators. Knowing that understandable instructions will accompany an emergency, then, is necessary to the full and equal enjoyment of the game. Advertisements and public service announcements are also part of the services and privileges that defendants provide because they communicate to spectators a message about the Redskins' stature and recognition among businesses and other organizations. Advertisements communicate which entities support the Redskins. Public service announcements indicate which causes the Redskins support and how spectators might become involved in those causes.</w:t>
      </w:r>
    </w:p>
    <w:p w14:paraId="1954B15C" w14:textId="77777777" w:rsidR="00D041A2" w:rsidRDefault="00000000">
      <w:pPr>
        <w:pStyle w:val="Normal32"/>
        <w:widowControl w:val="0"/>
        <w:spacing w:before="200" w:line="260" w:lineRule="atLeast"/>
        <w:jc w:val="both"/>
      </w:pPr>
      <w:bookmarkStart w:id="4020" w:name="Bookmark_para_35_12"/>
      <w:bookmarkEnd w:id="4020"/>
      <w:r>
        <w:rPr>
          <w:rFonts w:ascii="Arial" w:eastAsia="Arial" w:hAnsi="Arial" w:cs="Arial"/>
          <w:color w:val="000000"/>
          <w:sz w:val="20"/>
        </w:rPr>
        <w:t>We also agree with the district court that defendants "provide more than a football game." J.A. 577-78. They provide an entertainment experience. This experience includes aural and visual components that, although not part of the game action, play an important role in generating support for the game and promoting spectator attendance. Full and equal enjoyment of defendants' goods, services, privileges, and facilities includes aural access to the lyrics to music broadcast over the stadium bowl's public  [**27] address system. Without this access plaintiffs are "otherwise treated differently" because of the "absence of auxiliary aids." 42 U.S.C. § 12182(b)(2)(A)(iii). Music played during a football game arouses enthusiasm and fosters a sense of shared participation. The lyrics may be nonsensical, as defendants point out, but  [*392]  even nonsensical lyrics may enhance the environment of collective excitement that defendants provide as part of their goods and services. By having access to the lyrics, plaintiffs have the opportunity to participate in the communal entertainment experience. Without access to lyrics played, for example, during cheerleader dance routines and the halftime show, plaintiffs would not fully and equally experience the planned and synchronized promotional entertainment that large stadiums like FedEx Field provide.</w:t>
      </w:r>
    </w:p>
    <w:p w14:paraId="6124CB9F" w14:textId="77777777" w:rsidR="00D041A2" w:rsidRDefault="00000000">
      <w:pPr>
        <w:pStyle w:val="Normal32"/>
        <w:widowControl w:val="0"/>
        <w:spacing w:before="200" w:line="260" w:lineRule="atLeast"/>
        <w:jc w:val="both"/>
      </w:pPr>
      <w:bookmarkStart w:id="4021" w:name="Bookmark_para_36_11"/>
      <w:bookmarkEnd w:id="4021"/>
      <w:r>
        <w:rPr>
          <w:rFonts w:ascii="Arial" w:eastAsia="Arial" w:hAnsi="Arial" w:cs="Arial"/>
          <w:color w:val="000000"/>
          <w:sz w:val="20"/>
        </w:rPr>
        <w:t xml:space="preserve">In holding that defendants must provide access to the lyrics, we emphasize that, like the district court, we do not require the auxiliary aids and services to take a particular form. </w:t>
      </w:r>
      <w:bookmarkStart w:id="4022" w:name="Bookmark_LNHNREFclscc8_21"/>
      <w:bookmarkEnd w:id="4022"/>
      <w:r>
        <w:rPr>
          <w:rFonts w:ascii="Arial" w:eastAsia="Arial" w:hAnsi="Arial" w:cs="Arial"/>
          <w:color w:val="000000"/>
          <w:sz w:val="20"/>
        </w:rPr>
        <w:t xml:space="preserve">When an auxiliary aid of some kind is required, the regulations acknowledge (1) that the type of aid necessary for effective communication inevitably will vary with context and (2) that  [**28] "[t]he auxiliary aid requirement is a flexible one." 28 C.F.R. pt. 36 App. B. What is more, "full and equal enjoyment" is not so capacious as to "mean that an individual with a disability must achieve an identical result or level of achievement as persons without a disability." </w:t>
      </w:r>
      <w:r>
        <w:rPr>
          <w:rFonts w:ascii="Arial" w:eastAsia="Arial" w:hAnsi="Arial" w:cs="Arial"/>
          <w:color w:val="000000"/>
          <w:sz w:val="20"/>
          <w:u w:val="single"/>
        </w:rPr>
        <w:t>Id.</w:t>
      </w:r>
    </w:p>
    <w:p w14:paraId="5BA46B40" w14:textId="77777777" w:rsidR="00D041A2" w:rsidRDefault="00000000">
      <w:pPr>
        <w:pStyle w:val="Normal32"/>
        <w:widowControl w:val="0"/>
        <w:spacing w:before="200" w:line="260" w:lineRule="atLeast"/>
        <w:jc w:val="both"/>
      </w:pPr>
      <w:bookmarkStart w:id="4023" w:name="Bookmark_para_37_10"/>
      <w:bookmarkStart w:id="4024" w:name="Bookmark_I52N4RFP0K53TK0040000400"/>
      <w:bookmarkEnd w:id="4023"/>
      <w:bookmarkEnd w:id="4024"/>
      <w:r>
        <w:rPr>
          <w:rFonts w:ascii="Arial" w:eastAsia="Arial" w:hAnsi="Arial" w:cs="Arial"/>
          <w:color w:val="000000"/>
          <w:sz w:val="20"/>
        </w:rPr>
        <w:t xml:space="preserve">The DOJ's rulemaking activity does not alter this result. </w:t>
      </w:r>
      <w:bookmarkStart w:id="4025" w:name="Bookmark_I52N4RFT0K53VD0010000400"/>
      <w:bookmarkEnd w:id="4025"/>
      <w:r>
        <w:rPr>
          <w:rFonts w:ascii="Arial" w:eastAsia="Arial" w:hAnsi="Arial" w:cs="Arial"/>
          <w:color w:val="000000"/>
          <w:sz w:val="20"/>
        </w:rPr>
        <w:t xml:space="preserve">The DOJ issued a Notice of Proposed Rulemaking in June 2008 regarding the issue of captioning at sports stadiums. The notice announced the DOJ's awareness "that individuals who are deaf or hard of hearing have expressed concern that they are unaware of information that is provided over the public address systems" at sports stadiums with a capacity of 25,000 or more. </w:t>
      </w:r>
      <w:bookmarkStart w:id="4026" w:name="Bookmark_I52N4RFP0K53TK0030000400"/>
      <w:bookmarkEnd w:id="4026"/>
      <w:r>
        <w:rPr>
          <w:rFonts w:ascii="Arial" w:eastAsia="Arial" w:hAnsi="Arial" w:cs="Arial"/>
          <w:color w:val="000000"/>
          <w:sz w:val="20"/>
        </w:rPr>
        <w:t xml:space="preserve">Nondiscrimination on the Basis of Disability by Public Accommodations and in Commercial Facilities, 73 Fed. Reg. 34508, 34531-32 (proposed June 17, 2008). </w:t>
      </w:r>
      <w:bookmarkStart w:id="4027" w:name="Bookmark_I52N4RFT0K53VD0010000400_2"/>
      <w:bookmarkEnd w:id="4027"/>
      <w:r>
        <w:rPr>
          <w:rFonts w:ascii="Arial" w:eastAsia="Arial" w:hAnsi="Arial" w:cs="Arial"/>
          <w:color w:val="000000"/>
          <w:sz w:val="20"/>
        </w:rPr>
        <w:t xml:space="preserve">The DOJ therefore proposed that large stadiums "provide captioning for patrons who are deaf or hard of hearing for safety and emergency information announcements made over the public address system." </w:t>
      </w:r>
      <w:bookmarkStart w:id="4028" w:name="Bookmark_I52N4RFP0K53TK0050000400"/>
      <w:bookmarkEnd w:id="4028"/>
      <w:r>
        <w:rPr>
          <w:rFonts w:ascii="Arial" w:eastAsia="Arial" w:hAnsi="Arial" w:cs="Arial"/>
          <w:color w:val="000000"/>
          <w:sz w:val="20"/>
          <w:u w:val="single"/>
        </w:rPr>
        <w:t>Id.</w:t>
      </w:r>
      <w:r>
        <w:rPr>
          <w:rFonts w:ascii="Arial" w:eastAsia="Arial" w:hAnsi="Arial" w:cs="Arial"/>
          <w:color w:val="000000"/>
          <w:sz w:val="20"/>
        </w:rPr>
        <w:t xml:space="preserve"> at 34532. The notice also announced the DOJ's awareness that several major stadiums, including FedEx Field, "currently provide open  [**29] captioning of all public address announcements, and do not limit captioning to safety and emergency information." </w:t>
      </w:r>
      <w:r>
        <w:rPr>
          <w:rFonts w:ascii="Arial" w:eastAsia="Arial" w:hAnsi="Arial" w:cs="Arial"/>
          <w:color w:val="000000"/>
          <w:sz w:val="20"/>
          <w:u w:val="single"/>
        </w:rPr>
        <w:t>Id.</w:t>
      </w:r>
      <w:r>
        <w:rPr>
          <w:rFonts w:ascii="Arial" w:eastAsia="Arial" w:hAnsi="Arial" w:cs="Arial"/>
          <w:color w:val="000000"/>
          <w:sz w:val="20"/>
        </w:rPr>
        <w:t xml:space="preserve"> The notice solicited comments on "the effect of a requirement to provide captioning for patrons who are deaf or hard of hearing for game-related information (e.g., play-by-play information), safety, and emergency announcements, and any other relevant announcements." </w:t>
      </w:r>
      <w:r>
        <w:rPr>
          <w:rFonts w:ascii="Arial" w:eastAsia="Arial" w:hAnsi="Arial" w:cs="Arial"/>
          <w:color w:val="000000"/>
          <w:sz w:val="20"/>
          <w:u w:val="single"/>
        </w:rPr>
        <w:t>Id.</w:t>
      </w:r>
    </w:p>
    <w:p w14:paraId="4DB363F2" w14:textId="77777777" w:rsidR="00D041A2" w:rsidRDefault="00000000">
      <w:pPr>
        <w:pStyle w:val="Normal32"/>
        <w:widowControl w:val="0"/>
        <w:spacing w:before="200" w:line="260" w:lineRule="atLeast"/>
        <w:jc w:val="both"/>
      </w:pPr>
      <w:bookmarkStart w:id="4029" w:name="Bookmark_para_38_10"/>
      <w:bookmarkEnd w:id="4029"/>
      <w:r>
        <w:rPr>
          <w:rFonts w:ascii="Arial" w:eastAsia="Arial" w:hAnsi="Arial" w:cs="Arial"/>
          <w:color w:val="000000"/>
          <w:sz w:val="20"/>
        </w:rPr>
        <w:t xml:space="preserve">On July 23, 2010, after oral argument in this case, the DOJ issued final rules enforcing the accessibility standards of Title III of the ADA. Nondiscrimination on the Basis of Disability by Public Accommodations and in Commercial Facilities, 28 C.F.R. § 36, </w:t>
      </w:r>
      <w:r>
        <w:rPr>
          <w:rFonts w:ascii="Arial" w:eastAsia="Arial" w:hAnsi="Arial" w:cs="Arial"/>
          <w:color w:val="000000"/>
          <w:sz w:val="20"/>
          <w:u w:val="single"/>
        </w:rPr>
        <w:t>available at http://www.ada.gov/regs2010/titleIII_2010/titleIII_combined.html.</w:t>
      </w:r>
      <w:r>
        <w:rPr>
          <w:rFonts w:ascii="Arial" w:eastAsia="Arial" w:hAnsi="Arial" w:cs="Arial"/>
          <w:color w:val="000000"/>
          <w:sz w:val="20"/>
        </w:rPr>
        <w:t xml:space="preserve"> With respect to the issue of captioning of "all public address announcements," rather than simply "safety and emergency information," the DOJ elected to "postpone rulemaking on this complex issue." </w:t>
      </w:r>
      <w:r>
        <w:rPr>
          <w:rFonts w:ascii="Arial" w:eastAsia="Arial" w:hAnsi="Arial" w:cs="Arial"/>
          <w:color w:val="000000"/>
          <w:sz w:val="20"/>
          <w:u w:val="single"/>
        </w:rPr>
        <w:t>Id.</w:t>
      </w:r>
      <w:r>
        <w:rPr>
          <w:rFonts w:ascii="Arial" w:eastAsia="Arial" w:hAnsi="Arial" w:cs="Arial"/>
          <w:color w:val="000000"/>
          <w:sz w:val="20"/>
        </w:rPr>
        <w:t xml:space="preserve"> The DOJ based this decision on "a number of factors, including the multiple layers of existing regulations by various state agencies and levels of government, and the wide array of information, requests, and recommendations related to developing technology by the public." </w:t>
      </w:r>
      <w:r>
        <w:rPr>
          <w:rFonts w:ascii="Arial" w:eastAsia="Arial" w:hAnsi="Arial" w:cs="Arial"/>
          <w:color w:val="000000"/>
          <w:sz w:val="20"/>
          <w:u w:val="single"/>
        </w:rPr>
        <w:t>Id.</w:t>
      </w:r>
      <w:r>
        <w:rPr>
          <w:rFonts w:ascii="Arial" w:eastAsia="Arial" w:hAnsi="Arial" w:cs="Arial"/>
          <w:color w:val="000000"/>
          <w:sz w:val="20"/>
        </w:rPr>
        <w:t xml:space="preserve">  [**30] Thus, the DOJ "concluded that further consideration and review is prudent before it issues specific regulatory requirements." </w:t>
      </w:r>
      <w:r>
        <w:rPr>
          <w:rFonts w:ascii="Arial" w:eastAsia="Arial" w:hAnsi="Arial" w:cs="Arial"/>
          <w:color w:val="000000"/>
          <w:sz w:val="20"/>
          <w:u w:val="single"/>
        </w:rPr>
        <w:t>Id.</w:t>
      </w:r>
    </w:p>
    <w:p w14:paraId="760E11C1" w14:textId="77777777" w:rsidR="00D041A2" w:rsidRDefault="00000000">
      <w:pPr>
        <w:pStyle w:val="Normal32"/>
        <w:widowControl w:val="0"/>
        <w:spacing w:before="200" w:line="260" w:lineRule="atLeast"/>
        <w:jc w:val="both"/>
      </w:pPr>
      <w:bookmarkStart w:id="4030" w:name="Bookmark_para_39_10"/>
      <w:bookmarkEnd w:id="4030"/>
      <w:r>
        <w:rPr>
          <w:rFonts w:ascii="Arial" w:eastAsia="Arial" w:hAnsi="Arial" w:cs="Arial"/>
          <w:color w:val="000000"/>
          <w:sz w:val="20"/>
        </w:rPr>
        <w:t xml:space="preserve">Defendants maintain that the DOJ's solicitation of input and postponement of rulemaking on this issue indicates that the DOJ does not interpret the ADA to require large stadiums to provide auxiliary access to game-related information, let alone music lyrics. We disagree. </w:t>
      </w:r>
      <w:bookmarkStart w:id="4031" w:name="Bookmark_I52N4RFT0K53VD0030000400"/>
      <w:bookmarkEnd w:id="4031"/>
      <w:r>
        <w:rPr>
          <w:rFonts w:ascii="Arial" w:eastAsia="Arial" w:hAnsi="Arial" w:cs="Arial"/>
          <w:color w:val="000000"/>
          <w:sz w:val="20"/>
        </w:rPr>
        <w:t xml:space="preserve">This  [*393]  action demonstrates the DOJ's alertness to problems like those experienced by plaintiffs. It does not preclude the conclusion that the ADA requires defendants to provide auxiliary access to more than just safety and emergency information. The earlier notice of proposed rulemaking explicitly contemplated that the ADA may require captioning of game-related information and "any other relevant announcements." </w:t>
      </w:r>
      <w:bookmarkStart w:id="4032" w:name="Bookmark_I52N4RFT0K53VD0020000400"/>
      <w:bookmarkEnd w:id="4032"/>
      <w:r>
        <w:rPr>
          <w:rFonts w:ascii="Arial" w:eastAsia="Arial" w:hAnsi="Arial" w:cs="Arial"/>
          <w:color w:val="000000"/>
          <w:sz w:val="20"/>
        </w:rPr>
        <w:t>Nondiscrimination on the Basis of Disability by Public Accommodations and in Commercial Facilities, 73 Fed. Reg. at 34531-32. The DOJ is continuing to evaluate the effect of such a requirement. This evaluation raises the possibility that the requirement could pose an undue burden for some stadiums, or that it could fundamentally alter a stadium's goods and services, thus providing defenses  [**31] to what the ADA otherwise requires. The DOJ's action does not, however, indicate that large stadiums like FedEx Field need only furnish, at most, auxiliary access to play-by-play game information. The notice cited play-by-play information as one example of game-related information and mentions "other relevant announcements," leaving open the possibility that spectators who are deaf or hard of hearing must have auxiliary access to the promotional and entertainment content of a stadium bowl's public address system in order to fully and equally enjoy the goods, services, facilities, and privileges of the stadium.</w:t>
      </w:r>
    </w:p>
    <w:p w14:paraId="14CC06F6" w14:textId="77777777" w:rsidR="00D041A2" w:rsidRDefault="00000000">
      <w:pPr>
        <w:pStyle w:val="Normal32"/>
        <w:widowControl w:val="0"/>
        <w:spacing w:before="120" w:line="260" w:lineRule="atLeast"/>
      </w:pPr>
      <w:r>
        <w:rPr>
          <w:rFonts w:ascii="Arial" w:eastAsia="Arial" w:hAnsi="Arial" w:cs="Arial"/>
          <w:color w:val="000000"/>
          <w:sz w:val="20"/>
        </w:rPr>
        <w:t>III.</w:t>
      </w:r>
    </w:p>
    <w:p w14:paraId="7233C9EE" w14:textId="77777777" w:rsidR="00D041A2" w:rsidRDefault="00000000">
      <w:pPr>
        <w:pStyle w:val="Normal32"/>
        <w:widowControl w:val="0"/>
        <w:spacing w:before="200" w:line="260" w:lineRule="atLeast"/>
        <w:jc w:val="both"/>
      </w:pPr>
      <w:bookmarkStart w:id="4033" w:name="Bookmark_para_40_10"/>
      <w:bookmarkEnd w:id="4033"/>
      <w:r>
        <w:rPr>
          <w:rFonts w:ascii="Arial" w:eastAsia="Arial" w:hAnsi="Arial" w:cs="Arial"/>
          <w:color w:val="000000"/>
          <w:sz w:val="20"/>
        </w:rPr>
        <w:t xml:space="preserve">For the foregoing reasons, the judgment of the district court is </w:t>
      </w:r>
      <w:r>
        <w:rPr>
          <w:rFonts w:ascii="Arial" w:eastAsia="Arial" w:hAnsi="Arial" w:cs="Arial"/>
          <w:color w:val="000000"/>
          <w:sz w:val="20"/>
          <w:u w:val="single"/>
        </w:rPr>
        <w:t>AFFIRMED.</w:t>
      </w:r>
    </w:p>
    <w:p w14:paraId="47D6A300" w14:textId="77777777" w:rsidR="00D041A2" w:rsidRDefault="00000000">
      <w:pPr>
        <w:pStyle w:val="Normal32"/>
        <w:widowControl w:val="0"/>
        <w:spacing w:before="240" w:line="260" w:lineRule="atLeast"/>
      </w:pPr>
      <w:bookmarkStart w:id="4034" w:name="Dissent_by_0"/>
      <w:bookmarkEnd w:id="4034"/>
      <w:r>
        <w:rPr>
          <w:rFonts w:ascii="Arial" w:eastAsia="Arial" w:hAnsi="Arial" w:cs="Arial"/>
          <w:b/>
          <w:color w:val="000000"/>
          <w:sz w:val="20"/>
        </w:rPr>
        <w:t>Dissent by:</w:t>
      </w:r>
      <w:r>
        <w:rPr>
          <w:rFonts w:ascii="Arial" w:eastAsia="Arial" w:hAnsi="Arial" w:cs="Arial"/>
          <w:color w:val="000000"/>
          <w:sz w:val="20"/>
        </w:rPr>
        <w:t> BEATY (In Part)</w:t>
      </w:r>
    </w:p>
    <w:p w14:paraId="10381470" w14:textId="77777777" w:rsidR="00D041A2" w:rsidRDefault="00000000">
      <w:pPr>
        <w:pStyle w:val="Normal32"/>
        <w:keepNext/>
        <w:widowControl w:val="0"/>
        <w:spacing w:before="240" w:line="340" w:lineRule="atLeast"/>
      </w:pPr>
      <w:bookmarkStart w:id="4035" w:name="Dissent_0"/>
      <w:bookmarkEnd w:id="4035"/>
      <w:r>
        <w:rPr>
          <w:rFonts w:ascii="Arial" w:eastAsia="Arial" w:hAnsi="Arial" w:cs="Arial"/>
          <w:b/>
          <w:color w:val="000000"/>
          <w:sz w:val="28"/>
        </w:rPr>
        <w:t>Dissent</w:t>
      </w:r>
    </w:p>
    <w:p w14:paraId="5274D392" w14:textId="719E7A1C" w:rsidR="00D041A2" w:rsidRDefault="004D4403">
      <w:pPr>
        <w:pStyle w:val="Normal32"/>
        <w:spacing w:line="60" w:lineRule="exact"/>
      </w:pPr>
      <w:r>
        <w:rPr>
          <w:noProof/>
        </w:rPr>
        <mc:AlternateContent>
          <mc:Choice Requires="wps">
            <w:drawing>
              <wp:anchor distT="0" distB="0" distL="114300" distR="114300" simplePos="0" relativeHeight="251727872" behindDoc="0" locked="0" layoutInCell="1" allowOverlap="1" wp14:anchorId="32807509" wp14:editId="6283B408">
                <wp:simplePos x="0" y="0"/>
                <wp:positionH relativeFrom="column">
                  <wp:posOffset>0</wp:posOffset>
                </wp:positionH>
                <wp:positionV relativeFrom="paragraph">
                  <wp:posOffset>25400</wp:posOffset>
                </wp:positionV>
                <wp:extent cx="3187700" cy="0"/>
                <wp:effectExtent l="19050" t="15875" r="12700" b="12700"/>
                <wp:wrapTopAndBottom/>
                <wp:docPr id="141025355"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3B282" id="Line 69"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6E55B6F" w14:textId="77777777" w:rsidR="00D041A2" w:rsidRDefault="00D041A2">
      <w:pPr>
        <w:pStyle w:val="Normal32"/>
      </w:pPr>
    </w:p>
    <w:p w14:paraId="07F19189" w14:textId="77777777" w:rsidR="00D041A2" w:rsidRDefault="00000000">
      <w:pPr>
        <w:pStyle w:val="Normal32"/>
        <w:widowControl w:val="0"/>
        <w:spacing w:before="200" w:line="260" w:lineRule="atLeast"/>
        <w:jc w:val="both"/>
      </w:pPr>
      <w:bookmarkStart w:id="4036" w:name="Bookmark_para_41_9"/>
      <w:bookmarkEnd w:id="4036"/>
      <w:r>
        <w:rPr>
          <w:rFonts w:ascii="Arial" w:eastAsia="Arial" w:hAnsi="Arial" w:cs="Arial"/>
          <w:color w:val="000000"/>
          <w:sz w:val="20"/>
        </w:rPr>
        <w:t>BEATY, Chief District Judge, dissenting in part:</w:t>
      </w:r>
    </w:p>
    <w:p w14:paraId="5968F0F0" w14:textId="77777777" w:rsidR="00D041A2" w:rsidRDefault="00000000">
      <w:pPr>
        <w:pStyle w:val="Normal32"/>
        <w:widowControl w:val="0"/>
        <w:spacing w:before="200" w:line="260" w:lineRule="atLeast"/>
        <w:jc w:val="both"/>
      </w:pPr>
      <w:bookmarkStart w:id="4037" w:name="Bookmark_para_42_8"/>
      <w:bookmarkEnd w:id="4037"/>
      <w:r>
        <w:rPr>
          <w:rFonts w:ascii="Arial" w:eastAsia="Arial" w:hAnsi="Arial" w:cs="Arial"/>
          <w:color w:val="000000"/>
          <w:sz w:val="20"/>
        </w:rPr>
        <w:t>I respectfully dissent from the majority opinion to the extent that it affirms the scope of the declaratory judgment entered by the district court in this case. In my view, the district court in this case erred by announcing a broad declaratory judgment that required "equal access" to all "aural content" at FedEx Field, rather than focusing on whether the auxiliary aids provided by Defendants were sufficient to ensure "effective communication."  [**32] By setting out an "equal access to aural content" standard, the district court set out a rule that would potentially require that all content broadcast over the public address system at an athletic event at a public stadium be captured and provided to deaf or hearing impaired individuals in order to comply with the ADA, even though the ADA itself does not include such a requirement, instead of following the "auxiliary aid" analysis set out in the applicable statutory and regulatory provisions.</w:t>
      </w:r>
    </w:p>
    <w:p w14:paraId="29EFFB8F" w14:textId="77777777" w:rsidR="00D041A2" w:rsidRDefault="00000000">
      <w:pPr>
        <w:pStyle w:val="Normal32"/>
        <w:widowControl w:val="0"/>
        <w:spacing w:before="200" w:line="260" w:lineRule="atLeast"/>
        <w:jc w:val="both"/>
      </w:pPr>
      <w:bookmarkStart w:id="4038" w:name="Bookmark_para_43_8"/>
      <w:bookmarkEnd w:id="4038"/>
      <w:r>
        <w:rPr>
          <w:rFonts w:ascii="Arial" w:eastAsia="Arial" w:hAnsi="Arial" w:cs="Arial"/>
          <w:color w:val="000000"/>
          <w:sz w:val="20"/>
        </w:rPr>
        <w:t xml:space="preserve">The Americans with Disabilities Act prevents discrimination on the basis of disability "in the full and equal enjoyment of the goods, services, facilities, privileges, advantages, or accommodations of any place of public accommodation." 42 U.S.C. § 12182(a). Under the statute, a place of public accommodation must take necessary steps to ensure that hearing-impaired individuals are not "excluded, denied services, segregated or otherwise treated differently than other individuals </w:t>
      </w:r>
      <w:r>
        <w:rPr>
          <w:rFonts w:ascii="Arial" w:eastAsia="Arial" w:hAnsi="Arial" w:cs="Arial"/>
          <w:color w:val="000000"/>
          <w:sz w:val="20"/>
          <w:u w:val="single"/>
        </w:rPr>
        <w:t>because of the absence of auxiliary aids and services</w:t>
      </w:r>
      <w:r>
        <w:rPr>
          <w:rFonts w:ascii="Arial" w:eastAsia="Arial" w:hAnsi="Arial" w:cs="Arial"/>
          <w:color w:val="000000"/>
          <w:sz w:val="20"/>
        </w:rPr>
        <w:t xml:space="preserve">," unless such steps would result in an undue burden or fundamental alteration in the nature of the good, service, facility or privilege. 42 U.S.C. § 12182(b)(2)(A)(iii)  [**33] (emphasis added). The Department of Justice regulations that implement these provisions state that "[a] public accommodation shall furnish appropriate auxiliary aids and services where necessary to ensure effective communication with individuals with disabilities." 28 C.F.R. § 36.303(c). "The term 'auxiliary aids and services' includes . . . [q]ualified interpreters, notetakers, computer-aided transcription services, written materials, telephone handset amplifiers,  [*394]  assistive listening devices, assistive listening systems, telephones compatible with hearing aids, closed caption decoders, open and closed captioning, telecommunications devices for deaf persons (TDD's), videotext displays, or other effective methods of making aurally delivered materials available to individuals with hearing impairments." 28 C.F.R. § 36.303(b). The Department of Justice has noted that "[t]he auxiliary aid requirement is a flexible one. . . . [T]he Department believes that Congress did not intend under title III to impose upon a public accommodation the requirement that it give primary consideration to the request of the individual with a disability." 28 C.F.R. part 36, App. B, Sec. 36.303. Thus, "[a] public  [**34] accommodation can choose among various alternatives as long as the result is effective communication." </w:t>
      </w:r>
      <w:r>
        <w:rPr>
          <w:rFonts w:ascii="Arial" w:eastAsia="Arial" w:hAnsi="Arial" w:cs="Arial"/>
          <w:color w:val="000000"/>
          <w:sz w:val="20"/>
          <w:u w:val="single"/>
        </w:rPr>
        <w:t>Id.</w:t>
      </w:r>
    </w:p>
    <w:p w14:paraId="769264A7" w14:textId="77777777" w:rsidR="00D041A2" w:rsidRDefault="00000000">
      <w:pPr>
        <w:pStyle w:val="Normal32"/>
        <w:widowControl w:val="0"/>
        <w:spacing w:before="200" w:line="260" w:lineRule="atLeast"/>
        <w:jc w:val="both"/>
      </w:pPr>
      <w:bookmarkStart w:id="4039" w:name="Bookmark_para_44_8"/>
      <w:bookmarkEnd w:id="4039"/>
      <w:r>
        <w:rPr>
          <w:rFonts w:ascii="Arial" w:eastAsia="Arial" w:hAnsi="Arial" w:cs="Arial"/>
          <w:color w:val="000000"/>
          <w:sz w:val="20"/>
        </w:rPr>
        <w:t>Under these statutory and regulatory provisions as they relate to hearing-impaired individuals, public accommodations should follow a three-step process: (1) a public accommodation must provide auxiliary aids where necessary to ensure effective communication; and (2) if this requirement is triggered and auxiliary aids are needed to ensure effective communication, the public accommodation can choose what auxiliary aids are provided as long as the result is effective communication; but (3) the public accommodation need not provide an auxiliary aid or service if it would result in an undue burden or fundamental alteration. Thus, the relevant focus is on whether auxiliary aids are needed for, and result in, "effective communication."</w:t>
      </w:r>
    </w:p>
    <w:p w14:paraId="692C5459" w14:textId="77777777" w:rsidR="00D041A2" w:rsidRDefault="00000000">
      <w:pPr>
        <w:pStyle w:val="Normal32"/>
        <w:widowControl w:val="0"/>
        <w:spacing w:before="200" w:line="260" w:lineRule="atLeast"/>
        <w:jc w:val="both"/>
      </w:pPr>
      <w:bookmarkStart w:id="4040" w:name="Bookmark_para_45_8"/>
      <w:bookmarkEnd w:id="4040"/>
      <w:r>
        <w:rPr>
          <w:rFonts w:ascii="Arial" w:eastAsia="Arial" w:hAnsi="Arial" w:cs="Arial"/>
          <w:color w:val="000000"/>
          <w:sz w:val="20"/>
        </w:rPr>
        <w:t xml:space="preserve">In the present case, under this analysis, the first question is whether an auxiliary aid or service of some type must be provided to ensure effective communication at FedExField. If so, the analysis then moves to the second step: whether the auxiliary aids chosen by Defendants result in effective communication. In this regard, there were two types of auxiliary  [**35] aids or services offered by Defendants in this case. First, there is no dispute that Defendants have been providing assisted-listening devices as an auxiliary aid or service since 1997. However, there is also no dispute that those devices did not benefit Plaintiffs due to the nature of Plaintiffs' hearing impairments. Second, after this suit was filed, Defendants attempted to address Plaintiffs' concerns by providing auxiliary aids that included captioning on the LED boards at the 50-yard line of all public service announcements, play calls, game announcements, emergency announcements, and other announcements and information broadcast over the public address system, in addition to captioning of the video feeds in the concession areas. </w:t>
      </w:r>
      <w:r>
        <w:rPr>
          <w:rFonts w:ascii="Arial" w:eastAsia="Arial" w:hAnsi="Arial" w:cs="Arial"/>
          <w:vertAlign w:val="superscript"/>
        </w:rPr>
        <w:footnoteReference w:customMarkFollows="1" w:id="194"/>
        <w:t>1</w:t>
      </w:r>
      <w:r>
        <w:rPr>
          <w:rFonts w:ascii="Arial" w:eastAsia="Arial" w:hAnsi="Arial" w:cs="Arial"/>
          <w:color w:val="000000"/>
          <w:sz w:val="20"/>
        </w:rPr>
        <w:t xml:space="preserve"> However, the professional stenographer/captioner providing the captioning did not caption the lyrics to songs, because he testified that he followed the "industry standard" of not captioning song lyrics due to difficulty in understanding and correctly captioning the lyrics, and because the software that he used did not allow him to "prescript" the lyrics in advance. (Stephen Clark Dep., J.A.-0433 to JA-0434).</w:t>
      </w:r>
    </w:p>
    <w:p w14:paraId="64ACD9EF" w14:textId="77777777" w:rsidR="00D041A2" w:rsidRDefault="00000000">
      <w:pPr>
        <w:pStyle w:val="Normal32"/>
        <w:widowControl w:val="0"/>
        <w:spacing w:before="200" w:line="260" w:lineRule="atLeast"/>
        <w:jc w:val="both"/>
      </w:pPr>
      <w:bookmarkStart w:id="4042" w:name="Bookmark_para_46_7"/>
      <w:bookmarkEnd w:id="4042"/>
      <w:r>
        <w:rPr>
          <w:rFonts w:ascii="Arial" w:eastAsia="Arial" w:hAnsi="Arial" w:cs="Arial"/>
          <w:color w:val="000000"/>
          <w:sz w:val="20"/>
        </w:rPr>
        <w:t>Before the district court, Defendants disputed whether the ADA required them to provide deaf and hard of hearing fans with any type of auxiliary aids and services beyond the assistive-listening devices in order to ensure effective communication. The district judge properly rejected this contention, finding that the assistive-listening system provided by Defendants did not result in effective communication for Plaintiffs, and further finding that simply watching the game without any auxiliary  [*395]  aid or service did not provide effective communication. These findings rightly would have supported a declaratory judgment that an auxiliary aid of some type must be provided by Defendants beyond the assistive-listening devices, unless undue burden or fundamental alteration could be established.</w:t>
      </w:r>
    </w:p>
    <w:p w14:paraId="56318C7A" w14:textId="77777777" w:rsidR="00D041A2" w:rsidRDefault="00000000">
      <w:pPr>
        <w:pStyle w:val="Normal32"/>
        <w:widowControl w:val="0"/>
        <w:spacing w:before="200" w:line="260" w:lineRule="atLeast"/>
        <w:jc w:val="both"/>
      </w:pPr>
      <w:bookmarkStart w:id="4043" w:name="Bookmark_para_47_6"/>
      <w:bookmarkEnd w:id="4043"/>
      <w:r>
        <w:rPr>
          <w:rFonts w:ascii="Arial" w:eastAsia="Arial" w:hAnsi="Arial" w:cs="Arial"/>
          <w:color w:val="000000"/>
          <w:sz w:val="20"/>
        </w:rPr>
        <w:t xml:space="preserve">However, the district court went beyond this analysis, and rather than declaring that an auxiliary aid of some type was necessary for effective communication, the district court instead declared that "the ADA requires  [**37] Defendants to provide deaf and hard of hearing fans equal access to the aural information broadcast over the stadium bowl public address system at FedExField." The district court then specifically concluded that the ADA requires Defendants to provide auxiliary aids with respect to the lyrics to the songs played during the cheerleader's dance routines. On this point, the district court did not consider whether the captioning system being provided by Defendants resulted in effective communication as a whole, and instead created a separate analysis focusing on "equal access" to a particular communication. While the ADA provides for "full and equal enjoyment" of the services at a place of public accommodation, the primary obligation is to furnish auxiliary aids and services that provide an "effective method" of communication. Thus, the district court's focus on providing "equal access" to the "aural content" but failure to evaluate whether the auxiliary aids actually provided resulted in "effective communication" goes beyond the regulatory framework. </w:t>
      </w:r>
      <w:r>
        <w:rPr>
          <w:rFonts w:ascii="Arial" w:eastAsia="Arial" w:hAnsi="Arial" w:cs="Arial"/>
          <w:vertAlign w:val="superscript"/>
        </w:rPr>
        <w:footnoteReference w:customMarkFollows="1" w:id="195"/>
        <w:t>2</w:t>
      </w:r>
    </w:p>
    <w:p w14:paraId="45E6F851" w14:textId="77777777" w:rsidR="00D041A2" w:rsidRDefault="00000000">
      <w:pPr>
        <w:pStyle w:val="Normal32"/>
        <w:widowControl w:val="0"/>
        <w:spacing w:before="200" w:line="260" w:lineRule="atLeast"/>
        <w:jc w:val="both"/>
      </w:pPr>
      <w:bookmarkStart w:id="4045" w:name="Bookmark_para_48_6"/>
      <w:bookmarkEnd w:id="4045"/>
      <w:r>
        <w:rPr>
          <w:rFonts w:ascii="Arial" w:eastAsia="Arial" w:hAnsi="Arial" w:cs="Arial"/>
          <w:color w:val="000000"/>
          <w:sz w:val="20"/>
        </w:rPr>
        <w:t xml:space="preserve">In addition, the district court's failure to consider whether the auxiliary aids that were provided resulted in effective communication left the second step in the analysis unanswered. The Complaint in this case specifically requested that all public announcements be captioned on the JumboTrons, not the LED boards, but the district  [**39] court did not consider whether the auxiliary aid of captioning on the Jumbotrons, as requested, was necessary for effective communication, nor did the district court consider whether the auxiliary aid provided by Defendants of captioning on the LED boards resulted in effective communication. The district court did conclude that a trial was necessary on one issue related to the LED captioning, specifically, the "line of sight" issue regarding the location of the LED boards, but that issue was subsequently dropped by the Plaintiffs. Thus, the only issue remaining related to the song lyrics, for which the district court concluded that "equal access" was required, apart from any analysis of the auxiliary aids that were being provided. Thus, the ultimate issues raised in this case were not addressed, leaving ongoing questions regarding the impact of the district court's Judgment. </w:t>
      </w:r>
      <w:r>
        <w:rPr>
          <w:rFonts w:ascii="Arial" w:eastAsia="Arial" w:hAnsi="Arial" w:cs="Arial"/>
          <w:vertAlign w:val="superscript"/>
        </w:rPr>
        <w:footnoteReference w:customMarkFollows="1" w:id="196"/>
        <w:t>3</w:t>
      </w:r>
    </w:p>
    <w:p w14:paraId="48D106A7" w14:textId="77777777" w:rsidR="00D041A2" w:rsidRDefault="00000000">
      <w:pPr>
        <w:pStyle w:val="Normal32"/>
        <w:widowControl w:val="0"/>
        <w:spacing w:before="200" w:line="260" w:lineRule="atLeast"/>
        <w:jc w:val="both"/>
      </w:pPr>
      <w:bookmarkStart w:id="4047" w:name="Bookmark_para_49_6"/>
      <w:bookmarkEnd w:id="4047"/>
      <w:r>
        <w:rPr>
          <w:rFonts w:ascii="Arial" w:eastAsia="Arial" w:hAnsi="Arial" w:cs="Arial"/>
          <w:color w:val="000000"/>
          <w:sz w:val="20"/>
        </w:rPr>
        <w:t> [*396]  In my view, the auxiliary aids provided here, i.e., the captioning that was provided on the LED boards and in the concourse area, were sufficient to result in effective communication, even if Defendants did not provide word-for-word captioning of the songs in the cheerleader's dance routines. Of course, even this conclusion does not mean that captioning is required for all stadiums, since other auxiliary aids could also be sufficient to result in effective communication. In addition, other stadiums may be able to raise defenses of undue burden or fundamental alteration, which were not raised by Defendants in this case. In this regard, I would note that the Department of Justice has undertaken the process of rulemaking to consider these various issues, but has concluded that "further  [**41] consideration and review is prudent" given the complexity of the issues involved. Thus, the issues potentially raised in this case and the requirements of the ADA in this context would be matters of public importance and potential future rulemaking, but many of these issues were not fully litigated below or on appeal, given Defendants' decision to voluntarily provide auxiliary aids, including captioning on the LED boards and on the video screens in the concourse area. Indeed, this appeal came before us driven not by the substantive issues, but instead by Plaintiffs' claim for attorney's fees, as was candidly discussed during oral argument. Therefore, in my view, this case is not an appropriate forum or proceeding to determine these potential issues, and particularly to announce the broad rule set out in the district court's declaratory judgment.</w:t>
      </w:r>
    </w:p>
    <w:p w14:paraId="15F91C99" w14:textId="77777777" w:rsidR="00D041A2" w:rsidRDefault="00000000">
      <w:pPr>
        <w:pStyle w:val="Normal32"/>
        <w:widowControl w:val="0"/>
        <w:spacing w:before="200" w:line="260" w:lineRule="atLeast"/>
        <w:jc w:val="both"/>
      </w:pPr>
      <w:bookmarkStart w:id="4048" w:name="Bookmark_para_50_6"/>
      <w:bookmarkEnd w:id="4048"/>
      <w:r>
        <w:rPr>
          <w:rFonts w:ascii="Arial" w:eastAsia="Arial" w:hAnsi="Arial" w:cs="Arial"/>
          <w:color w:val="000000"/>
          <w:sz w:val="20"/>
        </w:rPr>
        <w:t xml:space="preserve">Therefore, given all of the issues outlined above, I would reverse the declaratory judgment in this case, as it was entered by the district court, and I respectfully dissent from the majority opinion to the extent that it affirms that declaratory judgment. </w:t>
      </w:r>
      <w:r>
        <w:rPr>
          <w:rFonts w:ascii="Arial" w:eastAsia="Arial" w:hAnsi="Arial" w:cs="Arial"/>
          <w:vertAlign w:val="superscript"/>
        </w:rPr>
        <w:footnoteReference w:customMarkFollows="1" w:id="197"/>
        <w:t>4</w:t>
      </w:r>
    </w:p>
    <w:p w14:paraId="10CACA97" w14:textId="77777777" w:rsidR="00D041A2" w:rsidRDefault="00D041A2">
      <w:pPr>
        <w:pStyle w:val="Normal32"/>
      </w:pPr>
    </w:p>
    <w:p w14:paraId="4ECAAE63" w14:textId="12BE4C6E" w:rsidR="00D041A2" w:rsidRDefault="00000000">
      <w:pPr>
        <w:pStyle w:val="Normal32"/>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28896" behindDoc="0" locked="0" layoutInCell="1" allowOverlap="1" wp14:anchorId="0516A474" wp14:editId="0E9C06D2">
                <wp:simplePos x="0" y="0"/>
                <wp:positionH relativeFrom="column">
                  <wp:posOffset>0</wp:posOffset>
                </wp:positionH>
                <wp:positionV relativeFrom="paragraph">
                  <wp:posOffset>127000</wp:posOffset>
                </wp:positionV>
                <wp:extent cx="6502400" cy="0"/>
                <wp:effectExtent l="9525" t="12700" r="12700" b="6350"/>
                <wp:wrapNone/>
                <wp:docPr id="2128630088"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FA2E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090FA42" w14:textId="77777777" w:rsidR="00D041A2" w:rsidRDefault="00D041A2">
      <w:pPr>
        <w:pStyle w:val="Normal33"/>
        <w:sectPr w:rsidR="00D041A2">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gutter="0"/>
          <w:cols w:space="720"/>
          <w:titlePg/>
        </w:sectPr>
      </w:pPr>
    </w:p>
    <w:p w14:paraId="64DD9E33" w14:textId="77777777" w:rsidR="00D041A2" w:rsidRDefault="00D041A2">
      <w:pPr>
        <w:pStyle w:val="Normal33"/>
      </w:pPr>
    </w:p>
    <w:p w14:paraId="250AFDC5" w14:textId="77777777" w:rsidR="00D041A2" w:rsidRDefault="00000000">
      <w:pPr>
        <w:pStyle w:val="Heading132"/>
        <w:keepNext w:val="0"/>
        <w:widowControl w:val="0"/>
        <w:spacing w:after="200" w:line="340" w:lineRule="atLeast"/>
        <w:jc w:val="center"/>
      </w:pPr>
      <w:r>
        <w:rPr>
          <w:rFonts w:eastAsia="Arial"/>
          <w:color w:val="000000"/>
          <w:sz w:val="28"/>
        </w:rPr>
        <w:t>Theilig v. United Tech Corp.</w:t>
      </w:r>
    </w:p>
    <w:p w14:paraId="31B62FFB" w14:textId="77777777" w:rsidR="00D041A2" w:rsidRDefault="00000000">
      <w:pPr>
        <w:pStyle w:val="Normal33"/>
        <w:widowControl w:val="0"/>
        <w:spacing w:before="120" w:line="260" w:lineRule="atLeast"/>
        <w:jc w:val="center"/>
      </w:pPr>
      <w:r>
        <w:rPr>
          <w:rFonts w:ascii="Arial" w:eastAsia="Arial" w:hAnsi="Arial" w:cs="Arial"/>
          <w:color w:val="000000"/>
          <w:sz w:val="20"/>
        </w:rPr>
        <w:t>United States Court of Appeals for the Second Circuit</w:t>
      </w:r>
    </w:p>
    <w:p w14:paraId="355B799D" w14:textId="77777777" w:rsidR="00D041A2" w:rsidRDefault="00000000">
      <w:pPr>
        <w:pStyle w:val="Normal33"/>
        <w:widowControl w:val="0"/>
        <w:spacing w:before="120" w:line="260" w:lineRule="atLeast"/>
        <w:jc w:val="center"/>
      </w:pPr>
      <w:r>
        <w:rPr>
          <w:rFonts w:ascii="Arial" w:eastAsia="Arial" w:hAnsi="Arial" w:cs="Arial"/>
          <w:color w:val="000000"/>
          <w:sz w:val="20"/>
        </w:rPr>
        <w:t>March 24, 2011, Decided</w:t>
      </w:r>
    </w:p>
    <w:p w14:paraId="1155562D" w14:textId="77777777" w:rsidR="00D041A2" w:rsidRDefault="00000000">
      <w:pPr>
        <w:pStyle w:val="Normal33"/>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10-1417-cv</w:t>
      </w:r>
    </w:p>
    <w:p w14:paraId="11D7C388" w14:textId="77777777" w:rsidR="00D041A2" w:rsidRDefault="00D041A2">
      <w:pPr>
        <w:pStyle w:val="Normal33"/>
        <w:widowControl w:val="0"/>
        <w:spacing w:line="240" w:lineRule="atLeast"/>
        <w:jc w:val="both"/>
      </w:pPr>
      <w:bookmarkStart w:id="4050" w:name="Bookmark_34"/>
      <w:bookmarkEnd w:id="4050"/>
    </w:p>
    <w:p w14:paraId="1D750150" w14:textId="77777777" w:rsidR="00D041A2" w:rsidRDefault="00000000">
      <w:pPr>
        <w:pStyle w:val="Normal33"/>
        <w:widowControl w:val="0"/>
        <w:spacing w:before="200" w:line="240" w:lineRule="atLeast"/>
      </w:pPr>
      <w:bookmarkStart w:id="4051" w:name="Reporter_32"/>
      <w:bookmarkEnd w:id="4051"/>
      <w:r>
        <w:rPr>
          <w:rFonts w:ascii="Arial" w:eastAsia="Arial" w:hAnsi="Arial" w:cs="Arial"/>
          <w:b/>
          <w:color w:val="000000"/>
          <w:sz w:val="18"/>
        </w:rPr>
        <w:t>Reporter</w:t>
      </w:r>
    </w:p>
    <w:p w14:paraId="2CC029CA" w14:textId="77777777" w:rsidR="00D041A2" w:rsidRDefault="00000000">
      <w:pPr>
        <w:pStyle w:val="Normal33"/>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415 Fed. Appx. 331 *; 2011 U.S. App. LEXIS 6074 **; 24 Am. Disabilities Cas. (BNA) 1040</w:t>
      </w:r>
    </w:p>
    <w:p w14:paraId="630FE80C" w14:textId="77777777" w:rsidR="00D041A2" w:rsidRDefault="00000000">
      <w:pPr>
        <w:pStyle w:val="Normal33"/>
        <w:widowControl w:val="0"/>
        <w:spacing w:before="120" w:line="260" w:lineRule="atLeast"/>
      </w:pPr>
      <w:r>
        <w:rPr>
          <w:rFonts w:ascii="Arial" w:eastAsia="Arial" w:hAnsi="Arial" w:cs="Arial"/>
          <w:color w:val="000000"/>
          <w:sz w:val="20"/>
        </w:rPr>
        <w:t>LEONARD THEILIG, Plaintiff-Appellant, - v. - UNITED TECH CORPORATION, PRATT &amp; WHITNEY DIVISION, Defendant-Appellee.</w:t>
      </w:r>
    </w:p>
    <w:p w14:paraId="74460101" w14:textId="77777777" w:rsidR="00D041A2" w:rsidRDefault="00000000">
      <w:pPr>
        <w:pStyle w:val="Normal33"/>
        <w:widowControl w:val="0"/>
        <w:spacing w:before="240" w:line="260" w:lineRule="atLeast"/>
        <w:jc w:val="both"/>
      </w:pPr>
      <w:bookmarkStart w:id="4052" w:name="Notice_20"/>
      <w:bookmarkEnd w:id="4052"/>
      <w:r>
        <w:rPr>
          <w:rFonts w:ascii="Arial" w:eastAsia="Arial" w:hAnsi="Arial" w:cs="Arial"/>
          <w:b/>
          <w:color w:val="000000"/>
          <w:sz w:val="20"/>
        </w:rPr>
        <w:t>Notice:</w:t>
      </w:r>
      <w:r>
        <w:rPr>
          <w:rFonts w:ascii="Arial" w:eastAsia="Arial" w:hAnsi="Arial" w:cs="Arial"/>
          <w:color w:val="000000"/>
          <w:sz w:val="20"/>
        </w:rPr>
        <w:t> </w:t>
      </w:r>
      <w:bookmarkStart w:id="4053" w:name="Bookmark_para_1_32"/>
      <w:bookmarkEnd w:id="4053"/>
      <w:r>
        <w:rPr>
          <w:rFonts w:ascii="Arial" w:eastAsia="Arial" w:hAnsi="Arial" w:cs="Arial"/>
          <w:color w:val="000000"/>
          <w:sz w:val="20"/>
        </w:rPr>
        <w:t>PLEASE REFER TO FEDERAL RULES OF APPELLATE PROCEDURE RULE 32.1 GOVERNING THE CITATION TO UNPUBLISHED OPINIONS.</w:t>
      </w:r>
    </w:p>
    <w:p w14:paraId="3CA16BBD" w14:textId="77777777" w:rsidR="00D041A2" w:rsidRDefault="00000000">
      <w:pPr>
        <w:pStyle w:val="Normal33"/>
        <w:widowControl w:val="0"/>
        <w:spacing w:before="240" w:line="260" w:lineRule="atLeast"/>
        <w:jc w:val="both"/>
      </w:pPr>
      <w:bookmarkStart w:id="4054" w:name="Prior_History_32"/>
      <w:bookmarkEnd w:id="4054"/>
      <w:r>
        <w:rPr>
          <w:rFonts w:ascii="Arial" w:eastAsia="Arial" w:hAnsi="Arial" w:cs="Arial"/>
          <w:b/>
          <w:color w:val="000000"/>
          <w:sz w:val="20"/>
        </w:rPr>
        <w:t>Prior History:</w:t>
      </w:r>
      <w:r>
        <w:rPr>
          <w:rFonts w:ascii="Arial" w:eastAsia="Arial" w:hAnsi="Arial" w:cs="Arial"/>
          <w:color w:val="000000"/>
          <w:sz w:val="20"/>
        </w:rPr>
        <w:t>  [**1] </w:t>
      </w:r>
      <w:bookmarkStart w:id="4055" w:name="Bookmark_para_2_32"/>
      <w:bookmarkEnd w:id="4055"/>
      <w:r>
        <w:rPr>
          <w:rFonts w:ascii="Arial" w:eastAsia="Arial" w:hAnsi="Arial" w:cs="Arial"/>
          <w:color w:val="000000"/>
          <w:sz w:val="20"/>
        </w:rPr>
        <w:t>Appeal from the United States District Court for the District of Connecticut (Burns, J.).</w:t>
      </w:r>
    </w:p>
    <w:p w14:paraId="17AF0C8D" w14:textId="77777777" w:rsidR="00D041A2" w:rsidRDefault="00000000">
      <w:pPr>
        <w:pStyle w:val="Normal33"/>
        <w:widowControl w:val="0"/>
        <w:spacing w:before="120" w:line="260" w:lineRule="atLeast"/>
      </w:pPr>
      <w:r>
        <w:rPr>
          <w:rFonts w:ascii="Arial" w:eastAsia="Arial" w:hAnsi="Arial" w:cs="Arial"/>
          <w:color w:val="000000"/>
          <w:sz w:val="20"/>
        </w:rPr>
        <w:t>Theilig v. United Techs. Corp., 2009 U.S. Dist. LEXIS 141244 (D. Conn., Dec. 9, 2009)</w:t>
      </w:r>
    </w:p>
    <w:p w14:paraId="31813D5D" w14:textId="77777777" w:rsidR="00D041A2" w:rsidRDefault="00000000">
      <w:pPr>
        <w:pStyle w:val="Normal33"/>
        <w:widowControl w:val="0"/>
        <w:spacing w:before="240" w:line="260" w:lineRule="atLeast"/>
      </w:pPr>
      <w:bookmarkStart w:id="4056" w:name="Counsel_32"/>
      <w:bookmarkEnd w:id="4056"/>
      <w:r>
        <w:rPr>
          <w:rFonts w:ascii="Arial" w:eastAsia="Arial" w:hAnsi="Arial" w:cs="Arial"/>
          <w:b/>
          <w:color w:val="000000"/>
          <w:sz w:val="20"/>
        </w:rPr>
        <w:t>Counsel:</w:t>
      </w:r>
      <w:r>
        <w:rPr>
          <w:rFonts w:ascii="Arial" w:eastAsia="Arial" w:hAnsi="Arial" w:cs="Arial"/>
          <w:color w:val="000000"/>
          <w:sz w:val="20"/>
        </w:rPr>
        <w:t> For Plaintiff-Appellant: BARBARA E. GARDNER, Manchester, CT.</w:t>
      </w:r>
    </w:p>
    <w:p w14:paraId="461BDED8" w14:textId="77777777" w:rsidR="00D041A2" w:rsidRDefault="00000000">
      <w:pPr>
        <w:pStyle w:val="Normal33"/>
        <w:widowControl w:val="0"/>
        <w:spacing w:before="120" w:line="260" w:lineRule="atLeast"/>
      </w:pPr>
      <w:r>
        <w:rPr>
          <w:rFonts w:ascii="Arial" w:eastAsia="Arial" w:hAnsi="Arial" w:cs="Arial"/>
          <w:color w:val="000000"/>
          <w:sz w:val="20"/>
        </w:rPr>
        <w:t>For Defendant-Appellee: ALBERT ZAKARIAN (Albert L. Barrueco, on the brief), Day Pitney LLP, Hartford, CT.</w:t>
      </w:r>
    </w:p>
    <w:p w14:paraId="3640D7F1" w14:textId="77777777" w:rsidR="00D041A2" w:rsidRDefault="00000000">
      <w:pPr>
        <w:pStyle w:val="Normal33"/>
        <w:widowControl w:val="0"/>
        <w:spacing w:before="240" w:line="260" w:lineRule="atLeast"/>
      </w:pPr>
      <w:bookmarkStart w:id="4057" w:name="Judges_32"/>
      <w:bookmarkEnd w:id="4057"/>
      <w:r>
        <w:rPr>
          <w:rFonts w:ascii="Arial" w:eastAsia="Arial" w:hAnsi="Arial" w:cs="Arial"/>
          <w:b/>
          <w:color w:val="000000"/>
          <w:sz w:val="20"/>
        </w:rPr>
        <w:t>Judges:</w:t>
      </w:r>
      <w:r>
        <w:rPr>
          <w:rFonts w:ascii="Arial" w:eastAsia="Arial" w:hAnsi="Arial" w:cs="Arial"/>
          <w:color w:val="000000"/>
          <w:sz w:val="20"/>
        </w:rPr>
        <w:t> Present: ROBERT A. KATZMANN, REENA RAGGI, RAYMOND J. LOHIER, JR., Circuit Judges.</w:t>
      </w:r>
    </w:p>
    <w:p w14:paraId="70A8F95C" w14:textId="77777777" w:rsidR="00D041A2" w:rsidRDefault="00000000">
      <w:pPr>
        <w:pStyle w:val="Normal33"/>
        <w:keepNext/>
        <w:widowControl w:val="0"/>
        <w:spacing w:before="240" w:line="340" w:lineRule="atLeast"/>
      </w:pPr>
      <w:bookmarkStart w:id="4058" w:name="Opinion_32"/>
      <w:bookmarkEnd w:id="4058"/>
      <w:r>
        <w:rPr>
          <w:rFonts w:ascii="Arial" w:eastAsia="Arial" w:hAnsi="Arial" w:cs="Arial"/>
          <w:b/>
          <w:color w:val="000000"/>
          <w:sz w:val="28"/>
        </w:rPr>
        <w:t>Opinion</w:t>
      </w:r>
    </w:p>
    <w:p w14:paraId="1D734332" w14:textId="0AD9475B" w:rsidR="00D041A2" w:rsidRDefault="004D4403">
      <w:pPr>
        <w:pStyle w:val="Normal33"/>
        <w:spacing w:line="60" w:lineRule="exact"/>
      </w:pPr>
      <w:r>
        <w:rPr>
          <w:noProof/>
        </w:rPr>
        <mc:AlternateContent>
          <mc:Choice Requires="wps">
            <w:drawing>
              <wp:anchor distT="0" distB="0" distL="114300" distR="114300" simplePos="0" relativeHeight="251729920" behindDoc="0" locked="0" layoutInCell="1" allowOverlap="1" wp14:anchorId="50AFA2DF" wp14:editId="2592C697">
                <wp:simplePos x="0" y="0"/>
                <wp:positionH relativeFrom="column">
                  <wp:posOffset>0</wp:posOffset>
                </wp:positionH>
                <wp:positionV relativeFrom="paragraph">
                  <wp:posOffset>25400</wp:posOffset>
                </wp:positionV>
                <wp:extent cx="3187700" cy="0"/>
                <wp:effectExtent l="19050" t="15875" r="12700" b="12700"/>
                <wp:wrapTopAndBottom/>
                <wp:docPr id="410327180"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13541" id="Line 71"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9E5A9E8" w14:textId="77777777" w:rsidR="00D041A2" w:rsidRDefault="00D041A2">
      <w:pPr>
        <w:pStyle w:val="Normal33"/>
        <w:spacing w:line="120" w:lineRule="exact"/>
      </w:pPr>
    </w:p>
    <w:p w14:paraId="2AB413D5" w14:textId="77777777" w:rsidR="00D041A2" w:rsidRDefault="00000000">
      <w:pPr>
        <w:pStyle w:val="Normal33"/>
        <w:widowControl w:val="0"/>
        <w:spacing w:before="240" w:line="260" w:lineRule="atLeast"/>
      </w:pPr>
      <w:r>
        <w:br/>
      </w:r>
      <w:r>
        <w:rPr>
          <w:rFonts w:ascii="Arial" w:eastAsia="Arial" w:hAnsi="Arial" w:cs="Arial"/>
          <w:color w:val="000000"/>
          <w:sz w:val="20"/>
        </w:rPr>
        <w:t xml:space="preserve"> [*332]  </w:t>
      </w:r>
      <w:r>
        <w:rPr>
          <w:rFonts w:ascii="Arial" w:eastAsia="Arial" w:hAnsi="Arial" w:cs="Arial"/>
          <w:b/>
          <w:color w:val="000000"/>
          <w:sz w:val="20"/>
        </w:rPr>
        <w:t>SUMMARY ORDER</w:t>
      </w:r>
    </w:p>
    <w:p w14:paraId="59699118" w14:textId="77777777" w:rsidR="00D041A2" w:rsidRDefault="00000000">
      <w:pPr>
        <w:pStyle w:val="Normal33"/>
        <w:widowControl w:val="0"/>
        <w:spacing w:before="200" w:line="260" w:lineRule="atLeast"/>
        <w:jc w:val="both"/>
      </w:pPr>
      <w:bookmarkStart w:id="4059" w:name="Bookmark_para_3_32"/>
      <w:bookmarkEnd w:id="4059"/>
      <w:r>
        <w:rPr>
          <w:rFonts w:ascii="Arial" w:eastAsia="Arial" w:hAnsi="Arial" w:cs="Arial"/>
          <w:b/>
          <w:color w:val="000000"/>
          <w:sz w:val="20"/>
        </w:rPr>
        <w:t>ON CONSIDERATION WHEREOF, IT IS HEREBY ORDERED, ADJUDGED, AND DECREED</w:t>
      </w:r>
      <w:r>
        <w:rPr>
          <w:rFonts w:ascii="Arial" w:eastAsia="Arial" w:hAnsi="Arial" w:cs="Arial"/>
          <w:color w:val="000000"/>
          <w:sz w:val="20"/>
        </w:rPr>
        <w:t xml:space="preserve"> that the judgment of the district court is </w:t>
      </w:r>
      <w:r>
        <w:rPr>
          <w:rFonts w:ascii="Arial" w:eastAsia="Arial" w:hAnsi="Arial" w:cs="Arial"/>
          <w:b/>
          <w:color w:val="000000"/>
          <w:sz w:val="20"/>
        </w:rPr>
        <w:t>AFFIRMED.</w:t>
      </w:r>
    </w:p>
    <w:p w14:paraId="41F020D5" w14:textId="77777777" w:rsidR="00D041A2" w:rsidRDefault="00000000">
      <w:pPr>
        <w:pStyle w:val="Normal33"/>
        <w:widowControl w:val="0"/>
        <w:spacing w:before="200" w:line="260" w:lineRule="atLeast"/>
        <w:jc w:val="both"/>
      </w:pPr>
      <w:bookmarkStart w:id="4060" w:name="Bookmark_para_4_32"/>
      <w:bookmarkEnd w:id="4060"/>
      <w:r>
        <w:rPr>
          <w:rFonts w:ascii="Arial" w:eastAsia="Arial" w:hAnsi="Arial" w:cs="Arial"/>
          <w:color w:val="000000"/>
          <w:sz w:val="20"/>
        </w:rPr>
        <w:t xml:space="preserve">Plaintiff-Appellant Leonard Theilig appeals from a final judgment, entered December 11, 2009, in the United States District Court for the District of Connecticut (Burns, </w:t>
      </w:r>
      <w:r>
        <w:rPr>
          <w:rFonts w:ascii="Arial" w:eastAsia="Arial" w:hAnsi="Arial" w:cs="Arial"/>
          <w:i/>
          <w:color w:val="000000"/>
          <w:sz w:val="20"/>
        </w:rPr>
        <w:t>J.</w:t>
      </w:r>
      <w:r>
        <w:rPr>
          <w:rFonts w:ascii="Arial" w:eastAsia="Arial" w:hAnsi="Arial" w:cs="Arial"/>
          <w:color w:val="000000"/>
          <w:sz w:val="20"/>
        </w:rPr>
        <w:t xml:space="preserve">), granting the motion for summary judgment of defendant-appellee United Tech Corporation, Pratt &amp; Whitney Division (hereinafter "Pratt") and dismissing Theilig's complaint in its entirety. Theilig, a former employee of Pratt, was denied a requested accommodation that would have permitted him to work from home without supervision, and he resigned on July 7, 2005. He subsequently brought this action, asserting claims of disability discrimination and failure to accommodate under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and  [**2] the Connecticut Fair Employment Practices Act ("CFEPA"), Conn. Gen. Stat. § 46a-51 </w:t>
      </w:r>
      <w:r>
        <w:rPr>
          <w:rFonts w:ascii="Arial" w:eastAsia="Arial" w:hAnsi="Arial" w:cs="Arial"/>
          <w:i/>
          <w:color w:val="000000"/>
          <w:sz w:val="20"/>
        </w:rPr>
        <w:t>et seq.</w:t>
      </w:r>
      <w:r>
        <w:rPr>
          <w:rFonts w:ascii="Arial" w:eastAsia="Arial" w:hAnsi="Arial" w:cs="Arial"/>
          <w:color w:val="000000"/>
          <w:sz w:val="20"/>
        </w:rPr>
        <w:t xml:space="preserve"> He also alleged, under both statutes, that Pratt had constructively discharged him. On appeal, Theilig argues that (1) the district court improperly granted summary judgment because there were disputed issues of material fact concerning the reasonableness of his proposed accommodation; and (2) the district court erred in ruling that Pratt's purported failure to accept his proposed accommodation was insufficient to prove his constructive discharge claim. We assume the parties' familiarity with the facts and procedural history of the case.</w:t>
      </w:r>
    </w:p>
    <w:p w14:paraId="3428606C" w14:textId="77777777" w:rsidR="00D041A2" w:rsidRDefault="00000000">
      <w:pPr>
        <w:pStyle w:val="Normal33"/>
        <w:widowControl w:val="0"/>
        <w:spacing w:before="200" w:line="260" w:lineRule="atLeast"/>
        <w:jc w:val="both"/>
      </w:pPr>
      <w:bookmarkStart w:id="4061" w:name="Bookmark_para_5_32"/>
      <w:bookmarkEnd w:id="4061"/>
      <w:r>
        <w:rPr>
          <w:rFonts w:ascii="Arial" w:eastAsia="Arial" w:hAnsi="Arial" w:cs="Arial"/>
          <w:color w:val="000000"/>
          <w:sz w:val="20"/>
        </w:rPr>
        <w:t xml:space="preserve">Under the ADA, "[n]o covered entity shall discriminate against a qualified individual on the basis of disability in regard to job application procedures, the hiring, advancement, or discharge of employees, employee compensation, job training, and other terms, conditions, and privileges of employment." 42 U.S.C. § 12112(a). The term "discriminate" under the ADA includes "not making reasonable accommodations to the known physical or mental limitations of an otherwise qualified individual with a disability who is an applicant or employee." </w:t>
      </w:r>
      <w:r>
        <w:rPr>
          <w:rFonts w:ascii="Arial" w:eastAsia="Arial" w:hAnsi="Arial" w:cs="Arial"/>
          <w:i/>
          <w:color w:val="000000"/>
          <w:sz w:val="20"/>
        </w:rPr>
        <w:t>Id.</w:t>
      </w:r>
      <w:r>
        <w:rPr>
          <w:rFonts w:ascii="Arial" w:eastAsia="Arial" w:hAnsi="Arial" w:cs="Arial"/>
          <w:color w:val="000000"/>
          <w:sz w:val="20"/>
        </w:rPr>
        <w:t xml:space="preserve"> § 12112(b)(5)(A).</w:t>
      </w:r>
    </w:p>
    <w:p w14:paraId="0C07EF4C" w14:textId="77777777" w:rsidR="00D041A2" w:rsidRDefault="00000000">
      <w:pPr>
        <w:pStyle w:val="Normal33"/>
        <w:widowControl w:val="0"/>
        <w:spacing w:before="200" w:line="260" w:lineRule="atLeast"/>
        <w:jc w:val="both"/>
      </w:pPr>
      <w:bookmarkStart w:id="4062" w:name="Bookmark_para_6_32"/>
      <w:bookmarkStart w:id="4063" w:name="Bookmark_I0BVHJSC6370000BKK600001"/>
      <w:bookmarkStart w:id="4064" w:name="Bookmark_I52MT46D0K333W0020000400"/>
      <w:bookmarkEnd w:id="4062"/>
      <w:bookmarkEnd w:id="4063"/>
      <w:bookmarkEnd w:id="4064"/>
      <w:r>
        <w:rPr>
          <w:rFonts w:ascii="Arial" w:eastAsia="Arial" w:hAnsi="Arial" w:cs="Arial"/>
          <w:color w:val="000000"/>
          <w:sz w:val="20"/>
        </w:rPr>
        <w:t>In  [**3] a case where a plaintiff argues that he can perform his job with a reasonable accommodation,</w:t>
      </w:r>
    </w:p>
    <w:p w14:paraId="2773E4D8" w14:textId="77777777" w:rsidR="00D041A2" w:rsidRDefault="00000000">
      <w:pPr>
        <w:pStyle w:val="Normal33"/>
        <w:widowControl w:val="0"/>
        <w:spacing w:before="200" w:line="260" w:lineRule="atLeast"/>
        <w:ind w:left="400"/>
        <w:jc w:val="both"/>
      </w:pPr>
      <w:bookmarkStart w:id="4065" w:name="Bookmark_para_7_32"/>
      <w:bookmarkEnd w:id="4065"/>
      <w:r>
        <w:rPr>
          <w:rFonts w:ascii="Arial" w:eastAsia="Arial" w:hAnsi="Arial" w:cs="Arial"/>
          <w:color w:val="000000"/>
          <w:sz w:val="20"/>
        </w:rPr>
        <w:t xml:space="preserve"> [*333]  </w:t>
      </w:r>
      <w:bookmarkStart w:id="4066" w:name="Bookmark_I52MT46D0K333W0020000400_2"/>
      <w:bookmarkEnd w:id="4066"/>
      <w:r>
        <w:rPr>
          <w:rFonts w:ascii="Arial" w:eastAsia="Arial" w:hAnsi="Arial" w:cs="Arial"/>
          <w:color w:val="000000"/>
          <w:sz w:val="20"/>
        </w:rPr>
        <w:t>the prima facie burden requires a showing that (1) plaintiff is a person with a disability under the meaning of the ADA; (2) an employer covered by the statute had notice of his disability; (3) with reasonable accommodation, plaintiff could perform the essential functions of the job at issue; and (4) the employer has refused to make such accommodations.</w:t>
      </w:r>
    </w:p>
    <w:p w14:paraId="241EE8B8" w14:textId="77777777" w:rsidR="00D041A2" w:rsidRDefault="00000000">
      <w:pPr>
        <w:pStyle w:val="Normal33"/>
        <w:widowControl w:val="0"/>
        <w:spacing w:before="200" w:line="260" w:lineRule="atLeast"/>
        <w:jc w:val="both"/>
      </w:pPr>
      <w:bookmarkStart w:id="4067" w:name="Bookmark_I52MT46D0K333W0020000400_3"/>
      <w:bookmarkStart w:id="4068" w:name="Bookmark_I52MT46D0K333W0010000400"/>
      <w:bookmarkEnd w:id="4067"/>
      <w:bookmarkEnd w:id="4068"/>
      <w:r>
        <w:rPr>
          <w:rFonts w:ascii="Arial" w:eastAsia="Arial" w:hAnsi="Arial" w:cs="Arial"/>
          <w:i/>
          <w:color w:val="000000"/>
          <w:sz w:val="20"/>
        </w:rPr>
        <w:t>Rodal v. Anesthesia Grp. of Onondaga, P.C.,</w:t>
      </w:r>
      <w:r>
        <w:rPr>
          <w:rFonts w:ascii="Arial" w:eastAsia="Arial" w:hAnsi="Arial" w:cs="Arial"/>
          <w:color w:val="000000"/>
          <w:sz w:val="20"/>
        </w:rPr>
        <w:t xml:space="preserve"> 369 F.3d 113, 118 (2d Cir. 2004). </w:t>
      </w:r>
      <w:bookmarkStart w:id="4069" w:name="Bookmark_I52MT46D0K333W0040000400"/>
      <w:bookmarkEnd w:id="4069"/>
      <w:r>
        <w:rPr>
          <w:rFonts w:ascii="Arial" w:eastAsia="Arial" w:hAnsi="Arial" w:cs="Arial"/>
          <w:color w:val="000000"/>
          <w:sz w:val="20"/>
        </w:rPr>
        <w:t xml:space="preserve">"In general . . . it is the responsibility of the individual with a disability to inform the employer that an accommodation is needed." 29 C.F.R. pt. 1630 app. § 1630.9. The plaintiff bears the burden to show the existence of an accommodation. </w:t>
      </w:r>
      <w:bookmarkStart w:id="4070" w:name="Bookmark_I52MT46J0K335S0010000400"/>
      <w:bookmarkStart w:id="4071" w:name="Bookmark_I52MT46D0K333W0030000400"/>
      <w:bookmarkEnd w:id="4070"/>
      <w:bookmarkEnd w:id="4071"/>
      <w:r>
        <w:rPr>
          <w:rFonts w:ascii="Arial" w:eastAsia="Arial" w:hAnsi="Arial" w:cs="Arial"/>
          <w:i/>
          <w:color w:val="000000"/>
          <w:sz w:val="20"/>
        </w:rPr>
        <w:t>Jackan v. N.Y. State Dep't of Labor,</w:t>
      </w:r>
      <w:r>
        <w:rPr>
          <w:rFonts w:ascii="Arial" w:eastAsia="Arial" w:hAnsi="Arial" w:cs="Arial"/>
          <w:color w:val="000000"/>
          <w:sz w:val="20"/>
        </w:rPr>
        <w:t xml:space="preserve"> 205 F.3d 562, 566 (2d Cir. 2000). </w:t>
      </w:r>
      <w:bookmarkStart w:id="4072" w:name="Bookmark_I52MT46J0K335S0010000400_2"/>
      <w:bookmarkEnd w:id="4072"/>
      <w:r>
        <w:rPr>
          <w:rFonts w:ascii="Arial" w:eastAsia="Arial" w:hAnsi="Arial" w:cs="Arial"/>
          <w:color w:val="000000"/>
          <w:sz w:val="20"/>
        </w:rPr>
        <w:t xml:space="preserve">If, in addition to establishing the other elements set forth above, the plaintiff can establish that an accommodation exists that permits the plaintiff to perform the job's essential functions, then the burden of persuasion that the accommodation is unreasonable and would cause undue hardship shifts to the defendant employer. </w:t>
      </w:r>
      <w:r>
        <w:rPr>
          <w:rFonts w:ascii="Arial" w:eastAsia="Arial" w:hAnsi="Arial" w:cs="Arial"/>
          <w:i/>
          <w:color w:val="000000"/>
          <w:sz w:val="20"/>
        </w:rPr>
        <w:t>Id.</w:t>
      </w:r>
      <w:r>
        <w:rPr>
          <w:rFonts w:ascii="Arial" w:eastAsia="Arial" w:hAnsi="Arial" w:cs="Arial"/>
          <w:color w:val="000000"/>
          <w:sz w:val="20"/>
        </w:rPr>
        <w:t xml:space="preserve"> Whether a requested accommodation  [**4] is "reasonable" is determined on a "case-by-case basis." </w:t>
      </w:r>
      <w:bookmarkStart w:id="4073" w:name="Bookmark_I52MT46D0K333W0050000400"/>
      <w:bookmarkEnd w:id="4073"/>
      <w:r>
        <w:rPr>
          <w:rFonts w:ascii="Arial" w:eastAsia="Arial" w:hAnsi="Arial" w:cs="Arial"/>
          <w:i/>
          <w:color w:val="000000"/>
          <w:sz w:val="20"/>
        </w:rPr>
        <w:t>Wernick v. Fed. Reserve Bank of N.Y.,</w:t>
      </w:r>
      <w:r>
        <w:rPr>
          <w:rFonts w:ascii="Arial" w:eastAsia="Arial" w:hAnsi="Arial" w:cs="Arial"/>
          <w:color w:val="000000"/>
          <w:sz w:val="20"/>
        </w:rPr>
        <w:t xml:space="preserve"> 91 F.3d 379, 385 (2d Cir. 1996).</w:t>
      </w:r>
    </w:p>
    <w:p w14:paraId="50D2A1CD" w14:textId="77777777" w:rsidR="00D041A2" w:rsidRDefault="00000000">
      <w:pPr>
        <w:pStyle w:val="Normal33"/>
        <w:widowControl w:val="0"/>
        <w:spacing w:before="200" w:line="260" w:lineRule="atLeast"/>
        <w:jc w:val="both"/>
      </w:pPr>
      <w:bookmarkStart w:id="4074" w:name="Bookmark_para_8_31"/>
      <w:bookmarkEnd w:id="4074"/>
      <w:r>
        <w:rPr>
          <w:rFonts w:ascii="Arial" w:eastAsia="Arial" w:hAnsi="Arial" w:cs="Arial"/>
          <w:color w:val="000000"/>
          <w:sz w:val="20"/>
        </w:rPr>
        <w:t>Theilig was on short-term disability leave for rehabilitation from heart surgery when he began receiving treatment for severe depression. At the conclusion of his short-term disability leave and rehabilitation, his psychiatrist did not authorize him to return to work, and Theilig sought long-term disability benefits from CIGNA, Pratt's insurer. CIGNA denied Theilig's request, and Pratt notified Theilig that he was deemed to be on unpaid medical leave. While still pursuing long-term disability benefits, Theilig sought an accommodation that would permit him to work from home for a period of two months with "no direct person to person contact and definitely none with his previous co-workers." J.A. 219. The district court held that this request for an accommodation of no contact with any co-workers, and in particular, his two supervisors, based on the psychiatrist's evaluation that Theilig's return to Pratt posed a risk of workplace violence or suicide, was unreasonable as a matter of law.</w:t>
      </w:r>
    </w:p>
    <w:p w14:paraId="3B960FD6" w14:textId="77777777" w:rsidR="00D041A2" w:rsidRDefault="00000000">
      <w:pPr>
        <w:pStyle w:val="Normal33"/>
        <w:widowControl w:val="0"/>
        <w:spacing w:before="200" w:line="260" w:lineRule="atLeast"/>
        <w:jc w:val="both"/>
      </w:pPr>
      <w:bookmarkStart w:id="4075" w:name="Bookmark_para_9_30"/>
      <w:bookmarkStart w:id="4076" w:name="Bookmark_I52MT46J0K335S0030000400"/>
      <w:bookmarkStart w:id="4077" w:name="Bookmark_I52MT46J0K335S0050000400"/>
      <w:bookmarkEnd w:id="4075"/>
      <w:bookmarkEnd w:id="4076"/>
      <w:bookmarkEnd w:id="4077"/>
      <w:r>
        <w:rPr>
          <w:rFonts w:ascii="Arial" w:eastAsia="Arial" w:hAnsi="Arial" w:cs="Arial"/>
          <w:color w:val="000000"/>
          <w:sz w:val="20"/>
        </w:rPr>
        <w:t xml:space="preserve">This Court agrees. </w:t>
      </w:r>
      <w:bookmarkStart w:id="4078" w:name="Bookmark_I52MT4DM0K359F0010000400"/>
      <w:bookmarkEnd w:id="4078"/>
      <w:r>
        <w:rPr>
          <w:rFonts w:ascii="Arial" w:eastAsia="Arial" w:hAnsi="Arial" w:cs="Arial"/>
          <w:color w:val="000000"/>
          <w:sz w:val="20"/>
        </w:rPr>
        <w:t xml:space="preserve">While there is no </w:t>
      </w:r>
      <w:r>
        <w:rPr>
          <w:rFonts w:ascii="Arial" w:eastAsia="Arial" w:hAnsi="Arial" w:cs="Arial"/>
          <w:i/>
          <w:color w:val="000000"/>
          <w:sz w:val="20"/>
        </w:rPr>
        <w:t>per se</w:t>
      </w:r>
      <w:r>
        <w:rPr>
          <w:rFonts w:ascii="Arial" w:eastAsia="Arial" w:hAnsi="Arial" w:cs="Arial"/>
          <w:color w:val="000000"/>
          <w:sz w:val="20"/>
        </w:rPr>
        <w:t xml:space="preserve"> rule against a change in supervisor,  [**5] "[t]here is a presumption . . . that a request to change supervisors is unreasonable, and the burden of overcoming that presumption (i.e., of demonstrating that, within the particular context of the plaintiff's workplace, the request was reasonable) therefore lies with the plaintiff." </w:t>
      </w:r>
      <w:bookmarkStart w:id="4079" w:name="Bookmark_I52MT46J0K335S0020000400"/>
      <w:bookmarkEnd w:id="4079"/>
      <w:r>
        <w:rPr>
          <w:rFonts w:ascii="Arial" w:eastAsia="Arial" w:hAnsi="Arial" w:cs="Arial"/>
          <w:i/>
          <w:color w:val="000000"/>
          <w:sz w:val="20"/>
        </w:rPr>
        <w:t>Kennedy v. Dresser Rand Co.,</w:t>
      </w:r>
      <w:r>
        <w:rPr>
          <w:rFonts w:ascii="Arial" w:eastAsia="Arial" w:hAnsi="Arial" w:cs="Arial"/>
          <w:color w:val="000000"/>
          <w:sz w:val="20"/>
        </w:rPr>
        <w:t xml:space="preserve"> 193 F.3d 120, 122-23 (2d Cir. 1999). </w:t>
      </w:r>
      <w:bookmarkStart w:id="4080" w:name="Bookmark_I52MT4DM0K359F0050000400"/>
      <w:bookmarkEnd w:id="4080"/>
      <w:r>
        <w:rPr>
          <w:rFonts w:ascii="Arial" w:eastAsia="Arial" w:hAnsi="Arial" w:cs="Arial"/>
          <w:color w:val="000000"/>
          <w:sz w:val="20"/>
        </w:rPr>
        <w:t xml:space="preserve">Here, where Theilig requested to have no contact whatsoever with any co-worker or supervisor, we conclude that he has not carried his burden of "identifying an accommodation 'the costs of which, facially, do not clearly exceed its benefits.'" </w:t>
      </w:r>
      <w:bookmarkStart w:id="4081" w:name="Bookmark_I52MT46J0K335S0040000400"/>
      <w:bookmarkEnd w:id="4081"/>
      <w:r>
        <w:rPr>
          <w:rFonts w:ascii="Arial" w:eastAsia="Arial" w:hAnsi="Arial" w:cs="Arial"/>
          <w:i/>
          <w:color w:val="000000"/>
          <w:sz w:val="20"/>
        </w:rPr>
        <w:t>Id.</w:t>
      </w:r>
      <w:r>
        <w:rPr>
          <w:rFonts w:ascii="Arial" w:eastAsia="Arial" w:hAnsi="Arial" w:cs="Arial"/>
          <w:color w:val="000000"/>
          <w:sz w:val="20"/>
        </w:rPr>
        <w:t xml:space="preserve"> at 123 (quoting </w:t>
      </w:r>
      <w:bookmarkStart w:id="4082" w:name="Bookmark_I52MT4D60K35570010000400"/>
      <w:bookmarkEnd w:id="4082"/>
      <w:r>
        <w:rPr>
          <w:rFonts w:ascii="Arial" w:eastAsia="Arial" w:hAnsi="Arial" w:cs="Arial"/>
          <w:i/>
          <w:color w:val="000000"/>
          <w:sz w:val="20"/>
        </w:rPr>
        <w:t>Borkowski v. Valley Cent. Sch. Dist.,</w:t>
      </w:r>
      <w:r>
        <w:rPr>
          <w:rFonts w:ascii="Arial" w:eastAsia="Arial" w:hAnsi="Arial" w:cs="Arial"/>
          <w:color w:val="000000"/>
          <w:sz w:val="20"/>
        </w:rPr>
        <w:t xml:space="preserve"> 63 F.3d 131, 139 (2d Cir. 1995)) (finding request for no contact with supervisor to be unreasonable as a matter of law); </w:t>
      </w:r>
      <w:r>
        <w:rPr>
          <w:rFonts w:ascii="Arial" w:eastAsia="Arial" w:hAnsi="Arial" w:cs="Arial"/>
          <w:i/>
          <w:color w:val="000000"/>
          <w:sz w:val="20"/>
        </w:rPr>
        <w:t xml:space="preserve">see also </w:t>
      </w:r>
      <w:bookmarkStart w:id="4083" w:name="Bookmark_I52MT4D60K35570030000400"/>
      <w:bookmarkEnd w:id="4083"/>
      <w:r>
        <w:rPr>
          <w:rFonts w:ascii="Arial" w:eastAsia="Arial" w:hAnsi="Arial" w:cs="Arial"/>
          <w:i/>
          <w:color w:val="000000"/>
          <w:sz w:val="20"/>
        </w:rPr>
        <w:t>Gaul v. Lucent Techs., Inc.,</w:t>
      </w:r>
      <w:r>
        <w:rPr>
          <w:rFonts w:ascii="Arial" w:eastAsia="Arial" w:hAnsi="Arial" w:cs="Arial"/>
          <w:color w:val="000000"/>
          <w:sz w:val="20"/>
        </w:rPr>
        <w:t xml:space="preserve"> 134 F.3d 576, 581 (3d Cir. 1998) (finding an accommodation that would transfer employee away from workers who caused "prolonged and inordinate stress" a "wholly impractical obligation . . . on any employer."). </w:t>
      </w:r>
      <w:bookmarkStart w:id="4084" w:name="Bookmark_I52MT4DM0K359F0050000400_2"/>
      <w:bookmarkStart w:id="4085" w:name="Bookmark_I52MT4DM0K359F0010000400_2"/>
      <w:bookmarkEnd w:id="4084"/>
      <w:bookmarkEnd w:id="4085"/>
      <w:r>
        <w:rPr>
          <w:rFonts w:ascii="Arial" w:eastAsia="Arial" w:hAnsi="Arial" w:cs="Arial"/>
          <w:color w:val="000000"/>
          <w:sz w:val="20"/>
        </w:rPr>
        <w:t xml:space="preserve">Accordingly, because Theilig has not stated a prima facie accommodation claim, Pratt was not obliged to "engage in 'an "interactive process" with [Theilig] and in that way work together  [**6] to assess whether [his] disability can be reasonably accommodated.'" </w:t>
      </w:r>
      <w:bookmarkStart w:id="4086" w:name="Bookmark_I52MT4D60K35570050000400"/>
      <w:bookmarkEnd w:id="4086"/>
      <w:r>
        <w:rPr>
          <w:rFonts w:ascii="Arial" w:eastAsia="Arial" w:hAnsi="Arial" w:cs="Arial"/>
          <w:i/>
          <w:color w:val="000000"/>
          <w:sz w:val="20"/>
        </w:rPr>
        <w:t>Brady v. Wal-Mart Stores, Inc.,</w:t>
      </w:r>
      <w:r>
        <w:rPr>
          <w:rFonts w:ascii="Arial" w:eastAsia="Arial" w:hAnsi="Arial" w:cs="Arial"/>
          <w:color w:val="000000"/>
          <w:sz w:val="20"/>
        </w:rPr>
        <w:t xml:space="preserve"> 531 F.3d 127, 135 (2d Cir. 2008) (quoting </w:t>
      </w:r>
      <w:bookmarkStart w:id="4087" w:name="Bookmark_I52MT4DM0K359F0020000400"/>
      <w:bookmarkEnd w:id="4087"/>
      <w:r>
        <w:rPr>
          <w:rFonts w:ascii="Arial" w:eastAsia="Arial" w:hAnsi="Arial" w:cs="Arial"/>
          <w:i/>
          <w:color w:val="000000"/>
          <w:sz w:val="20"/>
        </w:rPr>
        <w:t>Jackan,</w:t>
      </w:r>
      <w:r>
        <w:rPr>
          <w:rFonts w:ascii="Arial" w:eastAsia="Arial" w:hAnsi="Arial" w:cs="Arial"/>
          <w:color w:val="000000"/>
          <w:sz w:val="20"/>
        </w:rPr>
        <w:t xml:space="preserve"> 205 F.3d at 566) (internal brackets omitted).  [*334]  </w:t>
      </w:r>
      <w:r>
        <w:rPr>
          <w:rFonts w:ascii="Arial" w:eastAsia="Arial" w:hAnsi="Arial" w:cs="Arial"/>
          <w:i/>
          <w:color w:val="000000"/>
          <w:sz w:val="20"/>
        </w:rPr>
        <w:t xml:space="preserve">See also </w:t>
      </w:r>
      <w:bookmarkStart w:id="4088" w:name="Bookmark_I52MT4DM0K359F0040000400"/>
      <w:bookmarkEnd w:id="4088"/>
      <w:r>
        <w:rPr>
          <w:rFonts w:ascii="Arial" w:eastAsia="Arial" w:hAnsi="Arial" w:cs="Arial"/>
          <w:i/>
          <w:color w:val="000000"/>
          <w:sz w:val="20"/>
        </w:rPr>
        <w:t>McBride v. BIC Consumer Prods. Mfg. Co.,</w:t>
      </w:r>
      <w:r>
        <w:rPr>
          <w:rFonts w:ascii="Arial" w:eastAsia="Arial" w:hAnsi="Arial" w:cs="Arial"/>
          <w:color w:val="000000"/>
          <w:sz w:val="20"/>
        </w:rPr>
        <w:t xml:space="preserve"> 583 F.3d 92, 99-101 (2d Cir. 2009); </w:t>
      </w:r>
      <w:bookmarkStart w:id="4089" w:name="Bookmark_I52MT4DR0K35BV0010000400"/>
      <w:bookmarkEnd w:id="4089"/>
      <w:r>
        <w:rPr>
          <w:rFonts w:ascii="Arial" w:eastAsia="Arial" w:hAnsi="Arial" w:cs="Arial"/>
          <w:i/>
          <w:color w:val="000000"/>
          <w:sz w:val="20"/>
        </w:rPr>
        <w:t>Graves v. Finch Pruyn &amp; Co.,</w:t>
      </w:r>
      <w:r>
        <w:rPr>
          <w:rFonts w:ascii="Arial" w:eastAsia="Arial" w:hAnsi="Arial" w:cs="Arial"/>
          <w:color w:val="000000"/>
          <w:sz w:val="20"/>
        </w:rPr>
        <w:t xml:space="preserve"> 353 F. App'x 558, 561 (2d Cir. 2009).</w:t>
      </w:r>
    </w:p>
    <w:p w14:paraId="06EA60D5" w14:textId="77777777" w:rsidR="00D041A2" w:rsidRDefault="00000000">
      <w:pPr>
        <w:pStyle w:val="Normal33"/>
        <w:widowControl w:val="0"/>
        <w:spacing w:before="200" w:line="260" w:lineRule="atLeast"/>
        <w:jc w:val="both"/>
      </w:pPr>
      <w:bookmarkStart w:id="4090" w:name="Bookmark_para_10_30"/>
      <w:bookmarkEnd w:id="4090"/>
      <w:r>
        <w:rPr>
          <w:rFonts w:ascii="Arial" w:eastAsia="Arial" w:hAnsi="Arial" w:cs="Arial"/>
          <w:color w:val="000000"/>
          <w:sz w:val="20"/>
        </w:rPr>
        <w:t>We turn next to Theilig's constructive discharge claim.</w:t>
      </w:r>
    </w:p>
    <w:p w14:paraId="689187EB" w14:textId="77777777" w:rsidR="00D041A2" w:rsidRDefault="00000000">
      <w:pPr>
        <w:pStyle w:val="Normal33"/>
        <w:widowControl w:val="0"/>
        <w:spacing w:before="200" w:line="260" w:lineRule="atLeast"/>
        <w:ind w:left="400"/>
        <w:jc w:val="both"/>
      </w:pPr>
      <w:bookmarkStart w:id="4091" w:name="Bookmark_para_11_29"/>
      <w:bookmarkStart w:id="4092" w:name="Bookmark_I0BVHJSD1500000BKK600004"/>
      <w:bookmarkStart w:id="4093" w:name="Bookmark_I52MT4DR0K35BV0040000400"/>
      <w:bookmarkEnd w:id="4091"/>
      <w:bookmarkEnd w:id="4092"/>
      <w:bookmarkEnd w:id="4093"/>
      <w:r>
        <w:rPr>
          <w:rFonts w:ascii="Arial" w:eastAsia="Arial" w:hAnsi="Arial" w:cs="Arial"/>
          <w:color w:val="000000"/>
          <w:sz w:val="20"/>
        </w:rPr>
        <w:t>Constructive discharge of an employee occurs when an employer, rather than directly discharging an individual, intentionally creates an intolerable work atmosphere that forces an employee to quit involuntarily. Working conditions are intolerable if they are so difficult or unpleasant that a reasonable person in the employee's shoes would have felt compelled to resign.</w:t>
      </w:r>
    </w:p>
    <w:p w14:paraId="32183995" w14:textId="77777777" w:rsidR="00D041A2" w:rsidRDefault="00000000">
      <w:pPr>
        <w:pStyle w:val="Normal33"/>
        <w:widowControl w:val="0"/>
        <w:spacing w:before="200" w:line="260" w:lineRule="atLeast"/>
        <w:jc w:val="both"/>
      </w:pPr>
      <w:bookmarkStart w:id="4094" w:name="Bookmark_I52MT4DR0K35BV0040000400_2"/>
      <w:bookmarkStart w:id="4095" w:name="Bookmark_I52MT4DR0K35BV0030000400"/>
      <w:bookmarkEnd w:id="4094"/>
      <w:bookmarkEnd w:id="4095"/>
      <w:r>
        <w:rPr>
          <w:rFonts w:ascii="Arial" w:eastAsia="Arial" w:hAnsi="Arial" w:cs="Arial"/>
          <w:i/>
          <w:color w:val="000000"/>
          <w:sz w:val="20"/>
        </w:rPr>
        <w:t>Chertkova v. Conn. Gen. Life Ins. Co.,</w:t>
      </w:r>
      <w:r>
        <w:rPr>
          <w:rFonts w:ascii="Arial" w:eastAsia="Arial" w:hAnsi="Arial" w:cs="Arial"/>
          <w:color w:val="000000"/>
          <w:sz w:val="20"/>
        </w:rPr>
        <w:t xml:space="preserve"> 92 F.3d 81, 89 (2d Cir. 1996) (internal citation and quotation marks omitted); </w:t>
      </w:r>
      <w:r>
        <w:rPr>
          <w:rFonts w:ascii="Arial" w:eastAsia="Arial" w:hAnsi="Arial" w:cs="Arial"/>
          <w:i/>
          <w:color w:val="000000"/>
          <w:sz w:val="20"/>
        </w:rPr>
        <w:t xml:space="preserve">see also </w:t>
      </w:r>
      <w:bookmarkStart w:id="4096" w:name="Bookmark_I52MT4DR0K35BV0050000400"/>
      <w:bookmarkEnd w:id="4096"/>
      <w:r>
        <w:rPr>
          <w:rFonts w:ascii="Arial" w:eastAsia="Arial" w:hAnsi="Arial" w:cs="Arial"/>
          <w:i/>
          <w:color w:val="000000"/>
          <w:sz w:val="20"/>
        </w:rPr>
        <w:t>Terry v. Ashcroft,</w:t>
      </w:r>
      <w:r>
        <w:rPr>
          <w:rFonts w:ascii="Arial" w:eastAsia="Arial" w:hAnsi="Arial" w:cs="Arial"/>
          <w:color w:val="000000"/>
          <w:sz w:val="20"/>
        </w:rPr>
        <w:t xml:space="preserve"> 336 F.3d 128, 151-52 (2d Cir. 2003).</w:t>
      </w:r>
    </w:p>
    <w:p w14:paraId="6665E297" w14:textId="77777777" w:rsidR="00D041A2" w:rsidRDefault="00000000">
      <w:pPr>
        <w:pStyle w:val="Normal33"/>
        <w:widowControl w:val="0"/>
        <w:spacing w:before="200" w:line="260" w:lineRule="atLeast"/>
        <w:jc w:val="both"/>
      </w:pPr>
      <w:bookmarkStart w:id="4097" w:name="Bookmark_para_12_28"/>
      <w:bookmarkStart w:id="4098" w:name="Bookmark_I0BVHJSDDF00000BKK600006"/>
      <w:bookmarkStart w:id="4099" w:name="Bookmark_I52MT4DV0K35D00030000400"/>
      <w:bookmarkEnd w:id="4097"/>
      <w:bookmarkEnd w:id="4098"/>
      <w:bookmarkEnd w:id="4099"/>
      <w:r>
        <w:rPr>
          <w:rFonts w:ascii="Arial" w:eastAsia="Arial" w:hAnsi="Arial" w:cs="Arial"/>
          <w:color w:val="000000"/>
          <w:sz w:val="20"/>
        </w:rPr>
        <w:t xml:space="preserve">Theilig argues on appeal, as he did below, that there was no evidence of "intolerable working conditions," because he was no longer at work. Theilig therefore argues in essence that the purported failure to accommodate is tantamount to constructive  [**7] discharge. Theilig's concession that there were no intolerable working conditions, however, is fatal to his claim under the law of this Circuit. </w:t>
      </w:r>
      <w:r>
        <w:rPr>
          <w:rFonts w:ascii="Arial" w:eastAsia="Arial" w:hAnsi="Arial" w:cs="Arial"/>
          <w:i/>
          <w:color w:val="000000"/>
          <w:sz w:val="20"/>
        </w:rPr>
        <w:t xml:space="preserve">See </w:t>
      </w:r>
      <w:bookmarkStart w:id="4100" w:name="Bookmark_I52MT4DV0K35D00020000400"/>
      <w:bookmarkEnd w:id="4100"/>
      <w:r>
        <w:rPr>
          <w:rFonts w:ascii="Arial" w:eastAsia="Arial" w:hAnsi="Arial" w:cs="Arial"/>
          <w:i/>
          <w:color w:val="000000"/>
          <w:sz w:val="20"/>
        </w:rPr>
        <w:t>Terry,</w:t>
      </w:r>
      <w:r>
        <w:rPr>
          <w:rFonts w:ascii="Arial" w:eastAsia="Arial" w:hAnsi="Arial" w:cs="Arial"/>
          <w:color w:val="000000"/>
          <w:sz w:val="20"/>
        </w:rPr>
        <w:t xml:space="preserve"> 336 F.3d at 152.</w:t>
      </w:r>
    </w:p>
    <w:p w14:paraId="6DB2B669" w14:textId="77777777" w:rsidR="00D041A2" w:rsidRDefault="00000000">
      <w:pPr>
        <w:pStyle w:val="Normal33"/>
        <w:widowControl w:val="0"/>
        <w:spacing w:before="200" w:line="260" w:lineRule="atLeast"/>
        <w:jc w:val="both"/>
      </w:pPr>
      <w:bookmarkStart w:id="4101" w:name="Bookmark_para_13_26"/>
      <w:bookmarkEnd w:id="4101"/>
      <w:r>
        <w:rPr>
          <w:rFonts w:ascii="Arial" w:eastAsia="Arial" w:hAnsi="Arial" w:cs="Arial"/>
          <w:color w:val="000000"/>
          <w:sz w:val="20"/>
        </w:rPr>
        <w:t xml:space="preserve">We have considered Theilig's remaining arguments and find them to be without merit. Accordingly, for the foregoing reasons, the judgment of the district court is </w:t>
      </w:r>
      <w:r>
        <w:rPr>
          <w:rFonts w:ascii="Arial" w:eastAsia="Arial" w:hAnsi="Arial" w:cs="Arial"/>
          <w:b/>
          <w:color w:val="000000"/>
          <w:sz w:val="20"/>
        </w:rPr>
        <w:t>AFFIRMED.</w:t>
      </w:r>
    </w:p>
    <w:p w14:paraId="7C0CC823" w14:textId="77777777" w:rsidR="00D041A2" w:rsidRDefault="00D041A2">
      <w:pPr>
        <w:pStyle w:val="Normal33"/>
      </w:pPr>
    </w:p>
    <w:p w14:paraId="1166D96F" w14:textId="5E0C6769" w:rsidR="00D041A2" w:rsidRDefault="00000000">
      <w:pPr>
        <w:pStyle w:val="Normal33"/>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30944" behindDoc="0" locked="0" layoutInCell="1" allowOverlap="1" wp14:anchorId="7D082FB5" wp14:editId="3CEFFEBD">
                <wp:simplePos x="0" y="0"/>
                <wp:positionH relativeFrom="column">
                  <wp:posOffset>0</wp:posOffset>
                </wp:positionH>
                <wp:positionV relativeFrom="paragraph">
                  <wp:posOffset>127000</wp:posOffset>
                </wp:positionV>
                <wp:extent cx="6502400" cy="0"/>
                <wp:effectExtent l="9525" t="12700" r="12700" b="6350"/>
                <wp:wrapNone/>
                <wp:docPr id="275919087"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74577" id="Line 72"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1B02E66" w14:textId="77777777" w:rsidR="00D041A2" w:rsidRDefault="00D041A2">
      <w:pPr>
        <w:pStyle w:val="Normal34"/>
        <w:sectPr w:rsidR="00D041A2">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gutter="0"/>
          <w:cols w:space="720"/>
          <w:titlePg/>
        </w:sectPr>
      </w:pPr>
    </w:p>
    <w:p w14:paraId="4EF0C5F0" w14:textId="77777777" w:rsidR="00D041A2" w:rsidRDefault="00D041A2">
      <w:pPr>
        <w:pStyle w:val="Normal34"/>
      </w:pPr>
    </w:p>
    <w:p w14:paraId="05E65B96" w14:textId="77777777" w:rsidR="00D041A2" w:rsidRDefault="00000000">
      <w:pPr>
        <w:pStyle w:val="Heading133"/>
        <w:keepNext w:val="0"/>
        <w:widowControl w:val="0"/>
        <w:spacing w:after="200" w:line="340" w:lineRule="atLeast"/>
        <w:jc w:val="center"/>
      </w:pPr>
      <w:r>
        <w:rPr>
          <w:rFonts w:eastAsia="Arial"/>
          <w:color w:val="000000"/>
          <w:sz w:val="28"/>
        </w:rPr>
        <w:t>Disabled in Action of Pa. v. SEPTA</w:t>
      </w:r>
    </w:p>
    <w:p w14:paraId="71544356" w14:textId="77777777" w:rsidR="00D041A2" w:rsidRDefault="00000000">
      <w:pPr>
        <w:pStyle w:val="Normal34"/>
        <w:widowControl w:val="0"/>
        <w:spacing w:before="120" w:line="260" w:lineRule="atLeast"/>
        <w:jc w:val="center"/>
      </w:pPr>
      <w:r>
        <w:rPr>
          <w:rFonts w:ascii="Arial" w:eastAsia="Arial" w:hAnsi="Arial" w:cs="Arial"/>
          <w:color w:val="000000"/>
          <w:sz w:val="20"/>
        </w:rPr>
        <w:t>United States Court of Appeals for the Third Circuit</w:t>
      </w:r>
    </w:p>
    <w:p w14:paraId="48A81CC6" w14:textId="77777777" w:rsidR="00D041A2" w:rsidRDefault="00000000">
      <w:pPr>
        <w:pStyle w:val="Normal34"/>
        <w:widowControl w:val="0"/>
        <w:spacing w:before="120" w:line="260" w:lineRule="atLeast"/>
        <w:jc w:val="center"/>
      </w:pPr>
      <w:r>
        <w:rPr>
          <w:rFonts w:ascii="Arial" w:eastAsia="Arial" w:hAnsi="Arial" w:cs="Arial"/>
          <w:color w:val="000000"/>
          <w:sz w:val="20"/>
        </w:rPr>
        <w:t>October 4, 2010, Argued; February 16, 2011, Opinion Filed</w:t>
      </w:r>
    </w:p>
    <w:p w14:paraId="7464AC5F" w14:textId="77777777" w:rsidR="00D041A2" w:rsidRDefault="00000000">
      <w:pPr>
        <w:pStyle w:val="Normal34"/>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09-3964</w:t>
      </w:r>
    </w:p>
    <w:p w14:paraId="5535AD8C" w14:textId="77777777" w:rsidR="00D041A2" w:rsidRDefault="00D041A2">
      <w:pPr>
        <w:pStyle w:val="Normal34"/>
        <w:widowControl w:val="0"/>
        <w:spacing w:line="240" w:lineRule="atLeast"/>
        <w:jc w:val="both"/>
      </w:pPr>
      <w:bookmarkStart w:id="4102" w:name="Bookmark_35"/>
      <w:bookmarkEnd w:id="4102"/>
    </w:p>
    <w:p w14:paraId="074FC993" w14:textId="77777777" w:rsidR="00D041A2" w:rsidRDefault="00000000">
      <w:pPr>
        <w:pStyle w:val="Normal34"/>
        <w:widowControl w:val="0"/>
        <w:spacing w:before="200" w:line="240" w:lineRule="atLeast"/>
      </w:pPr>
      <w:bookmarkStart w:id="4103" w:name="Reporter_33"/>
      <w:bookmarkEnd w:id="4103"/>
      <w:r>
        <w:rPr>
          <w:rFonts w:ascii="Arial" w:eastAsia="Arial" w:hAnsi="Arial" w:cs="Arial"/>
          <w:b/>
          <w:color w:val="000000"/>
          <w:sz w:val="18"/>
        </w:rPr>
        <w:t>Reporter</w:t>
      </w:r>
    </w:p>
    <w:p w14:paraId="1AF4CD98" w14:textId="77777777" w:rsidR="00D041A2" w:rsidRDefault="00000000">
      <w:pPr>
        <w:pStyle w:val="Normal34"/>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635 F.3d 87 *; 2011 U.S. App. LEXIS 2987 **; 24 Am. Disabilities Cas. (BNA) 269; 78 Fed. R. Serv. 3d (Callaghan) 1346</w:t>
      </w:r>
    </w:p>
    <w:p w14:paraId="3C7FF4BE" w14:textId="77777777" w:rsidR="00D041A2" w:rsidRDefault="00000000">
      <w:pPr>
        <w:pStyle w:val="Normal34"/>
        <w:widowControl w:val="0"/>
        <w:spacing w:before="120" w:line="260" w:lineRule="atLeast"/>
      </w:pPr>
      <w:r>
        <w:rPr>
          <w:rFonts w:ascii="Arial" w:eastAsia="Arial" w:hAnsi="Arial" w:cs="Arial"/>
          <w:color w:val="000000"/>
          <w:sz w:val="20"/>
        </w:rPr>
        <w:t>DISABLED IN ACTION OF PENNSYLVANIA v. SOUTHEASTERN PENNSYLVANIA TRANSPORTATION AUTHORITY ("SEPTA"), Appellant</w:t>
      </w:r>
    </w:p>
    <w:p w14:paraId="13DD0387" w14:textId="77777777" w:rsidR="00D041A2" w:rsidRDefault="00000000">
      <w:pPr>
        <w:pStyle w:val="Normal34"/>
        <w:widowControl w:val="0"/>
        <w:spacing w:before="240" w:line="260" w:lineRule="atLeast"/>
        <w:jc w:val="both"/>
      </w:pPr>
      <w:bookmarkStart w:id="4104" w:name="Prior_History_33"/>
      <w:bookmarkEnd w:id="4104"/>
      <w:r>
        <w:rPr>
          <w:rFonts w:ascii="Arial" w:eastAsia="Arial" w:hAnsi="Arial" w:cs="Arial"/>
          <w:b/>
          <w:color w:val="000000"/>
          <w:sz w:val="20"/>
        </w:rPr>
        <w:t>Prior History:</w:t>
      </w:r>
      <w:r>
        <w:rPr>
          <w:rFonts w:ascii="Arial" w:eastAsia="Arial" w:hAnsi="Arial" w:cs="Arial"/>
          <w:color w:val="000000"/>
          <w:sz w:val="20"/>
        </w:rPr>
        <w:t>  [**1] </w:t>
      </w:r>
      <w:bookmarkStart w:id="4105" w:name="Bookmark_para_1_33"/>
      <w:bookmarkEnd w:id="4105"/>
      <w:r>
        <w:rPr>
          <w:rFonts w:ascii="Arial" w:eastAsia="Arial" w:hAnsi="Arial" w:cs="Arial"/>
          <w:color w:val="000000"/>
          <w:sz w:val="20"/>
        </w:rPr>
        <w:t>On Appeal from the District Court for the Eastern District of Pennsylvania. (No. 2-03-cv-01577). District Judge: Honorable Gene E. K. Pratter.</w:t>
      </w:r>
    </w:p>
    <w:p w14:paraId="20DD181A" w14:textId="77777777" w:rsidR="00D041A2" w:rsidRDefault="00000000">
      <w:pPr>
        <w:pStyle w:val="Normal34"/>
        <w:widowControl w:val="0"/>
        <w:spacing w:before="120" w:line="260" w:lineRule="atLeast"/>
      </w:pPr>
      <w:r>
        <w:rPr>
          <w:rFonts w:ascii="Arial" w:eastAsia="Arial" w:hAnsi="Arial" w:cs="Arial"/>
          <w:color w:val="000000"/>
          <w:sz w:val="20"/>
        </w:rPr>
        <w:t>Disabled in Action v. SEPTA, 655 F. Supp. 2d 553, 2009 U.S. Dist. LEXIS 82886 (E.D. Pa., 2009)</w:t>
      </w:r>
    </w:p>
    <w:p w14:paraId="5CF270EA" w14:textId="77777777" w:rsidR="00D041A2" w:rsidRDefault="00000000">
      <w:pPr>
        <w:pStyle w:val="Normal34"/>
        <w:widowControl w:val="0"/>
        <w:spacing w:before="240" w:line="260" w:lineRule="atLeast"/>
      </w:pPr>
      <w:bookmarkStart w:id="4106" w:name="Counsel_33"/>
      <w:bookmarkEnd w:id="4106"/>
      <w:r>
        <w:rPr>
          <w:rFonts w:ascii="Arial" w:eastAsia="Arial" w:hAnsi="Arial" w:cs="Arial"/>
          <w:b/>
          <w:color w:val="000000"/>
          <w:sz w:val="20"/>
        </w:rPr>
        <w:t>Counsel:</w:t>
      </w:r>
      <w:r>
        <w:rPr>
          <w:rFonts w:ascii="Arial" w:eastAsia="Arial" w:hAnsi="Arial" w:cs="Arial"/>
          <w:color w:val="000000"/>
          <w:sz w:val="20"/>
        </w:rPr>
        <w:t> Jo Bennett (Argued), Michael G. Tierce, Stevens &amp; Lee, Philadelphia, PA, Attorney for Appellant.</w:t>
      </w:r>
    </w:p>
    <w:p w14:paraId="5BE2A82F" w14:textId="77777777" w:rsidR="00D041A2" w:rsidRDefault="00000000">
      <w:pPr>
        <w:pStyle w:val="Normal34"/>
        <w:widowControl w:val="0"/>
        <w:spacing w:before="120" w:line="260" w:lineRule="atLeast"/>
      </w:pPr>
      <w:r>
        <w:rPr>
          <w:rFonts w:ascii="Arial" w:eastAsia="Arial" w:hAnsi="Arial" w:cs="Arial"/>
          <w:color w:val="000000"/>
          <w:sz w:val="20"/>
        </w:rPr>
        <w:t>Stephen F. Gold (Argued), Philadelphia, PA; Mark J. Murphy, Rocco J. Iacullo, Robin Resnick, Philadelphia, PA, Attorneys for Appellee.</w:t>
      </w:r>
    </w:p>
    <w:p w14:paraId="215AF17C" w14:textId="77777777" w:rsidR="00D041A2" w:rsidRDefault="00000000">
      <w:pPr>
        <w:pStyle w:val="Normal34"/>
        <w:widowControl w:val="0"/>
        <w:spacing w:before="240" w:line="260" w:lineRule="atLeast"/>
      </w:pPr>
      <w:bookmarkStart w:id="4107" w:name="Judges_33"/>
      <w:bookmarkEnd w:id="4107"/>
      <w:r>
        <w:rPr>
          <w:rFonts w:ascii="Arial" w:eastAsia="Arial" w:hAnsi="Arial" w:cs="Arial"/>
          <w:b/>
          <w:color w:val="000000"/>
          <w:sz w:val="20"/>
        </w:rPr>
        <w:t>Judges:</w:t>
      </w:r>
      <w:r>
        <w:rPr>
          <w:rFonts w:ascii="Arial" w:eastAsia="Arial" w:hAnsi="Arial" w:cs="Arial"/>
          <w:color w:val="000000"/>
          <w:sz w:val="20"/>
        </w:rPr>
        <w:t> Before: SCIRICA, FUENTES, and JORDAN, Circuit Judges. JORDAN, Circuit Judge, concurring in part and dissenting in part.</w:t>
      </w:r>
    </w:p>
    <w:p w14:paraId="38EEF6CB" w14:textId="77777777" w:rsidR="00D041A2" w:rsidRDefault="00000000">
      <w:pPr>
        <w:pStyle w:val="Normal34"/>
        <w:widowControl w:val="0"/>
        <w:spacing w:before="240" w:line="260" w:lineRule="atLeast"/>
      </w:pPr>
      <w:bookmarkStart w:id="4108" w:name="Opinion_by_18"/>
      <w:bookmarkEnd w:id="4108"/>
      <w:r>
        <w:rPr>
          <w:rFonts w:ascii="Arial" w:eastAsia="Arial" w:hAnsi="Arial" w:cs="Arial"/>
          <w:b/>
          <w:color w:val="000000"/>
          <w:sz w:val="20"/>
        </w:rPr>
        <w:t>Opinion by:</w:t>
      </w:r>
      <w:r>
        <w:rPr>
          <w:rFonts w:ascii="Arial" w:eastAsia="Arial" w:hAnsi="Arial" w:cs="Arial"/>
          <w:color w:val="000000"/>
          <w:sz w:val="20"/>
        </w:rPr>
        <w:t> Fuentes</w:t>
      </w:r>
    </w:p>
    <w:p w14:paraId="427E8DEE" w14:textId="77777777" w:rsidR="00D041A2" w:rsidRDefault="00000000">
      <w:pPr>
        <w:pStyle w:val="Normal34"/>
        <w:keepNext/>
        <w:widowControl w:val="0"/>
        <w:spacing w:before="240" w:line="340" w:lineRule="atLeast"/>
      </w:pPr>
      <w:bookmarkStart w:id="4109" w:name="Opinion_33"/>
      <w:bookmarkEnd w:id="4109"/>
      <w:r>
        <w:rPr>
          <w:rFonts w:ascii="Arial" w:eastAsia="Arial" w:hAnsi="Arial" w:cs="Arial"/>
          <w:b/>
          <w:color w:val="000000"/>
          <w:sz w:val="28"/>
        </w:rPr>
        <w:t>Opinion</w:t>
      </w:r>
    </w:p>
    <w:p w14:paraId="0C17C88B" w14:textId="05309949" w:rsidR="00D041A2" w:rsidRDefault="004D4403">
      <w:pPr>
        <w:pStyle w:val="Normal34"/>
        <w:spacing w:line="60" w:lineRule="exact"/>
      </w:pPr>
      <w:r>
        <w:rPr>
          <w:noProof/>
        </w:rPr>
        <mc:AlternateContent>
          <mc:Choice Requires="wps">
            <w:drawing>
              <wp:anchor distT="0" distB="0" distL="114300" distR="114300" simplePos="0" relativeHeight="251731968" behindDoc="0" locked="0" layoutInCell="1" allowOverlap="1" wp14:anchorId="3E1B25C5" wp14:editId="71E8A5E1">
                <wp:simplePos x="0" y="0"/>
                <wp:positionH relativeFrom="column">
                  <wp:posOffset>0</wp:posOffset>
                </wp:positionH>
                <wp:positionV relativeFrom="paragraph">
                  <wp:posOffset>25400</wp:posOffset>
                </wp:positionV>
                <wp:extent cx="3187700" cy="0"/>
                <wp:effectExtent l="19050" t="15875" r="12700" b="12700"/>
                <wp:wrapTopAndBottom/>
                <wp:docPr id="237644533"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D5B2B" id="Line 73"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7753140" w14:textId="77777777" w:rsidR="00D041A2" w:rsidRDefault="00D041A2">
      <w:pPr>
        <w:pStyle w:val="Normal34"/>
        <w:spacing w:line="120" w:lineRule="exact"/>
      </w:pPr>
    </w:p>
    <w:p w14:paraId="35EF12EE" w14:textId="77777777" w:rsidR="00D041A2" w:rsidRDefault="00000000">
      <w:pPr>
        <w:pStyle w:val="Normal34"/>
        <w:widowControl w:val="0"/>
        <w:spacing w:before="240" w:line="260" w:lineRule="atLeast"/>
      </w:pPr>
      <w:r>
        <w:br/>
      </w:r>
      <w:r>
        <w:rPr>
          <w:rFonts w:ascii="Arial" w:eastAsia="Arial" w:hAnsi="Arial" w:cs="Arial"/>
          <w:color w:val="000000"/>
          <w:sz w:val="20"/>
        </w:rPr>
        <w:t xml:space="preserve"> [*89]  </w:t>
      </w:r>
      <w:r>
        <w:rPr>
          <w:rFonts w:ascii="Arial" w:eastAsia="Arial" w:hAnsi="Arial" w:cs="Arial"/>
          <w:color w:val="000000"/>
          <w:sz w:val="20"/>
          <w:u w:val="single"/>
        </w:rPr>
        <w:t>OPINION OF THE COURT</w:t>
      </w:r>
    </w:p>
    <w:p w14:paraId="2FB61485" w14:textId="77777777" w:rsidR="00D041A2" w:rsidRDefault="00000000">
      <w:pPr>
        <w:pStyle w:val="Normal34"/>
        <w:widowControl w:val="0"/>
        <w:spacing w:before="200" w:line="260" w:lineRule="atLeast"/>
        <w:jc w:val="both"/>
      </w:pPr>
      <w:bookmarkStart w:id="4110" w:name="Bookmark_para_2_33"/>
      <w:bookmarkEnd w:id="4110"/>
      <w:r>
        <w:rPr>
          <w:rFonts w:ascii="Arial" w:eastAsia="Arial" w:hAnsi="Arial" w:cs="Arial"/>
          <w:color w:val="000000"/>
          <w:sz w:val="20"/>
        </w:rPr>
        <w:t xml:space="preserve">Fuentes, </w:t>
      </w:r>
      <w:r>
        <w:rPr>
          <w:rFonts w:ascii="Arial" w:eastAsia="Arial" w:hAnsi="Arial" w:cs="Arial"/>
          <w:color w:val="000000"/>
          <w:sz w:val="20"/>
          <w:u w:val="single"/>
        </w:rPr>
        <w:t>Circuit Judge</w:t>
      </w:r>
      <w:r>
        <w:rPr>
          <w:rFonts w:ascii="Arial" w:eastAsia="Arial" w:hAnsi="Arial" w:cs="Arial"/>
          <w:color w:val="000000"/>
          <w:sz w:val="20"/>
        </w:rPr>
        <w:t>:</w:t>
      </w:r>
    </w:p>
    <w:p w14:paraId="773E06E8" w14:textId="77777777" w:rsidR="00D041A2" w:rsidRDefault="00000000">
      <w:pPr>
        <w:pStyle w:val="Normal34"/>
        <w:widowControl w:val="0"/>
        <w:spacing w:before="200" w:line="260" w:lineRule="atLeast"/>
        <w:jc w:val="both"/>
      </w:pPr>
      <w:bookmarkStart w:id="4111" w:name="Bookmark_para_3_33"/>
      <w:bookmarkEnd w:id="4111"/>
      <w:r>
        <w:rPr>
          <w:rFonts w:ascii="Arial" w:eastAsia="Arial" w:hAnsi="Arial" w:cs="Arial"/>
          <w:color w:val="000000"/>
          <w:sz w:val="20"/>
        </w:rPr>
        <w:t xml:space="preserve">Disabled in Action of Pennsylvania ("DIA") has filed suit claiming that the Southeastern Pennsylvania Transportation Authority ("SEPTA")'s failure to make certain portions of its facilities accessible to individuals with disabilities after undertaking construction work at those facilities violated the Americans with Disabilities Act, 42 U.S.C. §§ 12101, </w:t>
      </w:r>
      <w:r>
        <w:rPr>
          <w:rFonts w:ascii="Arial" w:eastAsia="Arial" w:hAnsi="Arial" w:cs="Arial"/>
          <w:color w:val="000000"/>
          <w:sz w:val="20"/>
          <w:u w:val="single"/>
        </w:rPr>
        <w:t>et seq</w:t>
      </w:r>
      <w:r>
        <w:rPr>
          <w:rFonts w:ascii="Arial" w:eastAsia="Arial" w:hAnsi="Arial" w:cs="Arial"/>
          <w:color w:val="000000"/>
          <w:sz w:val="20"/>
        </w:rPr>
        <w:t xml:space="preserve">. ("ADA"), and the Rehabilitation Act, 29 U.S.C. § 794, </w:t>
      </w:r>
      <w:r>
        <w:rPr>
          <w:rFonts w:ascii="Arial" w:eastAsia="Arial" w:hAnsi="Arial" w:cs="Arial"/>
          <w:color w:val="000000"/>
          <w:sz w:val="20"/>
          <w:u w:val="single"/>
        </w:rPr>
        <w:t>et seq</w:t>
      </w:r>
      <w:r>
        <w:rPr>
          <w:rFonts w:ascii="Arial" w:eastAsia="Arial" w:hAnsi="Arial" w:cs="Arial"/>
          <w:color w:val="000000"/>
          <w:sz w:val="20"/>
        </w:rPr>
        <w:t>. ("RA"). On appeal from the District Court's grant of summary judgment in favor of DIA, SEPTA argues that certain regulations issued by the Department of Transportation ("DOT") implementing the ADA establish that it was not required to  [**2] make those portions of its facilities handicapped-accessible. For the reasons given below, we affirm.</w:t>
      </w:r>
    </w:p>
    <w:p w14:paraId="219BF542" w14:textId="77777777" w:rsidR="00D041A2" w:rsidRDefault="00000000">
      <w:pPr>
        <w:pStyle w:val="Normal34"/>
        <w:widowControl w:val="0"/>
        <w:spacing w:before="240" w:line="260" w:lineRule="atLeast"/>
      </w:pPr>
      <w:r>
        <w:br/>
      </w:r>
      <w:r>
        <w:rPr>
          <w:rFonts w:ascii="Arial" w:eastAsia="Arial" w:hAnsi="Arial" w:cs="Arial"/>
          <w:b/>
          <w:color w:val="000000"/>
          <w:sz w:val="20"/>
        </w:rPr>
        <w:t>I.</w:t>
      </w:r>
    </w:p>
    <w:p w14:paraId="771CABEE" w14:textId="77777777" w:rsidR="00D041A2" w:rsidRDefault="00000000">
      <w:pPr>
        <w:pStyle w:val="Normal34"/>
        <w:widowControl w:val="0"/>
        <w:spacing w:before="240" w:line="260" w:lineRule="atLeast"/>
      </w:pPr>
      <w:r>
        <w:br/>
      </w:r>
      <w:r>
        <w:rPr>
          <w:rFonts w:ascii="Arial" w:eastAsia="Arial" w:hAnsi="Arial" w:cs="Arial"/>
          <w:b/>
          <w:color w:val="000000"/>
          <w:sz w:val="20"/>
        </w:rPr>
        <w:t>A. Background</w:t>
      </w:r>
    </w:p>
    <w:p w14:paraId="21FCCA31" w14:textId="77777777" w:rsidR="00D041A2" w:rsidRDefault="00000000">
      <w:pPr>
        <w:pStyle w:val="Normal34"/>
        <w:widowControl w:val="0"/>
        <w:spacing w:before="200" w:line="260" w:lineRule="atLeast"/>
        <w:jc w:val="both"/>
      </w:pPr>
      <w:bookmarkStart w:id="4112" w:name="Bookmark_para_4_33"/>
      <w:bookmarkEnd w:id="4112"/>
      <w:r>
        <w:rPr>
          <w:rFonts w:ascii="Arial" w:eastAsia="Arial" w:hAnsi="Arial" w:cs="Arial"/>
          <w:color w:val="000000"/>
          <w:sz w:val="20"/>
        </w:rPr>
        <w:t>The facts of this case are fairly straightforward. Appellant SEPTA, an agency and instrumentality of the Commonwealth of Pennsylvania, provides public transportation, including train, subway, trolley, and paratransit services in five counties of Pennsylvania. The dispute in this case concerns two separate SEPTA construction  [*90]  projects that involved a total of three of its stations in Philadelphia.</w:t>
      </w:r>
    </w:p>
    <w:p w14:paraId="79E56FAC" w14:textId="77777777" w:rsidR="00D041A2" w:rsidRDefault="00000000">
      <w:pPr>
        <w:pStyle w:val="Normal34"/>
        <w:widowControl w:val="0"/>
        <w:spacing w:before="200" w:line="260" w:lineRule="atLeast"/>
        <w:jc w:val="both"/>
      </w:pPr>
      <w:bookmarkStart w:id="4113" w:name="Bookmark_para_5_33"/>
      <w:bookmarkEnd w:id="4113"/>
      <w:r>
        <w:rPr>
          <w:rFonts w:ascii="Arial" w:eastAsia="Arial" w:hAnsi="Arial" w:cs="Arial"/>
          <w:color w:val="000000"/>
          <w:sz w:val="20"/>
        </w:rPr>
        <w:t xml:space="preserve">The first of these stations, the 15th and Market Street subway station, serves the Market-Frankford Elevated Subway Line. This station is not accessible to individuals with disabilities. It is connected with the second station in question, Suburban Station, via the extensive underground Penn Center Concourse, which is lined with shops and offices. Suburban Station is a regional rail station. </w:t>
      </w:r>
      <w:r>
        <w:rPr>
          <w:rFonts w:ascii="Arial" w:eastAsia="Arial" w:hAnsi="Arial" w:cs="Arial"/>
          <w:vertAlign w:val="superscript"/>
        </w:rPr>
        <w:footnoteReference w:customMarkFollows="1" w:id="198"/>
        <w:t>1</w:t>
      </w:r>
      <w:r>
        <w:rPr>
          <w:rFonts w:ascii="Arial" w:eastAsia="Arial" w:hAnsi="Arial" w:cs="Arial"/>
          <w:color w:val="000000"/>
          <w:sz w:val="20"/>
        </w:rPr>
        <w:t xml:space="preserve"> On the concourse level connecting Suburban Station and 15th Street Station, at approximately 15th Street and Market, is a courtyard ("the 15th Street Courtyard"). Through underground travel, it is possible to reach either Suburban Station or 15th and Market Street Station from the 15th Street  [**3] Courtyard. </w:t>
      </w:r>
      <w:r>
        <w:rPr>
          <w:rFonts w:ascii="Arial" w:eastAsia="Arial" w:hAnsi="Arial" w:cs="Arial"/>
          <w:vertAlign w:val="superscript"/>
        </w:rPr>
        <w:footnoteReference w:customMarkFollows="1" w:id="199"/>
        <w:t>2</w:t>
      </w:r>
    </w:p>
    <w:p w14:paraId="71FA0A53" w14:textId="77777777" w:rsidR="00D041A2" w:rsidRDefault="00000000">
      <w:pPr>
        <w:pStyle w:val="Normal34"/>
        <w:widowControl w:val="0"/>
        <w:spacing w:before="200" w:line="260" w:lineRule="atLeast"/>
        <w:jc w:val="both"/>
      </w:pPr>
      <w:bookmarkStart w:id="4116" w:name="Bookmark_para_6_33"/>
      <w:bookmarkEnd w:id="4116"/>
      <w:r>
        <w:rPr>
          <w:rFonts w:ascii="Arial" w:eastAsia="Arial" w:hAnsi="Arial" w:cs="Arial"/>
          <w:color w:val="000000"/>
          <w:sz w:val="20"/>
        </w:rPr>
        <w:t>In February 2001, as part of a larger renovation project, SEPTA received a permit from the City of Philadelphia (the "City") to begin replacement of the only stairway in the 15th Street Courtyard. The stairs, which had become unusable, were demolished and replaced, but no modifications were made to any load-bearing structure of the 15th Street Courtyard. The work was concluded in August 2002. This project had a budget of approximately $1.5 million dollars; SEPTA's expert estimated that the cost of installing an elevator in addition to the stairs would have made the project $810,000 more expensive. SEPTA has not contended that it would be technically  [**4] infeasible to install an elevator at that site.</w:t>
      </w:r>
    </w:p>
    <w:p w14:paraId="206B0146" w14:textId="77777777" w:rsidR="00D041A2" w:rsidRDefault="00000000">
      <w:pPr>
        <w:pStyle w:val="Normal34"/>
        <w:widowControl w:val="0"/>
        <w:spacing w:before="200" w:line="260" w:lineRule="atLeast"/>
        <w:jc w:val="both"/>
      </w:pPr>
      <w:bookmarkStart w:id="4117" w:name="Bookmark_para_7_33"/>
      <w:bookmarkEnd w:id="4117"/>
      <w:r>
        <w:rPr>
          <w:rFonts w:ascii="Arial" w:eastAsia="Arial" w:hAnsi="Arial" w:cs="Arial"/>
          <w:color w:val="000000"/>
          <w:sz w:val="20"/>
        </w:rPr>
        <w:t>Suburban Station is a "key station" in the SEPTA system and is therefore subject to special accessibility requirements under the ADA. In 2005, as part of its efforts to comply with those accessibility requirements, SEPTA installed two elevators in Suburban Station. The entrance to one of these elevators is on street level at 16th Street between Market Street and JFK Blvd., making it theoretically possible for a person using a wheelchair to descend there to the Penn Center Concourse and travel underground to the 15th Street Courtyard. Otherwise, the 15th Street Courtyard is inaccessible to individuals using wheelchairs.</w:t>
      </w:r>
    </w:p>
    <w:p w14:paraId="441C9C4B" w14:textId="77777777" w:rsidR="00D041A2" w:rsidRDefault="00000000">
      <w:pPr>
        <w:pStyle w:val="Normal34"/>
        <w:widowControl w:val="0"/>
        <w:spacing w:before="200" w:line="260" w:lineRule="atLeast"/>
        <w:jc w:val="both"/>
      </w:pPr>
      <w:bookmarkStart w:id="4118" w:name="Bookmark_para_8_32"/>
      <w:bookmarkEnd w:id="4118"/>
      <w:r>
        <w:rPr>
          <w:rFonts w:ascii="Arial" w:eastAsia="Arial" w:hAnsi="Arial" w:cs="Arial"/>
          <w:color w:val="000000"/>
          <w:sz w:val="20"/>
        </w:rPr>
        <w:t xml:space="preserve">The third station in question, City Hall Subway Station, is located at Broad Street and Market Street and serves the Broad Street Subway Line. </w:t>
      </w:r>
      <w:r>
        <w:rPr>
          <w:rFonts w:ascii="Arial" w:eastAsia="Arial" w:hAnsi="Arial" w:cs="Arial"/>
          <w:vertAlign w:val="superscript"/>
        </w:rPr>
        <w:footnoteReference w:customMarkFollows="1" w:id="200"/>
        <w:t>3</w:t>
      </w:r>
      <w:r>
        <w:rPr>
          <w:rFonts w:ascii="Arial" w:eastAsia="Arial" w:hAnsi="Arial" w:cs="Arial"/>
          <w:color w:val="000000"/>
          <w:sz w:val="20"/>
        </w:rPr>
        <w:t xml:space="preserve"> It, too, is inaccessible to those in wheelchairs. Before 2002, there was an inoperative escalator leading from a courtyard at the concourse level of City Hall Subway Station to street level in the southeast corner of Philadelphia City Hall Courtyard (the "City Hall Courtyard").</w:t>
      </w:r>
    </w:p>
    <w:p w14:paraId="18A4B620" w14:textId="77777777" w:rsidR="00D041A2" w:rsidRDefault="00000000">
      <w:pPr>
        <w:pStyle w:val="Normal34"/>
        <w:widowControl w:val="0"/>
        <w:spacing w:before="200" w:line="260" w:lineRule="atLeast"/>
        <w:jc w:val="both"/>
      </w:pPr>
      <w:bookmarkStart w:id="4120" w:name="Bookmark_para_9_31"/>
      <w:bookmarkEnd w:id="4120"/>
      <w:r>
        <w:rPr>
          <w:rFonts w:ascii="Arial" w:eastAsia="Arial" w:hAnsi="Arial" w:cs="Arial"/>
          <w:color w:val="000000"/>
          <w:sz w:val="20"/>
        </w:rPr>
        <w:t xml:space="preserve">In June  [**5] 2001, SEPTA undertook extensive repairs to the inoperative escalator at City Hall Courtyard by, among other things, replacing the internal mechanisms within the escalator's wheelwell. Again, no modifications were made to any load-bearing structures. The repairs at City Hall Courtyard cost approximately $1.2  [*91]  million; SEPTA estimates that the cost of installing an elevator there would raise the total cost to $3.2 million. However, SEPTA has not claimed that it would be technically infeasible to install an elevator there, so long as it had sufficient access to the property. </w:t>
      </w:r>
      <w:r>
        <w:rPr>
          <w:rFonts w:ascii="Arial" w:eastAsia="Arial" w:hAnsi="Arial" w:cs="Arial"/>
          <w:vertAlign w:val="superscript"/>
        </w:rPr>
        <w:footnoteReference w:customMarkFollows="1" w:id="201"/>
        <w:t>4</w:t>
      </w:r>
    </w:p>
    <w:p w14:paraId="01EBAB0B" w14:textId="77777777" w:rsidR="00D041A2" w:rsidRDefault="00000000">
      <w:pPr>
        <w:pStyle w:val="Normal34"/>
        <w:widowControl w:val="0"/>
        <w:spacing w:before="240" w:line="260" w:lineRule="atLeast"/>
      </w:pPr>
      <w:r>
        <w:br/>
      </w:r>
      <w:r>
        <w:rPr>
          <w:rFonts w:ascii="Arial" w:eastAsia="Arial" w:hAnsi="Arial" w:cs="Arial"/>
          <w:b/>
          <w:color w:val="000000"/>
          <w:sz w:val="20"/>
        </w:rPr>
        <w:t>B. The District Court's Decision</w:t>
      </w:r>
    </w:p>
    <w:p w14:paraId="490D6810" w14:textId="77777777" w:rsidR="00D041A2" w:rsidRDefault="00000000">
      <w:pPr>
        <w:pStyle w:val="Normal34"/>
        <w:widowControl w:val="0"/>
        <w:spacing w:before="200" w:line="260" w:lineRule="atLeast"/>
        <w:jc w:val="both"/>
      </w:pPr>
      <w:bookmarkStart w:id="4122" w:name="Bookmark_para_10_31"/>
      <w:bookmarkStart w:id="4123" w:name="Bookmark_I52BM08W0P9CX80020000400"/>
      <w:bookmarkEnd w:id="4122"/>
      <w:bookmarkEnd w:id="4123"/>
      <w:r>
        <w:rPr>
          <w:rFonts w:ascii="Arial" w:eastAsia="Arial" w:hAnsi="Arial" w:cs="Arial"/>
          <w:color w:val="000000"/>
          <w:sz w:val="20"/>
        </w:rPr>
        <w:t xml:space="preserve">Appellee DIA is a nonprofit group which advocates for the civil rights of persons with disabilities. It filed a lawsuit against SEPTA in March 2003 alleging that SEPTA had violated both Title II of the ADA and the Rehabilitation Act </w:t>
      </w:r>
      <w:r>
        <w:rPr>
          <w:rFonts w:ascii="Arial" w:eastAsia="Arial" w:hAnsi="Arial" w:cs="Arial"/>
          <w:vertAlign w:val="superscript"/>
        </w:rPr>
        <w:footnoteReference w:customMarkFollows="1" w:id="202"/>
        <w:t>5</w:t>
      </w:r>
      <w:r>
        <w:rPr>
          <w:rFonts w:ascii="Arial" w:eastAsia="Arial" w:hAnsi="Arial" w:cs="Arial"/>
          <w:color w:val="000000"/>
          <w:sz w:val="20"/>
        </w:rPr>
        <w:t xml:space="preserve"> by failing to make the 15th Street Courtyard accessible to those with disabilities after replacing the stairway at that location. SEPTA moved to dismiss, arguing that the City was a required party to the litigation because the City owns the 15th Street Courtyard. That motion was granted  [**6] as unopposed, but the Court subsequently vacated its order and DIA amended its complaint to add the City as a defendant. In October 2003, DIA filed a second amended complaint. DIA amended its complaint a third time in January 2004, adding an allegation that SEPTA was required to make City Hall Station accessible because that station constituted a "key station" as defined by the ADA and relevant regulations.</w:t>
      </w:r>
    </w:p>
    <w:p w14:paraId="225E07F5" w14:textId="77777777" w:rsidR="00D041A2" w:rsidRDefault="00000000">
      <w:pPr>
        <w:pStyle w:val="Normal34"/>
        <w:widowControl w:val="0"/>
        <w:spacing w:before="200" w:line="260" w:lineRule="atLeast"/>
        <w:jc w:val="both"/>
      </w:pPr>
      <w:bookmarkStart w:id="4127" w:name="Bookmark_para_11_30"/>
      <w:bookmarkEnd w:id="4127"/>
      <w:r>
        <w:rPr>
          <w:rFonts w:ascii="Arial" w:eastAsia="Arial" w:hAnsi="Arial" w:cs="Arial"/>
          <w:color w:val="000000"/>
          <w:sz w:val="20"/>
        </w:rPr>
        <w:t xml:space="preserve">In August 2004, DIA and the City reached a settlement in which the City agreed to permit SEPTA to use the City's property to install an elevator at the 15th Street Courtyard. </w:t>
      </w:r>
      <w:r>
        <w:rPr>
          <w:rFonts w:ascii="Arial" w:eastAsia="Arial" w:hAnsi="Arial" w:cs="Arial"/>
          <w:vertAlign w:val="superscript"/>
        </w:rPr>
        <w:footnoteReference w:customMarkFollows="1" w:id="203"/>
        <w:t>6</w:t>
      </w:r>
      <w:r>
        <w:rPr>
          <w:rFonts w:ascii="Arial" w:eastAsia="Arial" w:hAnsi="Arial" w:cs="Arial"/>
          <w:color w:val="000000"/>
          <w:sz w:val="20"/>
        </w:rPr>
        <w:t xml:space="preserve"> In order to resolve DIA's claim that City Hall Station was a key station required to be made handicapped accessible, the City indicated that it would "give permission ... for SEPTA to [] construct the City Hall Station renovation project which has been discussed by SEPTA and the Plaintiffs in  [**7] conceptual form for years." It appears that the "renovation project" referenced by the settlement pertains to the construction of an elevator at Dilworth Plaza, which is a different location than the City Hall Courtyard. </w:t>
      </w:r>
      <w:r>
        <w:rPr>
          <w:rFonts w:ascii="Arial" w:eastAsia="Arial" w:hAnsi="Arial" w:cs="Arial"/>
          <w:vertAlign w:val="superscript"/>
        </w:rPr>
        <w:footnoteReference w:customMarkFollows="1" w:id="204"/>
        <w:t>7</w:t>
      </w:r>
      <w:r>
        <w:rPr>
          <w:rFonts w:ascii="Arial" w:eastAsia="Arial" w:hAnsi="Arial" w:cs="Arial"/>
          <w:color w:val="000000"/>
          <w:sz w:val="20"/>
        </w:rPr>
        <w:t xml:space="preserve"> The District Court dismissed the City from the action in light of the settlement.</w:t>
      </w:r>
    </w:p>
    <w:p w14:paraId="0C63F9D4" w14:textId="77777777" w:rsidR="00D041A2" w:rsidRDefault="00000000">
      <w:pPr>
        <w:pStyle w:val="Normal34"/>
        <w:widowControl w:val="0"/>
        <w:spacing w:before="200" w:line="260" w:lineRule="atLeast"/>
        <w:jc w:val="both"/>
      </w:pPr>
      <w:bookmarkStart w:id="4130" w:name="Bookmark_para_12_29"/>
      <w:bookmarkEnd w:id="4130"/>
      <w:r>
        <w:rPr>
          <w:rFonts w:ascii="Arial" w:eastAsia="Arial" w:hAnsi="Arial" w:cs="Arial"/>
          <w:color w:val="000000"/>
          <w:sz w:val="20"/>
        </w:rPr>
        <w:t>DIA's fourth and final complaint was filed on February 15, 2005. The fourth amended complaint, which named only SEPTA as a defendant, asserted two claims. Count I contended that SEPTA violated the ADA and RA by making "alterations" to the 15th Street Courtyard and the City Hall Courtyard without also making the affected portions of the facilities accessible to individuals with disabilities. That was the first time in the litigation that DIA alleged that the extensive work conducted on the escalator at City Hall Courtyard constituted an "alteration" within the meaning of the ADA. Count II alleged that SEPTA had violated the ADA and RA by failing to make 15th Street Station and City Hall Station,  [**8] both allegedly "key stations" within the meaning of the ADA and RA, handicapped accessible. DIA sought relief in the form of, among other things, an injunction requiring SEPTA "to begin construction immediately of elevators [] at the [15th Street Courtyard  [*92]  Entrance] to the Market-Frankford ... Line and at the City Hall Station Courtyard's Northwest and Southeast entrances to the Broad Street Subway Line to assure access for persons with disabilities, including persons who use wheelchairs ... ."</w:t>
      </w:r>
    </w:p>
    <w:p w14:paraId="7273F9DA" w14:textId="77777777" w:rsidR="00D041A2" w:rsidRDefault="00000000">
      <w:pPr>
        <w:pStyle w:val="Normal34"/>
        <w:widowControl w:val="0"/>
        <w:spacing w:before="200" w:line="260" w:lineRule="atLeast"/>
        <w:jc w:val="both"/>
      </w:pPr>
      <w:bookmarkStart w:id="4131" w:name="Bookmark_para_13_27"/>
      <w:bookmarkEnd w:id="4131"/>
      <w:r>
        <w:rPr>
          <w:rFonts w:ascii="Arial" w:eastAsia="Arial" w:hAnsi="Arial" w:cs="Arial"/>
          <w:color w:val="000000"/>
          <w:sz w:val="20"/>
        </w:rPr>
        <w:t xml:space="preserve">DIA and SEPTA later moved for summary judgment against each other. </w:t>
      </w:r>
      <w:bookmarkStart w:id="4132" w:name="Bookmark_I13MHHP63XT0007952T001XP"/>
      <w:bookmarkStart w:id="4133" w:name="Bookmark_I52BM08W0P9CX80040000400"/>
      <w:bookmarkEnd w:id="4132"/>
      <w:bookmarkEnd w:id="4133"/>
      <w:r>
        <w:rPr>
          <w:rFonts w:ascii="Arial" w:eastAsia="Arial" w:hAnsi="Arial" w:cs="Arial"/>
          <w:color w:val="000000"/>
          <w:sz w:val="20"/>
        </w:rPr>
        <w:t xml:space="preserve">In November 2006, the District Court granted summary judgment in favor of SEPTA, holding that DIA's claims were time-barred. On appeal, we reversed the District Court's decision and remanded the case for further proceedings. </w:t>
      </w:r>
      <w:r>
        <w:rPr>
          <w:rFonts w:ascii="Arial" w:eastAsia="Arial" w:hAnsi="Arial" w:cs="Arial"/>
          <w:color w:val="000000"/>
          <w:sz w:val="20"/>
          <w:u w:val="single"/>
        </w:rPr>
        <w:t xml:space="preserve">See </w:t>
      </w:r>
      <w:bookmarkStart w:id="4134" w:name="Bookmark_I52BM08W0P9CX80030000400"/>
      <w:bookmarkEnd w:id="4134"/>
      <w:r>
        <w:rPr>
          <w:rFonts w:ascii="Arial" w:eastAsia="Arial" w:hAnsi="Arial" w:cs="Arial"/>
          <w:color w:val="000000"/>
          <w:sz w:val="20"/>
          <w:u w:val="single"/>
        </w:rPr>
        <w:t>Disabled in Action of Pennsylvania v. Southeastern Pennsylvania Transp. Auth</w:t>
      </w:r>
      <w:r>
        <w:rPr>
          <w:rFonts w:ascii="Arial" w:eastAsia="Arial" w:hAnsi="Arial" w:cs="Arial"/>
          <w:color w:val="000000"/>
          <w:sz w:val="20"/>
        </w:rPr>
        <w:t>., 539 F.3d 199 (3d Cir. 2008). After remand, both parties again moved for summary judgment on the remaining claims. The District Court granted summary judgment in favor of DIA, finding that SEPTA's work at both the 15th Street Courtyard and City Hall Courtyard constituted "alterations" which triggered requirements under the ADA  [**9] and the Rehabilitation Act to make both locations "readily accessible to" individuals with disabilities.</w:t>
      </w:r>
    </w:p>
    <w:p w14:paraId="6645171B" w14:textId="77777777" w:rsidR="00D041A2" w:rsidRDefault="00000000">
      <w:pPr>
        <w:pStyle w:val="Normal34"/>
        <w:widowControl w:val="0"/>
        <w:spacing w:before="200" w:line="260" w:lineRule="atLeast"/>
        <w:jc w:val="both"/>
      </w:pPr>
      <w:bookmarkStart w:id="4135" w:name="Bookmark_para_14_23"/>
      <w:bookmarkEnd w:id="4135"/>
      <w:r>
        <w:rPr>
          <w:rFonts w:ascii="Arial" w:eastAsia="Arial" w:hAnsi="Arial" w:cs="Arial"/>
          <w:color w:val="000000"/>
          <w:sz w:val="20"/>
        </w:rPr>
        <w:t>SEPTA has now appealed the District Court's decision.</w:t>
      </w:r>
    </w:p>
    <w:p w14:paraId="03944AD8" w14:textId="77777777" w:rsidR="00D041A2" w:rsidRDefault="00000000">
      <w:pPr>
        <w:pStyle w:val="Normal34"/>
        <w:widowControl w:val="0"/>
        <w:spacing w:before="240" w:line="260" w:lineRule="atLeast"/>
      </w:pPr>
      <w:r>
        <w:br/>
      </w:r>
      <w:r>
        <w:rPr>
          <w:rFonts w:ascii="Arial" w:eastAsia="Arial" w:hAnsi="Arial" w:cs="Arial"/>
          <w:b/>
          <w:color w:val="000000"/>
          <w:sz w:val="20"/>
        </w:rPr>
        <w:t>II.</w:t>
      </w:r>
    </w:p>
    <w:p w14:paraId="6B07E063" w14:textId="77777777" w:rsidR="00D041A2" w:rsidRDefault="00000000">
      <w:pPr>
        <w:pStyle w:val="Normal34"/>
        <w:widowControl w:val="0"/>
        <w:spacing w:before="200" w:line="260" w:lineRule="atLeast"/>
        <w:jc w:val="both"/>
      </w:pPr>
      <w:bookmarkStart w:id="4136" w:name="Bookmark_para_15_22"/>
      <w:bookmarkStart w:id="4137" w:name="Bookmark_I52BM08Y0P9CXT0010000400"/>
      <w:bookmarkStart w:id="4138" w:name="Bookmark_I52BM08Y0P9CXT0030000400"/>
      <w:bookmarkStart w:id="4139" w:name="Bookmark_LNHNREFclscc2_25"/>
      <w:bookmarkEnd w:id="4136"/>
      <w:bookmarkEnd w:id="4137"/>
      <w:bookmarkEnd w:id="4138"/>
      <w:bookmarkEnd w:id="4139"/>
      <w:r>
        <w:rPr>
          <w:rFonts w:ascii="Arial" w:eastAsia="Arial" w:hAnsi="Arial" w:cs="Arial"/>
          <w:color w:val="000000"/>
          <w:sz w:val="20"/>
        </w:rPr>
        <w:t xml:space="preserve">"We exercise plenary review over a district court's summary judgment ruling." </w:t>
      </w:r>
      <w:bookmarkStart w:id="4140" w:name="Bookmark_I52BM08W0P9CX80050000400"/>
      <w:bookmarkEnd w:id="4140"/>
      <w:r>
        <w:rPr>
          <w:rFonts w:ascii="Arial" w:eastAsia="Arial" w:hAnsi="Arial" w:cs="Arial"/>
          <w:color w:val="000000"/>
          <w:sz w:val="20"/>
          <w:u w:val="single"/>
        </w:rPr>
        <w:t>Melrose, Inc. v. City of Pittsburgh</w:t>
      </w:r>
      <w:r>
        <w:rPr>
          <w:rFonts w:ascii="Arial" w:eastAsia="Arial" w:hAnsi="Arial" w:cs="Arial"/>
          <w:color w:val="000000"/>
          <w:sz w:val="20"/>
        </w:rPr>
        <w:t xml:space="preserve">, 613 F.3d 380, 387 (3d Cir. 2009). </w:t>
      </w:r>
      <w:bookmarkStart w:id="4141" w:name="Bookmark_LNHNREFclscc3_23"/>
      <w:bookmarkEnd w:id="4141"/>
      <w:r>
        <w:rPr>
          <w:rFonts w:ascii="Arial" w:eastAsia="Arial" w:hAnsi="Arial" w:cs="Arial"/>
          <w:color w:val="000000"/>
          <w:sz w:val="20"/>
        </w:rPr>
        <w:t xml:space="preserve">"Summary judgment is appropriate only where, drawing all reasonable inferences in favor of the nonmoving party, there is no genuine issue as to any material fact and ... the moving party is entitled to judgment as a matter of law." </w:t>
      </w:r>
      <w:r>
        <w:rPr>
          <w:rFonts w:ascii="Arial" w:eastAsia="Arial" w:hAnsi="Arial" w:cs="Arial"/>
          <w:color w:val="000000"/>
          <w:sz w:val="20"/>
          <w:u w:val="single"/>
        </w:rPr>
        <w:t>Id</w:t>
      </w:r>
      <w:r>
        <w:rPr>
          <w:rFonts w:ascii="Arial" w:eastAsia="Arial" w:hAnsi="Arial" w:cs="Arial"/>
          <w:color w:val="000000"/>
          <w:sz w:val="20"/>
        </w:rPr>
        <w:t xml:space="preserve">. (citing </w:t>
      </w:r>
      <w:bookmarkStart w:id="4142" w:name="Bookmark_I52BM08Y0P9CXT0020000400"/>
      <w:bookmarkEnd w:id="4142"/>
      <w:r>
        <w:rPr>
          <w:rFonts w:ascii="Arial" w:eastAsia="Arial" w:hAnsi="Arial" w:cs="Arial"/>
          <w:color w:val="000000"/>
          <w:sz w:val="20"/>
          <w:u w:val="single"/>
        </w:rPr>
        <w:t>Ruehl v. Viacom, Inc</w:t>
      </w:r>
      <w:r>
        <w:rPr>
          <w:rFonts w:ascii="Arial" w:eastAsia="Arial" w:hAnsi="Arial" w:cs="Arial"/>
          <w:color w:val="000000"/>
          <w:sz w:val="20"/>
        </w:rPr>
        <w:t>., 500 F.3d 375, 380 n.6 (3d Cir. 2007)).</w:t>
      </w:r>
    </w:p>
    <w:p w14:paraId="28381E57" w14:textId="77777777" w:rsidR="00D041A2" w:rsidRDefault="00000000">
      <w:pPr>
        <w:pStyle w:val="Normal34"/>
        <w:widowControl w:val="0"/>
        <w:spacing w:before="200" w:line="260" w:lineRule="atLeast"/>
        <w:jc w:val="both"/>
      </w:pPr>
      <w:bookmarkStart w:id="4143" w:name="Bookmark_para_16_22"/>
      <w:bookmarkStart w:id="4144" w:name="Bookmark_LNHNREFclscc4_22"/>
      <w:bookmarkEnd w:id="4143"/>
      <w:bookmarkEnd w:id="4144"/>
      <w:r>
        <w:rPr>
          <w:rFonts w:ascii="Arial" w:eastAsia="Arial" w:hAnsi="Arial" w:cs="Arial"/>
          <w:color w:val="000000"/>
          <w:sz w:val="20"/>
        </w:rPr>
        <w:t xml:space="preserve">The ADA "provide[s] a clear and comprehensive national mandate for the elimination of discrimination against individuals with disabilities." 42 U.S.C. § 12101(a) (2010). In enacting the law, Congress found that "discrimination against individuals with disabilities continue[s] to be a serious and pervasive problem" in American society and therefore sought to "assure equality of opportunity, full participation, independent living, and economic self-sufficiency" for individuals with disabilities. </w:t>
      </w:r>
      <w:r>
        <w:rPr>
          <w:rFonts w:ascii="Arial" w:eastAsia="Arial" w:hAnsi="Arial" w:cs="Arial"/>
          <w:color w:val="000000"/>
          <w:sz w:val="20"/>
          <w:u w:val="single"/>
        </w:rPr>
        <w:t>Id</w:t>
      </w:r>
      <w:r>
        <w:rPr>
          <w:rFonts w:ascii="Arial" w:eastAsia="Arial" w:hAnsi="Arial" w:cs="Arial"/>
          <w:color w:val="000000"/>
          <w:sz w:val="20"/>
        </w:rPr>
        <w:t xml:space="preserve">. § 12101(a)(2), (7). In particular, </w:t>
      </w:r>
      <w:bookmarkStart w:id="4145" w:name="Bookmark_LNHNREFclscc5_22"/>
      <w:bookmarkEnd w:id="4145"/>
      <w:r>
        <w:rPr>
          <w:rFonts w:ascii="Arial" w:eastAsia="Arial" w:hAnsi="Arial" w:cs="Arial"/>
          <w:color w:val="000000"/>
          <w:sz w:val="20"/>
        </w:rPr>
        <w:t xml:space="preserve">one of the ADA's aims is the elimination of "architectural  [**10] [and] transportation ... barriers" to full participation in society by individuals with disabilities by, among other things, mandating the improvement of access to public transit. </w:t>
      </w:r>
      <w:r>
        <w:rPr>
          <w:rFonts w:ascii="Arial" w:eastAsia="Arial" w:hAnsi="Arial" w:cs="Arial"/>
          <w:color w:val="000000"/>
          <w:sz w:val="20"/>
          <w:u w:val="single"/>
        </w:rPr>
        <w:t>Id</w:t>
      </w:r>
      <w:r>
        <w:rPr>
          <w:rFonts w:ascii="Arial" w:eastAsia="Arial" w:hAnsi="Arial" w:cs="Arial"/>
          <w:color w:val="000000"/>
          <w:sz w:val="20"/>
        </w:rPr>
        <w:t>. § 12101(a)(5). Therefore, although it does not generally mandate that existing public transit facilities be made accessible, the ADA does impose specific requirements on public entities which build new facilities or make "alterations" to existing facilities.</w:t>
      </w:r>
    </w:p>
    <w:p w14:paraId="0BF0CA7F" w14:textId="77777777" w:rsidR="00D041A2" w:rsidRDefault="00000000">
      <w:pPr>
        <w:pStyle w:val="Normal34"/>
        <w:widowControl w:val="0"/>
        <w:spacing w:before="200" w:line="260" w:lineRule="atLeast"/>
        <w:jc w:val="both"/>
      </w:pPr>
      <w:bookmarkStart w:id="4146" w:name="Bookmark_para_17_21"/>
      <w:bookmarkStart w:id="4147" w:name="Bookmark_I52BM08Y0P9CXT0050000400"/>
      <w:bookmarkStart w:id="4148" w:name="Bookmark_LNHNREFclscc6_22"/>
      <w:bookmarkEnd w:id="4146"/>
      <w:bookmarkEnd w:id="4147"/>
      <w:bookmarkEnd w:id="4148"/>
      <w:r>
        <w:rPr>
          <w:rFonts w:ascii="Arial" w:eastAsia="Arial" w:hAnsi="Arial" w:cs="Arial"/>
          <w:color w:val="000000"/>
          <w:sz w:val="20"/>
        </w:rPr>
        <w:t xml:space="preserve">"With respect to </w:t>
      </w:r>
      <w:r>
        <w:rPr>
          <w:rFonts w:ascii="Arial" w:eastAsia="Arial" w:hAnsi="Arial" w:cs="Arial"/>
          <w:i/>
          <w:color w:val="000000"/>
          <w:sz w:val="20"/>
        </w:rPr>
        <w:t>alterations</w:t>
      </w:r>
      <w:r>
        <w:rPr>
          <w:rFonts w:ascii="Arial" w:eastAsia="Arial" w:hAnsi="Arial" w:cs="Arial"/>
          <w:color w:val="000000"/>
          <w:sz w:val="20"/>
        </w:rPr>
        <w:t xml:space="preserve"> of an existing facility or part thereof used in [public transit] that affect ... the usability of the facility or part thereof," the ADA provides that it is discriminatory for a public entity to "fail to make such alterations ... in such a manner that, to </w:t>
      </w:r>
      <w:r>
        <w:rPr>
          <w:rFonts w:ascii="Arial" w:eastAsia="Arial" w:hAnsi="Arial" w:cs="Arial"/>
          <w:i/>
          <w:color w:val="000000"/>
          <w:sz w:val="20"/>
        </w:rPr>
        <w:t>the maximum extent feasible</w:t>
      </w:r>
      <w:r>
        <w:rPr>
          <w:rFonts w:ascii="Arial" w:eastAsia="Arial" w:hAnsi="Arial" w:cs="Arial"/>
          <w:color w:val="000000"/>
          <w:sz w:val="20"/>
        </w:rPr>
        <w:t xml:space="preserve">, the altered portions of the facility are </w:t>
      </w:r>
      <w:r>
        <w:rPr>
          <w:rFonts w:ascii="Arial" w:eastAsia="Arial" w:hAnsi="Arial" w:cs="Arial"/>
          <w:i/>
          <w:color w:val="000000"/>
          <w:sz w:val="20"/>
        </w:rPr>
        <w:t>readily accessible</w:t>
      </w:r>
      <w:r>
        <w:rPr>
          <w:rFonts w:ascii="Arial" w:eastAsia="Arial" w:hAnsi="Arial" w:cs="Arial"/>
          <w:color w:val="000000"/>
          <w:sz w:val="20"/>
        </w:rPr>
        <w:t xml:space="preserve"> to" individuals with disabilities. 42 U.S.C. § 12147(a) (2010) (emphases added). "Thus, while Congress chose not to mandate full accessibility to existing facilities, it required that subsequent changes to a facility be undertaken in a non-discriminatory manner." </w:t>
      </w:r>
      <w:bookmarkStart w:id="4149" w:name="Bookmark_I52BM08Y0P9CXT0040000400"/>
      <w:bookmarkEnd w:id="4149"/>
      <w:r>
        <w:rPr>
          <w:rFonts w:ascii="Arial" w:eastAsia="Arial" w:hAnsi="Arial" w:cs="Arial"/>
          <w:color w:val="000000"/>
          <w:sz w:val="20"/>
          <w:u w:val="single"/>
        </w:rPr>
        <w:t>Kinney v. Yerusalim</w:t>
      </w:r>
      <w:r>
        <w:rPr>
          <w:rFonts w:ascii="Arial" w:eastAsia="Arial" w:hAnsi="Arial" w:cs="Arial"/>
          <w:color w:val="000000"/>
          <w:sz w:val="20"/>
        </w:rPr>
        <w:t>, 9 F.3d 1067, 1073 (3d Cir. 1993). In other words, if a public entity chooses to make changes rising  [**11] to the level of "alterations" to a facility, it ordinarily must use that opportunity to make the altered part of the facility accessible, as well.</w:t>
      </w:r>
    </w:p>
    <w:p w14:paraId="2F952A47" w14:textId="77777777" w:rsidR="00D041A2" w:rsidRDefault="00000000">
      <w:pPr>
        <w:pStyle w:val="Normal34"/>
        <w:widowControl w:val="0"/>
        <w:spacing w:before="200" w:line="260" w:lineRule="atLeast"/>
        <w:jc w:val="both"/>
      </w:pPr>
      <w:bookmarkStart w:id="4150" w:name="Bookmark_para_18_19"/>
      <w:bookmarkEnd w:id="4150"/>
      <w:r>
        <w:rPr>
          <w:rFonts w:ascii="Arial" w:eastAsia="Arial" w:hAnsi="Arial" w:cs="Arial"/>
          <w:color w:val="000000"/>
          <w:sz w:val="20"/>
        </w:rPr>
        <w:t> [*93]  In order to resolve this case, we must consider in turn the meaning of the phrases "alterations," "the maximum extent feasible," and "readily accessible" and then their application to the SEPTA projects at issue.</w:t>
      </w:r>
    </w:p>
    <w:p w14:paraId="0883ABDB" w14:textId="77777777" w:rsidR="00D041A2" w:rsidRDefault="00000000">
      <w:pPr>
        <w:pStyle w:val="Normal34"/>
        <w:widowControl w:val="0"/>
        <w:spacing w:before="240" w:line="260" w:lineRule="atLeast"/>
      </w:pPr>
      <w:r>
        <w:br/>
      </w:r>
      <w:r>
        <w:rPr>
          <w:rFonts w:ascii="Arial" w:eastAsia="Arial" w:hAnsi="Arial" w:cs="Arial"/>
          <w:b/>
          <w:color w:val="000000"/>
          <w:sz w:val="20"/>
        </w:rPr>
        <w:t>A. "Alterations"</w:t>
      </w:r>
    </w:p>
    <w:p w14:paraId="3E649DAA" w14:textId="77777777" w:rsidR="00D041A2" w:rsidRDefault="00000000">
      <w:pPr>
        <w:pStyle w:val="Normal34"/>
        <w:widowControl w:val="0"/>
        <w:spacing w:before="200" w:line="260" w:lineRule="atLeast"/>
        <w:jc w:val="both"/>
      </w:pPr>
      <w:bookmarkStart w:id="4151" w:name="Bookmark_para_19_19"/>
      <w:bookmarkEnd w:id="4151"/>
      <w:r>
        <w:rPr>
          <w:rFonts w:ascii="Arial" w:eastAsia="Arial" w:hAnsi="Arial" w:cs="Arial"/>
          <w:color w:val="000000"/>
          <w:sz w:val="20"/>
        </w:rPr>
        <w:t xml:space="preserve">Section 12147(a) of title 42 does not define the terms "alterations" or "the maximum extent feasible." However, the DOT has issued regulations that provide additional guidance as to their meaning. </w:t>
      </w:r>
      <w:bookmarkStart w:id="4152" w:name="Bookmark_LNHNREFclscc7_22"/>
      <w:bookmarkEnd w:id="4152"/>
      <w:r>
        <w:rPr>
          <w:rFonts w:ascii="Arial" w:eastAsia="Arial" w:hAnsi="Arial" w:cs="Arial"/>
          <w:color w:val="000000"/>
          <w:sz w:val="20"/>
        </w:rPr>
        <w:t>The implementing regulations set forth in 49 C.F.R. § 37.43(a)(1) echo the requirements of 42 U.S.C. § 12147(a). The regulations define "alterations" to mean</w:t>
      </w:r>
    </w:p>
    <w:p w14:paraId="350169EF" w14:textId="77777777" w:rsidR="00D041A2" w:rsidRDefault="00000000">
      <w:pPr>
        <w:pStyle w:val="Normal34"/>
        <w:widowControl w:val="0"/>
        <w:spacing w:line="260" w:lineRule="atLeast"/>
        <w:ind w:left="400"/>
        <w:jc w:val="both"/>
      </w:pPr>
      <w:bookmarkStart w:id="4153" w:name="Bookmark_para_20_19"/>
      <w:bookmarkStart w:id="4154" w:name="Bookmark_I52BM0900P9CYD0020000400"/>
      <w:bookmarkEnd w:id="4153"/>
      <w:bookmarkEnd w:id="4154"/>
      <w:r>
        <w:rPr>
          <w:rFonts w:ascii="Arial" w:eastAsia="Arial" w:hAnsi="Arial" w:cs="Arial"/>
          <w:color w:val="000000"/>
          <w:sz w:val="20"/>
        </w:rPr>
        <w:t>a change to an existing facility, including, but not limited to, remodeling, renovation, rehabilitation, reconstruction, historic restoration, changes or rearrangement in structural parts or elements, and changes or rearrangement in the plan configuration of walls ... [but not] [n]ormal maintenance, reroofing, painting or wallpapering, asbestos removal, or changes to mechanical or electrical systems ... unless they affect the usability of the building or facility.</w:t>
      </w:r>
    </w:p>
    <w:p w14:paraId="1249D43D" w14:textId="77777777" w:rsidR="00D041A2" w:rsidRDefault="00000000">
      <w:pPr>
        <w:pStyle w:val="Normal34"/>
        <w:widowControl w:val="0"/>
        <w:spacing w:before="200" w:line="260" w:lineRule="atLeast"/>
        <w:jc w:val="both"/>
      </w:pPr>
      <w:bookmarkStart w:id="4155" w:name="Bookmark_I52BM0900P9CYD0020000400_2"/>
      <w:bookmarkStart w:id="4156" w:name="Bookmark_I52BM0900P9CYD0040000400"/>
      <w:bookmarkEnd w:id="4155"/>
      <w:bookmarkEnd w:id="4156"/>
      <w:r>
        <w:rPr>
          <w:rFonts w:ascii="Arial" w:eastAsia="Arial" w:hAnsi="Arial" w:cs="Arial"/>
          <w:color w:val="000000"/>
          <w:sz w:val="20"/>
        </w:rPr>
        <w:t xml:space="preserve">49 C.F.R. § 37.3.  [**12] Therefore, "an 'alteration' within the meaning of the regulations is a change that affects the usability of the facility involved." </w:t>
      </w:r>
      <w:bookmarkStart w:id="4157" w:name="Bookmark_I52BM0900P9CYD0010000400"/>
      <w:bookmarkEnd w:id="4157"/>
      <w:r>
        <w:rPr>
          <w:rFonts w:ascii="Arial" w:eastAsia="Arial" w:hAnsi="Arial" w:cs="Arial"/>
          <w:color w:val="000000"/>
          <w:sz w:val="20"/>
          <w:u w:val="single"/>
        </w:rPr>
        <w:t>Kinney</w:t>
      </w:r>
      <w:r>
        <w:rPr>
          <w:rFonts w:ascii="Arial" w:eastAsia="Arial" w:hAnsi="Arial" w:cs="Arial"/>
          <w:color w:val="000000"/>
          <w:sz w:val="20"/>
        </w:rPr>
        <w:t xml:space="preserve">, 9 F.3d at 1072. </w:t>
      </w:r>
      <w:bookmarkStart w:id="4158" w:name="Bookmark_I52BM0900P9CYD0040000400_2"/>
      <w:bookmarkEnd w:id="4158"/>
      <w:r>
        <w:rPr>
          <w:rFonts w:ascii="Arial" w:eastAsia="Arial" w:hAnsi="Arial" w:cs="Arial"/>
          <w:color w:val="000000"/>
          <w:sz w:val="20"/>
        </w:rPr>
        <w:t xml:space="preserve">"Usability" in this context has "an expansive, remedial construction" and "should be broadly defined to include renovations which affect the use of a facility, and not simply changes which relate directly to access." </w:t>
      </w:r>
      <w:bookmarkStart w:id="4159" w:name="Bookmark_I52BM0900P9CYD0030000400"/>
      <w:bookmarkEnd w:id="4159"/>
      <w:r>
        <w:rPr>
          <w:rFonts w:ascii="Arial" w:eastAsia="Arial" w:hAnsi="Arial" w:cs="Arial"/>
          <w:color w:val="000000"/>
          <w:sz w:val="20"/>
          <w:u w:val="single"/>
        </w:rPr>
        <w:t>Id</w:t>
      </w:r>
      <w:r>
        <w:rPr>
          <w:rFonts w:ascii="Arial" w:eastAsia="Arial" w:hAnsi="Arial" w:cs="Arial"/>
          <w:color w:val="000000"/>
          <w:sz w:val="20"/>
        </w:rPr>
        <w:t>. at 1072-73 (internal citations and quotations marks omitted). SEPTA argued in the District Court that the replacement of the stairway at the 15th Street Courtyard and the elevator repair work at the City Hall Courtyard were not alterations, but rather final acts of maintenance. As the District Court noted, however, replacing an unusable stairway with a usable one and extensively changing an inoperative escalator so that it operates again surely affects the "usability" of the locations they service. The complete replacement of a stairway or total overhaul of an escalator should also be considered "remodeling, renovation, rehabilitation [or] reconstruction" in the ordinary sense of those words.</w:t>
      </w:r>
    </w:p>
    <w:p w14:paraId="355FD68B" w14:textId="77777777" w:rsidR="00D041A2" w:rsidRDefault="00000000">
      <w:pPr>
        <w:pStyle w:val="Normal34"/>
        <w:widowControl w:val="0"/>
        <w:spacing w:before="200" w:line="260" w:lineRule="atLeast"/>
        <w:jc w:val="both"/>
      </w:pPr>
      <w:bookmarkStart w:id="4160" w:name="Bookmark_para_21_19"/>
      <w:bookmarkStart w:id="4161" w:name="Bookmark_I52BM0920P9CYX0010000400"/>
      <w:bookmarkEnd w:id="4160"/>
      <w:bookmarkEnd w:id="4161"/>
      <w:r>
        <w:rPr>
          <w:rFonts w:ascii="Arial" w:eastAsia="Arial" w:hAnsi="Arial" w:cs="Arial"/>
          <w:color w:val="000000"/>
          <w:sz w:val="20"/>
        </w:rPr>
        <w:t xml:space="preserve">SEPTA has now abandoned the "final act of maintenance" argument and instead points to certain Americans with Disabilities  [**13] Act Accessibility Guidelines ("ADAAG") standards incorporated into the DOT regulations, which it contends further limit the types of construction which are "alterations" under the ADA. </w:t>
      </w:r>
      <w:r>
        <w:rPr>
          <w:rFonts w:ascii="Arial" w:eastAsia="Arial" w:hAnsi="Arial" w:cs="Arial"/>
          <w:vertAlign w:val="superscript"/>
        </w:rPr>
        <w:footnoteReference w:customMarkFollows="1" w:id="205"/>
        <w:t>8</w:t>
      </w:r>
      <w:r>
        <w:rPr>
          <w:rFonts w:ascii="Arial" w:eastAsia="Arial" w:hAnsi="Arial" w:cs="Arial"/>
          <w:color w:val="000000"/>
          <w:sz w:val="20"/>
        </w:rPr>
        <w:t xml:space="preserve"> It claims that the District Court did not give appropriate deference to these regulations, as mandated by </w:t>
      </w:r>
      <w:bookmarkStart w:id="4163" w:name="Bookmark_I52BM0900P9CYD0050000400"/>
      <w:bookmarkEnd w:id="4163"/>
      <w:r>
        <w:rPr>
          <w:rFonts w:ascii="Arial" w:eastAsia="Arial" w:hAnsi="Arial" w:cs="Arial"/>
          <w:color w:val="000000"/>
          <w:sz w:val="20"/>
          <w:u w:val="single"/>
        </w:rPr>
        <w:t>Chevron, U.S.A., Inc. v. Natural Resources Defense Council, Inc</w:t>
      </w:r>
      <w:r>
        <w:rPr>
          <w:rFonts w:ascii="Arial" w:eastAsia="Arial" w:hAnsi="Arial" w:cs="Arial"/>
          <w:color w:val="000000"/>
          <w:sz w:val="20"/>
        </w:rPr>
        <w:t>., 467 U.S. 837, 104 S. Ct. 2778, 81 L. Ed. 2d 694 (1984). In particular, SEPTA relies on an ADAAG provision which reads:</w:t>
      </w:r>
    </w:p>
    <w:p w14:paraId="38B656AE" w14:textId="77777777" w:rsidR="00D041A2" w:rsidRDefault="00000000">
      <w:pPr>
        <w:pStyle w:val="Normal34"/>
        <w:widowControl w:val="0"/>
        <w:spacing w:line="260" w:lineRule="atLeast"/>
        <w:ind w:left="400"/>
        <w:jc w:val="both"/>
      </w:pPr>
      <w:bookmarkStart w:id="4164" w:name="Bookmark_para_22_19"/>
      <w:bookmarkStart w:id="4165" w:name="Bookmark_I52BM0920P9CYX0010000400_2"/>
      <w:bookmarkStart w:id="4166" w:name="Bookmark_LNHNREFclscc8_22"/>
      <w:bookmarkEnd w:id="4164"/>
      <w:bookmarkEnd w:id="4165"/>
      <w:bookmarkEnd w:id="4166"/>
      <w:r>
        <w:rPr>
          <w:rFonts w:ascii="Arial" w:eastAsia="Arial" w:hAnsi="Arial" w:cs="Arial"/>
          <w:color w:val="000000"/>
          <w:sz w:val="20"/>
        </w:rPr>
        <w:t>If an escalator or stair is planned or installed where none existed previously and major structural modifications are necessary for such installation, then a means of accessible vertical access shall be provided that complies with the applicable provisions.</w:t>
      </w:r>
    </w:p>
    <w:p w14:paraId="4628364A" w14:textId="77777777" w:rsidR="00D041A2" w:rsidRDefault="00000000">
      <w:pPr>
        <w:pStyle w:val="Normal34"/>
        <w:widowControl w:val="0"/>
        <w:spacing w:line="260" w:lineRule="atLeast"/>
        <w:jc w:val="both"/>
      </w:pPr>
      <w:r>
        <w:rPr>
          <w:rFonts w:ascii="Arial" w:eastAsia="Arial" w:hAnsi="Arial" w:cs="Arial"/>
          <w:color w:val="000000"/>
          <w:sz w:val="20"/>
        </w:rPr>
        <w:t>ADAAG § 4.1.6(1)(f). SEPTA argues that this indicates that "alterations," at least with respect to stairs, includes only changes that involve "major structural modifications." As it did not undertake "major structural modifications" of either the 15th Street or the City Hall Courtyards, it contends, it is not required to install an elevator in either location.</w:t>
      </w:r>
    </w:p>
    <w:p w14:paraId="0FB79000" w14:textId="77777777" w:rsidR="00D041A2" w:rsidRDefault="00000000">
      <w:pPr>
        <w:pStyle w:val="Normal34"/>
        <w:widowControl w:val="0"/>
        <w:spacing w:before="200" w:line="260" w:lineRule="atLeast"/>
        <w:jc w:val="both"/>
      </w:pPr>
      <w:bookmarkStart w:id="4167" w:name="Bookmark_para_23_18"/>
      <w:bookmarkEnd w:id="4167"/>
      <w:r>
        <w:rPr>
          <w:rFonts w:ascii="Arial" w:eastAsia="Arial" w:hAnsi="Arial" w:cs="Arial"/>
          <w:color w:val="000000"/>
          <w:sz w:val="20"/>
        </w:rPr>
        <w:t xml:space="preserve"> [*94]  We assume, and DIA does not dispute, that the DOT  [**14] regulations should be given </w:t>
      </w:r>
      <w:r>
        <w:rPr>
          <w:rFonts w:ascii="Arial" w:eastAsia="Arial" w:hAnsi="Arial" w:cs="Arial"/>
          <w:color w:val="000000"/>
          <w:sz w:val="20"/>
          <w:u w:val="single"/>
        </w:rPr>
        <w:t>Chevron</w:t>
      </w:r>
      <w:r>
        <w:rPr>
          <w:rFonts w:ascii="Arial" w:eastAsia="Arial" w:hAnsi="Arial" w:cs="Arial"/>
          <w:color w:val="000000"/>
          <w:sz w:val="20"/>
        </w:rPr>
        <w:t xml:space="preserve"> deference in this case. However, the courts owe no deference to SEPTA's </w:t>
      </w:r>
      <w:r>
        <w:rPr>
          <w:rFonts w:ascii="Arial" w:eastAsia="Arial" w:hAnsi="Arial" w:cs="Arial"/>
          <w:i/>
          <w:color w:val="000000"/>
          <w:sz w:val="20"/>
        </w:rPr>
        <w:t>own</w:t>
      </w:r>
      <w:r>
        <w:rPr>
          <w:rFonts w:ascii="Arial" w:eastAsia="Arial" w:hAnsi="Arial" w:cs="Arial"/>
          <w:color w:val="000000"/>
          <w:sz w:val="20"/>
        </w:rPr>
        <w:t xml:space="preserve"> interpretation of these regulations, and, as the District Court concluded, SEPTA's interpretation is too narrow. The ADA is a remedial statute, meant to bring an end to discrimination against individuals with disabilities in all aspects of American life; it must be construed with all the liberality necessary to achieve such purposes. In our view, the construction carried out by SEPTA in both the 15th Street Courtyard and the City Hall Courtyard constituted "alterations" under the ADA, even without "major structural alterations." Although ADAAG § 4.1.6(1)(f) addresses one scenario in which an accessible means of vertical access must be provided, it does not clearly indicate that this is the </w:t>
      </w:r>
      <w:r>
        <w:rPr>
          <w:rFonts w:ascii="Arial" w:eastAsia="Arial" w:hAnsi="Arial" w:cs="Arial"/>
          <w:i/>
          <w:color w:val="000000"/>
          <w:sz w:val="20"/>
        </w:rPr>
        <w:t>only</w:t>
      </w:r>
      <w:r>
        <w:rPr>
          <w:rFonts w:ascii="Arial" w:eastAsia="Arial" w:hAnsi="Arial" w:cs="Arial"/>
          <w:color w:val="000000"/>
          <w:sz w:val="20"/>
        </w:rPr>
        <w:t xml:space="preserve"> scenario in which such access must be provided.</w:t>
      </w:r>
    </w:p>
    <w:p w14:paraId="101BFEAF" w14:textId="77777777" w:rsidR="00D041A2" w:rsidRDefault="00000000">
      <w:pPr>
        <w:pStyle w:val="Normal34"/>
        <w:widowControl w:val="0"/>
        <w:spacing w:before="200" w:line="260" w:lineRule="atLeast"/>
        <w:jc w:val="both"/>
      </w:pPr>
      <w:bookmarkStart w:id="4168" w:name="Bookmark_para_24_17"/>
      <w:bookmarkStart w:id="4169" w:name="Bookmark_I52BM0920P9CYX0030000400"/>
      <w:bookmarkEnd w:id="4168"/>
      <w:bookmarkEnd w:id="4169"/>
      <w:r>
        <w:rPr>
          <w:rFonts w:ascii="Arial" w:eastAsia="Arial" w:hAnsi="Arial" w:cs="Arial"/>
          <w:color w:val="000000"/>
          <w:sz w:val="20"/>
        </w:rPr>
        <w:t xml:space="preserve">SEPTA's reading is at odds with the otherwise broad accessibility mandate of 42 U.S.C. § 12147(a) and 49 C.F.R. § 37.43 and the expansive definition of "usability" adopted by this Circuit. In </w:t>
      </w:r>
      <w:r>
        <w:rPr>
          <w:rFonts w:ascii="Arial" w:eastAsia="Arial" w:hAnsi="Arial" w:cs="Arial"/>
          <w:color w:val="000000"/>
          <w:sz w:val="20"/>
          <w:u w:val="single"/>
        </w:rPr>
        <w:t>Kinney</w:t>
      </w:r>
      <w:r>
        <w:rPr>
          <w:rFonts w:ascii="Arial" w:eastAsia="Arial" w:hAnsi="Arial" w:cs="Arial"/>
          <w:color w:val="000000"/>
          <w:sz w:val="20"/>
        </w:rPr>
        <w:t xml:space="preserve">, we held that even the resurfacing of a road through the laying down of a new layer of asphalt was an "alteration" sufficient to require that  [**15] the road be made accessible through curb cuts, </w:t>
      </w:r>
      <w:bookmarkStart w:id="4170" w:name="Bookmark_I52BM0920P9CYX0020000400"/>
      <w:bookmarkEnd w:id="4170"/>
      <w:r>
        <w:rPr>
          <w:rFonts w:ascii="Arial" w:eastAsia="Arial" w:hAnsi="Arial" w:cs="Arial"/>
          <w:color w:val="000000"/>
          <w:sz w:val="20"/>
        </w:rPr>
        <w:t>9 F.3d at 1073-74; it cannot be that the much more substantial change of a complete replacement of a set of stairs or an escalator is not an "alteration" unless it is accompanied by major structural modifications.</w:t>
      </w:r>
    </w:p>
    <w:p w14:paraId="1D063945" w14:textId="77777777" w:rsidR="00D041A2" w:rsidRDefault="00000000">
      <w:pPr>
        <w:pStyle w:val="Normal34"/>
        <w:widowControl w:val="0"/>
        <w:spacing w:before="200" w:line="260" w:lineRule="atLeast"/>
        <w:jc w:val="both"/>
      </w:pPr>
      <w:bookmarkStart w:id="4171" w:name="Bookmark_para_25_17"/>
      <w:bookmarkEnd w:id="4171"/>
      <w:r>
        <w:rPr>
          <w:rFonts w:ascii="Arial" w:eastAsia="Arial" w:hAnsi="Arial" w:cs="Arial"/>
          <w:color w:val="000000"/>
          <w:sz w:val="20"/>
        </w:rPr>
        <w:t xml:space="preserve">The DOT regulations confirm this conclusion. SEPTA must "mee[t] the requirements of [49 C.F.R. § 37] </w:t>
      </w:r>
      <w:r>
        <w:rPr>
          <w:rFonts w:ascii="Arial" w:eastAsia="Arial" w:hAnsi="Arial" w:cs="Arial"/>
          <w:i/>
          <w:color w:val="000000"/>
          <w:sz w:val="20"/>
        </w:rPr>
        <w:t>and</w:t>
      </w:r>
      <w:r>
        <w:rPr>
          <w:rFonts w:ascii="Arial" w:eastAsia="Arial" w:hAnsi="Arial" w:cs="Arial"/>
          <w:color w:val="000000"/>
          <w:sz w:val="20"/>
        </w:rPr>
        <w:t xml:space="preserve"> the requirements set forth in [the ADAAG]." 49 C.F.R. § 37.9(a) (emphasis added). This language indicates that public entities must fulfill both § 37 and the ADAAG requirements. The DOT did not envisage the ADAAG by themselves to be an exhaustive statement of regulatory requirements, but rather to be a supplement to the requirements imposed by § 37. </w:t>
      </w:r>
      <w:bookmarkStart w:id="4172" w:name="Bookmark_LNHNREFclscc9_21"/>
      <w:bookmarkEnd w:id="4172"/>
      <w:r>
        <w:rPr>
          <w:rFonts w:ascii="Arial" w:eastAsia="Arial" w:hAnsi="Arial" w:cs="Arial"/>
          <w:color w:val="000000"/>
          <w:sz w:val="20"/>
        </w:rPr>
        <w:t>Meeting the requirements of Section 4.1.6(1)(f) is not, then, necessarily sufficient to meet the requirements of § 37, and it would be illogical to read Section 4.1.6(1)(f) of the ADAAG to radically curtail the broad mandate of § 37.</w:t>
      </w:r>
    </w:p>
    <w:p w14:paraId="12CFE0AA" w14:textId="77777777" w:rsidR="00D041A2" w:rsidRDefault="00000000">
      <w:pPr>
        <w:pStyle w:val="Normal34"/>
        <w:widowControl w:val="0"/>
        <w:spacing w:before="200" w:line="260" w:lineRule="atLeast"/>
        <w:jc w:val="both"/>
      </w:pPr>
      <w:bookmarkStart w:id="4173" w:name="Bookmark_para_26_16"/>
      <w:bookmarkEnd w:id="4173"/>
      <w:r>
        <w:rPr>
          <w:rFonts w:ascii="Arial" w:eastAsia="Arial" w:hAnsi="Arial" w:cs="Arial"/>
          <w:color w:val="000000"/>
          <w:sz w:val="20"/>
        </w:rPr>
        <w:t>Given that the ADA is to be liberally construed to effectuate its purpose of eliminating discrimination, we will not adopt SEPTA's narrow interpretation of "alterations." In our view, the construction carried out by SEPTA in both the 15th Street Courtyard  [**16] and the City Hall Courtyard constituted "alterations" under the ADA, even though it did not entail "major structural alterations."</w:t>
      </w:r>
    </w:p>
    <w:p w14:paraId="4BEA9001" w14:textId="77777777" w:rsidR="00D041A2" w:rsidRDefault="00000000">
      <w:pPr>
        <w:pStyle w:val="Normal34"/>
        <w:widowControl w:val="0"/>
        <w:spacing w:before="240" w:line="260" w:lineRule="atLeast"/>
      </w:pPr>
      <w:r>
        <w:br/>
      </w:r>
      <w:r>
        <w:rPr>
          <w:rFonts w:ascii="Arial" w:eastAsia="Arial" w:hAnsi="Arial" w:cs="Arial"/>
          <w:b/>
          <w:color w:val="000000"/>
          <w:sz w:val="20"/>
        </w:rPr>
        <w:t>B. "Maximum extent feasible"</w:t>
      </w:r>
    </w:p>
    <w:p w14:paraId="00A363B0" w14:textId="77777777" w:rsidR="00D041A2" w:rsidRDefault="00000000">
      <w:pPr>
        <w:pStyle w:val="Normal34"/>
        <w:widowControl w:val="0"/>
        <w:spacing w:before="200" w:line="260" w:lineRule="atLeast"/>
        <w:jc w:val="both"/>
      </w:pPr>
      <w:bookmarkStart w:id="4174" w:name="Bookmark_para_27_16"/>
      <w:bookmarkEnd w:id="4174"/>
      <w:r>
        <w:rPr>
          <w:rFonts w:ascii="Arial" w:eastAsia="Arial" w:hAnsi="Arial" w:cs="Arial"/>
          <w:color w:val="000000"/>
          <w:sz w:val="20"/>
        </w:rPr>
        <w:t xml:space="preserve">The parties also differ over the meaning of the phrase "maximum extent feasible." Again, this term is defined in the relevant DOT regulations: </w:t>
      </w:r>
      <w:bookmarkStart w:id="4175" w:name="Bookmark_LNHNREFclscc10_19"/>
      <w:bookmarkEnd w:id="4175"/>
      <w:r>
        <w:rPr>
          <w:rFonts w:ascii="Arial" w:eastAsia="Arial" w:hAnsi="Arial" w:cs="Arial"/>
          <w:color w:val="000000"/>
          <w:sz w:val="20"/>
        </w:rPr>
        <w:t xml:space="preserve">"the phrase [']to the maximum extent feasible['] applies to the occasional case where the nature of an existing facility makes it impossible to comply fully with applicable accessibility standards ... ." 49 C.F.R. § 37.43(b). DIA argues that "feasible" refers only to technical feasibility, relying on this definition's lack of explicit reference to costs. SEPTA, in turn, argues that "feasible" must refer to economic feasibility, as well. </w:t>
      </w:r>
      <w:r>
        <w:rPr>
          <w:rFonts w:ascii="Arial" w:eastAsia="Arial" w:hAnsi="Arial" w:cs="Arial"/>
          <w:vertAlign w:val="superscript"/>
        </w:rPr>
        <w:footnoteReference w:customMarkFollows="1" w:id="206"/>
        <w:t>9</w:t>
      </w:r>
    </w:p>
    <w:p w14:paraId="17340AF1" w14:textId="77777777" w:rsidR="00D041A2" w:rsidRDefault="00000000">
      <w:pPr>
        <w:pStyle w:val="Normal34"/>
        <w:widowControl w:val="0"/>
        <w:spacing w:before="200" w:line="260" w:lineRule="atLeast"/>
        <w:jc w:val="both"/>
      </w:pPr>
      <w:bookmarkStart w:id="4177" w:name="Bookmark_para_28_15"/>
      <w:bookmarkEnd w:id="4177"/>
      <w:r>
        <w:rPr>
          <w:rFonts w:ascii="Arial" w:eastAsia="Arial" w:hAnsi="Arial" w:cs="Arial"/>
          <w:color w:val="000000"/>
          <w:sz w:val="20"/>
        </w:rPr>
        <w:t xml:space="preserve">We have never addressed the meaning of "maximum extent feasible" under the  [*95]  ADA as applied to  [**17] alterations in public transit facilities. SEPTA's position that "maximum extent feasible" must refer to economic as well as technical feasibility might be plausible if that language stood alone. However, the narrowness of </w:t>
      </w:r>
      <w:bookmarkStart w:id="4178" w:name="Bookmark_LNHNREFclscc11_17"/>
      <w:bookmarkEnd w:id="4178"/>
      <w:r>
        <w:rPr>
          <w:rFonts w:ascii="Arial" w:eastAsia="Arial" w:hAnsi="Arial" w:cs="Arial"/>
          <w:color w:val="000000"/>
          <w:sz w:val="20"/>
        </w:rPr>
        <w:t>the exception established in 49 C.F.R. § 37.43(b), which contemplates that the infeasibility of making the altered portion of a facility will be only "occasional" and will arise from "the nature of an existing facility"—not from the budget limitations of a transportation authority, which must be reckoned with at all times—weighs in favor of DIA's interpretation.</w:t>
      </w:r>
    </w:p>
    <w:p w14:paraId="42947547" w14:textId="77777777" w:rsidR="00D041A2" w:rsidRDefault="00000000">
      <w:pPr>
        <w:pStyle w:val="Normal34"/>
        <w:widowControl w:val="0"/>
        <w:spacing w:before="200" w:line="260" w:lineRule="atLeast"/>
        <w:jc w:val="both"/>
      </w:pPr>
      <w:bookmarkStart w:id="4179" w:name="Bookmark_para_29_14"/>
      <w:bookmarkEnd w:id="4179"/>
      <w:r>
        <w:rPr>
          <w:rFonts w:ascii="Arial" w:eastAsia="Arial" w:hAnsi="Arial" w:cs="Arial"/>
          <w:color w:val="000000"/>
          <w:sz w:val="20"/>
        </w:rPr>
        <w:t xml:space="preserve">In addition, </w:t>
      </w:r>
      <w:bookmarkStart w:id="4180" w:name="Bookmark_LNHNREFclscc12_16"/>
      <w:bookmarkEnd w:id="4180"/>
      <w:r>
        <w:rPr>
          <w:rFonts w:ascii="Arial" w:eastAsia="Arial" w:hAnsi="Arial" w:cs="Arial"/>
          <w:color w:val="000000"/>
          <w:sz w:val="20"/>
        </w:rPr>
        <w:t xml:space="preserve">both 42 U.S.C. § 12147(a) and 49 C.F.R. § 37.43 do contain provisions for the consideration of cost in making public transit facilities accessible, but only in </w:t>
      </w:r>
      <w:r>
        <w:rPr>
          <w:rFonts w:ascii="Arial" w:eastAsia="Arial" w:hAnsi="Arial" w:cs="Arial"/>
          <w:i/>
          <w:color w:val="000000"/>
          <w:sz w:val="20"/>
        </w:rPr>
        <w:t>different</w:t>
      </w:r>
      <w:r>
        <w:rPr>
          <w:rFonts w:ascii="Arial" w:eastAsia="Arial" w:hAnsi="Arial" w:cs="Arial"/>
          <w:color w:val="000000"/>
          <w:sz w:val="20"/>
        </w:rPr>
        <w:t xml:space="preserve"> sections establishing requirements for certain additional changes (e.g., to the bathrooms and drinking fountains) that must be made "to the maximum extent feasible" if an area that serves a "primary function" is altered. The costs for those additional changes should not be "disproportionate." </w:t>
      </w:r>
      <w:r>
        <w:rPr>
          <w:rFonts w:ascii="Arial" w:eastAsia="Arial" w:hAnsi="Arial" w:cs="Arial"/>
          <w:color w:val="000000"/>
          <w:sz w:val="20"/>
          <w:u w:val="single"/>
        </w:rPr>
        <w:t>See</w:t>
      </w:r>
      <w:r>
        <w:rPr>
          <w:rFonts w:ascii="Arial" w:eastAsia="Arial" w:hAnsi="Arial" w:cs="Arial"/>
          <w:color w:val="000000"/>
          <w:sz w:val="20"/>
        </w:rPr>
        <w:t xml:space="preserve"> 42 U.S.C. § 12147(a); 49 C.F.R. § 37.43(a)(2). </w:t>
      </w:r>
      <w:bookmarkStart w:id="4181" w:name="Bookmark_I52BM0920P9CYX0050000400"/>
      <w:bookmarkEnd w:id="4181"/>
      <w:r>
        <w:rPr>
          <w:rFonts w:ascii="Arial" w:eastAsia="Arial" w:hAnsi="Arial" w:cs="Arial"/>
          <w:color w:val="000000"/>
          <w:sz w:val="20"/>
        </w:rPr>
        <w:t xml:space="preserve">The sections addressing "alterations" in general contain no such language. The omission  [**18] of any reference to costs there, when they are mentioned in closely-related sections, indicates that the ADA and the DOT regulations define feasibility primarily with respect to technical, not purely economic, concerns. </w:t>
      </w:r>
      <w:r>
        <w:rPr>
          <w:rFonts w:ascii="Arial" w:eastAsia="Arial" w:hAnsi="Arial" w:cs="Arial"/>
          <w:vertAlign w:val="superscript"/>
        </w:rPr>
        <w:footnoteReference w:customMarkFollows="1" w:id="207"/>
        <w:t>10</w:t>
      </w:r>
    </w:p>
    <w:p w14:paraId="5463ECD6" w14:textId="77777777" w:rsidR="00D041A2" w:rsidRDefault="00000000">
      <w:pPr>
        <w:pStyle w:val="Normal34"/>
        <w:widowControl w:val="0"/>
        <w:spacing w:before="200" w:line="260" w:lineRule="atLeast"/>
        <w:jc w:val="both"/>
      </w:pPr>
      <w:bookmarkStart w:id="4185" w:name="Bookmark_para_30_14"/>
      <w:bookmarkStart w:id="4186" w:name="Bookmark_I13MHHP6DVT0007952T001XR"/>
      <w:bookmarkStart w:id="4187" w:name="Bookmark_I52BM0930P9D0D0020000400"/>
      <w:bookmarkEnd w:id="4185"/>
      <w:bookmarkEnd w:id="4186"/>
      <w:bookmarkEnd w:id="4187"/>
      <w:r>
        <w:rPr>
          <w:rFonts w:ascii="Arial" w:eastAsia="Arial" w:hAnsi="Arial" w:cs="Arial"/>
          <w:color w:val="000000"/>
          <w:sz w:val="20"/>
        </w:rPr>
        <w:t xml:space="preserve">The Second Circuit recently reached the same conclusion with respect to identical language in Title III of the ADA and the relevant federal regulations (specifically, 42 U.S.C. § 12183 and 28 C.F.R. § 36.402(c)). Focusing on the language of the  [**19] statute, it held that </w:t>
      </w:r>
      <w:bookmarkStart w:id="4188" w:name="Bookmark_LNHNREFclscc14_14"/>
      <w:bookmarkEnd w:id="4188"/>
      <w:r>
        <w:rPr>
          <w:rFonts w:ascii="Arial" w:eastAsia="Arial" w:hAnsi="Arial" w:cs="Arial"/>
          <w:color w:val="000000"/>
          <w:sz w:val="20"/>
        </w:rPr>
        <w:t xml:space="preserve">the ADA's "'maximum extent feasible' requirement does not ask the court to make a judgment involving costs and benefits ... . The statute and regulations require that such facilities be made accessible even if the cost of doing so—financial or otherwise—is high." </w:t>
      </w:r>
      <w:bookmarkStart w:id="4189" w:name="Bookmark_I52BM0930P9D0D0010000400"/>
      <w:bookmarkEnd w:id="4189"/>
      <w:r>
        <w:rPr>
          <w:rFonts w:ascii="Arial" w:eastAsia="Arial" w:hAnsi="Arial" w:cs="Arial"/>
          <w:color w:val="000000"/>
          <w:sz w:val="20"/>
          <w:u w:val="single"/>
        </w:rPr>
        <w:t>Roberts v. Royal Atlantic Corp</w:t>
      </w:r>
      <w:r>
        <w:rPr>
          <w:rFonts w:ascii="Arial" w:eastAsia="Arial" w:hAnsi="Arial" w:cs="Arial"/>
          <w:color w:val="000000"/>
          <w:sz w:val="20"/>
        </w:rPr>
        <w:t xml:space="preserve">., 542 F.3d 363, 371 (2d Cir. 2008). The reasoning of </w:t>
      </w:r>
      <w:r>
        <w:rPr>
          <w:rFonts w:ascii="Arial" w:eastAsia="Arial" w:hAnsi="Arial" w:cs="Arial"/>
          <w:color w:val="000000"/>
          <w:sz w:val="20"/>
          <w:u w:val="single"/>
        </w:rPr>
        <w:t>Roberts</w:t>
      </w:r>
      <w:r>
        <w:rPr>
          <w:rFonts w:ascii="Arial" w:eastAsia="Arial" w:hAnsi="Arial" w:cs="Arial"/>
          <w:color w:val="000000"/>
          <w:sz w:val="20"/>
        </w:rPr>
        <w:t xml:space="preserve"> is sound and applicable in the Title II context as well.</w:t>
      </w:r>
    </w:p>
    <w:p w14:paraId="1881AD34" w14:textId="77777777" w:rsidR="00D041A2" w:rsidRDefault="00000000">
      <w:pPr>
        <w:pStyle w:val="Normal34"/>
        <w:widowControl w:val="0"/>
        <w:spacing w:before="200" w:line="260" w:lineRule="atLeast"/>
        <w:jc w:val="both"/>
      </w:pPr>
      <w:bookmarkStart w:id="4190" w:name="Bookmark_para_31_13"/>
      <w:bookmarkEnd w:id="4190"/>
      <w:r>
        <w:rPr>
          <w:rFonts w:ascii="Arial" w:eastAsia="Arial" w:hAnsi="Arial" w:cs="Arial"/>
          <w:color w:val="000000"/>
          <w:sz w:val="20"/>
        </w:rPr>
        <w:t>SEPTA also makes a more specific argument concerning the meaning of "maximum extent feasible" which relies on the interpretive appendix to 49 C.F.R. § 37. Appendix D states:</w:t>
      </w:r>
    </w:p>
    <w:p w14:paraId="41DE671A" w14:textId="77777777" w:rsidR="00D041A2" w:rsidRDefault="00000000">
      <w:pPr>
        <w:pStyle w:val="Normal34"/>
        <w:widowControl w:val="0"/>
        <w:spacing w:line="260" w:lineRule="atLeast"/>
        <w:ind w:left="400"/>
        <w:jc w:val="both"/>
      </w:pPr>
      <w:bookmarkStart w:id="4191" w:name="Bookmark_para_32_13"/>
      <w:bookmarkStart w:id="4192" w:name="Bookmark_LNHNREFclscc15_13"/>
      <w:bookmarkEnd w:id="4191"/>
      <w:bookmarkEnd w:id="4192"/>
      <w:r>
        <w:rPr>
          <w:rFonts w:ascii="Arial" w:eastAsia="Arial" w:hAnsi="Arial" w:cs="Arial"/>
          <w:color w:val="000000"/>
          <w:sz w:val="20"/>
        </w:rPr>
        <w:t>The term 'to the maximum extent feasible' should be construed as not requiring entities to make building alterations that have little likelihood of being accomplished without removing or altering a load-bearing structural member unless the load-bearing structural member is otherwise being removed or altered as part of the alteration.</w:t>
      </w:r>
    </w:p>
    <w:p w14:paraId="0C2627AA" w14:textId="77777777" w:rsidR="00D041A2" w:rsidRDefault="00000000">
      <w:pPr>
        <w:pStyle w:val="Normal34"/>
        <w:widowControl w:val="0"/>
        <w:spacing w:before="200" w:line="260" w:lineRule="atLeast"/>
        <w:jc w:val="both"/>
      </w:pPr>
      <w:r>
        <w:rPr>
          <w:rFonts w:ascii="Arial" w:eastAsia="Arial" w:hAnsi="Arial" w:cs="Arial"/>
          <w:color w:val="000000"/>
          <w:sz w:val="20"/>
        </w:rPr>
        <w:t>49 C.F.R. Pt. 37 App. D. SEPTA interprets this as a limitation designed to prevent excessive expenditures on accessibility measures. It notes that it did not remove or alter any load-bearing structural members in the course of its work in either the 15th Street  [**20] Courtyard or the City Hall Courtyard. Therefore, it  [*96]  argues, it was not "feasible" to install elevators in either location.</w:t>
      </w:r>
    </w:p>
    <w:p w14:paraId="2ECC68B8" w14:textId="77777777" w:rsidR="00D041A2" w:rsidRDefault="00000000">
      <w:pPr>
        <w:pStyle w:val="Normal34"/>
        <w:widowControl w:val="0"/>
        <w:spacing w:before="200" w:line="260" w:lineRule="atLeast"/>
        <w:jc w:val="both"/>
      </w:pPr>
      <w:bookmarkStart w:id="4193" w:name="Bookmark_para_33_13"/>
      <w:bookmarkEnd w:id="4193"/>
      <w:r>
        <w:rPr>
          <w:rFonts w:ascii="Arial" w:eastAsia="Arial" w:hAnsi="Arial" w:cs="Arial"/>
          <w:color w:val="000000"/>
          <w:sz w:val="20"/>
        </w:rPr>
        <w:t xml:space="preserve">This reading, too, is unpersuasive. The regulations provide that a public entity need not make altered portions of a facility readily accessible if doing so would require removing or altering a load-bearing structural member (unless the movement or alteration is called for by the alterations anyway). They do not state, as SEPTA argues, the converse: that the altered portions of a facility </w:t>
      </w:r>
      <w:r>
        <w:rPr>
          <w:rFonts w:ascii="Arial" w:eastAsia="Arial" w:hAnsi="Arial" w:cs="Arial"/>
          <w:i/>
          <w:color w:val="000000"/>
          <w:sz w:val="20"/>
        </w:rPr>
        <w:t>only</w:t>
      </w:r>
      <w:r>
        <w:rPr>
          <w:rFonts w:ascii="Arial" w:eastAsia="Arial" w:hAnsi="Arial" w:cs="Arial"/>
          <w:color w:val="000000"/>
          <w:sz w:val="20"/>
        </w:rPr>
        <w:t xml:space="preserve"> need be made accessible if the alterations in question involve the drastic change of moving or altering a load-bearing member. And as SEPTA has not taken the position that installing an elevator in either location would require the removal or alteration of a load-bearing member, this provision of Appendix D does not apply on the present record.</w:t>
      </w:r>
    </w:p>
    <w:p w14:paraId="72DA2B04" w14:textId="77777777" w:rsidR="00D041A2" w:rsidRDefault="00000000">
      <w:pPr>
        <w:pStyle w:val="Normal34"/>
        <w:widowControl w:val="0"/>
        <w:spacing w:before="200" w:line="260" w:lineRule="atLeast"/>
        <w:jc w:val="both"/>
      </w:pPr>
      <w:bookmarkStart w:id="4194" w:name="Bookmark_para_34_13"/>
      <w:bookmarkEnd w:id="4194"/>
      <w:r>
        <w:rPr>
          <w:rFonts w:ascii="Arial" w:eastAsia="Arial" w:hAnsi="Arial" w:cs="Arial"/>
          <w:color w:val="000000"/>
          <w:sz w:val="20"/>
        </w:rPr>
        <w:t>Therefore, SEPTA may not refuse to install elevators at the 15th Street Courtyard and the City Hall Courtyard solely because to do so would, allegedly, force SEPTA to incur significant costs.</w:t>
      </w:r>
    </w:p>
    <w:p w14:paraId="36B11FEE" w14:textId="77777777" w:rsidR="00D041A2" w:rsidRDefault="00000000">
      <w:pPr>
        <w:pStyle w:val="Normal34"/>
        <w:widowControl w:val="0"/>
        <w:spacing w:before="240" w:line="260" w:lineRule="atLeast"/>
      </w:pPr>
      <w:r>
        <w:br/>
      </w:r>
      <w:r>
        <w:rPr>
          <w:rFonts w:ascii="Arial" w:eastAsia="Arial" w:hAnsi="Arial" w:cs="Arial"/>
          <w:b/>
          <w:color w:val="000000"/>
          <w:sz w:val="20"/>
        </w:rPr>
        <w:t>C. "Readily accessible"</w:t>
      </w:r>
    </w:p>
    <w:p w14:paraId="4422C175" w14:textId="77777777" w:rsidR="00D041A2" w:rsidRDefault="00000000">
      <w:pPr>
        <w:pStyle w:val="Normal34"/>
        <w:widowControl w:val="0"/>
        <w:spacing w:before="200" w:line="260" w:lineRule="atLeast"/>
        <w:jc w:val="both"/>
      </w:pPr>
      <w:bookmarkStart w:id="4195" w:name="Bookmark_para_35_13"/>
      <w:bookmarkEnd w:id="4195"/>
      <w:r>
        <w:rPr>
          <w:rFonts w:ascii="Arial" w:eastAsia="Arial" w:hAnsi="Arial" w:cs="Arial"/>
          <w:color w:val="000000"/>
          <w:sz w:val="20"/>
        </w:rPr>
        <w:t xml:space="preserve">The parties also dispute the meaning of "readily accessible." SEPTA argues that the 15th Street Courtyard is a part of Suburban  [**21] Station, not of 15th Street Station, and thus, since the 15th Street Courtyard may be reached from street level by individuals in wheelchairs via one of the Suburban Station elevators, it is already "readily accessible." </w:t>
      </w:r>
      <w:r>
        <w:rPr>
          <w:rFonts w:ascii="Arial" w:eastAsia="Arial" w:hAnsi="Arial" w:cs="Arial"/>
          <w:vertAlign w:val="superscript"/>
        </w:rPr>
        <w:footnoteReference w:customMarkFollows="1" w:id="208"/>
        <w:t>11</w:t>
      </w:r>
      <w:r>
        <w:rPr>
          <w:rFonts w:ascii="Arial" w:eastAsia="Arial" w:hAnsi="Arial" w:cs="Arial"/>
          <w:color w:val="000000"/>
          <w:sz w:val="20"/>
        </w:rPr>
        <w:t xml:space="preserve"> DIA argues that the 15th Street Courtyard is actually a part of 15th Street Station, and since the facility which it is a part of is not wheelchair-accessible, neither is the Courtyard. In addition, DIA argues that, even if the 15th Street Courtyard is part of Suburban Station, it is still not "readily accessible" via Suburban Station.</w:t>
      </w:r>
    </w:p>
    <w:p w14:paraId="046470BC" w14:textId="77777777" w:rsidR="00D041A2" w:rsidRDefault="00000000">
      <w:pPr>
        <w:pStyle w:val="Normal34"/>
        <w:widowControl w:val="0"/>
        <w:spacing w:before="200" w:line="260" w:lineRule="atLeast"/>
        <w:jc w:val="both"/>
      </w:pPr>
      <w:bookmarkStart w:id="4197" w:name="Bookmark_para_36_12"/>
      <w:bookmarkStart w:id="4198" w:name="Bookmark_I52BM0930P9D0D0040000400"/>
      <w:bookmarkEnd w:id="4197"/>
      <w:bookmarkEnd w:id="4198"/>
      <w:r>
        <w:rPr>
          <w:rFonts w:ascii="Arial" w:eastAsia="Arial" w:hAnsi="Arial" w:cs="Arial"/>
          <w:color w:val="000000"/>
          <w:sz w:val="20"/>
        </w:rPr>
        <w:t xml:space="preserve">The District Court did not make a finding as to which station the 15th Street Courtyard is a part of. </w:t>
      </w:r>
      <w:r>
        <w:rPr>
          <w:rFonts w:ascii="Arial" w:eastAsia="Arial" w:hAnsi="Arial" w:cs="Arial"/>
          <w:vertAlign w:val="superscript"/>
        </w:rPr>
        <w:footnoteReference w:customMarkFollows="1" w:id="209"/>
        <w:t>12</w:t>
      </w:r>
      <w:r>
        <w:rPr>
          <w:rFonts w:ascii="Arial" w:eastAsia="Arial" w:hAnsi="Arial" w:cs="Arial"/>
          <w:color w:val="000000"/>
          <w:sz w:val="20"/>
        </w:rPr>
        <w:t xml:space="preserve"> Like the District Court, we need not address the question of which facility the 15th Street Courtyard belongs to because, either way, SEPTA must make it accessible.</w:t>
      </w:r>
    </w:p>
    <w:p w14:paraId="1C459DDD" w14:textId="77777777" w:rsidR="00D041A2" w:rsidRDefault="00000000">
      <w:pPr>
        <w:pStyle w:val="Normal34"/>
        <w:widowControl w:val="0"/>
        <w:spacing w:before="200" w:line="260" w:lineRule="atLeast"/>
        <w:jc w:val="both"/>
      </w:pPr>
      <w:bookmarkStart w:id="4201" w:name="Bookmark_para_37_11"/>
      <w:bookmarkEnd w:id="4201"/>
      <w:r>
        <w:rPr>
          <w:rFonts w:ascii="Arial" w:eastAsia="Arial" w:hAnsi="Arial" w:cs="Arial"/>
          <w:color w:val="000000"/>
          <w:sz w:val="20"/>
        </w:rPr>
        <w:t xml:space="preserve">If we consider  [**22] the 15th Street Courtyard Entrance to be part of Suburban Station, as SEPTA contends, it is still not "readily accessible." </w:t>
      </w:r>
      <w:bookmarkStart w:id="4202" w:name="Bookmark_LNHNREFclscc16_10"/>
      <w:bookmarkEnd w:id="4202"/>
      <w:r>
        <w:rPr>
          <w:rFonts w:ascii="Arial" w:eastAsia="Arial" w:hAnsi="Arial" w:cs="Arial"/>
          <w:color w:val="000000"/>
          <w:sz w:val="20"/>
        </w:rPr>
        <w:t xml:space="preserve">Pursuant to ADAAG § 10.1, all transportation facilities must comply with the applicable provisions of §§ 4.1 through 4.35, §§ 5 through 9, and the applicable provisions of § 10 of the ADAAG. Through a circuitous regulatory route, </w:t>
      </w:r>
      <w:r>
        <w:rPr>
          <w:rFonts w:ascii="Arial" w:eastAsia="Arial" w:hAnsi="Arial" w:cs="Arial"/>
          <w:vertAlign w:val="superscript"/>
        </w:rPr>
        <w:footnoteReference w:customMarkFollows="1" w:id="210"/>
        <w:t>13</w:t>
      </w:r>
      <w:r>
        <w:rPr>
          <w:rFonts w:ascii="Arial" w:eastAsia="Arial" w:hAnsi="Arial" w:cs="Arial"/>
          <w:color w:val="000000"/>
          <w:sz w:val="20"/>
        </w:rPr>
        <w:t xml:space="preserve"> the "new construction" provisions for transportation facilities, found at ADAAG § 10.3.1, permit a public transportation provider to avoid making an altered entrance accessible if at least one entrance to the affected station is already accessible. ADAAG § 10.3.1(2). However, "[i]f different entrances to a station serve different  [*97]  transportation fixed routes or groups of fixed routes, at least one entrance serving each group or route shall [be made accessible]." </w:t>
      </w:r>
      <w:r>
        <w:rPr>
          <w:rFonts w:ascii="Arial" w:eastAsia="Arial" w:hAnsi="Arial" w:cs="Arial"/>
          <w:color w:val="000000"/>
          <w:sz w:val="20"/>
          <w:u w:val="single"/>
        </w:rPr>
        <w:t>Id</w:t>
      </w:r>
      <w:r>
        <w:rPr>
          <w:rFonts w:ascii="Arial" w:eastAsia="Arial" w:hAnsi="Arial" w:cs="Arial"/>
          <w:color w:val="000000"/>
          <w:sz w:val="20"/>
        </w:rPr>
        <w:t xml:space="preserve">. Here, there is no accessible entrance that serves the 15th Street Station or the Market-Frankford subway line—a different route than those serviced by Suburban Station, which serves commuter rail lines. Thus, even assuming that the 15th Street Courtyard Entrance is a part of Suburban Station, it nevertheless provides access to a different fixed route and therefore must be  [**23] made accessible. If, on the other hand, the entrance at issue is a part of 15th Street Station, the alterations performed by SEPTA require that the entrance be made readily accessible since it is undisputed that 15th Street Station is not handicapped accessible. </w:t>
      </w:r>
      <w:r>
        <w:rPr>
          <w:rFonts w:ascii="Arial" w:eastAsia="Arial" w:hAnsi="Arial" w:cs="Arial"/>
          <w:vertAlign w:val="superscript"/>
        </w:rPr>
        <w:footnoteReference w:customMarkFollows="1" w:id="211"/>
        <w:t>14</w:t>
      </w:r>
    </w:p>
    <w:p w14:paraId="35C5D84A" w14:textId="77777777" w:rsidR="00D041A2" w:rsidRDefault="00000000">
      <w:pPr>
        <w:pStyle w:val="Normal34"/>
        <w:widowControl w:val="0"/>
        <w:spacing w:before="200" w:line="260" w:lineRule="atLeast"/>
        <w:jc w:val="both"/>
      </w:pPr>
      <w:bookmarkStart w:id="4207" w:name="Bookmark_para_38_11"/>
      <w:bookmarkEnd w:id="4207"/>
      <w:r>
        <w:rPr>
          <w:rFonts w:ascii="Arial" w:eastAsia="Arial" w:hAnsi="Arial" w:cs="Arial"/>
          <w:color w:val="000000"/>
          <w:sz w:val="20"/>
        </w:rPr>
        <w:t>Because neither the 15th Street Courtyard or the City Hall Courtyard is "readily accessible," SEPTA violated Title II of the ADA and the RA by not making those portions of its facilities accessible when it undertook to make alterations at those locations.</w:t>
      </w:r>
    </w:p>
    <w:p w14:paraId="020760C9" w14:textId="77777777" w:rsidR="00D041A2" w:rsidRDefault="00000000">
      <w:pPr>
        <w:pStyle w:val="Normal34"/>
        <w:widowControl w:val="0"/>
        <w:spacing w:before="240" w:line="260" w:lineRule="atLeast"/>
      </w:pPr>
      <w:r>
        <w:br/>
      </w:r>
      <w:r>
        <w:rPr>
          <w:rFonts w:ascii="Arial" w:eastAsia="Arial" w:hAnsi="Arial" w:cs="Arial"/>
          <w:b/>
          <w:color w:val="000000"/>
          <w:sz w:val="20"/>
        </w:rPr>
        <w:t>D. The City as necessary party</w:t>
      </w:r>
    </w:p>
    <w:p w14:paraId="7018A096" w14:textId="77777777" w:rsidR="00D041A2" w:rsidRDefault="00000000">
      <w:pPr>
        <w:pStyle w:val="Normal34"/>
        <w:widowControl w:val="0"/>
        <w:spacing w:before="200" w:line="260" w:lineRule="atLeast"/>
        <w:jc w:val="both"/>
      </w:pPr>
      <w:bookmarkStart w:id="4208" w:name="Bookmark_para_39_11"/>
      <w:bookmarkStart w:id="4209" w:name="Bookmark_I52BM0940P9D0W0010000400"/>
      <w:bookmarkEnd w:id="4208"/>
      <w:bookmarkEnd w:id="4209"/>
      <w:r>
        <w:rPr>
          <w:rFonts w:ascii="Arial" w:eastAsia="Arial" w:hAnsi="Arial" w:cs="Arial"/>
          <w:color w:val="000000"/>
          <w:sz w:val="20"/>
        </w:rPr>
        <w:t xml:space="preserve">Finally, SEPTA argues that, because it cannot install an elevator at City Hall Courtyard without the agreement of the City, the City is a necessary party to this suit. We may consider this  [**25] issue despite its not being raised in the District Court, and we conclude that the City is not a necessary party. </w:t>
      </w:r>
      <w:bookmarkStart w:id="4210" w:name="Bookmark_I52BM0930P9D0D0050000400"/>
      <w:bookmarkEnd w:id="4210"/>
      <w:r>
        <w:rPr>
          <w:rFonts w:ascii="Arial" w:eastAsia="Arial" w:hAnsi="Arial" w:cs="Arial"/>
          <w:color w:val="000000"/>
          <w:sz w:val="20"/>
          <w:u w:val="single"/>
        </w:rPr>
        <w:t>Finberg v. Sullivan</w:t>
      </w:r>
      <w:r>
        <w:rPr>
          <w:rFonts w:ascii="Arial" w:eastAsia="Arial" w:hAnsi="Arial" w:cs="Arial"/>
          <w:color w:val="000000"/>
          <w:sz w:val="20"/>
        </w:rPr>
        <w:t>, 634 F.2d 50, 55 (3d Cir. 1980).</w:t>
      </w:r>
      <w:bookmarkStart w:id="4211" w:name="Bookmark_LNHNREFclscc19_6"/>
      <w:bookmarkEnd w:id="4211"/>
      <w:r>
        <w:rPr>
          <w:rFonts w:ascii="Arial" w:eastAsia="Arial" w:hAnsi="Arial" w:cs="Arial"/>
          <w:color w:val="000000"/>
          <w:sz w:val="20"/>
        </w:rPr>
        <w:t xml:space="preserve"> Under the Federal Rules, a party is "necessary" if, in its absence, (1) the court could not accord complete relief among the existing parties; or (2) the absent party claims an interest relating to the subject matter of the action so that disposing of the action in his absence would (i) impair its ability to adequately protect its interest, or (ii) leave an existing party susceptible to a substantial risk of incurring inconsistent obligations. </w:t>
      </w:r>
      <w:bookmarkStart w:id="4212" w:name="Bookmark_I52BM0940P9D0W0030000400"/>
      <w:bookmarkEnd w:id="4212"/>
      <w:r>
        <w:rPr>
          <w:rFonts w:ascii="Arial" w:eastAsia="Arial" w:hAnsi="Arial" w:cs="Arial"/>
          <w:color w:val="000000"/>
          <w:sz w:val="20"/>
        </w:rPr>
        <w:t xml:space="preserve">Fed. R. Civ. P. 19(a). SEPTA bears the burden of showing why an absent party should be joined under Rule 19. </w:t>
      </w:r>
      <w:bookmarkStart w:id="4213" w:name="Bookmark_I52BM0940P9D0W0020000400"/>
      <w:bookmarkEnd w:id="4213"/>
      <w:r>
        <w:rPr>
          <w:rFonts w:ascii="Arial" w:eastAsia="Arial" w:hAnsi="Arial" w:cs="Arial"/>
          <w:color w:val="000000"/>
          <w:sz w:val="20"/>
          <w:u w:val="single"/>
        </w:rPr>
        <w:t>Pittsburgh Logistics Sys., Inc. v. C.R. Eng., Inc</w:t>
      </w:r>
      <w:r>
        <w:rPr>
          <w:rFonts w:ascii="Arial" w:eastAsia="Arial" w:hAnsi="Arial" w:cs="Arial"/>
          <w:color w:val="000000"/>
          <w:sz w:val="20"/>
        </w:rPr>
        <w:t xml:space="preserve">., 669 F. Supp. 2d 613, 618 (W.D. Pa. 2009). DIA claims SEPTA's failure to assert this defense at an earlier stage of the proceedings renders it unfit for consideration on appeal. </w:t>
      </w:r>
      <w:r>
        <w:rPr>
          <w:rFonts w:ascii="Arial" w:eastAsia="Arial" w:hAnsi="Arial" w:cs="Arial"/>
          <w:color w:val="000000"/>
          <w:sz w:val="20"/>
          <w:u w:val="single"/>
        </w:rPr>
        <w:t>See</w:t>
      </w:r>
      <w:r>
        <w:rPr>
          <w:rFonts w:ascii="Arial" w:eastAsia="Arial" w:hAnsi="Arial" w:cs="Arial"/>
          <w:color w:val="000000"/>
          <w:sz w:val="20"/>
        </w:rPr>
        <w:t xml:space="preserve"> Fed. R. Civ. P. 12(b)(7) (</w:t>
      </w:r>
      <w:bookmarkStart w:id="4214" w:name="Bookmark_LNHNREFclscc20_5"/>
      <w:bookmarkEnd w:id="4214"/>
      <w:r>
        <w:rPr>
          <w:rFonts w:ascii="Arial" w:eastAsia="Arial" w:hAnsi="Arial" w:cs="Arial"/>
          <w:color w:val="000000"/>
          <w:sz w:val="20"/>
        </w:rPr>
        <w:t>"Every defense to a claim for relief in any pleading must be asserted in the responsive pleading if one is required."). SEPTA acknowledges its failure to include this defense in any prior motion but nevertheless urges  [**26] us to conduct an independent analysis.</w:t>
      </w:r>
    </w:p>
    <w:p w14:paraId="7BD582B7" w14:textId="77777777" w:rsidR="00D041A2" w:rsidRDefault="00000000">
      <w:pPr>
        <w:pStyle w:val="Normal34"/>
        <w:widowControl w:val="0"/>
        <w:spacing w:before="200" w:line="260" w:lineRule="atLeast"/>
        <w:jc w:val="both"/>
      </w:pPr>
      <w:bookmarkStart w:id="4215" w:name="Bookmark_para_40_11"/>
      <w:bookmarkStart w:id="4216" w:name="Bookmark_I52BM0940P9D0W0050000400"/>
      <w:bookmarkStart w:id="4217" w:name="Bookmark_I52BM0950P9D190020000400"/>
      <w:bookmarkEnd w:id="4215"/>
      <w:bookmarkEnd w:id="4216"/>
      <w:bookmarkEnd w:id="4217"/>
      <w:r>
        <w:rPr>
          <w:rFonts w:ascii="Arial" w:eastAsia="Arial" w:hAnsi="Arial" w:cs="Arial"/>
          <w:color w:val="000000"/>
          <w:sz w:val="20"/>
        </w:rPr>
        <w:t xml:space="preserve">While the law permits us to indulge SEPTA's overtures and consider this Rule 19 issue for the first time on appeal, the parties' lengthy history of silence on this issue weighs against adopting SEPTA's position. We have written that </w:t>
      </w:r>
      <w:bookmarkStart w:id="4218" w:name="Bookmark_LNHNREFclscc21_3"/>
      <w:bookmarkEnd w:id="4218"/>
      <w:r>
        <w:rPr>
          <w:rFonts w:ascii="Arial" w:eastAsia="Arial" w:hAnsi="Arial" w:cs="Arial"/>
          <w:color w:val="000000"/>
          <w:sz w:val="20"/>
        </w:rPr>
        <w:t xml:space="preserve">Supreme Court jurisprudence compels us to "take steps to protect an absent party through consideration of the Rule 19 issue, even  [*98]  when that issue was not presented to the district court nor raised by the parties to the appeal." </w:t>
      </w:r>
      <w:bookmarkStart w:id="4219" w:name="Bookmark_I52BM0940P9D0W0040000400"/>
      <w:bookmarkEnd w:id="4219"/>
      <w:r>
        <w:rPr>
          <w:rFonts w:ascii="Arial" w:eastAsia="Arial" w:hAnsi="Arial" w:cs="Arial"/>
          <w:color w:val="000000"/>
          <w:sz w:val="20"/>
          <w:u w:val="single"/>
        </w:rPr>
        <w:t>GTE Sylvania, Inc. v. Consumer Product Safety Comm'n</w:t>
      </w:r>
      <w:r>
        <w:rPr>
          <w:rFonts w:ascii="Arial" w:eastAsia="Arial" w:hAnsi="Arial" w:cs="Arial"/>
          <w:color w:val="000000"/>
          <w:sz w:val="20"/>
        </w:rPr>
        <w:t xml:space="preserve">, 598 F.2d 790, 798 (3d Cir. 1979). However, the opinion from which we gleaned this obligation evinced genuine concern only for protecting an absent party "who of course had no opportunity to plead and prove his interest below." </w:t>
      </w:r>
      <w:bookmarkStart w:id="4220" w:name="Bookmark_I52BM0950P9D190010000400"/>
      <w:bookmarkEnd w:id="4220"/>
      <w:r>
        <w:rPr>
          <w:rFonts w:ascii="Arial" w:eastAsia="Arial" w:hAnsi="Arial" w:cs="Arial"/>
          <w:color w:val="000000"/>
          <w:sz w:val="20"/>
          <w:u w:val="single"/>
        </w:rPr>
        <w:t>Provident Tradesmens Bank &amp; Trust Co. v. Patterson</w:t>
      </w:r>
      <w:r>
        <w:rPr>
          <w:rFonts w:ascii="Arial" w:eastAsia="Arial" w:hAnsi="Arial" w:cs="Arial"/>
          <w:color w:val="000000"/>
          <w:sz w:val="20"/>
        </w:rPr>
        <w:t>, 390 U.S. 102, 111, 88 S. Ct. 733, 19 L. Ed. 2d 936 (1968).</w:t>
      </w:r>
    </w:p>
    <w:p w14:paraId="4904B0B9" w14:textId="77777777" w:rsidR="00D041A2" w:rsidRDefault="00000000">
      <w:pPr>
        <w:pStyle w:val="Normal34"/>
        <w:widowControl w:val="0"/>
        <w:spacing w:before="200" w:line="260" w:lineRule="atLeast"/>
        <w:jc w:val="both"/>
      </w:pPr>
      <w:bookmarkStart w:id="4221" w:name="Bookmark_para_41_10"/>
      <w:bookmarkEnd w:id="4221"/>
      <w:r>
        <w:rPr>
          <w:rFonts w:ascii="Arial" w:eastAsia="Arial" w:hAnsi="Arial" w:cs="Arial"/>
          <w:color w:val="000000"/>
          <w:sz w:val="20"/>
        </w:rPr>
        <w:t xml:space="preserve">SEPTA argues that upholding the grant of summary judgment will, as a practical matter, impair the City's ability to protect its interest in City Hall Courtyard. </w:t>
      </w:r>
      <w:r>
        <w:rPr>
          <w:rFonts w:ascii="Arial" w:eastAsia="Arial" w:hAnsi="Arial" w:cs="Arial"/>
          <w:color w:val="000000"/>
          <w:sz w:val="20"/>
          <w:u w:val="single"/>
        </w:rPr>
        <w:t>See</w:t>
      </w:r>
      <w:r>
        <w:rPr>
          <w:rFonts w:ascii="Arial" w:eastAsia="Arial" w:hAnsi="Arial" w:cs="Arial"/>
          <w:color w:val="000000"/>
          <w:sz w:val="20"/>
        </w:rPr>
        <w:t xml:space="preserve"> Fed. R. Civ. P. 19(a)(1)(B)(i). However, though the City was a defendant in this case and was aware that it implicated access by individuals with disabilities to the City Hall Courtyard,  [**27] it chose to settle with DIA. Although it surely must be aware of DIA's current position with respect to the necessity of an elevator in City Hall Courtyard, it has not moved to intervene, nor offered any other objections which we are aware of. That neither the City nor SEPTA saw fit to raise this issue at an earlier stage of the proceedings militates against a finding that the City's ability to protect its interest would be impaired were it not joined as a party. The City's normal procedures in dealing with SEPTA construction projects that impinge upon City property, such as the process of submitting plans and obtaining required work permits, should be sufficient to protect its interests here.</w:t>
      </w:r>
    </w:p>
    <w:p w14:paraId="53FC87FE" w14:textId="77777777" w:rsidR="00D041A2" w:rsidRDefault="00000000">
      <w:pPr>
        <w:pStyle w:val="Normal34"/>
        <w:widowControl w:val="0"/>
        <w:spacing w:before="200" w:line="260" w:lineRule="atLeast"/>
        <w:jc w:val="both"/>
      </w:pPr>
      <w:bookmarkStart w:id="4222" w:name="Bookmark_para_42_9"/>
      <w:bookmarkStart w:id="4223" w:name="Bookmark_I52BM0950P9D190040000400"/>
      <w:bookmarkEnd w:id="4222"/>
      <w:bookmarkEnd w:id="4223"/>
      <w:r>
        <w:rPr>
          <w:rFonts w:ascii="Arial" w:eastAsia="Arial" w:hAnsi="Arial" w:cs="Arial"/>
          <w:color w:val="000000"/>
          <w:sz w:val="20"/>
        </w:rPr>
        <w:t xml:space="preserve">SEPTA also contends that any relief granted by the court to DIA would be "hollow" in the absence of the City's joinder, </w:t>
      </w:r>
      <w:r>
        <w:rPr>
          <w:rFonts w:ascii="Arial" w:eastAsia="Arial" w:hAnsi="Arial" w:cs="Arial"/>
          <w:color w:val="000000"/>
          <w:sz w:val="20"/>
          <w:u w:val="single"/>
        </w:rPr>
        <w:t xml:space="preserve">see </w:t>
      </w:r>
      <w:bookmarkStart w:id="4224" w:name="Bookmark_I52BM0950P9D190030000400"/>
      <w:bookmarkEnd w:id="4224"/>
      <w:r>
        <w:rPr>
          <w:rFonts w:ascii="Arial" w:eastAsia="Arial" w:hAnsi="Arial" w:cs="Arial"/>
          <w:color w:val="000000"/>
          <w:sz w:val="20"/>
          <w:u w:val="single"/>
        </w:rPr>
        <w:t>Gen. Refractories Co. v. First State Ins. Co</w:t>
      </w:r>
      <w:r>
        <w:rPr>
          <w:rFonts w:ascii="Arial" w:eastAsia="Arial" w:hAnsi="Arial" w:cs="Arial"/>
          <w:color w:val="000000"/>
          <w:sz w:val="20"/>
        </w:rPr>
        <w:t>., 500 F.3d 306, 315 (3d Cir. 2007). Yet it does not actually claim that the City would refuse to permit construction at City Hall Courtyard, merely that the City's ownership "would legitimately affect SEPTA's ability to fulfill its obligations under the order." Although this is very likely true, it would not render a judgment in  [**28] favor of DIA "hollow"; it simply means that SEPTA will have to work with the City in complying with our decision, something the City has already agreed to do with respect to the 15th Street Courtyard.</w:t>
      </w:r>
    </w:p>
    <w:p w14:paraId="19F9EC80" w14:textId="77777777" w:rsidR="00D041A2" w:rsidRDefault="00000000">
      <w:pPr>
        <w:pStyle w:val="Normal34"/>
        <w:widowControl w:val="0"/>
        <w:spacing w:before="240" w:line="260" w:lineRule="atLeast"/>
      </w:pPr>
      <w:r>
        <w:br/>
      </w:r>
      <w:r>
        <w:rPr>
          <w:rFonts w:ascii="Arial" w:eastAsia="Arial" w:hAnsi="Arial" w:cs="Arial"/>
          <w:b/>
          <w:color w:val="000000"/>
          <w:sz w:val="20"/>
        </w:rPr>
        <w:t>III.</w:t>
      </w:r>
    </w:p>
    <w:p w14:paraId="23F29A15" w14:textId="77777777" w:rsidR="00D041A2" w:rsidRDefault="00000000">
      <w:pPr>
        <w:pStyle w:val="Normal34"/>
        <w:widowControl w:val="0"/>
        <w:spacing w:before="200" w:line="260" w:lineRule="atLeast"/>
        <w:jc w:val="both"/>
      </w:pPr>
      <w:bookmarkStart w:id="4225" w:name="Bookmark_para_43_9"/>
      <w:bookmarkEnd w:id="4225"/>
      <w:r>
        <w:rPr>
          <w:rFonts w:ascii="Arial" w:eastAsia="Arial" w:hAnsi="Arial" w:cs="Arial"/>
          <w:color w:val="000000"/>
          <w:sz w:val="20"/>
        </w:rPr>
        <w:t>For the foregoing reasons, we will affirm the District Court's grant of summary judgment in DIA's favor.</w:t>
      </w:r>
    </w:p>
    <w:p w14:paraId="2D0DD838" w14:textId="77777777" w:rsidR="00D041A2" w:rsidRDefault="00000000">
      <w:pPr>
        <w:pStyle w:val="Normal34"/>
        <w:widowControl w:val="0"/>
        <w:spacing w:before="240" w:line="260" w:lineRule="atLeast"/>
      </w:pPr>
      <w:r>
        <w:br/>
      </w:r>
      <w:r>
        <w:rPr>
          <w:rFonts w:ascii="Arial" w:eastAsia="Arial" w:hAnsi="Arial" w:cs="Arial"/>
          <w:i/>
          <w:color w:val="000000"/>
          <w:sz w:val="20"/>
        </w:rPr>
        <w:t>Disabled in Action of Pennsylvania v. Southeastern Pennsylvania Transportation Authority</w:t>
      </w:r>
      <w:r>
        <w:rPr>
          <w:rFonts w:ascii="Arial" w:eastAsia="Arial" w:hAnsi="Arial" w:cs="Arial"/>
          <w:color w:val="000000"/>
          <w:sz w:val="20"/>
        </w:rPr>
        <w:t>, No. 09-3964</w:t>
      </w:r>
    </w:p>
    <w:p w14:paraId="072CA5DA" w14:textId="77777777" w:rsidR="00D041A2" w:rsidRDefault="00000000">
      <w:pPr>
        <w:pStyle w:val="Normal34"/>
        <w:widowControl w:val="0"/>
        <w:spacing w:before="240" w:line="260" w:lineRule="atLeast"/>
      </w:pPr>
      <w:bookmarkStart w:id="4226" w:name="Concur_by_1"/>
      <w:bookmarkEnd w:id="4226"/>
      <w:r>
        <w:rPr>
          <w:rFonts w:ascii="Arial" w:eastAsia="Arial" w:hAnsi="Arial" w:cs="Arial"/>
          <w:b/>
          <w:color w:val="000000"/>
          <w:sz w:val="20"/>
        </w:rPr>
        <w:t>Concur by:</w:t>
      </w:r>
      <w:r>
        <w:rPr>
          <w:rFonts w:ascii="Arial" w:eastAsia="Arial" w:hAnsi="Arial" w:cs="Arial"/>
          <w:color w:val="000000"/>
          <w:sz w:val="20"/>
        </w:rPr>
        <w:t> JORDAN (In Part)</w:t>
      </w:r>
    </w:p>
    <w:p w14:paraId="56E356F0" w14:textId="77777777" w:rsidR="00D041A2" w:rsidRDefault="00000000">
      <w:pPr>
        <w:pStyle w:val="Normal34"/>
        <w:widowControl w:val="0"/>
        <w:spacing w:before="240" w:line="260" w:lineRule="atLeast"/>
      </w:pPr>
      <w:bookmarkStart w:id="4227" w:name="Dissent_by_1"/>
      <w:bookmarkEnd w:id="4227"/>
      <w:r>
        <w:rPr>
          <w:rFonts w:ascii="Arial" w:eastAsia="Arial" w:hAnsi="Arial" w:cs="Arial"/>
          <w:b/>
          <w:color w:val="000000"/>
          <w:sz w:val="20"/>
        </w:rPr>
        <w:t>Dissent by:</w:t>
      </w:r>
      <w:r>
        <w:rPr>
          <w:rFonts w:ascii="Arial" w:eastAsia="Arial" w:hAnsi="Arial" w:cs="Arial"/>
          <w:color w:val="000000"/>
          <w:sz w:val="20"/>
        </w:rPr>
        <w:t> JORDAN (In Part)</w:t>
      </w:r>
    </w:p>
    <w:p w14:paraId="6A8B1E9C" w14:textId="77777777" w:rsidR="00D041A2" w:rsidRDefault="00000000">
      <w:pPr>
        <w:pStyle w:val="Normal34"/>
        <w:keepNext/>
        <w:widowControl w:val="0"/>
        <w:spacing w:before="240" w:line="340" w:lineRule="atLeast"/>
      </w:pPr>
      <w:bookmarkStart w:id="4228" w:name="Dissent_1"/>
      <w:bookmarkEnd w:id="4228"/>
      <w:r>
        <w:rPr>
          <w:rFonts w:ascii="Arial" w:eastAsia="Arial" w:hAnsi="Arial" w:cs="Arial"/>
          <w:b/>
          <w:color w:val="000000"/>
          <w:sz w:val="28"/>
        </w:rPr>
        <w:t>Dissent</w:t>
      </w:r>
    </w:p>
    <w:p w14:paraId="76223650" w14:textId="199F256C" w:rsidR="00D041A2" w:rsidRDefault="004D4403">
      <w:pPr>
        <w:pStyle w:val="Normal34"/>
        <w:spacing w:line="60" w:lineRule="exact"/>
      </w:pPr>
      <w:r>
        <w:rPr>
          <w:noProof/>
        </w:rPr>
        <mc:AlternateContent>
          <mc:Choice Requires="wps">
            <w:drawing>
              <wp:anchor distT="0" distB="0" distL="114300" distR="114300" simplePos="0" relativeHeight="251732992" behindDoc="0" locked="0" layoutInCell="1" allowOverlap="1" wp14:anchorId="3284C983" wp14:editId="4C05E7EC">
                <wp:simplePos x="0" y="0"/>
                <wp:positionH relativeFrom="column">
                  <wp:posOffset>0</wp:posOffset>
                </wp:positionH>
                <wp:positionV relativeFrom="paragraph">
                  <wp:posOffset>25400</wp:posOffset>
                </wp:positionV>
                <wp:extent cx="3187700" cy="0"/>
                <wp:effectExtent l="19050" t="15875" r="12700" b="12700"/>
                <wp:wrapTopAndBottom/>
                <wp:docPr id="948465194"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AEDB6" id="Line 74"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98A8DA1" w14:textId="77777777" w:rsidR="00D041A2" w:rsidRDefault="00D041A2">
      <w:pPr>
        <w:pStyle w:val="Normal34"/>
      </w:pPr>
    </w:p>
    <w:p w14:paraId="736828FC" w14:textId="77777777" w:rsidR="00D041A2" w:rsidRDefault="00000000">
      <w:pPr>
        <w:pStyle w:val="Normal34"/>
        <w:widowControl w:val="0"/>
        <w:spacing w:before="200" w:line="260" w:lineRule="atLeast"/>
        <w:jc w:val="both"/>
      </w:pPr>
      <w:bookmarkStart w:id="4229" w:name="Bookmark_para_44_9"/>
      <w:bookmarkEnd w:id="4229"/>
      <w:r>
        <w:rPr>
          <w:rFonts w:ascii="Arial" w:eastAsia="Arial" w:hAnsi="Arial" w:cs="Arial"/>
          <w:color w:val="000000"/>
          <w:sz w:val="20"/>
        </w:rPr>
        <w:t xml:space="preserve">JORDAN, </w:t>
      </w:r>
      <w:r>
        <w:rPr>
          <w:rFonts w:ascii="Arial" w:eastAsia="Arial" w:hAnsi="Arial" w:cs="Arial"/>
          <w:i/>
          <w:color w:val="000000"/>
          <w:sz w:val="20"/>
        </w:rPr>
        <w:t>Circuit Judge</w:t>
      </w:r>
      <w:r>
        <w:rPr>
          <w:rFonts w:ascii="Arial" w:eastAsia="Arial" w:hAnsi="Arial" w:cs="Arial"/>
          <w:color w:val="000000"/>
          <w:sz w:val="20"/>
        </w:rPr>
        <w:t>, concurring in part and dissenting in part</w:t>
      </w:r>
    </w:p>
    <w:p w14:paraId="7DF94108" w14:textId="77777777" w:rsidR="00D041A2" w:rsidRDefault="00000000">
      <w:pPr>
        <w:pStyle w:val="Normal34"/>
        <w:widowControl w:val="0"/>
        <w:spacing w:before="200" w:line="260" w:lineRule="atLeast"/>
        <w:jc w:val="both"/>
      </w:pPr>
      <w:bookmarkStart w:id="4230" w:name="Bookmark_para_45_9"/>
      <w:bookmarkStart w:id="4231" w:name="Bookmark_I13MHHP6RST0007952T001XS"/>
      <w:bookmarkStart w:id="4232" w:name="Bookmark_I52BM0980P9D2N0010000400"/>
      <w:bookmarkEnd w:id="4230"/>
      <w:bookmarkEnd w:id="4231"/>
      <w:bookmarkEnd w:id="4232"/>
      <w:r>
        <w:rPr>
          <w:rFonts w:ascii="Arial" w:eastAsia="Arial" w:hAnsi="Arial" w:cs="Arial"/>
          <w:color w:val="000000"/>
          <w:sz w:val="20"/>
        </w:rPr>
        <w:t xml:space="preserve">I am fully in agreement with the majority's analysis of the obligations SEPTA has incurred under the ADA and associated regulations by making alterations at the 15th Street Courtyard, </w:t>
      </w:r>
      <w:r>
        <w:rPr>
          <w:rFonts w:ascii="Arial" w:eastAsia="Arial" w:hAnsi="Arial" w:cs="Arial"/>
          <w:vertAlign w:val="superscript"/>
        </w:rPr>
        <w:footnoteReference w:customMarkFollows="1" w:id="212"/>
        <w:t>1</w:t>
      </w:r>
      <w:r>
        <w:rPr>
          <w:rFonts w:ascii="Arial" w:eastAsia="Arial" w:hAnsi="Arial" w:cs="Arial"/>
          <w:color w:val="000000"/>
          <w:sz w:val="20"/>
        </w:rPr>
        <w:t xml:space="preserve"> and, based on the precedential effect of those conclusions, I am strongly inclined to believe that they will compel the further conclusion that SEPTA bears the same obligations with regard to the City Hall Courtyard. I cannot join Section II.D of the opinion, however, because I believe that the City must first be made a party to this action under Federal Rule of Civil Procedure 19 before a decision regarding the City's property can rightly be made.</w:t>
      </w:r>
    </w:p>
    <w:p w14:paraId="5E40C8EA" w14:textId="77777777" w:rsidR="00D041A2" w:rsidRDefault="00000000">
      <w:pPr>
        <w:pStyle w:val="Normal34"/>
        <w:widowControl w:val="0"/>
        <w:spacing w:before="200" w:line="260" w:lineRule="atLeast"/>
        <w:jc w:val="both"/>
      </w:pPr>
      <w:bookmarkStart w:id="4235" w:name="Bookmark_para_46_8"/>
      <w:bookmarkEnd w:id="4235"/>
      <w:r>
        <w:rPr>
          <w:rFonts w:ascii="Arial" w:eastAsia="Arial" w:hAnsi="Arial" w:cs="Arial"/>
          <w:color w:val="000000"/>
          <w:sz w:val="20"/>
        </w:rPr>
        <w:t xml:space="preserve"> [*99]  While SEPTA is free to begin installing an elevator at the 15th Street Courtyard, it is not free to do so at the City Hall Courtyard, which is owned by the City. As the Majority notes, SEPTA acknowledges the feasibility of installing an elevator at the City Hall Courtyard, but it does so only "so long as it [has] sufficient access to the property." (Maj. Op. at 4.) </w:t>
      </w:r>
      <w:bookmarkStart w:id="4236" w:name="Bookmark_I13MHHP72PT0007952T001XT"/>
      <w:bookmarkStart w:id="4237" w:name="Bookmark_I52BM0980P9D2N0030000400"/>
      <w:bookmarkEnd w:id="4236"/>
      <w:bookmarkEnd w:id="4237"/>
      <w:r>
        <w:rPr>
          <w:rFonts w:ascii="Arial" w:eastAsia="Arial" w:hAnsi="Arial" w:cs="Arial"/>
          <w:color w:val="000000"/>
          <w:sz w:val="20"/>
        </w:rPr>
        <w:t xml:space="preserve">Access to the property is essential and, to be properly granted by a court order, such access must be preceded by the City's having a seat at the litigation table. This seems self-evident. Ordering the construction of an elevator calls for a "permanent physical invasion" of the City's property and "eviscerates the owner's right to exclude others from entering and using  [**30] [the] property — perhaps the most fundamental of all property interests." </w:t>
      </w:r>
      <w:bookmarkStart w:id="4238" w:name="Bookmark_I52BM0980P9D2N0020000400"/>
      <w:bookmarkEnd w:id="4238"/>
      <w:r>
        <w:rPr>
          <w:rFonts w:ascii="Arial" w:eastAsia="Arial" w:hAnsi="Arial" w:cs="Arial"/>
          <w:i/>
          <w:color w:val="000000"/>
          <w:sz w:val="20"/>
        </w:rPr>
        <w:t>Lingle v. Chevron U.S.A. Inc</w:t>
      </w:r>
      <w:r>
        <w:rPr>
          <w:rFonts w:ascii="Arial" w:eastAsia="Arial" w:hAnsi="Arial" w:cs="Arial"/>
          <w:color w:val="000000"/>
          <w:sz w:val="20"/>
        </w:rPr>
        <w:t>., 544 U.S. 528, 539, 125 S. Ct. 2074, 161 L. Ed. 2d 876 (2005). I have searched in vain for an example of a court ordering such an invasion without the property owner being joined in the case.</w:t>
      </w:r>
    </w:p>
    <w:p w14:paraId="7668A055" w14:textId="77777777" w:rsidR="00D041A2" w:rsidRDefault="00000000">
      <w:pPr>
        <w:pStyle w:val="Normal34"/>
        <w:widowControl w:val="0"/>
        <w:spacing w:before="200" w:line="260" w:lineRule="atLeast"/>
        <w:jc w:val="both"/>
      </w:pPr>
      <w:bookmarkStart w:id="4239" w:name="Bookmark_para_47_7"/>
      <w:bookmarkEnd w:id="4239"/>
      <w:r>
        <w:rPr>
          <w:rFonts w:ascii="Arial" w:eastAsia="Arial" w:hAnsi="Arial" w:cs="Arial"/>
          <w:color w:val="000000"/>
          <w:sz w:val="20"/>
        </w:rPr>
        <w:t xml:space="preserve">Nevertheless, DIA argues, and the Majority accepts, that the District Court can afford DIA complete relief at the City Hall Courtyard, even though doing so would require SEPTA to initiate construction on the City's land. DIA implicitly acknowledges in its brief that the City might object to bulldozers and backhoes showing up on its property, but it suggests that, if the City were to bar SEPTA from making the required alterations, SEPTA could "assert a defense of impossibility to an effort by DIA to enforce the Court's ruling." (Answering Brief of Appellee at 48 n.18.) However, the very fact that the Court's ruling could result in such an "impossibility" is why the City is, by the terms of Rule 19, a "required party" in this lawsuit.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Fed. R. Civ. P.</w:t>
      </w:r>
      <w:r>
        <w:rPr>
          <w:rFonts w:ascii="Arial" w:eastAsia="Arial" w:hAnsi="Arial" w:cs="Arial"/>
          <w:color w:val="000000"/>
          <w:sz w:val="20"/>
        </w:rPr>
        <w:t xml:space="preserve"> 19(a)(1) ("A person ... must be joined as a party if ... in that person's absence, the court cannot accord complete relief among existing parties ... ."). </w:t>
      </w:r>
      <w:r>
        <w:rPr>
          <w:rFonts w:ascii="Arial" w:eastAsia="Arial" w:hAnsi="Arial" w:cs="Arial"/>
          <w:vertAlign w:val="superscript"/>
        </w:rPr>
        <w:footnoteReference w:customMarkFollows="1" w:id="213"/>
        <w:t>2</w:t>
      </w:r>
    </w:p>
    <w:p w14:paraId="26DBC93A" w14:textId="77777777" w:rsidR="00D041A2" w:rsidRDefault="00000000">
      <w:pPr>
        <w:pStyle w:val="Normal34"/>
        <w:widowControl w:val="0"/>
        <w:spacing w:before="200" w:line="260" w:lineRule="atLeast"/>
        <w:jc w:val="both"/>
      </w:pPr>
      <w:bookmarkStart w:id="4241" w:name="Bookmark_para_48_7"/>
      <w:bookmarkEnd w:id="4241"/>
      <w:r>
        <w:rPr>
          <w:rFonts w:ascii="Arial" w:eastAsia="Arial" w:hAnsi="Arial" w:cs="Arial"/>
          <w:color w:val="000000"/>
          <w:sz w:val="20"/>
        </w:rPr>
        <w:t xml:space="preserve">Shifting its tack, DIA, with the Majority in tow, breezes past the City's fundamental interest in this dispute by asserting that the City is aware of the proposal to install an elevator at the City Hall Courtyard and has no objection to it. That may well be true; indeed one hopes that the City would be eager to assist in every way possible the remedying of inaccessibility problems on its property. But we are accustomed to having property owners declare their own interests and intentions rather than having others volunteer their land for construction projects. That is why Rule 19, again by its exact terms, requires the joinder of someone who, as a practical matter, would have his ability to protect his interests impeded or impaired if not made a party. </w:t>
      </w:r>
      <w:r>
        <w:rPr>
          <w:rFonts w:ascii="Arial" w:eastAsia="Arial" w:hAnsi="Arial" w:cs="Arial"/>
          <w:smallCaps/>
          <w:color w:val="000000"/>
          <w:sz w:val="20"/>
        </w:rPr>
        <w:t>Fed. R. Civ. P.</w:t>
      </w:r>
      <w:r>
        <w:rPr>
          <w:rFonts w:ascii="Arial" w:eastAsia="Arial" w:hAnsi="Arial" w:cs="Arial"/>
          <w:color w:val="000000"/>
          <w:sz w:val="20"/>
        </w:rPr>
        <w:t xml:space="preserve"> 19(a)(1)(B)(i). Making the point more powerfully, the Rule goes on to say that "[i]f a person has not been joined as required, the court </w:t>
      </w:r>
      <w:r>
        <w:rPr>
          <w:rFonts w:ascii="Arial" w:eastAsia="Arial" w:hAnsi="Arial" w:cs="Arial"/>
          <w:i/>
          <w:color w:val="000000"/>
          <w:sz w:val="20"/>
        </w:rPr>
        <w:t>must</w:t>
      </w:r>
      <w:r>
        <w:rPr>
          <w:rFonts w:ascii="Arial" w:eastAsia="Arial" w:hAnsi="Arial" w:cs="Arial"/>
          <w:color w:val="000000"/>
          <w:sz w:val="20"/>
        </w:rPr>
        <w:t xml:space="preserve"> order that the person be made a party." </w:t>
      </w:r>
      <w:r>
        <w:rPr>
          <w:rFonts w:ascii="Arial" w:eastAsia="Arial" w:hAnsi="Arial" w:cs="Arial"/>
          <w:smallCaps/>
          <w:color w:val="000000"/>
          <w:sz w:val="20"/>
        </w:rPr>
        <w:t>Fed. R. Civ. P.</w:t>
      </w:r>
      <w:r>
        <w:rPr>
          <w:rFonts w:ascii="Arial" w:eastAsia="Arial" w:hAnsi="Arial" w:cs="Arial"/>
          <w:color w:val="000000"/>
          <w:sz w:val="20"/>
        </w:rPr>
        <w:t xml:space="preserve"> 19(a)(2)  [**32] (emphasis added). It does not say, "add that person if convenient or if you don't already know what the person really wants." It says, straightforwardly, that "the court </w:t>
      </w:r>
      <w:r>
        <w:rPr>
          <w:rFonts w:ascii="Arial" w:eastAsia="Arial" w:hAnsi="Arial" w:cs="Arial"/>
          <w:i/>
          <w:color w:val="000000"/>
          <w:sz w:val="20"/>
        </w:rPr>
        <w:t>must</w:t>
      </w:r>
      <w:r>
        <w:rPr>
          <w:rFonts w:ascii="Arial" w:eastAsia="Arial" w:hAnsi="Arial" w:cs="Arial"/>
          <w:color w:val="000000"/>
          <w:sz w:val="20"/>
        </w:rPr>
        <w:t xml:space="preserve"> order that the person be made a party."</w:t>
      </w:r>
    </w:p>
    <w:p w14:paraId="58C382B9" w14:textId="77777777" w:rsidR="00D041A2" w:rsidRDefault="00000000">
      <w:pPr>
        <w:pStyle w:val="Normal34"/>
        <w:widowControl w:val="0"/>
        <w:spacing w:before="200" w:line="260" w:lineRule="atLeast"/>
        <w:jc w:val="both"/>
      </w:pPr>
      <w:bookmarkStart w:id="4242" w:name="Bookmark_para_49_7"/>
      <w:bookmarkEnd w:id="4242"/>
      <w:r>
        <w:rPr>
          <w:rFonts w:ascii="Arial" w:eastAsia="Arial" w:hAnsi="Arial" w:cs="Arial"/>
          <w:color w:val="000000"/>
          <w:sz w:val="20"/>
        </w:rPr>
        <w:t xml:space="preserve">In trying to understand what may be motivating the willingness to brush aside the City's obvious interest in a construction project on City land, I am left to conclude that there is a concern over further delay in SEPTA's beginning the already long-delayed start of installing necessary accommodations, and perhaps there is some concern that SEPTA raised the  [*100]  issue late as a yet another strategic move for procrastination. Even if those concerns are well-founded, however, they do not dispose of the City's rights. "A person may be added as a party at any stage of the action on motion or on the court's initiative ... and a motion to dismiss, on the ground that a person has not been joined and justice requires that the action should not proceed in his absence, may be made as late as the trial on the merits ... ." Advisory Committee's Notes on </w:t>
      </w:r>
      <w:r>
        <w:rPr>
          <w:rFonts w:ascii="Arial" w:eastAsia="Arial" w:hAnsi="Arial" w:cs="Arial"/>
          <w:smallCaps/>
          <w:color w:val="000000"/>
          <w:sz w:val="20"/>
        </w:rPr>
        <w:t>Fed. R. Civ. P.</w:t>
      </w:r>
      <w:r>
        <w:rPr>
          <w:rFonts w:ascii="Arial" w:eastAsia="Arial" w:hAnsi="Arial" w:cs="Arial"/>
          <w:color w:val="000000"/>
          <w:sz w:val="20"/>
        </w:rPr>
        <w:t xml:space="preserve"> 19, 28 U.S.C.App., p. 134.</w:t>
      </w:r>
    </w:p>
    <w:p w14:paraId="5F7AC613" w14:textId="77777777" w:rsidR="00D041A2" w:rsidRDefault="00000000">
      <w:pPr>
        <w:pStyle w:val="Normal34"/>
        <w:widowControl w:val="0"/>
        <w:spacing w:before="200" w:line="260" w:lineRule="atLeast"/>
        <w:jc w:val="both"/>
      </w:pPr>
      <w:bookmarkStart w:id="4243" w:name="Bookmark_para_50_7"/>
      <w:bookmarkEnd w:id="4243"/>
      <w:r>
        <w:rPr>
          <w:rFonts w:ascii="Arial" w:eastAsia="Arial" w:hAnsi="Arial" w:cs="Arial"/>
          <w:color w:val="000000"/>
          <w:sz w:val="20"/>
        </w:rPr>
        <w:t xml:space="preserve">Nor can the City's interests be casually dismissed by saying, as the Majority does, that, "[a]lthough  [**33] [the City] surely must be aware of DIA's current position with respect to the necessity of an elevator in City Hall Courtyard, it has not moved to intervene, nor offered any objections which we are aware of." (Maj. Op. at 17.) That statement implies, without record support, that the City somehow waived its rights to protect its property interests in court. The City was added as a party to this case in 2003 and settled with DIA in 2004. If anything, that history demonstrates that the City left the case only when it understood that its rights were no longer implicated. It does not demonstrate that the City should have known that its rights would be implicated once again. </w:t>
      </w:r>
      <w:r>
        <w:rPr>
          <w:rFonts w:ascii="Arial" w:eastAsia="Arial" w:hAnsi="Arial" w:cs="Arial"/>
          <w:vertAlign w:val="superscript"/>
        </w:rPr>
        <w:footnoteReference w:customMarkFollows="1" w:id="214"/>
        <w:t>3</w:t>
      </w:r>
    </w:p>
    <w:p w14:paraId="040DC310" w14:textId="77777777" w:rsidR="00D041A2" w:rsidRDefault="00000000">
      <w:pPr>
        <w:pStyle w:val="Normal34"/>
        <w:widowControl w:val="0"/>
        <w:spacing w:before="200" w:line="260" w:lineRule="atLeast"/>
        <w:jc w:val="both"/>
      </w:pPr>
      <w:bookmarkStart w:id="4245" w:name="Bookmark_para_51_6"/>
      <w:bookmarkStart w:id="4246" w:name="Bookmark_I13MHHP7DXH0007952T001XV"/>
      <w:bookmarkStart w:id="4247" w:name="Bookmark_I52BM0980P9D2N0050000400"/>
      <w:bookmarkEnd w:id="4245"/>
      <w:bookmarkEnd w:id="4246"/>
      <w:bookmarkEnd w:id="4247"/>
      <w:r>
        <w:rPr>
          <w:rFonts w:ascii="Arial" w:eastAsia="Arial" w:hAnsi="Arial" w:cs="Arial"/>
          <w:color w:val="000000"/>
          <w:sz w:val="20"/>
        </w:rPr>
        <w:t xml:space="preserve">It is, moreover, somewhat ironic to observe that we are unaware of the City having any objection to plans for its land, since an important reason why a district court must join required parties is so that such parties have the opportunity to voice objections. </w:t>
      </w:r>
      <w:r>
        <w:rPr>
          <w:rFonts w:ascii="Arial" w:eastAsia="Arial" w:hAnsi="Arial" w:cs="Arial"/>
          <w:i/>
          <w:color w:val="000000"/>
          <w:sz w:val="20"/>
        </w:rPr>
        <w:t xml:space="preserve">See </w:t>
      </w:r>
      <w:bookmarkStart w:id="4248" w:name="Bookmark_I52BM0980P9D2N0040000400"/>
      <w:bookmarkEnd w:id="4248"/>
      <w:r>
        <w:rPr>
          <w:rFonts w:ascii="Arial" w:eastAsia="Arial" w:hAnsi="Arial" w:cs="Arial"/>
          <w:i/>
          <w:color w:val="000000"/>
          <w:sz w:val="20"/>
        </w:rPr>
        <w:t>Luxliner P.L. Export, Co. v. RDI/Luxliner, Inc</w:t>
      </w:r>
      <w:r>
        <w:rPr>
          <w:rFonts w:ascii="Arial" w:eastAsia="Arial" w:hAnsi="Arial" w:cs="Arial"/>
          <w:color w:val="000000"/>
          <w:sz w:val="20"/>
        </w:rPr>
        <w:t>., 13 F.3d 69, 72 (3d Cir. 1993) ("Before a party may be deprived of a property interest, due process requires, at a minimum, notice and an opportunity to be heard."). We approach the problem from the wrong direction when our first reaction is to say to a property owner, in effect, "you failed to intervene at the peril of your rights," rather than saying to the litigants, "you failed to add a required party at the peril of lengthening these proceedings while that party's rights are considered."</w:t>
      </w:r>
    </w:p>
    <w:p w14:paraId="1F00EF77" w14:textId="77777777" w:rsidR="00D041A2" w:rsidRDefault="00000000">
      <w:pPr>
        <w:pStyle w:val="Normal34"/>
        <w:widowControl w:val="0"/>
        <w:spacing w:before="200" w:line="260" w:lineRule="atLeast"/>
        <w:jc w:val="both"/>
      </w:pPr>
      <w:bookmarkStart w:id="4249" w:name="Bookmark_para_52_6"/>
      <w:bookmarkEnd w:id="4249"/>
      <w:r>
        <w:rPr>
          <w:rFonts w:ascii="Arial" w:eastAsia="Arial" w:hAnsi="Arial" w:cs="Arial"/>
          <w:color w:val="000000"/>
          <w:sz w:val="20"/>
        </w:rPr>
        <w:t xml:space="preserve">DIA  [**35] maintains, and the Majority agrees, that the City's normal procedures in dealing with construction projects, such as requiring work permits, should be sufficient to protect its interests here. Once again, though, this seems a painful stretch to avoid dealing with the reality that the City is a required party. The City's permitting procedures do not provide it with a voice in the District Court by which it can object to orders directly affecting its interest in its own land. The permitting process is, as far as I know (and this is not an issue that has been briefed), designed simply to ensure that construction in the City is completed in accordance with applicable sections of the Philadelphia Code, </w:t>
      </w:r>
      <w:r>
        <w:rPr>
          <w:rFonts w:ascii="Arial" w:eastAsia="Arial" w:hAnsi="Arial" w:cs="Arial"/>
          <w:i/>
          <w:color w:val="000000"/>
          <w:sz w:val="20"/>
        </w:rPr>
        <w:t>e.g</w:t>
      </w:r>
      <w:r>
        <w:rPr>
          <w:rFonts w:ascii="Arial" w:eastAsia="Arial" w:hAnsi="Arial" w:cs="Arial"/>
          <w:color w:val="000000"/>
          <w:sz w:val="20"/>
        </w:rPr>
        <w:t>., the City's building code, fire code, and electrical code. Those procedures do not afford the City the opportunity to address to the  [*101]  District Court any concerns it may have about where, when, or how an elevator will be installed on City property.</w:t>
      </w:r>
    </w:p>
    <w:p w14:paraId="01EF79FB" w14:textId="77777777" w:rsidR="00D041A2" w:rsidRDefault="00000000">
      <w:pPr>
        <w:pStyle w:val="Normal34"/>
        <w:widowControl w:val="0"/>
        <w:spacing w:before="200" w:line="260" w:lineRule="atLeast"/>
        <w:jc w:val="both"/>
      </w:pPr>
      <w:bookmarkStart w:id="4250" w:name="Bookmark_para_53_5"/>
      <w:bookmarkStart w:id="4251" w:name="Bookmark_I13MHHP7RVH0007952T001XW"/>
      <w:bookmarkStart w:id="4252" w:name="Bookmark_I52BM0990P9D2V0020000400"/>
      <w:bookmarkEnd w:id="4250"/>
      <w:bookmarkEnd w:id="4251"/>
      <w:bookmarkEnd w:id="4252"/>
      <w:r>
        <w:rPr>
          <w:rFonts w:ascii="Arial" w:eastAsia="Arial" w:hAnsi="Arial" w:cs="Arial"/>
          <w:color w:val="000000"/>
          <w:sz w:val="20"/>
        </w:rPr>
        <w:t xml:space="preserve">In any event, concern about significant delay is ultimately a matter of pure speculation, and an oddly contradictory bit of speculation at that. If, as DIA and the Majority assume, the City has no problem at all with the construction of the elevator  [**36] on City land, then adding the City as a party should involve little or no delay at all, even as it preserves the principles of due process that are inherent in Rule 19 and which long antedate the Rules of Civil Procedure. </w:t>
      </w:r>
      <w:r>
        <w:rPr>
          <w:rFonts w:ascii="Arial" w:eastAsia="Arial" w:hAnsi="Arial" w:cs="Arial"/>
          <w:i/>
          <w:color w:val="000000"/>
          <w:sz w:val="20"/>
        </w:rPr>
        <w:t xml:space="preserve">Cf. </w:t>
      </w:r>
      <w:bookmarkStart w:id="4253" w:name="Bookmark_I52BM0990P9D2V0010000400"/>
      <w:bookmarkEnd w:id="4253"/>
      <w:r>
        <w:rPr>
          <w:rFonts w:ascii="Arial" w:eastAsia="Arial" w:hAnsi="Arial" w:cs="Arial"/>
          <w:i/>
          <w:color w:val="000000"/>
          <w:sz w:val="20"/>
        </w:rPr>
        <w:t>Torrence v. Shedd</w:t>
      </w:r>
      <w:r>
        <w:rPr>
          <w:rFonts w:ascii="Arial" w:eastAsia="Arial" w:hAnsi="Arial" w:cs="Arial"/>
          <w:color w:val="000000"/>
          <w:sz w:val="20"/>
        </w:rPr>
        <w:t>, 144 U.S. 527, 532, 12 S. Ct. 726, 36 L. Ed. 528 (1892) (holding that, in a case involving interests in real property, since recovery required establishing a title that would affect other interested parties, those parties had to be joined). And if, for some reason, the City were to raise objections, the able District Court can require that those objections be dealt with on an expedited basis, as may be appropriate.</w:t>
      </w:r>
    </w:p>
    <w:p w14:paraId="5B274C2D" w14:textId="77777777" w:rsidR="00D041A2" w:rsidRDefault="00000000">
      <w:pPr>
        <w:pStyle w:val="Normal34"/>
        <w:widowControl w:val="0"/>
        <w:spacing w:before="200" w:line="260" w:lineRule="atLeast"/>
        <w:jc w:val="both"/>
      </w:pPr>
      <w:bookmarkStart w:id="4254" w:name="Bookmark_para_54_5"/>
      <w:bookmarkEnd w:id="4254"/>
      <w:r>
        <w:rPr>
          <w:rFonts w:ascii="Arial" w:eastAsia="Arial" w:hAnsi="Arial" w:cs="Arial"/>
          <w:color w:val="000000"/>
          <w:sz w:val="20"/>
        </w:rPr>
        <w:t>I therefore concur in the opinion of the Majority that the construction of the elevator at the 15th Street Courtyard is called for by operative federal law, but I would order the joinder of the City so that it can adequately voice its position on how that conclusion should affect its property interests in the City Hall Courtyard.</w:t>
      </w:r>
    </w:p>
    <w:p w14:paraId="0DA24AD2" w14:textId="77777777" w:rsidR="00D041A2" w:rsidRDefault="00D041A2">
      <w:pPr>
        <w:pStyle w:val="Normal34"/>
      </w:pPr>
    </w:p>
    <w:p w14:paraId="261D170F" w14:textId="17154EC6" w:rsidR="00D041A2" w:rsidRDefault="00000000">
      <w:pPr>
        <w:pStyle w:val="Normal34"/>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34016" behindDoc="0" locked="0" layoutInCell="1" allowOverlap="1" wp14:anchorId="2B33835A" wp14:editId="23D4001E">
                <wp:simplePos x="0" y="0"/>
                <wp:positionH relativeFrom="column">
                  <wp:posOffset>0</wp:posOffset>
                </wp:positionH>
                <wp:positionV relativeFrom="paragraph">
                  <wp:posOffset>127000</wp:posOffset>
                </wp:positionV>
                <wp:extent cx="6502400" cy="0"/>
                <wp:effectExtent l="9525" t="12700" r="12700" b="6350"/>
                <wp:wrapNone/>
                <wp:docPr id="372869007"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7676C" id="Line 75"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50A59D7" w14:textId="77777777" w:rsidR="00D041A2" w:rsidRDefault="00D041A2">
      <w:pPr>
        <w:pStyle w:val="Normal35"/>
        <w:sectPr w:rsidR="00D041A2">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gutter="0"/>
          <w:cols w:space="720"/>
          <w:titlePg/>
        </w:sectPr>
      </w:pPr>
    </w:p>
    <w:p w14:paraId="39255A35" w14:textId="77777777" w:rsidR="00D041A2" w:rsidRDefault="00D041A2">
      <w:pPr>
        <w:pStyle w:val="Normal35"/>
      </w:pPr>
    </w:p>
    <w:p w14:paraId="69027992" w14:textId="77777777" w:rsidR="00D041A2" w:rsidRDefault="00000000">
      <w:pPr>
        <w:pStyle w:val="Heading134"/>
        <w:keepNext w:val="0"/>
        <w:widowControl w:val="0"/>
        <w:spacing w:after="200" w:line="340" w:lineRule="atLeast"/>
        <w:jc w:val="center"/>
      </w:pPr>
      <w:r>
        <w:rPr>
          <w:rFonts w:eastAsia="Arial"/>
          <w:color w:val="000000"/>
          <w:sz w:val="28"/>
        </w:rPr>
        <w:t>Everson v. Leis</w:t>
      </w:r>
    </w:p>
    <w:p w14:paraId="1EFEB979" w14:textId="77777777" w:rsidR="00D041A2" w:rsidRDefault="00000000">
      <w:pPr>
        <w:pStyle w:val="Normal35"/>
        <w:widowControl w:val="0"/>
        <w:spacing w:before="120" w:line="260" w:lineRule="atLeast"/>
        <w:jc w:val="center"/>
      </w:pPr>
      <w:r>
        <w:rPr>
          <w:rFonts w:ascii="Arial" w:eastAsia="Arial" w:hAnsi="Arial" w:cs="Arial"/>
          <w:color w:val="000000"/>
          <w:sz w:val="20"/>
        </w:rPr>
        <w:t>United States Court of Appeals for the Sixth Circuit</w:t>
      </w:r>
    </w:p>
    <w:p w14:paraId="2D1E0BDC" w14:textId="77777777" w:rsidR="00D041A2" w:rsidRDefault="00000000">
      <w:pPr>
        <w:pStyle w:val="Normal35"/>
        <w:widowControl w:val="0"/>
        <w:spacing w:before="120" w:line="260" w:lineRule="atLeast"/>
        <w:jc w:val="center"/>
      </w:pPr>
      <w:r>
        <w:rPr>
          <w:rFonts w:ascii="Arial" w:eastAsia="Arial" w:hAnsi="Arial" w:cs="Arial"/>
          <w:color w:val="000000"/>
          <w:sz w:val="20"/>
        </w:rPr>
        <w:t>February 10, 2011, Filed</w:t>
      </w:r>
    </w:p>
    <w:p w14:paraId="74B9B389" w14:textId="77777777" w:rsidR="00D041A2" w:rsidRDefault="00000000">
      <w:pPr>
        <w:pStyle w:val="Normal35"/>
        <w:widowControl w:val="0"/>
        <w:spacing w:before="120" w:line="260" w:lineRule="atLeast"/>
        <w:jc w:val="center"/>
      </w:pPr>
      <w:r>
        <w:rPr>
          <w:rFonts w:ascii="Arial" w:eastAsia="Arial" w:hAnsi="Arial" w:cs="Arial"/>
          <w:color w:val="000000"/>
          <w:sz w:val="20"/>
        </w:rPr>
        <w:t>File Name: 11a0089n.06</w:t>
      </w:r>
    </w:p>
    <w:p w14:paraId="13298CF4" w14:textId="77777777" w:rsidR="00D041A2" w:rsidRDefault="00000000">
      <w:pPr>
        <w:pStyle w:val="Normal35"/>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09-4355</w:t>
      </w:r>
    </w:p>
    <w:p w14:paraId="3C111B9F" w14:textId="77777777" w:rsidR="00D041A2" w:rsidRDefault="00D041A2">
      <w:pPr>
        <w:pStyle w:val="Normal35"/>
        <w:widowControl w:val="0"/>
        <w:spacing w:line="240" w:lineRule="atLeast"/>
        <w:jc w:val="both"/>
      </w:pPr>
      <w:bookmarkStart w:id="4255" w:name="Bookmark_36"/>
      <w:bookmarkEnd w:id="4255"/>
    </w:p>
    <w:p w14:paraId="775D7854" w14:textId="77777777" w:rsidR="00D041A2" w:rsidRDefault="00000000">
      <w:pPr>
        <w:pStyle w:val="Normal35"/>
        <w:widowControl w:val="0"/>
        <w:spacing w:before="200" w:line="240" w:lineRule="atLeast"/>
      </w:pPr>
      <w:bookmarkStart w:id="4256" w:name="Reporter_34"/>
      <w:bookmarkEnd w:id="4256"/>
      <w:r>
        <w:rPr>
          <w:rFonts w:ascii="Arial" w:eastAsia="Arial" w:hAnsi="Arial" w:cs="Arial"/>
          <w:b/>
          <w:color w:val="000000"/>
          <w:sz w:val="18"/>
        </w:rPr>
        <w:t>Reporter</w:t>
      </w:r>
    </w:p>
    <w:p w14:paraId="57DE18FD" w14:textId="77777777" w:rsidR="00D041A2" w:rsidRDefault="00000000">
      <w:pPr>
        <w:pStyle w:val="Normal35"/>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412 Fed. Appx. 771 *; 2011 U.S. App. LEXIS 2706 **; 2011 FED App. 0089N (6th Cir.)</w:t>
      </w:r>
    </w:p>
    <w:p w14:paraId="7E718017" w14:textId="77777777" w:rsidR="00D041A2" w:rsidRDefault="00000000">
      <w:pPr>
        <w:pStyle w:val="Normal35"/>
        <w:widowControl w:val="0"/>
        <w:spacing w:before="120" w:line="260" w:lineRule="atLeast"/>
      </w:pPr>
      <w:r>
        <w:rPr>
          <w:rFonts w:ascii="Arial" w:eastAsia="Arial" w:hAnsi="Arial" w:cs="Arial"/>
          <w:color w:val="000000"/>
          <w:sz w:val="20"/>
        </w:rPr>
        <w:t>KEVIN EVERSON, Plaintiff-Appellant, v. SIMON LEIS, Hamilton County Sheriff, Deputy ALBERT WITTICH; JOHN DOE, Sherriff Deputy; JOHN DOE, Employee of Northgate Mall, Defendants-Appellees.</w:t>
      </w:r>
    </w:p>
    <w:p w14:paraId="634BFEEB" w14:textId="77777777" w:rsidR="00D041A2" w:rsidRDefault="00000000">
      <w:pPr>
        <w:pStyle w:val="Normal35"/>
        <w:widowControl w:val="0"/>
        <w:spacing w:before="240" w:line="260" w:lineRule="atLeast"/>
        <w:jc w:val="both"/>
      </w:pPr>
      <w:bookmarkStart w:id="4257" w:name="Notice_21"/>
      <w:bookmarkEnd w:id="4257"/>
      <w:r>
        <w:rPr>
          <w:rFonts w:ascii="Arial" w:eastAsia="Arial" w:hAnsi="Arial" w:cs="Arial"/>
          <w:b/>
          <w:color w:val="000000"/>
          <w:sz w:val="20"/>
        </w:rPr>
        <w:t>Notice:</w:t>
      </w:r>
      <w:r>
        <w:rPr>
          <w:rFonts w:ascii="Arial" w:eastAsia="Arial" w:hAnsi="Arial" w:cs="Arial"/>
          <w:color w:val="000000"/>
          <w:sz w:val="20"/>
        </w:rPr>
        <w:t> </w:t>
      </w:r>
      <w:bookmarkStart w:id="4258" w:name="Bookmark_para_1_34"/>
      <w:bookmarkEnd w:id="4258"/>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14:paraId="757F7448" w14:textId="77777777" w:rsidR="00D041A2" w:rsidRDefault="00000000">
      <w:pPr>
        <w:pStyle w:val="Normal35"/>
        <w:widowControl w:val="0"/>
        <w:spacing w:before="240" w:line="260" w:lineRule="atLeast"/>
        <w:jc w:val="both"/>
      </w:pPr>
      <w:bookmarkStart w:id="4259" w:name="Prior_History_34"/>
      <w:bookmarkEnd w:id="4259"/>
      <w:r>
        <w:rPr>
          <w:rFonts w:ascii="Arial" w:eastAsia="Arial" w:hAnsi="Arial" w:cs="Arial"/>
          <w:b/>
          <w:color w:val="000000"/>
          <w:sz w:val="20"/>
        </w:rPr>
        <w:t>Prior History:</w:t>
      </w:r>
      <w:r>
        <w:rPr>
          <w:rFonts w:ascii="Arial" w:eastAsia="Arial" w:hAnsi="Arial" w:cs="Arial"/>
          <w:color w:val="000000"/>
          <w:sz w:val="20"/>
        </w:rPr>
        <w:t>  [**1] </w:t>
      </w:r>
      <w:bookmarkStart w:id="4260" w:name="Bookmark_para_2_34"/>
      <w:bookmarkEnd w:id="4260"/>
      <w:r>
        <w:rPr>
          <w:rFonts w:ascii="Arial" w:eastAsia="Arial" w:hAnsi="Arial" w:cs="Arial"/>
          <w:color w:val="000000"/>
          <w:sz w:val="20"/>
        </w:rPr>
        <w:t>On Appeal from the United States District Court for the Southern District of Ohio.</w:t>
      </w:r>
    </w:p>
    <w:p w14:paraId="359CD21D" w14:textId="77777777" w:rsidR="00D041A2" w:rsidRDefault="00000000">
      <w:pPr>
        <w:pStyle w:val="Normal35"/>
        <w:widowControl w:val="0"/>
        <w:spacing w:before="120" w:line="260" w:lineRule="atLeast"/>
      </w:pPr>
      <w:r>
        <w:rPr>
          <w:rFonts w:ascii="Arial" w:eastAsia="Arial" w:hAnsi="Arial" w:cs="Arial"/>
          <w:color w:val="000000"/>
          <w:sz w:val="20"/>
        </w:rPr>
        <w:t>Everson v. Leis, 2009 U.S. Dist. LEXIS 151872 (S.D. Ohio, Oct. 6, 2009)</w:t>
      </w:r>
    </w:p>
    <w:p w14:paraId="5C3561FF" w14:textId="77777777" w:rsidR="00D041A2" w:rsidRDefault="00000000">
      <w:pPr>
        <w:pStyle w:val="Normal35"/>
        <w:widowControl w:val="0"/>
        <w:spacing w:before="240" w:line="260" w:lineRule="atLeast"/>
      </w:pPr>
      <w:bookmarkStart w:id="4261" w:name="Counsel_34"/>
      <w:bookmarkEnd w:id="4261"/>
      <w:r>
        <w:rPr>
          <w:rFonts w:ascii="Arial" w:eastAsia="Arial" w:hAnsi="Arial" w:cs="Arial"/>
          <w:b/>
          <w:color w:val="000000"/>
          <w:sz w:val="20"/>
        </w:rPr>
        <w:t>Counsel:</w:t>
      </w:r>
      <w:r>
        <w:rPr>
          <w:rFonts w:ascii="Arial" w:eastAsia="Arial" w:hAnsi="Arial" w:cs="Arial"/>
          <w:color w:val="000000"/>
          <w:sz w:val="20"/>
        </w:rPr>
        <w:t> For KEVIN EVERSON, Plaintiff - Appellant: Jennifer L. Branch, Alphonse A. Gerhardstein, Gerhardstein &amp; Branch, Cincinnati, OH.</w:t>
      </w:r>
    </w:p>
    <w:p w14:paraId="06FD6E13" w14:textId="77777777" w:rsidR="00D041A2" w:rsidRDefault="00000000">
      <w:pPr>
        <w:pStyle w:val="Normal35"/>
        <w:widowControl w:val="0"/>
        <w:spacing w:before="120" w:line="260" w:lineRule="atLeast"/>
      </w:pPr>
      <w:r>
        <w:rPr>
          <w:rFonts w:ascii="Arial" w:eastAsia="Arial" w:hAnsi="Arial" w:cs="Arial"/>
          <w:color w:val="000000"/>
          <w:sz w:val="20"/>
        </w:rPr>
        <w:t>For SIMON LEIS, Hamilton County Sheriff, ALBERT WITTICH, Defendant - Appellees: Michael G. Florez, David Todd Stevenson, Hamilton County Prosecutor's Office, Cincinnati, OH.</w:t>
      </w:r>
    </w:p>
    <w:p w14:paraId="43747ABC" w14:textId="77777777" w:rsidR="00D041A2" w:rsidRDefault="00000000">
      <w:pPr>
        <w:pStyle w:val="Normal35"/>
        <w:widowControl w:val="0"/>
        <w:spacing w:before="120" w:line="260" w:lineRule="atLeast"/>
      </w:pPr>
      <w:r>
        <w:rPr>
          <w:rFonts w:ascii="Arial" w:eastAsia="Arial" w:hAnsi="Arial" w:cs="Arial"/>
          <w:color w:val="000000"/>
          <w:sz w:val="20"/>
        </w:rPr>
        <w:t>For JOHN DOE, Defendant - Appellee: David Todd Stevenson, Hamilton County Prosecutor's Office, Cincinnati, OH.</w:t>
      </w:r>
    </w:p>
    <w:p w14:paraId="66956219" w14:textId="77777777" w:rsidR="00D041A2" w:rsidRDefault="00000000">
      <w:pPr>
        <w:pStyle w:val="Normal35"/>
        <w:widowControl w:val="0"/>
        <w:spacing w:before="240" w:line="260" w:lineRule="atLeast"/>
      </w:pPr>
      <w:bookmarkStart w:id="4262" w:name="Judges_34"/>
      <w:bookmarkEnd w:id="4262"/>
      <w:r>
        <w:rPr>
          <w:rFonts w:ascii="Arial" w:eastAsia="Arial" w:hAnsi="Arial" w:cs="Arial"/>
          <w:b/>
          <w:color w:val="000000"/>
          <w:sz w:val="20"/>
        </w:rPr>
        <w:t>Judges:</w:t>
      </w:r>
      <w:r>
        <w:rPr>
          <w:rFonts w:ascii="Arial" w:eastAsia="Arial" w:hAnsi="Arial" w:cs="Arial"/>
          <w:color w:val="000000"/>
          <w:sz w:val="20"/>
        </w:rPr>
        <w:t> Before: BOGGS, MOORE, and SUTTON, Circuit Judges.</w:t>
      </w:r>
    </w:p>
    <w:p w14:paraId="0BE15731" w14:textId="77777777" w:rsidR="00D041A2" w:rsidRDefault="00000000">
      <w:pPr>
        <w:pStyle w:val="Normal35"/>
        <w:widowControl w:val="0"/>
        <w:spacing w:before="240" w:line="260" w:lineRule="atLeast"/>
      </w:pPr>
      <w:bookmarkStart w:id="4263" w:name="Opinion_by_19"/>
      <w:bookmarkEnd w:id="4263"/>
      <w:r>
        <w:rPr>
          <w:rFonts w:ascii="Arial" w:eastAsia="Arial" w:hAnsi="Arial" w:cs="Arial"/>
          <w:b/>
          <w:color w:val="000000"/>
          <w:sz w:val="20"/>
        </w:rPr>
        <w:t>Opinion by:</w:t>
      </w:r>
      <w:r>
        <w:rPr>
          <w:rFonts w:ascii="Arial" w:eastAsia="Arial" w:hAnsi="Arial" w:cs="Arial"/>
          <w:color w:val="000000"/>
          <w:sz w:val="20"/>
        </w:rPr>
        <w:t> SUTTON</w:t>
      </w:r>
    </w:p>
    <w:p w14:paraId="5EDA9AD0" w14:textId="77777777" w:rsidR="00D041A2" w:rsidRDefault="00000000">
      <w:pPr>
        <w:pStyle w:val="Normal35"/>
        <w:keepNext/>
        <w:widowControl w:val="0"/>
        <w:spacing w:before="240" w:line="340" w:lineRule="atLeast"/>
      </w:pPr>
      <w:bookmarkStart w:id="4264" w:name="Opinion_34"/>
      <w:bookmarkEnd w:id="4264"/>
      <w:r>
        <w:rPr>
          <w:rFonts w:ascii="Arial" w:eastAsia="Arial" w:hAnsi="Arial" w:cs="Arial"/>
          <w:b/>
          <w:color w:val="000000"/>
          <w:sz w:val="28"/>
        </w:rPr>
        <w:t>Opinion</w:t>
      </w:r>
    </w:p>
    <w:p w14:paraId="0371F741" w14:textId="78C535CA" w:rsidR="00D041A2" w:rsidRDefault="004D4403">
      <w:pPr>
        <w:pStyle w:val="Normal35"/>
        <w:spacing w:line="60" w:lineRule="exact"/>
      </w:pPr>
      <w:r>
        <w:rPr>
          <w:noProof/>
        </w:rPr>
        <mc:AlternateContent>
          <mc:Choice Requires="wps">
            <w:drawing>
              <wp:anchor distT="0" distB="0" distL="114300" distR="114300" simplePos="0" relativeHeight="251735040" behindDoc="0" locked="0" layoutInCell="1" allowOverlap="1" wp14:anchorId="7242E896" wp14:editId="7FF1C2A5">
                <wp:simplePos x="0" y="0"/>
                <wp:positionH relativeFrom="column">
                  <wp:posOffset>0</wp:posOffset>
                </wp:positionH>
                <wp:positionV relativeFrom="paragraph">
                  <wp:posOffset>25400</wp:posOffset>
                </wp:positionV>
                <wp:extent cx="3187700" cy="0"/>
                <wp:effectExtent l="19050" t="15875" r="12700" b="12700"/>
                <wp:wrapTopAndBottom/>
                <wp:docPr id="74044369"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D14FE" id="Line 76"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6273C59" w14:textId="77777777" w:rsidR="00D041A2" w:rsidRDefault="00D041A2">
      <w:pPr>
        <w:pStyle w:val="Normal35"/>
      </w:pPr>
    </w:p>
    <w:p w14:paraId="6A4303F6" w14:textId="77777777" w:rsidR="00D041A2" w:rsidRDefault="00000000">
      <w:pPr>
        <w:pStyle w:val="Normal35"/>
        <w:widowControl w:val="0"/>
        <w:spacing w:before="200" w:line="260" w:lineRule="atLeast"/>
        <w:jc w:val="both"/>
      </w:pPr>
      <w:bookmarkStart w:id="4265" w:name="Bookmark_para_3_34"/>
      <w:bookmarkEnd w:id="4265"/>
      <w:r>
        <w:rPr>
          <w:rFonts w:ascii="Arial" w:eastAsia="Arial" w:hAnsi="Arial" w:cs="Arial"/>
          <w:color w:val="000000"/>
          <w:sz w:val="20"/>
        </w:rPr>
        <w:t> [*772]  BOGGS, Circuit Judge. Shortly after suffering an epileptic seizure at a mall, Kevin Everson was restrained, placed under arrest, and charged with criminal offenses. Those charges were ultimately dropped. In district court, Everson brought claims against defendants under Title II of the Americans with Disabilities Act ("ADA"). Everson alleges that defendants intentionally discriminated against him in the manner they responded to his seizure. The district court granted summary judgment in favor of defendants, and we affirm.</w:t>
      </w:r>
    </w:p>
    <w:p w14:paraId="27FBE835" w14:textId="77777777" w:rsidR="00D041A2" w:rsidRDefault="00000000">
      <w:pPr>
        <w:pStyle w:val="Normal35"/>
        <w:widowControl w:val="0"/>
        <w:spacing w:before="120" w:line="260" w:lineRule="atLeast"/>
      </w:pPr>
      <w:r>
        <w:rPr>
          <w:rFonts w:ascii="Arial" w:eastAsia="Arial" w:hAnsi="Arial" w:cs="Arial"/>
          <w:color w:val="000000"/>
          <w:sz w:val="20"/>
        </w:rPr>
        <w:t>I</w:t>
      </w:r>
    </w:p>
    <w:p w14:paraId="06080C0E" w14:textId="77777777" w:rsidR="00D041A2" w:rsidRDefault="00000000">
      <w:pPr>
        <w:pStyle w:val="Normal35"/>
        <w:widowControl w:val="0"/>
        <w:spacing w:before="200" w:line="260" w:lineRule="atLeast"/>
        <w:jc w:val="both"/>
      </w:pPr>
      <w:bookmarkStart w:id="4266" w:name="Bookmark_para_4_34"/>
      <w:bookmarkEnd w:id="4266"/>
      <w:r>
        <w:rPr>
          <w:rFonts w:ascii="Arial" w:eastAsia="Arial" w:hAnsi="Arial" w:cs="Arial"/>
          <w:color w:val="000000"/>
          <w:sz w:val="20"/>
        </w:rPr>
        <w:t>On April 19, 2003, Everson experienced an epileptic seizure in the bathroom at Northgate Mall in Hamilton County, Ohio. Appellant's  [**2] Br. at 3. Shortly thereafter, Hamilton County Deputy Sheriff Albert Wittich received a call requesting assistance for a person at the mall having a seizure. When Wittich arrived, two EMS employees and two other deputies, responding  [*773]  to the same call, were already at the scene.</w:t>
      </w:r>
    </w:p>
    <w:p w14:paraId="7DC31D8B" w14:textId="77777777" w:rsidR="00D041A2" w:rsidRDefault="00000000">
      <w:pPr>
        <w:pStyle w:val="Normal35"/>
        <w:widowControl w:val="0"/>
        <w:spacing w:before="200" w:line="260" w:lineRule="atLeast"/>
        <w:jc w:val="both"/>
      </w:pPr>
      <w:bookmarkStart w:id="4267" w:name="Bookmark_para_5_34"/>
      <w:bookmarkStart w:id="4268" w:name="Bookmark_I529J4F30M6JVC0020000400"/>
      <w:bookmarkStart w:id="4269" w:name="Bookmark_I529J4F30M6JVC0040000400"/>
      <w:bookmarkEnd w:id="4267"/>
      <w:bookmarkEnd w:id="4268"/>
      <w:bookmarkEnd w:id="4269"/>
      <w:r>
        <w:rPr>
          <w:rFonts w:ascii="Arial" w:eastAsia="Arial" w:hAnsi="Arial" w:cs="Arial"/>
          <w:color w:val="000000"/>
          <w:sz w:val="20"/>
        </w:rPr>
        <w:t xml:space="preserve">Everson remembers that he was approached by individuals in uniform after exiting the bathroom, and that he asked them whether he could sit down. Everson also remembers being on the ground, although he otherwise lacks any recollection of his interaction with these uniformed individuals until after his epsiode ended with him restrained on a cot. </w:t>
      </w:r>
      <w:bookmarkStart w:id="4270" w:name="Bookmark_I529J4F30M6JVC0010000400"/>
      <w:bookmarkEnd w:id="4270"/>
      <w:r>
        <w:rPr>
          <w:rFonts w:ascii="Arial" w:eastAsia="Arial" w:hAnsi="Arial" w:cs="Arial"/>
          <w:i/>
          <w:color w:val="000000"/>
          <w:sz w:val="20"/>
        </w:rPr>
        <w:t>Everson v. Leis</w:t>
      </w:r>
      <w:r>
        <w:rPr>
          <w:rFonts w:ascii="Arial" w:eastAsia="Arial" w:hAnsi="Arial" w:cs="Arial"/>
          <w:color w:val="000000"/>
          <w:sz w:val="20"/>
        </w:rPr>
        <w:t xml:space="preserve">, 556 F.3d 484, 489-90 (6th Cir. 2009). This loss of memory is typical for Everson, who stated that he can remember what happens before and after—but not what happens during—a seizure. </w:t>
      </w:r>
      <w:bookmarkStart w:id="4271" w:name="Bookmark_I529J4F30M6JVC0030000400"/>
      <w:bookmarkEnd w:id="4271"/>
      <w:r>
        <w:rPr>
          <w:rFonts w:ascii="Arial" w:eastAsia="Arial" w:hAnsi="Arial" w:cs="Arial"/>
          <w:i/>
          <w:color w:val="000000"/>
          <w:sz w:val="20"/>
        </w:rPr>
        <w:t>Id</w:t>
      </w:r>
      <w:r>
        <w:rPr>
          <w:rFonts w:ascii="Arial" w:eastAsia="Arial" w:hAnsi="Arial" w:cs="Arial"/>
          <w:color w:val="000000"/>
          <w:sz w:val="20"/>
        </w:rPr>
        <w:t>. at 489.</w:t>
      </w:r>
    </w:p>
    <w:p w14:paraId="415160FF" w14:textId="77777777" w:rsidR="00D041A2" w:rsidRDefault="00000000">
      <w:pPr>
        <w:pStyle w:val="Normal35"/>
        <w:widowControl w:val="0"/>
        <w:spacing w:before="200" w:line="260" w:lineRule="atLeast"/>
        <w:jc w:val="both"/>
      </w:pPr>
      <w:bookmarkStart w:id="4272" w:name="Bookmark_para_6_34"/>
      <w:bookmarkStart w:id="4273" w:name="Bookmark_I529J4F40M6JVK0010000400"/>
      <w:bookmarkEnd w:id="4272"/>
      <w:bookmarkEnd w:id="4273"/>
      <w:r>
        <w:rPr>
          <w:rFonts w:ascii="Arial" w:eastAsia="Arial" w:hAnsi="Arial" w:cs="Arial"/>
          <w:color w:val="000000"/>
          <w:sz w:val="20"/>
        </w:rPr>
        <w:t xml:space="preserve">Because Everson has no further memories of the interaction at issue, the defendants' version of events is undisputed and should be accepted for the court's purposes here. </w:t>
      </w:r>
      <w:bookmarkStart w:id="4274" w:name="Bookmark_I529J4F30M6JVC0050000400"/>
      <w:bookmarkEnd w:id="4274"/>
      <w:r>
        <w:rPr>
          <w:rFonts w:ascii="Arial" w:eastAsia="Arial" w:hAnsi="Arial" w:cs="Arial"/>
          <w:i/>
          <w:color w:val="000000"/>
          <w:sz w:val="20"/>
        </w:rPr>
        <w:t>Wysong v. City of Heath</w:t>
      </w:r>
      <w:r>
        <w:rPr>
          <w:rFonts w:ascii="Arial" w:eastAsia="Arial" w:hAnsi="Arial" w:cs="Arial"/>
          <w:color w:val="000000"/>
          <w:sz w:val="20"/>
        </w:rPr>
        <w:t>, 260 F. App'x 848, 856 (6th Cir. 2008) (deciding summary judgment based on officer's version of events when plaintiff, due to disability, could not recall what happened) (citing  [**3] </w:t>
      </w:r>
      <w:bookmarkStart w:id="4275" w:name="Bookmark_I529J4F40M6JVK0020000400"/>
      <w:bookmarkEnd w:id="4275"/>
      <w:r>
        <w:rPr>
          <w:rFonts w:ascii="Arial" w:eastAsia="Arial" w:hAnsi="Arial" w:cs="Arial"/>
          <w:i/>
          <w:color w:val="000000"/>
          <w:sz w:val="20"/>
        </w:rPr>
        <w:t>Wertish v. Krueger</w:t>
      </w:r>
      <w:r>
        <w:rPr>
          <w:rFonts w:ascii="Arial" w:eastAsia="Arial" w:hAnsi="Arial" w:cs="Arial"/>
          <w:color w:val="000000"/>
          <w:sz w:val="20"/>
        </w:rPr>
        <w:t>, 433 F.3d 1062 (8th Cir. 2006)). This court summarized defendants' version of events as follows:</w:t>
      </w:r>
    </w:p>
    <w:p w14:paraId="6A02E815" w14:textId="77777777" w:rsidR="00D041A2" w:rsidRDefault="00000000">
      <w:pPr>
        <w:pStyle w:val="Normal35"/>
        <w:widowControl w:val="0"/>
        <w:spacing w:line="260" w:lineRule="atLeast"/>
        <w:ind w:left="400"/>
        <w:jc w:val="both"/>
      </w:pPr>
      <w:bookmarkStart w:id="4276" w:name="Bookmark_para_7_34"/>
      <w:bookmarkStart w:id="4277" w:name="Bookmark_I529J4F40M6JVK0010000400_2"/>
      <w:bookmarkEnd w:id="4276"/>
      <w:bookmarkEnd w:id="4277"/>
      <w:r>
        <w:rPr>
          <w:rFonts w:ascii="Arial" w:eastAsia="Arial" w:hAnsi="Arial" w:cs="Arial"/>
          <w:color w:val="000000"/>
          <w:sz w:val="20"/>
        </w:rPr>
        <w:t xml:space="preserve">Everson threatened to swing at mall security staff and local EMS. He kicked and swung at individuals as they approached him. When Deputy Wittich attempted to retrieve [Everson's] identification, Everson became violent and kicked the deputy. </w:t>
      </w:r>
      <w:bookmarkStart w:id="4278" w:name="Bookmark_I529J4F40M6JVK0050000400"/>
      <w:bookmarkEnd w:id="4278"/>
      <w:r>
        <w:rPr>
          <w:rFonts w:ascii="Arial" w:eastAsia="Arial" w:hAnsi="Arial" w:cs="Arial"/>
          <w:color w:val="000000"/>
          <w:sz w:val="20"/>
        </w:rPr>
        <w:t>After being placed on the ground, Everson continued to kick and fight. When an EMS worker tried to obtain a blood sugar reading, Everson pushed the worker away.</w:t>
      </w:r>
    </w:p>
    <w:p w14:paraId="0C8E587B" w14:textId="77777777" w:rsidR="00D041A2" w:rsidRDefault="00000000">
      <w:pPr>
        <w:pStyle w:val="Normal35"/>
        <w:widowControl w:val="0"/>
        <w:spacing w:before="200" w:line="260" w:lineRule="atLeast"/>
        <w:jc w:val="both"/>
      </w:pPr>
      <w:bookmarkStart w:id="4279" w:name="Bookmark_I529J4F40M6JVK0050000400_2"/>
      <w:bookmarkStart w:id="4280" w:name="Bookmark_I529J4F40M6JVK0040000400"/>
      <w:bookmarkEnd w:id="4279"/>
      <w:bookmarkEnd w:id="4280"/>
      <w:r>
        <w:rPr>
          <w:rFonts w:ascii="Arial" w:eastAsia="Arial" w:hAnsi="Arial" w:cs="Arial"/>
          <w:i/>
          <w:color w:val="000000"/>
          <w:sz w:val="20"/>
        </w:rPr>
        <w:t>Everson v. Leis</w:t>
      </w:r>
      <w:r>
        <w:rPr>
          <w:rFonts w:ascii="Arial" w:eastAsia="Arial" w:hAnsi="Arial" w:cs="Arial"/>
          <w:color w:val="000000"/>
          <w:sz w:val="20"/>
        </w:rPr>
        <w:t>, 556 F.3d at 489-90. The only additional discovery following Everson's first appeal—Deputy Wittich's deposition—confirms these events.</w:t>
      </w:r>
    </w:p>
    <w:p w14:paraId="4BE51AE9" w14:textId="77777777" w:rsidR="00D041A2" w:rsidRDefault="00000000">
      <w:pPr>
        <w:pStyle w:val="Normal35"/>
        <w:widowControl w:val="0"/>
        <w:spacing w:before="200" w:line="260" w:lineRule="atLeast"/>
        <w:jc w:val="both"/>
      </w:pPr>
      <w:bookmarkStart w:id="4281" w:name="Bookmark_para_8_33"/>
      <w:bookmarkEnd w:id="4281"/>
      <w:r>
        <w:rPr>
          <w:rFonts w:ascii="Arial" w:eastAsia="Arial" w:hAnsi="Arial" w:cs="Arial"/>
          <w:color w:val="000000"/>
          <w:sz w:val="20"/>
        </w:rPr>
        <w:t>Putting an end to this ruckus, Wittich restrained Everson, placed him on an EMS cot, and transported him outside the mall. Appellees' Br. at 6. Wittich placed Everson under arrest and subsequently prepared a criminal complaint, charging him with both assault and disorderly conduct under the Ohio Revised Code. Everson claims that he experiences involuntary muscle movements during and after seizures, and that all of his aggressive actions were caused by his seizure. Accordingly, the charges were dismissed when Everson's attorney provided  [**4] the prosecutor with medical documentation of Everson's disability. Appellant's Br. at 6.</w:t>
      </w:r>
    </w:p>
    <w:p w14:paraId="2F462746" w14:textId="77777777" w:rsidR="00D041A2" w:rsidRDefault="00000000">
      <w:pPr>
        <w:pStyle w:val="Normal35"/>
        <w:widowControl w:val="0"/>
        <w:spacing w:before="200" w:line="260" w:lineRule="atLeast"/>
        <w:jc w:val="both"/>
      </w:pPr>
      <w:bookmarkStart w:id="4282" w:name="Bookmark_para_9_32"/>
      <w:bookmarkEnd w:id="4282"/>
      <w:r>
        <w:rPr>
          <w:rFonts w:ascii="Arial" w:eastAsia="Arial" w:hAnsi="Arial" w:cs="Arial"/>
          <w:color w:val="000000"/>
          <w:sz w:val="20"/>
        </w:rPr>
        <w:t>Nearly two years later, on February 11, 2005, Everson filed claims against Sheriff Simon Leis, Wittich, a John Doe Deputy, Northgate Mall, and John Doe employees of the mall. In his complaint, Everson asserted multiple claims under 42 U.S.C. §§ 1983 and 1985, an equal protection claim under the Fourteenth Amendment, an emotional distress claim under Ohio law, and a claim under Title II of the ADA.</w:t>
      </w:r>
    </w:p>
    <w:p w14:paraId="315D7EF9" w14:textId="77777777" w:rsidR="00D041A2" w:rsidRDefault="00000000">
      <w:pPr>
        <w:pStyle w:val="Normal35"/>
        <w:widowControl w:val="0"/>
        <w:spacing w:before="200" w:line="260" w:lineRule="atLeast"/>
        <w:jc w:val="both"/>
      </w:pPr>
      <w:bookmarkStart w:id="4283" w:name="Bookmark_para_10_32"/>
      <w:bookmarkEnd w:id="4283"/>
      <w:r>
        <w:rPr>
          <w:rFonts w:ascii="Arial" w:eastAsia="Arial" w:hAnsi="Arial" w:cs="Arial"/>
          <w:color w:val="000000"/>
          <w:sz w:val="20"/>
        </w:rPr>
        <w:t xml:space="preserve">On August 1, 2006, Leis and Wittich filed a motion for summary judgment. </w:t>
      </w:r>
      <w:bookmarkStart w:id="4284" w:name="Bookmark_I529J4F40M6JVV0020000400"/>
      <w:bookmarkEnd w:id="4284"/>
      <w:r>
        <w:rPr>
          <w:rFonts w:ascii="Arial" w:eastAsia="Arial" w:hAnsi="Arial" w:cs="Arial"/>
          <w:color w:val="000000"/>
          <w:sz w:val="20"/>
        </w:rPr>
        <w:t xml:space="preserve">Everson's counsel did not reply to the motion and ultimately withdrew for personal reasons. Everson's new counsel requested that the district court reopen discovery, and the court granted the request on October 11, 2007. </w:t>
      </w:r>
      <w:bookmarkStart w:id="4285" w:name="Bookmark_I529J4F40M6JVV0040000400"/>
      <w:bookmarkEnd w:id="4285"/>
      <w:r>
        <w:rPr>
          <w:rFonts w:ascii="Arial" w:eastAsia="Arial" w:hAnsi="Arial" w:cs="Arial"/>
          <w:color w:val="000000"/>
          <w:sz w:val="20"/>
        </w:rPr>
        <w:t xml:space="preserve">Leis and Wittich filed an interlocutory appeal of the order to reopen discovery, and in </w:t>
      </w:r>
      <w:r>
        <w:rPr>
          <w:rFonts w:ascii="Arial" w:eastAsia="Arial" w:hAnsi="Arial" w:cs="Arial"/>
          <w:i/>
          <w:color w:val="000000"/>
          <w:sz w:val="20"/>
        </w:rPr>
        <w:t>Everson v. Leis</w:t>
      </w:r>
      <w:r>
        <w:rPr>
          <w:rFonts w:ascii="Arial" w:eastAsia="Arial" w:hAnsi="Arial" w:cs="Arial"/>
          <w:color w:val="000000"/>
          <w:sz w:val="20"/>
        </w:rPr>
        <w:t xml:space="preserve">, this court decided that appeal, holding that Leis and Wittich were entitled to qualified immunity on all §§ 1983 and 1985 claims against them in their individual capacities. </w:t>
      </w:r>
      <w:bookmarkStart w:id="4286" w:name="Bookmark_I529J4F40M6JVV0010000400"/>
      <w:bookmarkEnd w:id="4286"/>
      <w:r>
        <w:rPr>
          <w:rFonts w:ascii="Arial" w:eastAsia="Arial" w:hAnsi="Arial" w:cs="Arial"/>
          <w:color w:val="000000"/>
          <w:sz w:val="20"/>
        </w:rPr>
        <w:t xml:space="preserve">556 F.3d at 491-92. </w:t>
      </w:r>
      <w:bookmarkStart w:id="4287" w:name="Bookmark_I529J4F40M6JVV0040000400_2"/>
      <w:bookmarkEnd w:id="4287"/>
      <w:r>
        <w:rPr>
          <w:rFonts w:ascii="Arial" w:eastAsia="Arial" w:hAnsi="Arial" w:cs="Arial"/>
          <w:color w:val="000000"/>
          <w:sz w:val="20"/>
        </w:rPr>
        <w:t xml:space="preserve">Because Leis and Wittich had not moved for qualified immunity from the ADA claim against them in their individual capacities,  [**5] the court did not reach the merits of the ADA claim and remanded to the district court for further proceedings. </w:t>
      </w:r>
      <w:bookmarkStart w:id="4288" w:name="Bookmark_I529J4F40M6JVV0030000400"/>
      <w:bookmarkEnd w:id="4288"/>
      <w:r>
        <w:rPr>
          <w:rFonts w:ascii="Arial" w:eastAsia="Arial" w:hAnsi="Arial" w:cs="Arial"/>
          <w:i/>
          <w:color w:val="000000"/>
          <w:sz w:val="20"/>
        </w:rPr>
        <w:t>Id.</w:t>
      </w:r>
      <w:r>
        <w:rPr>
          <w:rFonts w:ascii="Arial" w:eastAsia="Arial" w:hAnsi="Arial" w:cs="Arial"/>
          <w:color w:val="000000"/>
          <w:sz w:val="20"/>
        </w:rPr>
        <w:t xml:space="preserve"> at 501.</w:t>
      </w:r>
    </w:p>
    <w:p w14:paraId="6ADCE86D" w14:textId="77777777" w:rsidR="00D041A2" w:rsidRDefault="00000000">
      <w:pPr>
        <w:pStyle w:val="Normal35"/>
        <w:widowControl w:val="0"/>
        <w:spacing w:before="200" w:line="260" w:lineRule="atLeast"/>
        <w:jc w:val="both"/>
      </w:pPr>
      <w:bookmarkStart w:id="4289" w:name="Bookmark_para_11_31"/>
      <w:bookmarkEnd w:id="4289"/>
      <w:r>
        <w:rPr>
          <w:rFonts w:ascii="Arial" w:eastAsia="Arial" w:hAnsi="Arial" w:cs="Arial"/>
          <w:color w:val="000000"/>
          <w:sz w:val="20"/>
        </w:rPr>
        <w:t>Everson voluntarily dismissed his equal protection and emotional distress claims, choosing to proceed with only his Title II  [*774]  claim against Leis and Wittich in their official capacities. On October 6, 2009, the district court granted summary judgment to the defendants on Everson's sole remaining claim. The court assumed for purposes of summary judgment that Everson's actions were involuntary and caused by his epilepsy, but nonetheless concluded that any discrimination was unintentional and thus not actionable under the ADA.</w:t>
      </w:r>
    </w:p>
    <w:p w14:paraId="37CD92DC" w14:textId="77777777" w:rsidR="00D041A2" w:rsidRDefault="00000000">
      <w:pPr>
        <w:pStyle w:val="Normal35"/>
        <w:widowControl w:val="0"/>
        <w:spacing w:before="200" w:line="260" w:lineRule="atLeast"/>
        <w:jc w:val="both"/>
      </w:pPr>
      <w:bookmarkStart w:id="4290" w:name="Bookmark_para_12_30"/>
      <w:bookmarkEnd w:id="4290"/>
      <w:r>
        <w:rPr>
          <w:rFonts w:ascii="Arial" w:eastAsia="Arial" w:hAnsi="Arial" w:cs="Arial"/>
          <w:color w:val="000000"/>
          <w:sz w:val="20"/>
        </w:rPr>
        <w:t>Everson filed this timely appeal of the district court's order of summary judgment, and this court has appellate jurisdiction under 28 U.S.C. § 1291.</w:t>
      </w:r>
    </w:p>
    <w:p w14:paraId="6487E619" w14:textId="77777777" w:rsidR="00D041A2" w:rsidRDefault="00000000">
      <w:pPr>
        <w:pStyle w:val="Normal35"/>
        <w:widowControl w:val="0"/>
        <w:spacing w:before="120" w:line="260" w:lineRule="atLeast"/>
      </w:pPr>
      <w:r>
        <w:rPr>
          <w:rFonts w:ascii="Arial" w:eastAsia="Arial" w:hAnsi="Arial" w:cs="Arial"/>
          <w:color w:val="000000"/>
          <w:sz w:val="20"/>
        </w:rPr>
        <w:t>II</w:t>
      </w:r>
    </w:p>
    <w:p w14:paraId="4C9347AA" w14:textId="77777777" w:rsidR="00D041A2" w:rsidRDefault="00000000">
      <w:pPr>
        <w:pStyle w:val="Normal35"/>
        <w:widowControl w:val="0"/>
        <w:spacing w:before="200" w:line="260" w:lineRule="atLeast"/>
        <w:jc w:val="both"/>
      </w:pPr>
      <w:bookmarkStart w:id="4291" w:name="Bookmark_para_13_28"/>
      <w:bookmarkStart w:id="4292" w:name="Bookmark_I529J4F40M6JW10010000400"/>
      <w:bookmarkStart w:id="4293" w:name="Bookmark_LNHNREFclscc1_26"/>
      <w:bookmarkEnd w:id="4291"/>
      <w:bookmarkEnd w:id="4292"/>
      <w:bookmarkEnd w:id="4293"/>
      <w:r>
        <w:rPr>
          <w:rFonts w:ascii="Arial" w:eastAsia="Arial" w:hAnsi="Arial" w:cs="Arial"/>
          <w:color w:val="000000"/>
          <w:sz w:val="20"/>
        </w:rPr>
        <w:t xml:space="preserve">This court reviews orders granting summary judgment de novo. </w:t>
      </w:r>
      <w:bookmarkStart w:id="4294" w:name="Bookmark_I529J4F40M6JVV0050000400"/>
      <w:bookmarkEnd w:id="4294"/>
      <w:r>
        <w:rPr>
          <w:rFonts w:ascii="Arial" w:eastAsia="Arial" w:hAnsi="Arial" w:cs="Arial"/>
          <w:i/>
          <w:color w:val="000000"/>
          <w:sz w:val="20"/>
        </w:rPr>
        <w:t>Havensure, L.L.C. v. Prudential Ins. Co. of America</w:t>
      </w:r>
      <w:r>
        <w:rPr>
          <w:rFonts w:ascii="Arial" w:eastAsia="Arial" w:hAnsi="Arial" w:cs="Arial"/>
          <w:color w:val="000000"/>
          <w:sz w:val="20"/>
        </w:rPr>
        <w:t xml:space="preserve">, 595 F.3d 312, 315 (6th Cir. 2010). </w:t>
      </w:r>
      <w:bookmarkStart w:id="4295" w:name="Bookmark_LNHNREFclscc2_26"/>
      <w:bookmarkEnd w:id="4295"/>
      <w:r>
        <w:rPr>
          <w:rFonts w:ascii="Arial" w:eastAsia="Arial" w:hAnsi="Arial" w:cs="Arial"/>
          <w:color w:val="000000"/>
          <w:sz w:val="20"/>
        </w:rPr>
        <w:t>Pursuant to Rule 56(c) of the Federal Rules of Civil Procedure, summary judgment is appropriate only where "the pleadings, the discovery and disclosure materials on file, and any affidavits show that there is no genuine issue as to any material fact  [**6] and that the movant is entitled to judgment as a matter of law."</w:t>
      </w:r>
    </w:p>
    <w:p w14:paraId="493124E4" w14:textId="77777777" w:rsidR="00D041A2" w:rsidRDefault="00000000">
      <w:pPr>
        <w:pStyle w:val="Normal35"/>
        <w:widowControl w:val="0"/>
        <w:spacing w:before="200" w:line="260" w:lineRule="atLeast"/>
        <w:jc w:val="both"/>
      </w:pPr>
      <w:bookmarkStart w:id="4296" w:name="Bookmark_para_14_24"/>
      <w:bookmarkStart w:id="4297" w:name="Bookmark_I529J4F40M6JW10030000400"/>
      <w:bookmarkStart w:id="4298" w:name="Bookmark_LNHNREFclscc3_24"/>
      <w:bookmarkEnd w:id="4296"/>
      <w:bookmarkEnd w:id="4297"/>
      <w:bookmarkEnd w:id="4298"/>
      <w:r>
        <w:rPr>
          <w:rFonts w:ascii="Arial" w:eastAsia="Arial" w:hAnsi="Arial" w:cs="Arial"/>
          <w:color w:val="000000"/>
          <w:sz w:val="20"/>
        </w:rPr>
        <w:t xml:space="preserve">A genuine issue of material fact exists if there is sufficient evidence favoring the nonmoving party for a jury to return a verdict for that party. </w:t>
      </w:r>
      <w:bookmarkStart w:id="4299" w:name="Bookmark_I1PDM8FP370000135S400001"/>
      <w:bookmarkStart w:id="4300" w:name="Bookmark_I529J4F40M6JW60020000400"/>
      <w:bookmarkStart w:id="4301" w:name="Bookmark_I529J4F40M6JW10020000400"/>
      <w:bookmarkEnd w:id="4299"/>
      <w:bookmarkEnd w:id="4300"/>
      <w:bookmarkEnd w:id="4301"/>
      <w:r>
        <w:rPr>
          <w:rFonts w:ascii="Arial" w:eastAsia="Arial" w:hAnsi="Arial" w:cs="Arial"/>
          <w:i/>
          <w:color w:val="000000"/>
          <w:sz w:val="20"/>
        </w:rPr>
        <w:t>Havensure</w:t>
      </w:r>
      <w:r>
        <w:rPr>
          <w:rFonts w:ascii="Arial" w:eastAsia="Arial" w:hAnsi="Arial" w:cs="Arial"/>
          <w:color w:val="000000"/>
          <w:sz w:val="20"/>
        </w:rPr>
        <w:t xml:space="preserve">, 595 F.3d at 315 (citing </w:t>
      </w:r>
      <w:bookmarkStart w:id="4302" w:name="Bookmark_I529J4F40M6JW10040000400"/>
      <w:bookmarkEnd w:id="4302"/>
      <w:r>
        <w:rPr>
          <w:rFonts w:ascii="Arial" w:eastAsia="Arial" w:hAnsi="Arial" w:cs="Arial"/>
          <w:i/>
          <w:color w:val="000000"/>
          <w:sz w:val="20"/>
        </w:rPr>
        <w:t>Anderson v. Liberty Lobby, Inc.</w:t>
      </w:r>
      <w:r>
        <w:rPr>
          <w:rFonts w:ascii="Arial" w:eastAsia="Arial" w:hAnsi="Arial" w:cs="Arial"/>
          <w:color w:val="000000"/>
          <w:sz w:val="20"/>
        </w:rPr>
        <w:t xml:space="preserve">, 477 U.S. 242, 248, 106 S. Ct. 2505, 91 L. Ed. 2d 202 (1986)). </w:t>
      </w:r>
      <w:bookmarkStart w:id="4303" w:name="Bookmark_LNHNREFclscc4_23"/>
      <w:bookmarkEnd w:id="4303"/>
      <w:r>
        <w:rPr>
          <w:rFonts w:ascii="Arial" w:eastAsia="Arial" w:hAnsi="Arial" w:cs="Arial"/>
          <w:color w:val="000000"/>
          <w:sz w:val="20"/>
        </w:rPr>
        <w:t xml:space="preserve">The moving party has the burden of establishing a lack of a genuine issue of material fact, and if the moving party meets this burden, the nonmoving party must set forth specific facts indicating the existence of a genuine issue. </w:t>
      </w:r>
      <w:bookmarkStart w:id="4304" w:name="Bookmark_I529J4F40M6JW60020000400_2"/>
      <w:bookmarkStart w:id="4305" w:name="Bookmark_I529J4F40M6JW60010000400"/>
      <w:bookmarkEnd w:id="4304"/>
      <w:bookmarkEnd w:id="4305"/>
      <w:r>
        <w:rPr>
          <w:rFonts w:ascii="Arial" w:eastAsia="Arial" w:hAnsi="Arial" w:cs="Arial"/>
          <w:i/>
          <w:color w:val="000000"/>
          <w:sz w:val="20"/>
        </w:rPr>
        <w:t>Univ. of Pittsburgh v. Townsend</w:t>
      </w:r>
      <w:r>
        <w:rPr>
          <w:rFonts w:ascii="Arial" w:eastAsia="Arial" w:hAnsi="Arial" w:cs="Arial"/>
          <w:color w:val="000000"/>
          <w:sz w:val="20"/>
        </w:rPr>
        <w:t>, 542 F.3d 513, 522 (6th Cir. 2008).</w:t>
      </w:r>
    </w:p>
    <w:p w14:paraId="7D611A63" w14:textId="77777777" w:rsidR="00D041A2" w:rsidRDefault="00000000">
      <w:pPr>
        <w:pStyle w:val="Normal35"/>
        <w:widowControl w:val="0"/>
        <w:spacing w:before="200" w:line="260" w:lineRule="atLeast"/>
        <w:jc w:val="both"/>
      </w:pPr>
      <w:bookmarkStart w:id="4306" w:name="Bookmark_para_15_23"/>
      <w:bookmarkStart w:id="4307" w:name="Bookmark_I1PDM8FPNRJ000135S400003"/>
      <w:bookmarkStart w:id="4308" w:name="Bookmark_I529J4F40M6JW60040000400"/>
      <w:bookmarkEnd w:id="4306"/>
      <w:bookmarkEnd w:id="4307"/>
      <w:bookmarkEnd w:id="4308"/>
      <w:r>
        <w:rPr>
          <w:rFonts w:ascii="Arial" w:eastAsia="Arial" w:hAnsi="Arial" w:cs="Arial"/>
          <w:color w:val="000000"/>
          <w:sz w:val="20"/>
        </w:rPr>
        <w:t xml:space="preserve">Finally, </w:t>
      </w:r>
      <w:bookmarkStart w:id="4309" w:name="Bookmark_LNHNREFclscc5_23"/>
      <w:bookmarkEnd w:id="4309"/>
      <w:r>
        <w:rPr>
          <w:rFonts w:ascii="Arial" w:eastAsia="Arial" w:hAnsi="Arial" w:cs="Arial"/>
          <w:color w:val="000000"/>
          <w:sz w:val="20"/>
        </w:rPr>
        <w:t xml:space="preserve">when reviewing the record for a genuine issue of material fact, the court must draw all reasonable inferences in the light most favorable to the non-moving party. </w:t>
      </w:r>
      <w:bookmarkStart w:id="4310" w:name="Bookmark_I529J4F40M6JW60030000400"/>
      <w:bookmarkEnd w:id="4310"/>
      <w:r>
        <w:rPr>
          <w:rFonts w:ascii="Arial" w:eastAsia="Arial" w:hAnsi="Arial" w:cs="Arial"/>
          <w:i/>
          <w:color w:val="000000"/>
          <w:sz w:val="20"/>
        </w:rPr>
        <w:t>Richland Bookmart, Inc. v. Knox Cnty., Tenn.</w:t>
      </w:r>
      <w:r>
        <w:rPr>
          <w:rFonts w:ascii="Arial" w:eastAsia="Arial" w:hAnsi="Arial" w:cs="Arial"/>
          <w:color w:val="000000"/>
          <w:sz w:val="20"/>
        </w:rPr>
        <w:t xml:space="preserve">, 555 F.3d 512, 520 (6th Cir. 2009) (citing </w:t>
      </w:r>
      <w:bookmarkStart w:id="4311" w:name="Bookmark_I529J4F40M6JW60050000400"/>
      <w:bookmarkEnd w:id="4311"/>
      <w:r>
        <w:rPr>
          <w:rFonts w:ascii="Arial" w:eastAsia="Arial" w:hAnsi="Arial" w:cs="Arial"/>
          <w:i/>
          <w:color w:val="000000"/>
          <w:sz w:val="20"/>
        </w:rPr>
        <w:t>Matsushita Elec. Indus. Co. v. Zenith Radio Corp.</w:t>
      </w:r>
      <w:r>
        <w:rPr>
          <w:rFonts w:ascii="Arial" w:eastAsia="Arial" w:hAnsi="Arial" w:cs="Arial"/>
          <w:color w:val="000000"/>
          <w:sz w:val="20"/>
        </w:rPr>
        <w:t>, 475 U.S. 574, 577, 106 S. Ct. 1348, 89 L. Ed. 2d 538 (1986)).</w:t>
      </w:r>
    </w:p>
    <w:p w14:paraId="113E46D2" w14:textId="77777777" w:rsidR="00D041A2" w:rsidRDefault="00000000">
      <w:pPr>
        <w:pStyle w:val="Normal35"/>
        <w:widowControl w:val="0"/>
        <w:spacing w:before="200" w:line="260" w:lineRule="atLeast"/>
        <w:jc w:val="both"/>
      </w:pPr>
      <w:bookmarkStart w:id="4312" w:name="Bookmark_para_16_23"/>
      <w:bookmarkStart w:id="4313" w:name="Bookmark_I1PDM8FPTKN000135S400004"/>
      <w:bookmarkStart w:id="4314" w:name="Bookmark_I529J4F40M6JWB0030000400"/>
      <w:bookmarkEnd w:id="4312"/>
      <w:bookmarkEnd w:id="4313"/>
      <w:bookmarkEnd w:id="4314"/>
      <w:r>
        <w:rPr>
          <w:rFonts w:ascii="Arial" w:eastAsia="Arial" w:hAnsi="Arial" w:cs="Arial"/>
          <w:color w:val="000000"/>
          <w:sz w:val="20"/>
        </w:rPr>
        <w:t xml:space="preserve">Title II of the ADA provides: </w:t>
      </w:r>
      <w:bookmarkStart w:id="4315" w:name="Bookmark_LNHNREFclscc6_23"/>
      <w:bookmarkEnd w:id="4315"/>
      <w:r>
        <w:rPr>
          <w:rFonts w:ascii="Arial" w:eastAsia="Arial" w:hAnsi="Arial" w:cs="Arial"/>
          <w:color w:val="000000"/>
          <w:sz w:val="20"/>
        </w:rPr>
        <w:t xml:space="preserve">"no qualified individual with a disability shall, by reason of such disability, be excluded from participation in or be denied the benefits of the services, programs, or activities of a public entity, or be subjected to discrimination  [**7] by any such entity." 42 U.S.C. § 12132. </w:t>
      </w:r>
      <w:bookmarkStart w:id="4316" w:name="Bookmark_I1PDM8FR0J1000135S400005"/>
      <w:bookmarkStart w:id="4317" w:name="Bookmark_I529J4F40M6JWD0020000400"/>
      <w:bookmarkStart w:id="4318" w:name="Bookmark_LNHNREFclscc7_23"/>
      <w:bookmarkEnd w:id="4316"/>
      <w:bookmarkEnd w:id="4317"/>
      <w:bookmarkEnd w:id="4318"/>
      <w:r>
        <w:rPr>
          <w:rFonts w:ascii="Arial" w:eastAsia="Arial" w:hAnsi="Arial" w:cs="Arial"/>
          <w:color w:val="000000"/>
          <w:sz w:val="20"/>
        </w:rPr>
        <w:t xml:space="preserve">To establish a claim of discrimination under Title II, a plaintiff must prove that: "(1) she has a disability; (2) she is otherwise qualified; and (3) she is being excluded from participation in, being denied the benefits of, or being subjected to discrimination under the program solely </w:t>
      </w:r>
      <w:r>
        <w:rPr>
          <w:rFonts w:ascii="Arial" w:eastAsia="Arial" w:hAnsi="Arial" w:cs="Arial"/>
          <w:vertAlign w:val="superscript"/>
        </w:rPr>
        <w:footnoteReference w:customMarkFollows="1" w:id="215"/>
        <w:t>1</w:t>
      </w:r>
      <w:r>
        <w:rPr>
          <w:rFonts w:ascii="Arial" w:eastAsia="Arial" w:hAnsi="Arial" w:cs="Arial"/>
          <w:color w:val="000000"/>
          <w:sz w:val="20"/>
        </w:rPr>
        <w:t xml:space="preserve"> because of her disability." </w:t>
      </w:r>
      <w:bookmarkStart w:id="4320" w:name="Bookmark_I529J4F40M6JWB0020000400"/>
      <w:bookmarkEnd w:id="4320"/>
      <w:r>
        <w:rPr>
          <w:rFonts w:ascii="Arial" w:eastAsia="Arial" w:hAnsi="Arial" w:cs="Arial"/>
          <w:i/>
          <w:color w:val="000000"/>
          <w:sz w:val="20"/>
        </w:rPr>
        <w:t>Dillery v. City of Sandusky</w:t>
      </w:r>
      <w:r>
        <w:rPr>
          <w:rFonts w:ascii="Arial" w:eastAsia="Arial" w:hAnsi="Arial" w:cs="Arial"/>
          <w:color w:val="000000"/>
          <w:sz w:val="20"/>
        </w:rPr>
        <w:t xml:space="preserve">, 398 F.3d 562, 567 (6th Cir. 2005) (citing </w:t>
      </w:r>
      <w:bookmarkStart w:id="4321" w:name="Bookmark_I529J4F40M6JWB0040000400"/>
      <w:bookmarkEnd w:id="4321"/>
      <w:r>
        <w:rPr>
          <w:rFonts w:ascii="Arial" w:eastAsia="Arial" w:hAnsi="Arial" w:cs="Arial"/>
          <w:i/>
          <w:color w:val="000000"/>
          <w:sz w:val="20"/>
        </w:rPr>
        <w:t>Jones v. City of Monroe</w:t>
      </w:r>
      <w:r>
        <w:rPr>
          <w:rFonts w:ascii="Arial" w:eastAsia="Arial" w:hAnsi="Arial" w:cs="Arial"/>
          <w:color w:val="000000"/>
          <w:sz w:val="20"/>
        </w:rPr>
        <w:t xml:space="preserve">, 341 F.3d 474, 477 (6th Cir. 2003)). The plaintiff must also prove that the disability discrimination was intentional as it relates to the service, activity, or program. </w:t>
      </w:r>
      <w:bookmarkStart w:id="4322" w:name="Bookmark_I529J4F40M6JWD0020000400_2"/>
      <w:bookmarkStart w:id="4323" w:name="Bookmark_I529J4F40M6JWD0010000400"/>
      <w:bookmarkEnd w:id="4322"/>
      <w:bookmarkEnd w:id="4323"/>
      <w:r>
        <w:rPr>
          <w:rFonts w:ascii="Arial" w:eastAsia="Arial" w:hAnsi="Arial" w:cs="Arial"/>
          <w:i/>
          <w:color w:val="000000"/>
          <w:sz w:val="20"/>
        </w:rPr>
        <w:t>Tucker v. Tennessee</w:t>
      </w:r>
      <w:r>
        <w:rPr>
          <w:rFonts w:ascii="Arial" w:eastAsia="Arial" w:hAnsi="Arial" w:cs="Arial"/>
          <w:color w:val="000000"/>
          <w:sz w:val="20"/>
        </w:rPr>
        <w:t xml:space="preserve">, 539 F.3d 526, 535 (6th Cir. 2008) ("[E]ach [plaintiff] must show that he or she was </w:t>
      </w:r>
      <w:r>
        <w:rPr>
          <w:rFonts w:ascii="Arial" w:eastAsia="Arial" w:hAnsi="Arial" w:cs="Arial"/>
          <w:i/>
          <w:color w:val="000000"/>
          <w:sz w:val="20"/>
        </w:rPr>
        <w:t>intentionally</w:t>
      </w:r>
      <w:r>
        <w:rPr>
          <w:rFonts w:ascii="Arial" w:eastAsia="Arial" w:hAnsi="Arial" w:cs="Arial"/>
          <w:color w:val="000000"/>
          <w:sz w:val="20"/>
        </w:rPr>
        <w:t xml:space="preserve"> discriminated against </w:t>
      </w:r>
      <w:r>
        <w:rPr>
          <w:rFonts w:ascii="Arial" w:eastAsia="Arial" w:hAnsi="Arial" w:cs="Arial"/>
          <w:i/>
          <w:color w:val="000000"/>
          <w:sz w:val="20"/>
        </w:rPr>
        <w:t>solely because of his or her disability</w:t>
      </w:r>
      <w:r>
        <w:rPr>
          <w:rFonts w:ascii="Arial" w:eastAsia="Arial" w:hAnsi="Arial" w:cs="Arial"/>
          <w:color w:val="000000"/>
          <w:sz w:val="20"/>
        </w:rPr>
        <w:t xml:space="preserve"> in the context of that public service, activity, or program . . . .")</w:t>
      </w:r>
    </w:p>
    <w:p w14:paraId="1D2FADB3" w14:textId="77777777" w:rsidR="00D041A2" w:rsidRDefault="00000000">
      <w:pPr>
        <w:pStyle w:val="Normal35"/>
        <w:widowControl w:val="0"/>
        <w:spacing w:before="200" w:line="260" w:lineRule="atLeast"/>
        <w:jc w:val="both"/>
      </w:pPr>
      <w:bookmarkStart w:id="4324" w:name="Bookmark_para_17_22"/>
      <w:bookmarkStart w:id="4325" w:name="Bookmark_I529J4F40M6JWD0040000400"/>
      <w:bookmarkEnd w:id="4324"/>
      <w:bookmarkEnd w:id="4325"/>
      <w:r>
        <w:rPr>
          <w:rFonts w:ascii="Arial" w:eastAsia="Arial" w:hAnsi="Arial" w:cs="Arial"/>
          <w:color w:val="000000"/>
          <w:sz w:val="20"/>
        </w:rPr>
        <w:t xml:space="preserve">Defendants argue that Title II does not apply to arrests. Appellees' Br. at 8. </w:t>
      </w:r>
      <w:bookmarkStart w:id="4326" w:name="Bookmark_I529J4F40M6JWJ0030000400"/>
      <w:bookmarkEnd w:id="4326"/>
      <w:r>
        <w:rPr>
          <w:rFonts w:ascii="Arial" w:eastAsia="Arial" w:hAnsi="Arial" w:cs="Arial"/>
          <w:color w:val="000000"/>
          <w:sz w:val="20"/>
        </w:rPr>
        <w:t xml:space="preserve">While whether Title II applies to arrests is an open question in this Circuit, we need not decide it here. </w:t>
      </w:r>
      <w:bookmarkStart w:id="4327" w:name="Bookmark_I529J4F40M6JWD0030000400"/>
      <w:bookmarkEnd w:id="4327"/>
      <w:r>
        <w:rPr>
          <w:rFonts w:ascii="Arial" w:eastAsia="Arial" w:hAnsi="Arial" w:cs="Arial"/>
          <w:i/>
          <w:color w:val="000000"/>
          <w:sz w:val="20"/>
        </w:rPr>
        <w:t>Tucker</w:t>
      </w:r>
      <w:r>
        <w:rPr>
          <w:rFonts w:ascii="Arial" w:eastAsia="Arial" w:hAnsi="Arial" w:cs="Arial"/>
          <w:color w:val="000000"/>
          <w:sz w:val="20"/>
        </w:rPr>
        <w:t xml:space="preserve">, 539 F.3d at 534-35  [**8] (noting the open question and assuming, without deciding, the applicability  [*775]  of Title II to arrests in disposing of the case for a lack of intentional discrimination); </w:t>
      </w:r>
      <w:bookmarkStart w:id="4328" w:name="Bookmark_I529J4F40M6JWD0050000400"/>
      <w:bookmarkEnd w:id="4328"/>
      <w:r>
        <w:rPr>
          <w:rFonts w:ascii="Arial" w:eastAsia="Arial" w:hAnsi="Arial" w:cs="Arial"/>
          <w:i/>
          <w:color w:val="000000"/>
          <w:sz w:val="20"/>
        </w:rPr>
        <w:t>Scozzari v. City of Clare</w:t>
      </w:r>
      <w:r>
        <w:rPr>
          <w:rFonts w:ascii="Arial" w:eastAsia="Arial" w:hAnsi="Arial" w:cs="Arial"/>
          <w:color w:val="000000"/>
          <w:sz w:val="20"/>
        </w:rPr>
        <w:t xml:space="preserve">, 723 F. Supp. 2d 945, 971 (E.D. Mich. 2010) (noting that the Sixth Circuit has not decided whether Title II applies to arrests). </w:t>
      </w:r>
      <w:bookmarkStart w:id="4329" w:name="Bookmark_I529J4F40M6JWJ0030000400_2"/>
      <w:bookmarkEnd w:id="4329"/>
      <w:r>
        <w:rPr>
          <w:rFonts w:ascii="Arial" w:eastAsia="Arial" w:hAnsi="Arial" w:cs="Arial"/>
          <w:color w:val="000000"/>
          <w:sz w:val="20"/>
        </w:rPr>
        <w:t xml:space="preserve">Because we hold that Everson fails to establish a genuine issue of material fact as to whether defendants intentionally discriminated against him because of his disability, we affirm the grant of summary judgment in favor of defendants without deciding whether Title II applies to arrests. </w:t>
      </w:r>
      <w:bookmarkStart w:id="4330" w:name="Bookmark_I529J4F40M6JWJ0020000400"/>
      <w:bookmarkEnd w:id="4330"/>
      <w:r>
        <w:rPr>
          <w:rFonts w:ascii="Arial" w:eastAsia="Arial" w:hAnsi="Arial" w:cs="Arial"/>
          <w:i/>
          <w:color w:val="000000"/>
          <w:sz w:val="20"/>
        </w:rPr>
        <w:t>Tucker</w:t>
      </w:r>
      <w:r>
        <w:rPr>
          <w:rFonts w:ascii="Arial" w:eastAsia="Arial" w:hAnsi="Arial" w:cs="Arial"/>
          <w:color w:val="000000"/>
          <w:sz w:val="20"/>
        </w:rPr>
        <w:t xml:space="preserve">, 539 F.3d at 534-35; </w:t>
      </w:r>
      <w:bookmarkStart w:id="4331" w:name="Bookmark_I529J4F40M6JWJ0040000400"/>
      <w:bookmarkEnd w:id="4331"/>
      <w:r>
        <w:rPr>
          <w:rFonts w:ascii="Arial" w:eastAsia="Arial" w:hAnsi="Arial" w:cs="Arial"/>
          <w:i/>
          <w:color w:val="000000"/>
          <w:sz w:val="20"/>
        </w:rPr>
        <w:t>Shultz v. Carlisle Police Dep't</w:t>
      </w:r>
      <w:r>
        <w:rPr>
          <w:rFonts w:ascii="Arial" w:eastAsia="Arial" w:hAnsi="Arial" w:cs="Arial"/>
          <w:color w:val="000000"/>
          <w:sz w:val="20"/>
        </w:rPr>
        <w:t>, 706 F. Supp. 2d 613, 626 (M.D. Pa. 2010) (noting the lack of Third Circuit guidance on the same issue and disposing of an ADA claim for a lack of intent).</w:t>
      </w:r>
    </w:p>
    <w:p w14:paraId="49276379" w14:textId="77777777" w:rsidR="00D041A2" w:rsidRDefault="00000000">
      <w:pPr>
        <w:pStyle w:val="Normal35"/>
        <w:widowControl w:val="0"/>
        <w:spacing w:before="120" w:line="260" w:lineRule="atLeast"/>
      </w:pPr>
      <w:r>
        <w:rPr>
          <w:rFonts w:ascii="Arial" w:eastAsia="Arial" w:hAnsi="Arial" w:cs="Arial"/>
          <w:color w:val="000000"/>
          <w:sz w:val="20"/>
        </w:rPr>
        <w:t>III</w:t>
      </w:r>
    </w:p>
    <w:p w14:paraId="072002AF" w14:textId="77777777" w:rsidR="00D041A2" w:rsidRDefault="00000000">
      <w:pPr>
        <w:pStyle w:val="Normal35"/>
        <w:widowControl w:val="0"/>
        <w:spacing w:before="200" w:line="260" w:lineRule="atLeast"/>
        <w:jc w:val="both"/>
      </w:pPr>
      <w:bookmarkStart w:id="4332" w:name="Bookmark_para_18_20"/>
      <w:bookmarkStart w:id="4333" w:name="Bookmark_I529J4F50M6JWP0020000400"/>
      <w:bookmarkEnd w:id="4332"/>
      <w:bookmarkEnd w:id="4333"/>
      <w:r>
        <w:rPr>
          <w:rFonts w:ascii="Arial" w:eastAsia="Arial" w:hAnsi="Arial" w:cs="Arial"/>
          <w:color w:val="000000"/>
          <w:sz w:val="20"/>
        </w:rPr>
        <w:t xml:space="preserve">Because we must draw all inferences in the light most favorable to Everson, the nonmoving party, we consider the following facts and inferences for the purpose of determining whether, as the district court found below, there is "no genuine issue as to any material fact and [defendants are] entitled to a judgment as a matter of law." FED. R. CIV. P. 56(c); </w:t>
      </w:r>
      <w:bookmarkStart w:id="4334" w:name="Bookmark_I529J4F50M6JWP0010000400"/>
      <w:bookmarkEnd w:id="4334"/>
      <w:r>
        <w:rPr>
          <w:rFonts w:ascii="Arial" w:eastAsia="Arial" w:hAnsi="Arial" w:cs="Arial"/>
          <w:i/>
          <w:color w:val="000000"/>
          <w:sz w:val="20"/>
        </w:rPr>
        <w:t>Richland Bookmart</w:t>
      </w:r>
      <w:r>
        <w:rPr>
          <w:rFonts w:ascii="Arial" w:eastAsia="Arial" w:hAnsi="Arial" w:cs="Arial"/>
          <w:color w:val="000000"/>
          <w:sz w:val="20"/>
        </w:rPr>
        <w:t>, 555 F.3d at 520.</w:t>
      </w:r>
    </w:p>
    <w:p w14:paraId="7213B25D" w14:textId="77777777" w:rsidR="00D041A2" w:rsidRDefault="00000000">
      <w:pPr>
        <w:pStyle w:val="Normal35"/>
        <w:widowControl w:val="0"/>
        <w:spacing w:before="200" w:line="260" w:lineRule="atLeast"/>
        <w:jc w:val="both"/>
      </w:pPr>
      <w:bookmarkStart w:id="4335" w:name="Bookmark_para_19_20"/>
      <w:bookmarkEnd w:id="4335"/>
      <w:r>
        <w:rPr>
          <w:rFonts w:ascii="Arial" w:eastAsia="Arial" w:hAnsi="Arial" w:cs="Arial"/>
          <w:color w:val="000000"/>
          <w:sz w:val="20"/>
        </w:rPr>
        <w:t>Everson  [**9] has epilepsy, and his epilepsy caused all of his behavior during his interaction with defendants.</w:t>
      </w:r>
    </w:p>
    <w:p w14:paraId="78AE7BDD" w14:textId="77777777" w:rsidR="00D041A2" w:rsidRDefault="00000000">
      <w:pPr>
        <w:pStyle w:val="Normal35"/>
        <w:widowControl w:val="0"/>
        <w:spacing w:before="200" w:line="260" w:lineRule="atLeast"/>
        <w:jc w:val="both"/>
      </w:pPr>
      <w:bookmarkStart w:id="4336" w:name="Bookmark_para_20_20"/>
      <w:bookmarkStart w:id="4337" w:name="Bookmark_I529J4F50M6JWP0040000400"/>
      <w:bookmarkEnd w:id="4336"/>
      <w:bookmarkEnd w:id="4337"/>
      <w:r>
        <w:rPr>
          <w:rFonts w:ascii="Arial" w:eastAsia="Arial" w:hAnsi="Arial" w:cs="Arial"/>
          <w:color w:val="000000"/>
          <w:sz w:val="20"/>
        </w:rPr>
        <w:t xml:space="preserve">From the call that dispatched him to the scene, Wittich knew that Everson had recently suffered a seizure and had been unconscious. And at the time Wittich entered the scene, Wittich knew that Everson was acting in a semi-conscious state of mind. </w:t>
      </w:r>
      <w:bookmarkStart w:id="4338" w:name="Bookmark_I529J4F50M6JWP0030000400"/>
      <w:bookmarkEnd w:id="4338"/>
      <w:r>
        <w:rPr>
          <w:rFonts w:ascii="Arial" w:eastAsia="Arial" w:hAnsi="Arial" w:cs="Arial"/>
          <w:i/>
          <w:color w:val="000000"/>
          <w:sz w:val="20"/>
        </w:rPr>
        <w:t>Everson v. Leis</w:t>
      </w:r>
      <w:r>
        <w:rPr>
          <w:rFonts w:ascii="Arial" w:eastAsia="Arial" w:hAnsi="Arial" w:cs="Arial"/>
          <w:color w:val="000000"/>
          <w:sz w:val="20"/>
        </w:rPr>
        <w:t>, 556 F.3d at 499 ("It is a fair inference, then, that the deputy should have known that Everson's actions were made with, at best, a semi-conscious frame of mind.").</w:t>
      </w:r>
    </w:p>
    <w:p w14:paraId="58D2C4A5" w14:textId="77777777" w:rsidR="00D041A2" w:rsidRDefault="00000000">
      <w:pPr>
        <w:pStyle w:val="Normal35"/>
        <w:widowControl w:val="0"/>
        <w:spacing w:before="200" w:line="260" w:lineRule="atLeast"/>
        <w:jc w:val="both"/>
      </w:pPr>
      <w:bookmarkStart w:id="4339" w:name="Bookmark_para_21_20"/>
      <w:bookmarkEnd w:id="4339"/>
      <w:r>
        <w:rPr>
          <w:rFonts w:ascii="Arial" w:eastAsia="Arial" w:hAnsi="Arial" w:cs="Arial"/>
          <w:color w:val="000000"/>
          <w:sz w:val="20"/>
        </w:rPr>
        <w:t xml:space="preserve">When Wittich arrived at the scene, Everson threatened to "have another seizure and start punching you guys," which in the best light for Everson, put Wittich on notice that Everson was prone to having another seizure. Appellant's Br. at 5. </w:t>
      </w:r>
      <w:bookmarkStart w:id="4340" w:name="Bookmark_I529J4F50M6JWV0010000400"/>
      <w:bookmarkEnd w:id="4340"/>
      <w:r>
        <w:rPr>
          <w:rFonts w:ascii="Arial" w:eastAsia="Arial" w:hAnsi="Arial" w:cs="Arial"/>
          <w:color w:val="000000"/>
          <w:sz w:val="20"/>
        </w:rPr>
        <w:t xml:space="preserve">Everson also acknowledges that he kicked Wittich, albeit involuntarily. Everson otherwise has no recollection of the disputed interaction in the mall, and he accordingly does not dispute the descriptions of the interaction offered in the affidavits of those at the scene, which should be accepted for purposes of determining whether summary judgment is appropriate. </w:t>
      </w:r>
      <w:bookmarkStart w:id="4341" w:name="Bookmark_I529J4F50M6JWP0050000400"/>
      <w:bookmarkEnd w:id="4341"/>
      <w:r>
        <w:rPr>
          <w:rFonts w:ascii="Arial" w:eastAsia="Arial" w:hAnsi="Arial" w:cs="Arial"/>
          <w:i/>
          <w:color w:val="000000"/>
          <w:sz w:val="20"/>
        </w:rPr>
        <w:t>Wysong</w:t>
      </w:r>
      <w:r>
        <w:rPr>
          <w:rFonts w:ascii="Arial" w:eastAsia="Arial" w:hAnsi="Arial" w:cs="Arial"/>
          <w:color w:val="000000"/>
          <w:sz w:val="20"/>
        </w:rPr>
        <w:t>, 260 F. App'x at 856.</w:t>
      </w:r>
    </w:p>
    <w:p w14:paraId="28CED56B" w14:textId="77777777" w:rsidR="00D041A2" w:rsidRDefault="00000000">
      <w:pPr>
        <w:pStyle w:val="Normal35"/>
        <w:widowControl w:val="0"/>
        <w:spacing w:before="200" w:line="260" w:lineRule="atLeast"/>
        <w:jc w:val="both"/>
      </w:pPr>
      <w:bookmarkStart w:id="4342" w:name="Bookmark_para_22_20"/>
      <w:bookmarkEnd w:id="4342"/>
      <w:r>
        <w:rPr>
          <w:rFonts w:ascii="Arial" w:eastAsia="Arial" w:hAnsi="Arial" w:cs="Arial"/>
          <w:color w:val="000000"/>
          <w:sz w:val="20"/>
        </w:rPr>
        <w:t>Brandon Goff, a mall security guard, averred  [**10] that Everson was "threatening to swing at uniform officers and the [EMS]" and that Everson "kicked the uniform officers and attempted to swing at another uniform officer," continuing to "kick and fight" after being taken to the ground. Kellie Murphy, an EMS employee, averred that Everson "kicked and swung at the uniform officers and pushed me away when I attempted to get a blood sugar reading" and that Everson "continued to kick, fight and attempt to spit on us" after being taken to the ground. And Wittich similarly averred that Everson was "violent and started kicking" and "continued to kick and fight" after being taken to the ground.</w:t>
      </w:r>
    </w:p>
    <w:p w14:paraId="21DE3DCB" w14:textId="77777777" w:rsidR="00D041A2" w:rsidRDefault="00000000">
      <w:pPr>
        <w:pStyle w:val="Normal35"/>
        <w:widowControl w:val="0"/>
        <w:spacing w:before="200" w:line="260" w:lineRule="atLeast"/>
        <w:jc w:val="both"/>
      </w:pPr>
      <w:bookmarkStart w:id="4343" w:name="Bookmark_para_23_19"/>
      <w:bookmarkStart w:id="4344" w:name="Bookmark_I529J4F50M6JWV0030000400"/>
      <w:bookmarkEnd w:id="4343"/>
      <w:bookmarkEnd w:id="4344"/>
      <w:r>
        <w:rPr>
          <w:rFonts w:ascii="Arial" w:eastAsia="Arial" w:hAnsi="Arial" w:cs="Arial"/>
          <w:color w:val="000000"/>
          <w:sz w:val="20"/>
        </w:rPr>
        <w:t xml:space="preserve">Wittich testified that, when he first arrived at the scene, he asked an EMS paramedic whether Everson's behavior was "all part of his medical condition[,]" and that the paramedic responded, "[n]o, he's just acting like a fucking asshole." The district court did not consider this testimony in its summary judgment analysis. </w:t>
      </w:r>
      <w:bookmarkStart w:id="4345" w:name="Bookmark_I529J4F50M6JWY0020000400"/>
      <w:bookmarkEnd w:id="4345"/>
      <w:r>
        <w:rPr>
          <w:rFonts w:ascii="Arial" w:eastAsia="Arial" w:hAnsi="Arial" w:cs="Arial"/>
          <w:color w:val="000000"/>
          <w:sz w:val="20"/>
        </w:rPr>
        <w:t xml:space="preserve">Everson characterizes the testimony as hearsay, but the district did not use that term, and appropriately so, as the statement was not hearsay to the extent that it is used to demonstrate Wittich's state of mind as opposed to the truth  [**11] of the matter asserted  [*776]  therein, i.e., that Everson was acting purposefully. Fed. R. Evid. 801(c); </w:t>
      </w:r>
      <w:bookmarkStart w:id="4346" w:name="Bookmark_I529J4F50M6JWV0020000400"/>
      <w:bookmarkEnd w:id="4346"/>
      <w:r>
        <w:rPr>
          <w:rFonts w:ascii="Arial" w:eastAsia="Arial" w:hAnsi="Arial" w:cs="Arial"/>
          <w:i/>
          <w:color w:val="000000"/>
          <w:sz w:val="20"/>
        </w:rPr>
        <w:t>Hagan v. Warner/Elektra/Atlantic Corp.</w:t>
      </w:r>
      <w:r>
        <w:rPr>
          <w:rFonts w:ascii="Arial" w:eastAsia="Arial" w:hAnsi="Arial" w:cs="Arial"/>
          <w:color w:val="000000"/>
          <w:sz w:val="20"/>
        </w:rPr>
        <w:t xml:space="preserve">, 92 F. App'x 264, 267-68 (6th Cir. 2004) (holding that, in granting summary judgment for defendant employer in a discrimination suit, the district court properly considered defendant's testimony regarding statements made by other employees for the purpose of determining whether the employer had discriminatory intent) (citing </w:t>
      </w:r>
      <w:bookmarkStart w:id="4347" w:name="Bookmark_I529J4F50M6JWV0040000400"/>
      <w:bookmarkEnd w:id="4347"/>
      <w:r>
        <w:rPr>
          <w:rFonts w:ascii="Arial" w:eastAsia="Arial" w:hAnsi="Arial" w:cs="Arial"/>
          <w:i/>
          <w:color w:val="000000"/>
          <w:sz w:val="20"/>
        </w:rPr>
        <w:t>United States v. Horton</w:t>
      </w:r>
      <w:r>
        <w:rPr>
          <w:rFonts w:ascii="Arial" w:eastAsia="Arial" w:hAnsi="Arial" w:cs="Arial"/>
          <w:color w:val="000000"/>
          <w:sz w:val="20"/>
        </w:rPr>
        <w:t xml:space="preserve">, 847 F.2d 313, 324 (6th Cir. 1988)). </w:t>
      </w:r>
      <w:bookmarkStart w:id="4348" w:name="Bookmark_I529J4F50M6JWY0020000400_2"/>
      <w:bookmarkEnd w:id="4348"/>
      <w:r>
        <w:rPr>
          <w:rFonts w:ascii="Arial" w:eastAsia="Arial" w:hAnsi="Arial" w:cs="Arial"/>
          <w:color w:val="000000"/>
          <w:sz w:val="20"/>
        </w:rPr>
        <w:t xml:space="preserve">Although the district court opted not to consider the statement for its impact on Everson's state of mind, we may do so in deciding the issue de novo. </w:t>
      </w:r>
      <w:bookmarkStart w:id="4349" w:name="Bookmark_I529J4F50M6JWY0010000400"/>
      <w:bookmarkEnd w:id="4349"/>
      <w:r>
        <w:rPr>
          <w:rFonts w:ascii="Arial" w:eastAsia="Arial" w:hAnsi="Arial" w:cs="Arial"/>
          <w:i/>
          <w:color w:val="000000"/>
          <w:sz w:val="20"/>
        </w:rPr>
        <w:t>Niemi v. NHK Spring Co., Ltd.</w:t>
      </w:r>
      <w:r>
        <w:rPr>
          <w:rFonts w:ascii="Arial" w:eastAsia="Arial" w:hAnsi="Arial" w:cs="Arial"/>
          <w:color w:val="000000"/>
          <w:sz w:val="20"/>
        </w:rPr>
        <w:t xml:space="preserve">, 543 F.3d 294, 306-07 (6th Cir. 2008) (reversing order for summary judgment based on evidence in record that the district court did not consider); </w:t>
      </w:r>
      <w:r>
        <w:rPr>
          <w:rFonts w:ascii="Arial" w:eastAsia="Arial" w:hAnsi="Arial" w:cs="Arial"/>
          <w:i/>
          <w:color w:val="000000"/>
          <w:sz w:val="20"/>
        </w:rPr>
        <w:t xml:space="preserve">see </w:t>
      </w:r>
      <w:bookmarkStart w:id="4350" w:name="Bookmark_I529J4F50M6JWY0030000400"/>
      <w:bookmarkEnd w:id="4350"/>
      <w:r>
        <w:rPr>
          <w:rFonts w:ascii="Arial" w:eastAsia="Arial" w:hAnsi="Arial" w:cs="Arial"/>
          <w:i/>
          <w:color w:val="000000"/>
          <w:sz w:val="20"/>
        </w:rPr>
        <w:t>Jibson v. Mich. Educ. Ass 'n-NEA</w:t>
      </w:r>
      <w:r>
        <w:rPr>
          <w:rFonts w:ascii="Arial" w:eastAsia="Arial" w:hAnsi="Arial" w:cs="Arial"/>
          <w:color w:val="000000"/>
          <w:sz w:val="20"/>
        </w:rPr>
        <w:t xml:space="preserve">, 30 F.3d 723, 729 (6th Cir. 1994) (holding that this court reviews a district court's grant of summary judgment based on "a </w:t>
      </w:r>
      <w:r>
        <w:rPr>
          <w:rFonts w:ascii="Arial" w:eastAsia="Arial" w:hAnsi="Arial" w:cs="Arial"/>
          <w:i/>
          <w:color w:val="000000"/>
          <w:sz w:val="20"/>
        </w:rPr>
        <w:t>de novo</w:t>
      </w:r>
      <w:r>
        <w:rPr>
          <w:rFonts w:ascii="Arial" w:eastAsia="Arial" w:hAnsi="Arial" w:cs="Arial"/>
          <w:color w:val="000000"/>
          <w:sz w:val="20"/>
        </w:rPr>
        <w:t xml:space="preserve"> review of the evidence in the entire record.").</w:t>
      </w:r>
    </w:p>
    <w:p w14:paraId="65F55901" w14:textId="77777777" w:rsidR="00D041A2" w:rsidRDefault="00000000">
      <w:pPr>
        <w:pStyle w:val="Normal35"/>
        <w:widowControl w:val="0"/>
        <w:spacing w:before="200" w:line="260" w:lineRule="atLeast"/>
        <w:jc w:val="both"/>
      </w:pPr>
      <w:bookmarkStart w:id="4351" w:name="Bookmark_para_24_18"/>
      <w:bookmarkStart w:id="4352" w:name="Bookmark_I529J4F50M6JX20010000400"/>
      <w:bookmarkEnd w:id="4351"/>
      <w:bookmarkEnd w:id="4352"/>
      <w:r>
        <w:rPr>
          <w:rFonts w:ascii="Arial" w:eastAsia="Arial" w:hAnsi="Arial" w:cs="Arial"/>
          <w:color w:val="000000"/>
          <w:sz w:val="20"/>
        </w:rPr>
        <w:t xml:space="preserve">After restraining and removing Everson from the mall, Wittich had time to consider whether probable cause existed to charge Everson  [**12] with a crime, and when he made that determination, Everson was no longer abusive. </w:t>
      </w:r>
      <w:bookmarkStart w:id="4353" w:name="Bookmark_I529J4F50M6JWY0050000400"/>
      <w:bookmarkEnd w:id="4353"/>
      <w:r>
        <w:rPr>
          <w:rFonts w:ascii="Arial" w:eastAsia="Arial" w:hAnsi="Arial" w:cs="Arial"/>
          <w:i/>
          <w:color w:val="000000"/>
          <w:sz w:val="20"/>
        </w:rPr>
        <w:t>Everson</w:t>
      </w:r>
      <w:r>
        <w:rPr>
          <w:rFonts w:ascii="Arial" w:eastAsia="Arial" w:hAnsi="Arial" w:cs="Arial"/>
          <w:color w:val="000000"/>
          <w:sz w:val="20"/>
        </w:rPr>
        <w:t>, 556 F.3d at 499 ("Viewed in the light best to Everson, he had recovered from his seizure when he arrived at the squad car . . . . There is nothing in the record to suggest that he was. . . abusive at that time.").</w:t>
      </w:r>
    </w:p>
    <w:p w14:paraId="1064676A" w14:textId="77777777" w:rsidR="00D041A2" w:rsidRDefault="00000000">
      <w:pPr>
        <w:pStyle w:val="Normal35"/>
        <w:widowControl w:val="0"/>
        <w:spacing w:before="200" w:line="260" w:lineRule="atLeast"/>
        <w:jc w:val="both"/>
      </w:pPr>
      <w:bookmarkStart w:id="4354" w:name="Bookmark_para_25_18"/>
      <w:bookmarkEnd w:id="4354"/>
      <w:r>
        <w:rPr>
          <w:rFonts w:ascii="Arial" w:eastAsia="Arial" w:hAnsi="Arial" w:cs="Arial"/>
          <w:color w:val="000000"/>
          <w:sz w:val="20"/>
        </w:rPr>
        <w:t>Everson also heard an officer, whom he does not identify as Wittich, suggest that he did not know what crime Everson had committed. Specifically, Everson claims that, after an unidentified individual asked the unidentified officer what Everson was going to be charged with, the officer replied, "I'll think something up and fax it down."</w:t>
      </w:r>
    </w:p>
    <w:p w14:paraId="76DFFE22" w14:textId="77777777" w:rsidR="00D041A2" w:rsidRDefault="00000000">
      <w:pPr>
        <w:pStyle w:val="Normal35"/>
        <w:widowControl w:val="0"/>
        <w:spacing w:before="200" w:line="260" w:lineRule="atLeast"/>
        <w:jc w:val="both"/>
      </w:pPr>
      <w:bookmarkStart w:id="4355" w:name="Bookmark_para_26_17"/>
      <w:bookmarkEnd w:id="4355"/>
      <w:r>
        <w:rPr>
          <w:rFonts w:ascii="Arial" w:eastAsia="Arial" w:hAnsi="Arial" w:cs="Arial"/>
          <w:color w:val="000000"/>
          <w:sz w:val="20"/>
        </w:rPr>
        <w:t>Finally, Wittich received no training on accommodating people with epilepsy.</w:t>
      </w:r>
    </w:p>
    <w:p w14:paraId="0A255A23" w14:textId="77777777" w:rsidR="00D041A2" w:rsidRDefault="00000000">
      <w:pPr>
        <w:pStyle w:val="Normal35"/>
        <w:widowControl w:val="0"/>
        <w:spacing w:before="120" w:line="260" w:lineRule="atLeast"/>
      </w:pPr>
      <w:r>
        <w:rPr>
          <w:rFonts w:ascii="Arial" w:eastAsia="Arial" w:hAnsi="Arial" w:cs="Arial"/>
          <w:color w:val="000000"/>
          <w:sz w:val="20"/>
        </w:rPr>
        <w:t>IV</w:t>
      </w:r>
    </w:p>
    <w:p w14:paraId="55FFA6E3" w14:textId="77777777" w:rsidR="00D041A2" w:rsidRDefault="00000000">
      <w:pPr>
        <w:pStyle w:val="Normal35"/>
        <w:widowControl w:val="0"/>
        <w:spacing w:before="200" w:line="260" w:lineRule="atLeast"/>
        <w:jc w:val="both"/>
      </w:pPr>
      <w:bookmarkStart w:id="4356" w:name="Bookmark_para_27_17"/>
      <w:bookmarkStart w:id="4357" w:name="Bookmark_I529J4F50M6JX20030000400"/>
      <w:bookmarkEnd w:id="4356"/>
      <w:bookmarkEnd w:id="4357"/>
      <w:r>
        <w:rPr>
          <w:rFonts w:ascii="Arial" w:eastAsia="Arial" w:hAnsi="Arial" w:cs="Arial"/>
          <w:color w:val="000000"/>
          <w:sz w:val="20"/>
        </w:rPr>
        <w:t xml:space="preserve">We apply the three-step test described in </w:t>
      </w:r>
      <w:r>
        <w:rPr>
          <w:rFonts w:ascii="Arial" w:eastAsia="Arial" w:hAnsi="Arial" w:cs="Arial"/>
          <w:i/>
          <w:color w:val="000000"/>
          <w:sz w:val="20"/>
        </w:rPr>
        <w:t>Dillery</w:t>
      </w:r>
      <w:r>
        <w:rPr>
          <w:rFonts w:ascii="Arial" w:eastAsia="Arial" w:hAnsi="Arial" w:cs="Arial"/>
          <w:color w:val="000000"/>
          <w:sz w:val="20"/>
        </w:rPr>
        <w:t xml:space="preserve"> and </w:t>
      </w:r>
      <w:r>
        <w:rPr>
          <w:rFonts w:ascii="Arial" w:eastAsia="Arial" w:hAnsi="Arial" w:cs="Arial"/>
          <w:i/>
          <w:color w:val="000000"/>
          <w:sz w:val="20"/>
        </w:rPr>
        <w:t>Tucker</w:t>
      </w:r>
      <w:r>
        <w:rPr>
          <w:rFonts w:ascii="Arial" w:eastAsia="Arial" w:hAnsi="Arial" w:cs="Arial"/>
          <w:color w:val="000000"/>
          <w:sz w:val="20"/>
        </w:rPr>
        <w:t xml:space="preserve"> to determine whether the district court erred in granting summary judgment for Wittich. </w:t>
      </w:r>
      <w:bookmarkStart w:id="4358" w:name="Bookmark_I1PDM8FR8PF000135S400007"/>
      <w:bookmarkStart w:id="4359" w:name="Bookmark_I1PDM8FRJPN000135S400009"/>
      <w:bookmarkStart w:id="4360" w:name="Bookmark_I529J4F50M6JX20050000400"/>
      <w:bookmarkStart w:id="4361" w:name="Bookmark_I529J4F50M6JX20020000400"/>
      <w:bookmarkEnd w:id="4358"/>
      <w:bookmarkEnd w:id="4359"/>
      <w:bookmarkEnd w:id="4360"/>
      <w:bookmarkEnd w:id="4361"/>
      <w:r>
        <w:rPr>
          <w:rFonts w:ascii="Arial" w:eastAsia="Arial" w:hAnsi="Arial" w:cs="Arial"/>
          <w:i/>
          <w:color w:val="000000"/>
          <w:sz w:val="20"/>
        </w:rPr>
        <w:t>Tucker</w:t>
      </w:r>
      <w:r>
        <w:rPr>
          <w:rFonts w:ascii="Arial" w:eastAsia="Arial" w:hAnsi="Arial" w:cs="Arial"/>
          <w:color w:val="000000"/>
          <w:sz w:val="20"/>
        </w:rPr>
        <w:t>, 539 F.3d at 532 (</w:t>
      </w:r>
      <w:bookmarkStart w:id="4362" w:name="Bookmark_LNHNREFclscc8_23"/>
      <w:bookmarkEnd w:id="4362"/>
      <w:r>
        <w:rPr>
          <w:rFonts w:ascii="Arial" w:eastAsia="Arial" w:hAnsi="Arial" w:cs="Arial"/>
          <w:color w:val="000000"/>
          <w:sz w:val="20"/>
        </w:rPr>
        <w:t xml:space="preserve">"to establish a prima facie case of discrimination under the ADA, a plaintiff must prove" the </w:t>
      </w:r>
      <w:r>
        <w:rPr>
          <w:rFonts w:ascii="Arial" w:eastAsia="Arial" w:hAnsi="Arial" w:cs="Arial"/>
          <w:i/>
          <w:color w:val="000000"/>
          <w:sz w:val="20"/>
        </w:rPr>
        <w:t>Dillery</w:t>
      </w:r>
      <w:r>
        <w:rPr>
          <w:rFonts w:ascii="Arial" w:eastAsia="Arial" w:hAnsi="Arial" w:cs="Arial"/>
          <w:color w:val="000000"/>
          <w:sz w:val="20"/>
        </w:rPr>
        <w:t xml:space="preserve"> elements). Thus, in order to defeat a motion for summary judgment in his Title II claim against Wittich, Everson must prove that: (1) he has a disability; (2) he otherwise qualifies for the service, program,  [**13] or activity; and (3) Wittich intentionally discriminated against him solely because of his disability. </w:t>
      </w:r>
      <w:bookmarkStart w:id="4363" w:name="Bookmark_I529J4F50M6JX20050000400_2"/>
      <w:bookmarkStart w:id="4364" w:name="Bookmark_I529J4F50M6JX20040000400"/>
      <w:bookmarkEnd w:id="4363"/>
      <w:bookmarkEnd w:id="4364"/>
      <w:r>
        <w:rPr>
          <w:rFonts w:ascii="Arial" w:eastAsia="Arial" w:hAnsi="Arial" w:cs="Arial"/>
          <w:i/>
          <w:color w:val="000000"/>
          <w:sz w:val="20"/>
        </w:rPr>
        <w:t>Dillery</w:t>
      </w:r>
      <w:r>
        <w:rPr>
          <w:rFonts w:ascii="Arial" w:eastAsia="Arial" w:hAnsi="Arial" w:cs="Arial"/>
          <w:color w:val="000000"/>
          <w:sz w:val="20"/>
        </w:rPr>
        <w:t xml:space="preserve">, 398 F.3d at 567; </w:t>
      </w:r>
      <w:bookmarkStart w:id="4365" w:name="Bookmark_I529J4F50M6JX50010000400"/>
      <w:bookmarkEnd w:id="4365"/>
      <w:r>
        <w:rPr>
          <w:rFonts w:ascii="Arial" w:eastAsia="Arial" w:hAnsi="Arial" w:cs="Arial"/>
          <w:i/>
          <w:color w:val="000000"/>
          <w:sz w:val="20"/>
        </w:rPr>
        <w:t>Tucker</w:t>
      </w:r>
      <w:r>
        <w:rPr>
          <w:rFonts w:ascii="Arial" w:eastAsia="Arial" w:hAnsi="Arial" w:cs="Arial"/>
          <w:color w:val="000000"/>
          <w:sz w:val="20"/>
        </w:rPr>
        <w:t>, 539 F.3d at 535.</w:t>
      </w:r>
    </w:p>
    <w:p w14:paraId="4BB238D1" w14:textId="77777777" w:rsidR="00D041A2" w:rsidRDefault="00000000">
      <w:pPr>
        <w:pStyle w:val="Normal35"/>
        <w:widowControl w:val="0"/>
        <w:spacing w:before="200" w:line="260" w:lineRule="atLeast"/>
        <w:jc w:val="both"/>
      </w:pPr>
      <w:bookmarkStart w:id="4366" w:name="Bookmark_para_28_16"/>
      <w:bookmarkEnd w:id="4366"/>
      <w:r>
        <w:rPr>
          <w:rFonts w:ascii="Arial" w:eastAsia="Arial" w:hAnsi="Arial" w:cs="Arial"/>
          <w:color w:val="000000"/>
          <w:sz w:val="20"/>
        </w:rPr>
        <w:t>First, Everson has alleged facts that indicate that he has a disability. Second, we assume, without deciding, that Everson also qualifies for the service, program, or activity; i.e., that Title II applies to arrests. The remaining question is whether Wittich intentionally discriminated against Everson because of his disability. Everson alleges that Wittich discriminated against him, in violation of Title II, by: (1) restraining him, (2) arresting him, and (3) charging him with assault and disorderly conduct. We consider each of these claims in turn.</w:t>
      </w:r>
    </w:p>
    <w:p w14:paraId="0F3A886A" w14:textId="77777777" w:rsidR="00D041A2" w:rsidRDefault="00000000">
      <w:pPr>
        <w:pStyle w:val="Normal35"/>
        <w:widowControl w:val="0"/>
        <w:spacing w:before="120" w:line="260" w:lineRule="atLeast"/>
      </w:pPr>
      <w:r>
        <w:rPr>
          <w:rFonts w:ascii="Arial" w:eastAsia="Arial" w:hAnsi="Arial" w:cs="Arial"/>
          <w:color w:val="000000"/>
          <w:sz w:val="20"/>
        </w:rPr>
        <w:t>A</w:t>
      </w:r>
    </w:p>
    <w:p w14:paraId="538FFFDB" w14:textId="77777777" w:rsidR="00D041A2" w:rsidRDefault="00000000">
      <w:pPr>
        <w:pStyle w:val="Normal35"/>
        <w:widowControl w:val="0"/>
        <w:spacing w:before="200" w:line="260" w:lineRule="atLeast"/>
        <w:jc w:val="both"/>
      </w:pPr>
      <w:bookmarkStart w:id="4367" w:name="Bookmark_para_29_15"/>
      <w:bookmarkEnd w:id="4367"/>
      <w:r>
        <w:rPr>
          <w:rFonts w:ascii="Arial" w:eastAsia="Arial" w:hAnsi="Arial" w:cs="Arial"/>
          <w:color w:val="000000"/>
          <w:sz w:val="20"/>
        </w:rPr>
        <w:t>Everson fails to sufficiently support his claim that Wittich intentionally discriminated against him based on his disability by approaching and restraining him.</w:t>
      </w:r>
    </w:p>
    <w:p w14:paraId="56575AFC" w14:textId="77777777" w:rsidR="00D041A2" w:rsidRDefault="00000000">
      <w:pPr>
        <w:pStyle w:val="Normal35"/>
        <w:widowControl w:val="0"/>
        <w:spacing w:before="200" w:line="260" w:lineRule="atLeast"/>
        <w:jc w:val="both"/>
      </w:pPr>
      <w:bookmarkStart w:id="4368" w:name="Bookmark_para_30_15"/>
      <w:bookmarkStart w:id="4369" w:name="Bookmark_I529J4F50M6JX50040000400"/>
      <w:bookmarkStart w:id="4370" w:name="Bookmark_I529J4F50M6JX90010000400"/>
      <w:bookmarkEnd w:id="4368"/>
      <w:bookmarkEnd w:id="4369"/>
      <w:bookmarkEnd w:id="4370"/>
      <w:r>
        <w:rPr>
          <w:rFonts w:ascii="Arial" w:eastAsia="Arial" w:hAnsi="Arial" w:cs="Arial"/>
          <w:color w:val="000000"/>
          <w:sz w:val="20"/>
        </w:rPr>
        <w:t xml:space="preserve">In </w:t>
      </w:r>
      <w:r>
        <w:rPr>
          <w:rFonts w:ascii="Arial" w:eastAsia="Arial" w:hAnsi="Arial" w:cs="Arial"/>
          <w:i/>
          <w:color w:val="000000"/>
          <w:sz w:val="20"/>
        </w:rPr>
        <w:t>Tucker</w:t>
      </w:r>
      <w:r>
        <w:rPr>
          <w:rFonts w:ascii="Arial" w:eastAsia="Arial" w:hAnsi="Arial" w:cs="Arial"/>
          <w:color w:val="000000"/>
          <w:sz w:val="20"/>
        </w:rPr>
        <w:t xml:space="preserve">, this court ruled that </w:t>
      </w:r>
      <w:bookmarkStart w:id="4371" w:name="Bookmark_LNHNREFclscc9_22"/>
      <w:bookmarkEnd w:id="4371"/>
      <w:r>
        <w:rPr>
          <w:rFonts w:ascii="Arial" w:eastAsia="Arial" w:hAnsi="Arial" w:cs="Arial"/>
          <w:color w:val="000000"/>
          <w:sz w:val="20"/>
        </w:rPr>
        <w:t xml:space="preserve">"[w]here . . . officers are presented with exigent or unexpected circumstances, it would be unreasonable to require certain accommodations  [*777]  be made in light of the overriding public safety concerns . . . we rely on and expect law enforcement officers to respond fluidly to changing situations and individuals  [**14] they encounter." </w:t>
      </w:r>
      <w:bookmarkStart w:id="4372" w:name="Bookmark_I529J4F50M6JX50030000400"/>
      <w:bookmarkEnd w:id="4372"/>
      <w:r>
        <w:rPr>
          <w:rFonts w:ascii="Arial" w:eastAsia="Arial" w:hAnsi="Arial" w:cs="Arial"/>
          <w:color w:val="000000"/>
          <w:sz w:val="20"/>
        </w:rPr>
        <w:t xml:space="preserve">539 F.3d at 536. And in </w:t>
      </w:r>
      <w:r>
        <w:rPr>
          <w:rFonts w:ascii="Arial" w:eastAsia="Arial" w:hAnsi="Arial" w:cs="Arial"/>
          <w:i/>
          <w:color w:val="000000"/>
          <w:sz w:val="20"/>
        </w:rPr>
        <w:t>Dillery</w:t>
      </w:r>
      <w:r>
        <w:rPr>
          <w:rFonts w:ascii="Arial" w:eastAsia="Arial" w:hAnsi="Arial" w:cs="Arial"/>
          <w:color w:val="000000"/>
          <w:sz w:val="20"/>
        </w:rPr>
        <w:t xml:space="preserve">, this court held that, when police officers properly discharged their duties to maintain the safety of others, their stopping a disabled woman for conduct related to her disability did not constitute intentional discrimination. </w:t>
      </w:r>
      <w:bookmarkStart w:id="4373" w:name="Bookmark_I529J4F50M6JX50050000400"/>
      <w:bookmarkEnd w:id="4373"/>
      <w:r>
        <w:rPr>
          <w:rFonts w:ascii="Arial" w:eastAsia="Arial" w:hAnsi="Arial" w:cs="Arial"/>
          <w:color w:val="000000"/>
          <w:sz w:val="20"/>
        </w:rPr>
        <w:t>398 F.3d at 568.</w:t>
      </w:r>
    </w:p>
    <w:p w14:paraId="704A5AFF" w14:textId="77777777" w:rsidR="00D041A2" w:rsidRDefault="00000000">
      <w:pPr>
        <w:pStyle w:val="Normal35"/>
        <w:widowControl w:val="0"/>
        <w:spacing w:before="200" w:line="260" w:lineRule="atLeast"/>
        <w:jc w:val="both"/>
      </w:pPr>
      <w:bookmarkStart w:id="4374" w:name="Bookmark_para_31_14"/>
      <w:bookmarkStart w:id="4375" w:name="Bookmark_I529J4F50M6JX90030000400"/>
      <w:bookmarkEnd w:id="4374"/>
      <w:bookmarkEnd w:id="4375"/>
      <w:r>
        <w:rPr>
          <w:rFonts w:ascii="Arial" w:eastAsia="Arial" w:hAnsi="Arial" w:cs="Arial"/>
          <w:color w:val="000000"/>
          <w:sz w:val="20"/>
        </w:rPr>
        <w:t xml:space="preserve">When Wittich arrived on the scene, Everson presented a threat to those around him. </w:t>
      </w:r>
      <w:bookmarkStart w:id="4376" w:name="Bookmark_I529J4F50M6JX90020000400"/>
      <w:bookmarkEnd w:id="4376"/>
      <w:r>
        <w:rPr>
          <w:rFonts w:ascii="Arial" w:eastAsia="Arial" w:hAnsi="Arial" w:cs="Arial"/>
          <w:i/>
          <w:color w:val="000000"/>
          <w:sz w:val="20"/>
        </w:rPr>
        <w:t>Everson v. Leis</w:t>
      </w:r>
      <w:r>
        <w:rPr>
          <w:rFonts w:ascii="Arial" w:eastAsia="Arial" w:hAnsi="Arial" w:cs="Arial"/>
          <w:color w:val="000000"/>
          <w:sz w:val="20"/>
        </w:rPr>
        <w:t xml:space="preserve">, 556 F.3d at 489-90. Everson does not contest that Wittich was called to assist a person who was having a seizure. </w:t>
      </w:r>
      <w:bookmarkStart w:id="4377" w:name="Bookmark_I1PDM8FRWHK000135S40000C"/>
      <w:bookmarkStart w:id="4378" w:name="Bookmark_I529J4F50M6JX90050000400"/>
      <w:bookmarkEnd w:id="4377"/>
      <w:bookmarkEnd w:id="4378"/>
      <w:r>
        <w:rPr>
          <w:rFonts w:ascii="Arial" w:eastAsia="Arial" w:hAnsi="Arial" w:cs="Arial"/>
          <w:color w:val="000000"/>
          <w:sz w:val="20"/>
        </w:rPr>
        <w:t xml:space="preserve">Nor does Everson contest that he was threatening security and medical professionals on the scene. </w:t>
      </w:r>
      <w:bookmarkStart w:id="4379" w:name="Bookmark_I529J4F50M6JX90050000400_2"/>
      <w:bookmarkEnd w:id="4379"/>
      <w:r>
        <w:rPr>
          <w:rFonts w:ascii="Arial" w:eastAsia="Arial" w:hAnsi="Arial" w:cs="Arial"/>
          <w:color w:val="000000"/>
          <w:sz w:val="20"/>
        </w:rPr>
        <w:t xml:space="preserve">Wittich was expected to respond to this situation by securing the scene, which he did by restraining Everson. </w:t>
      </w:r>
      <w:r>
        <w:rPr>
          <w:rFonts w:ascii="Arial" w:eastAsia="Arial" w:hAnsi="Arial" w:cs="Arial"/>
          <w:i/>
          <w:color w:val="000000"/>
          <w:sz w:val="20"/>
        </w:rPr>
        <w:t xml:space="preserve">See </w:t>
      </w:r>
      <w:bookmarkStart w:id="4380" w:name="Bookmark_I529J4F50M6JX90040000400"/>
      <w:bookmarkEnd w:id="4380"/>
      <w:r>
        <w:rPr>
          <w:rFonts w:ascii="Arial" w:eastAsia="Arial" w:hAnsi="Arial" w:cs="Arial"/>
          <w:i/>
          <w:color w:val="000000"/>
          <w:sz w:val="20"/>
        </w:rPr>
        <w:t>Tucker</w:t>
      </w:r>
      <w:r>
        <w:rPr>
          <w:rFonts w:ascii="Arial" w:eastAsia="Arial" w:hAnsi="Arial" w:cs="Arial"/>
          <w:color w:val="000000"/>
          <w:sz w:val="20"/>
        </w:rPr>
        <w:t xml:space="preserve">, 539 F.3d at 535; </w:t>
      </w:r>
      <w:r>
        <w:rPr>
          <w:rFonts w:ascii="Arial" w:eastAsia="Arial" w:hAnsi="Arial" w:cs="Arial"/>
          <w:i/>
          <w:color w:val="000000"/>
          <w:sz w:val="20"/>
        </w:rPr>
        <w:t xml:space="preserve">see also </w:t>
      </w:r>
      <w:bookmarkStart w:id="4381" w:name="Bookmark_I529J4F50M6JXF0010000400"/>
      <w:bookmarkEnd w:id="4381"/>
      <w:r>
        <w:rPr>
          <w:rFonts w:ascii="Arial" w:eastAsia="Arial" w:hAnsi="Arial" w:cs="Arial"/>
          <w:i/>
          <w:color w:val="000000"/>
          <w:sz w:val="20"/>
        </w:rPr>
        <w:t>Dillery</w:t>
      </w:r>
      <w:r>
        <w:rPr>
          <w:rFonts w:ascii="Arial" w:eastAsia="Arial" w:hAnsi="Arial" w:cs="Arial"/>
          <w:color w:val="000000"/>
          <w:sz w:val="20"/>
        </w:rPr>
        <w:t xml:space="preserve">, 398 F.3d at 568. Everson alleges no facts that reasonably suggest that Wittich, in acting to protect himself and others, acted to discriminate against Everson's disability. Everson argues that Wittich violated an Ohio statute by reaching for his wallet, but Wittich's alleged violation of a state law—which does not relate to </w:t>
      </w:r>
      <w:r>
        <w:rPr>
          <w:rFonts w:ascii="Arial" w:eastAsia="Arial" w:hAnsi="Arial" w:cs="Arial"/>
          <w:i/>
          <w:color w:val="000000"/>
          <w:sz w:val="20"/>
        </w:rPr>
        <w:t>intentional</w:t>
      </w:r>
      <w:r>
        <w:rPr>
          <w:rFonts w:ascii="Arial" w:eastAsia="Arial" w:hAnsi="Arial" w:cs="Arial"/>
          <w:color w:val="000000"/>
          <w:sz w:val="20"/>
        </w:rPr>
        <w:t xml:space="preserve"> discrimination—does not speak to the issue of whether he intentionally discriminated against Everson.  [**15] </w:t>
      </w:r>
      <w:r>
        <w:rPr>
          <w:rFonts w:ascii="Arial" w:eastAsia="Arial" w:hAnsi="Arial" w:cs="Arial"/>
          <w:i/>
          <w:color w:val="000000"/>
          <w:sz w:val="20"/>
        </w:rPr>
        <w:t>See</w:t>
      </w:r>
      <w:r>
        <w:rPr>
          <w:rFonts w:ascii="Arial" w:eastAsia="Arial" w:hAnsi="Arial" w:cs="Arial"/>
          <w:color w:val="000000"/>
          <w:sz w:val="20"/>
        </w:rPr>
        <w:t xml:space="preserve"> OHIO REV. CODE § 2305.43 ("[A] law enforcement officer may not search for an . . . identification card in a manner . . . that would appear to a reasonable person in the circumstances to cause an unreasonable risk of worsening the disabled person's condition.").</w:t>
      </w:r>
    </w:p>
    <w:p w14:paraId="6F91E697" w14:textId="77777777" w:rsidR="00D041A2" w:rsidRDefault="00000000">
      <w:pPr>
        <w:pStyle w:val="Normal35"/>
        <w:widowControl w:val="0"/>
        <w:spacing w:before="200" w:line="260" w:lineRule="atLeast"/>
        <w:jc w:val="both"/>
      </w:pPr>
      <w:bookmarkStart w:id="4382" w:name="Bookmark_para_32_14"/>
      <w:bookmarkStart w:id="4383" w:name="Bookmark_I1PDM8FS61F000135S40000F"/>
      <w:bookmarkStart w:id="4384" w:name="Bookmark_I529J4F50M6JXF0040000400"/>
      <w:bookmarkEnd w:id="4382"/>
      <w:bookmarkEnd w:id="4383"/>
      <w:bookmarkEnd w:id="4384"/>
      <w:r>
        <w:rPr>
          <w:rFonts w:ascii="Arial" w:eastAsia="Arial" w:hAnsi="Arial" w:cs="Arial"/>
          <w:color w:val="000000"/>
          <w:sz w:val="20"/>
        </w:rPr>
        <w:t xml:space="preserve">In a similar case in this circuit, police were contacted to assist with a mentally disabled individual who was threatening his family with a machete. </w:t>
      </w:r>
      <w:bookmarkStart w:id="4385" w:name="Bookmark_I529J4F50M6JXF0030000400"/>
      <w:bookmarkEnd w:id="4385"/>
      <w:r>
        <w:rPr>
          <w:rFonts w:ascii="Arial" w:eastAsia="Arial" w:hAnsi="Arial" w:cs="Arial"/>
          <w:i/>
          <w:color w:val="000000"/>
          <w:sz w:val="20"/>
        </w:rPr>
        <w:t>Thompson v. Williamson Cnty., Tenn.</w:t>
      </w:r>
      <w:r>
        <w:rPr>
          <w:rFonts w:ascii="Arial" w:eastAsia="Arial" w:hAnsi="Arial" w:cs="Arial"/>
          <w:color w:val="000000"/>
          <w:sz w:val="20"/>
        </w:rPr>
        <w:t xml:space="preserve">, 219 F.3d 555, 556 (6th Cir. 2000). </w:t>
      </w:r>
      <w:bookmarkStart w:id="4386" w:name="Bookmark_I529J4F50M6JXM0010000400"/>
      <w:bookmarkEnd w:id="4386"/>
      <w:r>
        <w:rPr>
          <w:rFonts w:ascii="Arial" w:eastAsia="Arial" w:hAnsi="Arial" w:cs="Arial"/>
          <w:color w:val="000000"/>
          <w:sz w:val="20"/>
        </w:rPr>
        <w:t xml:space="preserve">The individual's parents requested that the police take their son to a hospital so that he could receive medical attention. </w:t>
      </w:r>
      <w:bookmarkStart w:id="4387" w:name="Bookmark_I529J4F50M6JXM0010000400_2"/>
      <w:bookmarkStart w:id="4388" w:name="Bookmark_I529J4F50M6JXM0030000400"/>
      <w:bookmarkEnd w:id="4387"/>
      <w:bookmarkEnd w:id="4388"/>
      <w:r>
        <w:rPr>
          <w:rFonts w:ascii="Arial" w:eastAsia="Arial" w:hAnsi="Arial" w:cs="Arial"/>
          <w:i/>
          <w:color w:val="000000"/>
          <w:sz w:val="20"/>
        </w:rPr>
        <w:t>Ibid.</w:t>
      </w:r>
      <w:r>
        <w:rPr>
          <w:rFonts w:ascii="Arial" w:eastAsia="Arial" w:hAnsi="Arial" w:cs="Arial"/>
          <w:color w:val="000000"/>
          <w:sz w:val="20"/>
        </w:rPr>
        <w:t xml:space="preserve"> But when the son raised a machete at the officer, the officer shot and killed him. </w:t>
      </w:r>
      <w:r>
        <w:rPr>
          <w:rFonts w:ascii="Arial" w:eastAsia="Arial" w:hAnsi="Arial" w:cs="Arial"/>
          <w:i/>
          <w:color w:val="000000"/>
          <w:sz w:val="20"/>
        </w:rPr>
        <w:t>Ibid.</w:t>
      </w:r>
      <w:r>
        <w:rPr>
          <w:rFonts w:ascii="Arial" w:eastAsia="Arial" w:hAnsi="Arial" w:cs="Arial"/>
          <w:color w:val="000000"/>
          <w:sz w:val="20"/>
        </w:rPr>
        <w:t xml:space="preserve"> The parents sued under the ADA, arguing that their son was denied medical assistance and killed because of his disability. </w:t>
      </w:r>
      <w:bookmarkStart w:id="4389" w:name="Bookmark_I529J4F50M6JXF0050000400"/>
      <w:bookmarkEnd w:id="4389"/>
      <w:r>
        <w:rPr>
          <w:rFonts w:ascii="Arial" w:eastAsia="Arial" w:hAnsi="Arial" w:cs="Arial"/>
          <w:i/>
          <w:color w:val="000000"/>
          <w:sz w:val="20"/>
        </w:rPr>
        <w:t>Id.</w:t>
      </w:r>
      <w:r>
        <w:rPr>
          <w:rFonts w:ascii="Arial" w:eastAsia="Arial" w:hAnsi="Arial" w:cs="Arial"/>
          <w:color w:val="000000"/>
          <w:sz w:val="20"/>
        </w:rPr>
        <w:t xml:space="preserve"> at 557-58. </w:t>
      </w:r>
      <w:bookmarkStart w:id="4390" w:name="Bookmark_I529J4F50M6JXM0030000400_2"/>
      <w:bookmarkEnd w:id="4390"/>
      <w:r>
        <w:rPr>
          <w:rFonts w:ascii="Arial" w:eastAsia="Arial" w:hAnsi="Arial" w:cs="Arial"/>
          <w:color w:val="000000"/>
          <w:sz w:val="20"/>
        </w:rPr>
        <w:t xml:space="preserve">The court upheld summary judgment for the officer, holding that "there is no doubt that their son was disabled under the ADA, [but] the Thompsons have failed to produce any evidence that . . . such denial [of medical services] was </w:t>
      </w:r>
      <w:r>
        <w:rPr>
          <w:rFonts w:ascii="Arial" w:eastAsia="Arial" w:hAnsi="Arial" w:cs="Arial"/>
          <w:b/>
          <w:i/>
          <w:color w:val="000000"/>
          <w:sz w:val="20"/>
        </w:rPr>
        <w:t>because of his disability.</w:t>
      </w:r>
      <w:r>
        <w:rPr>
          <w:rFonts w:ascii="Arial" w:eastAsia="Arial" w:hAnsi="Arial" w:cs="Arial"/>
          <w:color w:val="000000"/>
          <w:sz w:val="20"/>
        </w:rPr>
        <w:t xml:space="preserve">" </w:t>
      </w:r>
      <w:bookmarkStart w:id="4391" w:name="Bookmark_I529J4F50M6JXM0020000400"/>
      <w:bookmarkEnd w:id="4391"/>
      <w:r>
        <w:rPr>
          <w:rFonts w:ascii="Arial" w:eastAsia="Arial" w:hAnsi="Arial" w:cs="Arial"/>
          <w:i/>
          <w:color w:val="000000"/>
          <w:sz w:val="20"/>
        </w:rPr>
        <w:t>Id.</w:t>
      </w:r>
      <w:r>
        <w:rPr>
          <w:rFonts w:ascii="Arial" w:eastAsia="Arial" w:hAnsi="Arial" w:cs="Arial"/>
          <w:color w:val="000000"/>
          <w:sz w:val="20"/>
        </w:rPr>
        <w:t xml:space="preserve"> at 558. The court further stated that "if the decedent was denied access to medical services  [**16] it was because of his violent, threatening behavior, not because he was mentally disabled." </w:t>
      </w:r>
      <w:r>
        <w:rPr>
          <w:rFonts w:ascii="Arial" w:eastAsia="Arial" w:hAnsi="Arial" w:cs="Arial"/>
          <w:i/>
          <w:color w:val="000000"/>
          <w:sz w:val="20"/>
        </w:rPr>
        <w:t>Ibid.</w:t>
      </w:r>
    </w:p>
    <w:p w14:paraId="4B4815BB" w14:textId="77777777" w:rsidR="00D041A2" w:rsidRDefault="00000000">
      <w:pPr>
        <w:pStyle w:val="Normal35"/>
        <w:widowControl w:val="0"/>
        <w:spacing w:before="200" w:line="260" w:lineRule="atLeast"/>
        <w:jc w:val="both"/>
      </w:pPr>
      <w:bookmarkStart w:id="4392" w:name="Bookmark_para_33_14"/>
      <w:bookmarkStart w:id="4393" w:name="Bookmark_I1PDM8FSB4P000135S40000G"/>
      <w:bookmarkStart w:id="4394" w:name="Bookmark_I529J4F50M6JXM0050000400"/>
      <w:bookmarkEnd w:id="4392"/>
      <w:bookmarkEnd w:id="4393"/>
      <w:bookmarkEnd w:id="4394"/>
      <w:r>
        <w:rPr>
          <w:rFonts w:ascii="Arial" w:eastAsia="Arial" w:hAnsi="Arial" w:cs="Arial"/>
          <w:color w:val="000000"/>
          <w:sz w:val="20"/>
        </w:rPr>
        <w:t xml:space="preserve">Similarly, Wittich was justified in using reasonable force to secure the scene. </w:t>
      </w:r>
      <w:r>
        <w:rPr>
          <w:rFonts w:ascii="Arial" w:eastAsia="Arial" w:hAnsi="Arial" w:cs="Arial"/>
          <w:i/>
          <w:color w:val="000000"/>
          <w:sz w:val="20"/>
        </w:rPr>
        <w:t xml:space="preserve">See </w:t>
      </w:r>
      <w:bookmarkStart w:id="4395" w:name="Bookmark_I529J4F50M6JXM0040000400"/>
      <w:bookmarkEnd w:id="4395"/>
      <w:r>
        <w:rPr>
          <w:rFonts w:ascii="Arial" w:eastAsia="Arial" w:hAnsi="Arial" w:cs="Arial"/>
          <w:i/>
          <w:color w:val="000000"/>
          <w:sz w:val="20"/>
        </w:rPr>
        <w:t>Tucker</w:t>
      </w:r>
      <w:r>
        <w:rPr>
          <w:rFonts w:ascii="Arial" w:eastAsia="Arial" w:hAnsi="Arial" w:cs="Arial"/>
          <w:color w:val="000000"/>
          <w:sz w:val="20"/>
        </w:rPr>
        <w:t>, 539 F.3d at 536. Everson makes no allegations that Wittich's use of force was disproportionate to or otherwise unjustified by Everson's physical conduct. As a result, there is no room for a jury to find that Everson discriminated against Everson in any way.</w:t>
      </w:r>
    </w:p>
    <w:p w14:paraId="27768FE9" w14:textId="77777777" w:rsidR="00D041A2" w:rsidRDefault="00000000">
      <w:pPr>
        <w:pStyle w:val="Normal35"/>
        <w:widowControl w:val="0"/>
        <w:spacing w:before="120" w:line="260" w:lineRule="atLeast"/>
      </w:pPr>
      <w:r>
        <w:rPr>
          <w:rFonts w:ascii="Arial" w:eastAsia="Arial" w:hAnsi="Arial" w:cs="Arial"/>
          <w:color w:val="000000"/>
          <w:sz w:val="20"/>
        </w:rPr>
        <w:t>B</w:t>
      </w:r>
    </w:p>
    <w:p w14:paraId="0A7BA37B" w14:textId="77777777" w:rsidR="00D041A2" w:rsidRDefault="00000000">
      <w:pPr>
        <w:pStyle w:val="Normal35"/>
        <w:widowControl w:val="0"/>
        <w:spacing w:before="200" w:line="260" w:lineRule="atLeast"/>
        <w:jc w:val="both"/>
      </w:pPr>
      <w:bookmarkStart w:id="4396" w:name="Bookmark_para_34_14"/>
      <w:bookmarkEnd w:id="4396"/>
      <w:r>
        <w:rPr>
          <w:rFonts w:ascii="Arial" w:eastAsia="Arial" w:hAnsi="Arial" w:cs="Arial"/>
          <w:color w:val="000000"/>
          <w:sz w:val="20"/>
        </w:rPr>
        <w:t>Everson also fails to establish that Wittich intentionally discriminated against him, in violation of the ADA, by arresting him. Again, Everson's outward conduct required that Wittich restrain him. The issue is whether, by also proceeding to arrest Everson, Wittich intentionally discriminated against Everson because of his disability.</w:t>
      </w:r>
    </w:p>
    <w:p w14:paraId="443B6440" w14:textId="77777777" w:rsidR="00D041A2" w:rsidRDefault="00000000">
      <w:pPr>
        <w:pStyle w:val="Normal35"/>
        <w:widowControl w:val="0"/>
        <w:spacing w:before="200" w:line="260" w:lineRule="atLeast"/>
        <w:jc w:val="both"/>
      </w:pPr>
      <w:bookmarkStart w:id="4397" w:name="Bookmark_para_35_14"/>
      <w:bookmarkEnd w:id="4397"/>
      <w:r>
        <w:rPr>
          <w:rFonts w:ascii="Arial" w:eastAsia="Arial" w:hAnsi="Arial" w:cs="Arial"/>
          <w:color w:val="000000"/>
          <w:sz w:val="20"/>
        </w:rPr>
        <w:t xml:space="preserve">Everson was ultimately charged with assault ("[n]o person shall knowingly cause or attempt to cause physical harm to another . . . [or] recklessly cause serious physical harm . . . .") and with disorderly conduct ("[n]o person shall recklessly  [*778]  cause inconvenience, annoyance, or alarm to another by . . . threatening to harm persons or property, or . . . violent or turbulent behavior . . . .") OHIO REV. CODE §§ 2903.13,  [**17] 2917.11 (Baldwin's 2003). Everson does not dispute that his physical conduct—which included targeted verbal and physical attacks—was consistent with the violations for which he was charged, but instead argues that Wittich knew that he lacked the requisite </w:t>
      </w:r>
      <w:r>
        <w:rPr>
          <w:rFonts w:ascii="Arial" w:eastAsia="Arial" w:hAnsi="Arial" w:cs="Arial"/>
          <w:i/>
          <w:color w:val="000000"/>
          <w:sz w:val="20"/>
        </w:rPr>
        <w:t>mens rea</w:t>
      </w:r>
      <w:r>
        <w:rPr>
          <w:rFonts w:ascii="Arial" w:eastAsia="Arial" w:hAnsi="Arial" w:cs="Arial"/>
          <w:color w:val="000000"/>
          <w:sz w:val="20"/>
        </w:rPr>
        <w:t xml:space="preserve">, and by proceeding to arrest him anyway, Wittich intentionally discriminated against him. </w:t>
      </w:r>
      <w:r>
        <w:rPr>
          <w:rFonts w:ascii="Arial" w:eastAsia="Arial" w:hAnsi="Arial" w:cs="Arial"/>
          <w:i/>
          <w:color w:val="000000"/>
          <w:sz w:val="20"/>
        </w:rPr>
        <w:t>See</w:t>
      </w:r>
      <w:r>
        <w:rPr>
          <w:rFonts w:ascii="Arial" w:eastAsia="Arial" w:hAnsi="Arial" w:cs="Arial"/>
          <w:color w:val="000000"/>
          <w:sz w:val="20"/>
        </w:rPr>
        <w:t xml:space="preserve"> Appellant's Br. at 16-18. At bottom, Everson argues that Wittich knew that his conduct was caused by his disability, and by proceeding to arrest him for that conduct, Wittich intentionally discriminated against him because of his disability in violation of the ADA.</w:t>
      </w:r>
    </w:p>
    <w:p w14:paraId="3581B86D" w14:textId="77777777" w:rsidR="00D041A2" w:rsidRDefault="00000000">
      <w:pPr>
        <w:pStyle w:val="Normal35"/>
        <w:widowControl w:val="0"/>
        <w:spacing w:before="200" w:line="260" w:lineRule="atLeast"/>
        <w:jc w:val="both"/>
      </w:pPr>
      <w:bookmarkStart w:id="4398" w:name="Bookmark_para_36_13"/>
      <w:bookmarkStart w:id="4399" w:name="Bookmark_I1PDM8G6Y49000135S40003R"/>
      <w:bookmarkStart w:id="4400" w:name="Bookmark_I529J4F60M6JXW0020000400"/>
      <w:bookmarkEnd w:id="4398"/>
      <w:bookmarkEnd w:id="4399"/>
      <w:bookmarkEnd w:id="4400"/>
      <w:r>
        <w:rPr>
          <w:rFonts w:ascii="Arial" w:eastAsia="Arial" w:hAnsi="Arial" w:cs="Arial"/>
          <w:color w:val="000000"/>
          <w:sz w:val="20"/>
        </w:rPr>
        <w:t xml:space="preserve">As support for this claim, Everson notes a line of cases outside of this Circuit that hold an arrestee can establish a claim under Title II by showing that the police officer knew of or should have known of his disability and nonetheless arrested him for lawful conduct caused by the disability. Appellant's Br. at 9-10 (citations omitted). </w:t>
      </w:r>
      <w:bookmarkStart w:id="4401" w:name="Bookmark_I1PDM8FSG0Y000135S40000H"/>
      <w:bookmarkStart w:id="4402" w:name="Bookmark_I529J4F60M6JXW0040000400"/>
      <w:bookmarkEnd w:id="4401"/>
      <w:bookmarkEnd w:id="4402"/>
      <w:r>
        <w:rPr>
          <w:rFonts w:ascii="Arial" w:eastAsia="Arial" w:hAnsi="Arial" w:cs="Arial"/>
          <w:color w:val="000000"/>
          <w:sz w:val="20"/>
        </w:rPr>
        <w:t xml:space="preserve">We do not think these two unpublished cases from different districts support Everson's case. In </w:t>
      </w:r>
      <w:r>
        <w:rPr>
          <w:rFonts w:ascii="Arial" w:eastAsia="Arial" w:hAnsi="Arial" w:cs="Arial"/>
          <w:i/>
          <w:color w:val="000000"/>
          <w:sz w:val="20"/>
        </w:rPr>
        <w:t>Jackson v. Inhabitants of Town of Sanford</w:t>
      </w:r>
      <w:r>
        <w:rPr>
          <w:rFonts w:ascii="Arial" w:eastAsia="Arial" w:hAnsi="Arial" w:cs="Arial"/>
          <w:color w:val="000000"/>
          <w:sz w:val="20"/>
        </w:rPr>
        <w:t xml:space="preserve">, the police mistook the arrestee's speech impediment and instability for drug or alcohol impairment,  [**18] and despite his explanation, arrested him. </w:t>
      </w:r>
      <w:bookmarkStart w:id="4403" w:name="Bookmark_I529J4F60M6JXW0010000400"/>
      <w:bookmarkEnd w:id="4403"/>
      <w:r>
        <w:rPr>
          <w:rFonts w:ascii="Arial" w:eastAsia="Arial" w:hAnsi="Arial" w:cs="Arial"/>
          <w:color w:val="000000"/>
          <w:sz w:val="20"/>
        </w:rPr>
        <w:t xml:space="preserve">No. 94-12-P-H, 1994 U.S. Dist. LEXIS 15367, 1994 WL 589617 (Sept. 23, 1994). </w:t>
      </w:r>
      <w:bookmarkStart w:id="4404" w:name="Bookmark_I529J4F60M6JXW0040000400_2"/>
      <w:bookmarkEnd w:id="4404"/>
      <w:r>
        <w:rPr>
          <w:rFonts w:ascii="Arial" w:eastAsia="Arial" w:hAnsi="Arial" w:cs="Arial"/>
          <w:color w:val="000000"/>
          <w:sz w:val="20"/>
        </w:rPr>
        <w:t xml:space="preserve">The defendants, however, requested summary judgment only on the grounds that the ADA did not apply to arrests, not that they had not intentionally discriminated against the arrestee. And in </w:t>
      </w:r>
      <w:bookmarkStart w:id="4405" w:name="Bookmark_I529J4F60M6JXW0030000400"/>
      <w:bookmarkEnd w:id="4405"/>
      <w:r>
        <w:rPr>
          <w:rFonts w:ascii="Arial" w:eastAsia="Arial" w:hAnsi="Arial" w:cs="Arial"/>
          <w:i/>
          <w:color w:val="000000"/>
          <w:sz w:val="20"/>
        </w:rPr>
        <w:t>Lewis v. Truitt</w:t>
      </w:r>
      <w:r>
        <w:rPr>
          <w:rFonts w:ascii="Arial" w:eastAsia="Arial" w:hAnsi="Arial" w:cs="Arial"/>
          <w:color w:val="000000"/>
          <w:sz w:val="20"/>
        </w:rPr>
        <w:t>, 960 F. Supp. 175 (D. Ind. 1997), the district court noted that the defendants had not cited any evidence to contradict the plaintiffs' argument that officers refused to communicate with him because he was deaf.</w:t>
      </w:r>
    </w:p>
    <w:p w14:paraId="4C8D0AE2" w14:textId="77777777" w:rsidR="00D041A2" w:rsidRDefault="00000000">
      <w:pPr>
        <w:pStyle w:val="Normal35"/>
        <w:widowControl w:val="0"/>
        <w:spacing w:before="200" w:line="260" w:lineRule="atLeast"/>
        <w:jc w:val="both"/>
      </w:pPr>
      <w:bookmarkStart w:id="4406" w:name="Bookmark_para_37_12"/>
      <w:bookmarkEnd w:id="4406"/>
      <w:r>
        <w:rPr>
          <w:rFonts w:ascii="Arial" w:eastAsia="Arial" w:hAnsi="Arial" w:cs="Arial"/>
          <w:color w:val="000000"/>
          <w:sz w:val="20"/>
        </w:rPr>
        <w:t xml:space="preserve">Although we accept, for purposes of summary judgment, that Everson's conduct was caused by his disability, there is insufficient evidence to support a conclusion that Wittich knew that Everson's conduct was caused by his disability or that Wittich acted because of—rather than in spite of—Everson's disability. The only facts in Everson's favor are that Wittich knew that Everson had recently suffered a seizure and that Wittich knew that Everson had recently been unconscious. Everson alleges no facts that could support his bare conclusion that Wittich </w:t>
      </w:r>
      <w:r>
        <w:rPr>
          <w:rFonts w:ascii="Arial" w:eastAsia="Arial" w:hAnsi="Arial" w:cs="Arial"/>
          <w:i/>
          <w:color w:val="000000"/>
          <w:sz w:val="20"/>
        </w:rPr>
        <w:t>knew</w:t>
      </w:r>
      <w:r>
        <w:rPr>
          <w:rFonts w:ascii="Arial" w:eastAsia="Arial" w:hAnsi="Arial" w:cs="Arial"/>
          <w:color w:val="000000"/>
          <w:sz w:val="20"/>
        </w:rPr>
        <w:t xml:space="preserve"> that Everson's seizure was ongoing during the relevant time period. Indeed, the evidence in the record points strongly in the other  [**19] direction, that Wittich believed that Everson's seizure had concluded and that his conduct was, in fact, purposeful. When Wittich—who had no prior training in dealing with epilepsy—arrived at the scene, Everson was not randomly thrashing about, but was engaging in what appeared to be targeted physical and verbal attacks. Everson threatened to swing at officers and EMS professionals and actually did kick, swing, and spit on the officers and EMS professionals. And, significantly, Wittich was told by an EMS professional that Everson's conduct was </w:t>
      </w:r>
      <w:r>
        <w:rPr>
          <w:rFonts w:ascii="Arial" w:eastAsia="Arial" w:hAnsi="Arial" w:cs="Arial"/>
          <w:i/>
          <w:color w:val="000000"/>
          <w:sz w:val="20"/>
        </w:rPr>
        <w:t>not</w:t>
      </w:r>
      <w:r>
        <w:rPr>
          <w:rFonts w:ascii="Arial" w:eastAsia="Arial" w:hAnsi="Arial" w:cs="Arial"/>
          <w:color w:val="000000"/>
          <w:sz w:val="20"/>
        </w:rPr>
        <w:t xml:space="preserve"> related to a seizure. Although we presume for the purposes of summary judgment that the EMS professional was mistaken, our inquiry is not whether Everson's attacks were purposeful, but whether Wittich knew that they were not purposeful. The evidence in the record compels the conclusion that he did not know, and the line of cases relied upon by Everson is therefore inapposite. And because Everson can not establish that Wittich knew that Everson's conduct was caused by his seizure, we hold that Everson can not establish that, by arresting him for that conduct, Wittich intentionally discriminated against him because of his disability.</w:t>
      </w:r>
    </w:p>
    <w:p w14:paraId="59E75F69" w14:textId="77777777" w:rsidR="00D041A2" w:rsidRDefault="00000000">
      <w:pPr>
        <w:pStyle w:val="Normal35"/>
        <w:widowControl w:val="0"/>
        <w:spacing w:before="240" w:line="260" w:lineRule="atLeast"/>
      </w:pPr>
      <w:r>
        <w:br/>
      </w:r>
      <w:r>
        <w:rPr>
          <w:rFonts w:ascii="Arial" w:eastAsia="Arial" w:hAnsi="Arial" w:cs="Arial"/>
          <w:color w:val="000000"/>
          <w:sz w:val="20"/>
        </w:rPr>
        <w:t> [*779]  C</w:t>
      </w:r>
    </w:p>
    <w:p w14:paraId="1C441AC9" w14:textId="77777777" w:rsidR="00D041A2" w:rsidRDefault="00000000">
      <w:pPr>
        <w:pStyle w:val="Normal35"/>
        <w:widowControl w:val="0"/>
        <w:spacing w:before="200" w:line="260" w:lineRule="atLeast"/>
        <w:jc w:val="both"/>
      </w:pPr>
      <w:bookmarkStart w:id="4407" w:name="Bookmark_para_38_12"/>
      <w:bookmarkEnd w:id="4407"/>
      <w:r>
        <w:rPr>
          <w:rFonts w:ascii="Arial" w:eastAsia="Arial" w:hAnsi="Arial" w:cs="Arial"/>
          <w:color w:val="000000"/>
          <w:sz w:val="20"/>
        </w:rPr>
        <w:t xml:space="preserve">Finally,  [**20] Everson fails to sufficiently support his claim that Wittich intentionally discriminated against him because of his disability by initiating charges against him. Everson argues that, because Wittich had time between the arrest and filing charges to consider his lack of </w:t>
      </w:r>
      <w:r>
        <w:rPr>
          <w:rFonts w:ascii="Arial" w:eastAsia="Arial" w:hAnsi="Arial" w:cs="Arial"/>
          <w:i/>
          <w:color w:val="000000"/>
          <w:sz w:val="20"/>
        </w:rPr>
        <w:t>mens rea</w:t>
      </w:r>
      <w:r>
        <w:rPr>
          <w:rFonts w:ascii="Arial" w:eastAsia="Arial" w:hAnsi="Arial" w:cs="Arial"/>
          <w:color w:val="000000"/>
          <w:sz w:val="20"/>
        </w:rPr>
        <w:t xml:space="preserve">, Wittich discriminated against him by still proceeding to file charges. </w:t>
      </w:r>
      <w:r>
        <w:rPr>
          <w:rFonts w:ascii="Arial" w:eastAsia="Arial" w:hAnsi="Arial" w:cs="Arial"/>
          <w:i/>
          <w:color w:val="000000"/>
          <w:sz w:val="20"/>
        </w:rPr>
        <w:t>See</w:t>
      </w:r>
      <w:r>
        <w:rPr>
          <w:rFonts w:ascii="Arial" w:eastAsia="Arial" w:hAnsi="Arial" w:cs="Arial"/>
          <w:color w:val="000000"/>
          <w:sz w:val="20"/>
        </w:rPr>
        <w:t xml:space="preserve"> Appellant's Br. at 17; Reply Br. at 3-4.</w:t>
      </w:r>
    </w:p>
    <w:p w14:paraId="7BC44A1D" w14:textId="77777777" w:rsidR="00D041A2" w:rsidRDefault="00000000">
      <w:pPr>
        <w:pStyle w:val="Normal35"/>
        <w:widowControl w:val="0"/>
        <w:spacing w:before="200" w:line="260" w:lineRule="atLeast"/>
        <w:jc w:val="both"/>
      </w:pPr>
      <w:bookmarkStart w:id="4408" w:name="Bookmark_para_39_12"/>
      <w:bookmarkEnd w:id="4408"/>
      <w:r>
        <w:rPr>
          <w:rFonts w:ascii="Arial" w:eastAsia="Arial" w:hAnsi="Arial" w:cs="Arial"/>
          <w:color w:val="000000"/>
          <w:sz w:val="20"/>
        </w:rPr>
        <w:t>Significantly, Everson alleges no events that occurred between the time he was arrested and the time that Wittich filed charges—a time period during which Everson was fully conscious—that would distinguish the discrimination analysis from that of the arrest itself.</w:t>
      </w:r>
    </w:p>
    <w:p w14:paraId="345C241C" w14:textId="77777777" w:rsidR="00D041A2" w:rsidRDefault="00000000">
      <w:pPr>
        <w:pStyle w:val="Normal35"/>
        <w:widowControl w:val="0"/>
        <w:spacing w:before="200" w:line="260" w:lineRule="atLeast"/>
        <w:jc w:val="both"/>
      </w:pPr>
      <w:bookmarkStart w:id="4409" w:name="Bookmark_para_40_12"/>
      <w:bookmarkEnd w:id="4409"/>
      <w:r>
        <w:rPr>
          <w:rFonts w:ascii="Arial" w:eastAsia="Arial" w:hAnsi="Arial" w:cs="Arial"/>
          <w:color w:val="000000"/>
          <w:sz w:val="20"/>
        </w:rPr>
        <w:t xml:space="preserve">Even if the court accepts as true Everson's assertion that he heard an officer state that he will "think . . . up [a charge] and fax it down," and even if the court infers that Wittich was the speaker, Everson still cannot establish a genuine issue as to intentional disability discrimination. </w:t>
      </w:r>
      <w:bookmarkStart w:id="4410" w:name="Bookmark_I529J4F60M6JY40010000400"/>
      <w:bookmarkEnd w:id="4410"/>
      <w:r>
        <w:rPr>
          <w:rFonts w:ascii="Arial" w:eastAsia="Arial" w:hAnsi="Arial" w:cs="Arial"/>
          <w:color w:val="000000"/>
          <w:sz w:val="20"/>
        </w:rPr>
        <w:t xml:space="preserve">In light of the preceding events, the statement appears to indicate that Wittich believed that Everson had committed crimes, but was not certain of which crimes. Such uncertainty may raise issues as to the lawfulness of the arrest. </w:t>
      </w:r>
      <w:r>
        <w:rPr>
          <w:rFonts w:ascii="Arial" w:eastAsia="Arial" w:hAnsi="Arial" w:cs="Arial"/>
          <w:i/>
          <w:color w:val="000000"/>
          <w:sz w:val="20"/>
        </w:rPr>
        <w:t xml:space="preserve">But see </w:t>
      </w:r>
      <w:bookmarkStart w:id="4411" w:name="Bookmark_I529J4F60M6JXW0050000400"/>
      <w:bookmarkEnd w:id="4411"/>
      <w:r>
        <w:rPr>
          <w:rFonts w:ascii="Arial" w:eastAsia="Arial" w:hAnsi="Arial" w:cs="Arial"/>
          <w:i/>
          <w:color w:val="000000"/>
          <w:sz w:val="20"/>
        </w:rPr>
        <w:t>Devenpeck v. Alford</w:t>
      </w:r>
      <w:r>
        <w:rPr>
          <w:rFonts w:ascii="Arial" w:eastAsia="Arial" w:hAnsi="Arial" w:cs="Arial"/>
          <w:color w:val="000000"/>
          <w:sz w:val="20"/>
        </w:rPr>
        <w:t>, 543 U.S. 146, 153, 125 S. Ct. 588, 160 L. Ed. 2d 537 (2004)  [**21] (holding that an arresting officer must have probable cause that the suspect had committed a crime, not necessarily the crime that the officer subjectively had in mind at the time of the arrest). It does not, however, provide any evidence of discriminatory intent that could support Everson's Title II claim.</w:t>
      </w:r>
    </w:p>
    <w:p w14:paraId="4DE21D76" w14:textId="77777777" w:rsidR="00D041A2" w:rsidRDefault="00000000">
      <w:pPr>
        <w:pStyle w:val="Normal35"/>
        <w:widowControl w:val="0"/>
        <w:spacing w:before="120" w:line="260" w:lineRule="atLeast"/>
      </w:pPr>
      <w:r>
        <w:rPr>
          <w:rFonts w:ascii="Arial" w:eastAsia="Arial" w:hAnsi="Arial" w:cs="Arial"/>
          <w:color w:val="000000"/>
          <w:sz w:val="20"/>
        </w:rPr>
        <w:t>V</w:t>
      </w:r>
    </w:p>
    <w:p w14:paraId="76912928" w14:textId="77777777" w:rsidR="00D041A2" w:rsidRDefault="00000000">
      <w:pPr>
        <w:pStyle w:val="Normal35"/>
        <w:widowControl w:val="0"/>
        <w:spacing w:before="200" w:line="260" w:lineRule="atLeast"/>
        <w:jc w:val="both"/>
      </w:pPr>
      <w:bookmarkStart w:id="4412" w:name="Bookmark_para_41_11"/>
      <w:bookmarkStart w:id="4413" w:name="Bookmark_I529J4F60M6JY40030000400"/>
      <w:bookmarkStart w:id="4414" w:name="Bookmark_I529J4F60M6JY40050000400"/>
      <w:bookmarkEnd w:id="4412"/>
      <w:bookmarkEnd w:id="4413"/>
      <w:bookmarkEnd w:id="4414"/>
      <w:r>
        <w:rPr>
          <w:rFonts w:ascii="Arial" w:eastAsia="Arial" w:hAnsi="Arial" w:cs="Arial"/>
          <w:color w:val="000000"/>
          <w:sz w:val="20"/>
        </w:rPr>
        <w:t xml:space="preserve">It is not clear why Everson, after dismissing his § 1983 claims, has retained Leis as a defendant. Although he alleges that the County had no epilepsy-specific policies and training, Everson devotes his argument to Wittich's conduct and never specifically addresses Leis. Nor does Everson cite any cases or develop a legal argument as to how Leis might be liable under Title II of the ADA. Accordingly, Everson has waived any argument that the district court erred in granting summary judgment to Leis. </w:t>
      </w:r>
      <w:bookmarkStart w:id="4415" w:name="Bookmark_I529J4F60M6JY40020000400"/>
      <w:bookmarkEnd w:id="4415"/>
      <w:r>
        <w:rPr>
          <w:rFonts w:ascii="Arial" w:eastAsia="Arial" w:hAnsi="Arial" w:cs="Arial"/>
          <w:i/>
          <w:color w:val="000000"/>
          <w:sz w:val="20"/>
        </w:rPr>
        <w:t>Garner v. Cuyahoga Juvenile Court</w:t>
      </w:r>
      <w:r>
        <w:rPr>
          <w:rFonts w:ascii="Arial" w:eastAsia="Arial" w:hAnsi="Arial" w:cs="Arial"/>
          <w:color w:val="000000"/>
          <w:sz w:val="20"/>
        </w:rPr>
        <w:t>, 554 F.3d 624, 640-41 (6th Cir. 2009) (</w:t>
      </w:r>
      <w:bookmarkStart w:id="4416" w:name="Bookmark_LNHNREFclscc10_20"/>
      <w:bookmarkEnd w:id="4416"/>
      <w:r>
        <w:rPr>
          <w:rFonts w:ascii="Arial" w:eastAsia="Arial" w:hAnsi="Arial" w:cs="Arial"/>
          <w:color w:val="000000"/>
          <w:sz w:val="20"/>
        </w:rPr>
        <w:t xml:space="preserve">"Issues adverted to in a perfunctory manner, unaccompanied by some effort at developed argumentation, are deemed waived. It is not sufficient for a party to mention a possible argument in the most skeletal way, leaving the court to . . . put flesh on its bones.") (quoting </w:t>
      </w:r>
      <w:bookmarkStart w:id="4417" w:name="Bookmark_I529J4F60M6JY40040000400"/>
      <w:bookmarkEnd w:id="4417"/>
      <w:r>
        <w:rPr>
          <w:rFonts w:ascii="Arial" w:eastAsia="Arial" w:hAnsi="Arial" w:cs="Arial"/>
          <w:i/>
          <w:color w:val="000000"/>
          <w:sz w:val="20"/>
        </w:rPr>
        <w:t>McPherson v. Kelsey</w:t>
      </w:r>
      <w:r>
        <w:rPr>
          <w:rFonts w:ascii="Arial" w:eastAsia="Arial" w:hAnsi="Arial" w:cs="Arial"/>
          <w:color w:val="000000"/>
          <w:sz w:val="20"/>
        </w:rPr>
        <w:t>, 125 F.3d 989, 995-96 (6th Cir. 1997));  [**22] </w:t>
      </w:r>
      <w:bookmarkStart w:id="4418" w:name="Bookmark_I529J4F60M6JYC0010000400"/>
      <w:bookmarkEnd w:id="4418"/>
      <w:r>
        <w:rPr>
          <w:rFonts w:ascii="Arial" w:eastAsia="Arial" w:hAnsi="Arial" w:cs="Arial"/>
          <w:i/>
          <w:color w:val="000000"/>
          <w:sz w:val="20"/>
        </w:rPr>
        <w:t>United States v. Williams</w:t>
      </w:r>
      <w:r>
        <w:rPr>
          <w:rFonts w:ascii="Arial" w:eastAsia="Arial" w:hAnsi="Arial" w:cs="Arial"/>
          <w:color w:val="000000"/>
          <w:sz w:val="20"/>
        </w:rPr>
        <w:t>, 544 F.3d 683, 690 (6th Cir. 2008) (holding that arguments are waived when an appellant "fail[s] to develop or support his argument with any legal authority").</w:t>
      </w:r>
    </w:p>
    <w:p w14:paraId="39E4D5F3" w14:textId="77777777" w:rsidR="00D041A2" w:rsidRDefault="00000000">
      <w:pPr>
        <w:pStyle w:val="Normal35"/>
        <w:widowControl w:val="0"/>
        <w:spacing w:before="120" w:line="260" w:lineRule="atLeast"/>
      </w:pPr>
      <w:r>
        <w:rPr>
          <w:rFonts w:ascii="Arial" w:eastAsia="Arial" w:hAnsi="Arial" w:cs="Arial"/>
          <w:color w:val="000000"/>
          <w:sz w:val="20"/>
        </w:rPr>
        <w:t>VI</w:t>
      </w:r>
    </w:p>
    <w:p w14:paraId="1AF08CD8" w14:textId="77777777" w:rsidR="00D041A2" w:rsidRDefault="00000000">
      <w:pPr>
        <w:pStyle w:val="Normal35"/>
        <w:widowControl w:val="0"/>
        <w:spacing w:before="200" w:line="260" w:lineRule="atLeast"/>
        <w:jc w:val="both"/>
      </w:pPr>
      <w:bookmarkStart w:id="4419" w:name="Bookmark_para_42_10"/>
      <w:bookmarkEnd w:id="4419"/>
      <w:r>
        <w:rPr>
          <w:rFonts w:ascii="Arial" w:eastAsia="Arial" w:hAnsi="Arial" w:cs="Arial"/>
          <w:color w:val="000000"/>
          <w:sz w:val="20"/>
        </w:rPr>
        <w:t>For the foregoing reasons, we AFFIRM the decision of the District Court.</w:t>
      </w:r>
    </w:p>
    <w:p w14:paraId="1957EB79" w14:textId="77777777" w:rsidR="00D041A2" w:rsidRDefault="00000000">
      <w:pPr>
        <w:pStyle w:val="Normal35"/>
        <w:widowControl w:val="0"/>
        <w:spacing w:before="240" w:line="260" w:lineRule="atLeast"/>
      </w:pPr>
      <w:bookmarkStart w:id="4420" w:name="Dissent_by_2"/>
      <w:bookmarkEnd w:id="4420"/>
      <w:r>
        <w:rPr>
          <w:rFonts w:ascii="Arial" w:eastAsia="Arial" w:hAnsi="Arial" w:cs="Arial"/>
          <w:b/>
          <w:color w:val="000000"/>
          <w:sz w:val="20"/>
        </w:rPr>
        <w:t>Dissent by:</w:t>
      </w:r>
      <w:r>
        <w:rPr>
          <w:rFonts w:ascii="Arial" w:eastAsia="Arial" w:hAnsi="Arial" w:cs="Arial"/>
          <w:color w:val="000000"/>
          <w:sz w:val="20"/>
        </w:rPr>
        <w:t> KAREN NELSON MOORE</w:t>
      </w:r>
    </w:p>
    <w:p w14:paraId="5CF152DA" w14:textId="77777777" w:rsidR="00D041A2" w:rsidRDefault="00000000">
      <w:pPr>
        <w:pStyle w:val="Normal35"/>
        <w:keepNext/>
        <w:widowControl w:val="0"/>
        <w:spacing w:before="240" w:line="340" w:lineRule="atLeast"/>
      </w:pPr>
      <w:bookmarkStart w:id="4421" w:name="Dissent_2"/>
      <w:bookmarkEnd w:id="4421"/>
      <w:r>
        <w:rPr>
          <w:rFonts w:ascii="Arial" w:eastAsia="Arial" w:hAnsi="Arial" w:cs="Arial"/>
          <w:b/>
          <w:color w:val="000000"/>
          <w:sz w:val="28"/>
        </w:rPr>
        <w:t>Dissent</w:t>
      </w:r>
    </w:p>
    <w:p w14:paraId="3104637E" w14:textId="2994EBD7" w:rsidR="00D041A2" w:rsidRDefault="004D4403">
      <w:pPr>
        <w:pStyle w:val="Normal35"/>
        <w:spacing w:line="60" w:lineRule="exact"/>
      </w:pPr>
      <w:r>
        <w:rPr>
          <w:noProof/>
        </w:rPr>
        <mc:AlternateContent>
          <mc:Choice Requires="wps">
            <w:drawing>
              <wp:anchor distT="0" distB="0" distL="114300" distR="114300" simplePos="0" relativeHeight="251736064" behindDoc="0" locked="0" layoutInCell="1" allowOverlap="1" wp14:anchorId="0BE1BAFB" wp14:editId="34EE0079">
                <wp:simplePos x="0" y="0"/>
                <wp:positionH relativeFrom="column">
                  <wp:posOffset>0</wp:posOffset>
                </wp:positionH>
                <wp:positionV relativeFrom="paragraph">
                  <wp:posOffset>25400</wp:posOffset>
                </wp:positionV>
                <wp:extent cx="3187700" cy="0"/>
                <wp:effectExtent l="19050" t="15875" r="12700" b="12700"/>
                <wp:wrapTopAndBottom/>
                <wp:docPr id="421578592"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ECA95" id="Line 77"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0699AA3" w14:textId="77777777" w:rsidR="00D041A2" w:rsidRDefault="00D041A2">
      <w:pPr>
        <w:pStyle w:val="Normal35"/>
      </w:pPr>
    </w:p>
    <w:p w14:paraId="3E5E2C17" w14:textId="77777777" w:rsidR="00D041A2" w:rsidRDefault="00000000">
      <w:pPr>
        <w:pStyle w:val="Normal35"/>
        <w:widowControl w:val="0"/>
        <w:spacing w:before="200" w:line="260" w:lineRule="atLeast"/>
        <w:jc w:val="both"/>
      </w:pPr>
      <w:bookmarkStart w:id="4422" w:name="Bookmark_para_43_10"/>
      <w:bookmarkEnd w:id="4422"/>
      <w:r>
        <w:rPr>
          <w:rFonts w:ascii="Arial" w:eastAsia="Arial" w:hAnsi="Arial" w:cs="Arial"/>
          <w:b/>
          <w:color w:val="000000"/>
          <w:sz w:val="20"/>
        </w:rPr>
        <w:t>KAREN NELSON MOORE, Circuit Judge, dissenting.</w:t>
      </w:r>
      <w:r>
        <w:rPr>
          <w:rFonts w:ascii="Arial" w:eastAsia="Arial" w:hAnsi="Arial" w:cs="Arial"/>
          <w:color w:val="000000"/>
          <w:sz w:val="20"/>
        </w:rPr>
        <w:t xml:space="preserve"> Because I believe that there is a genuine issue of material fact with respect to whether Wittich knew that Everson's conduct was related to his disability, I respectfully dissent. I would reverse the district judge's grant of summary judgment in favor of Wittich and allow Everson to proceed on his claim, under Title II of the Americans with Disabilities Act ("ADA"), that Wittich discriminated against him in arresting and charging him with assault and disorderly conduct. I write separately also to highlight the tension of this circuit's "solely because of" standard for intentional discrimination with the majority of our sister circuits.</w:t>
      </w:r>
    </w:p>
    <w:p w14:paraId="3DCE5622" w14:textId="77777777" w:rsidR="00D041A2" w:rsidRDefault="00000000">
      <w:pPr>
        <w:pStyle w:val="Normal35"/>
        <w:widowControl w:val="0"/>
        <w:spacing w:before="240" w:line="260" w:lineRule="atLeast"/>
      </w:pPr>
      <w:r>
        <w:br/>
      </w:r>
      <w:r>
        <w:rPr>
          <w:rFonts w:ascii="Arial" w:eastAsia="Arial" w:hAnsi="Arial" w:cs="Arial"/>
          <w:color w:val="000000"/>
          <w:sz w:val="20"/>
        </w:rPr>
        <w:t xml:space="preserve"> [*780]  </w:t>
      </w:r>
      <w:r>
        <w:rPr>
          <w:rFonts w:ascii="Arial" w:eastAsia="Arial" w:hAnsi="Arial" w:cs="Arial"/>
          <w:b/>
          <w:color w:val="000000"/>
          <w:sz w:val="20"/>
        </w:rPr>
        <w:t>I. WRONGFUL-ARREST THEORY AS A METHOD OF PROOF FOR INTENTIONAL DISCRIMINATION</w:t>
      </w:r>
    </w:p>
    <w:p w14:paraId="2FCB1FC8" w14:textId="77777777" w:rsidR="00D041A2" w:rsidRDefault="00000000">
      <w:pPr>
        <w:pStyle w:val="Normal35"/>
        <w:widowControl w:val="0"/>
        <w:spacing w:before="200" w:line="260" w:lineRule="atLeast"/>
        <w:jc w:val="both"/>
      </w:pPr>
      <w:bookmarkStart w:id="4423" w:name="Bookmark_para_44_10"/>
      <w:bookmarkStart w:id="4424" w:name="Bookmark_I1PDM8FSSJC000135S40000K"/>
      <w:bookmarkStart w:id="4425" w:name="Bookmark_I529J4F60M6JYC0040000400"/>
      <w:bookmarkStart w:id="4426" w:name="Bookmark_I1PDM8FSXC5000135S40000M"/>
      <w:bookmarkStart w:id="4427" w:name="Bookmark_I529J4F70M6K030010000400"/>
      <w:bookmarkEnd w:id="4423"/>
      <w:bookmarkEnd w:id="4424"/>
      <w:bookmarkEnd w:id="4425"/>
      <w:bookmarkEnd w:id="4426"/>
      <w:bookmarkEnd w:id="4427"/>
      <w:r>
        <w:rPr>
          <w:rFonts w:ascii="Arial" w:eastAsia="Arial" w:hAnsi="Arial" w:cs="Arial"/>
          <w:color w:val="000000"/>
          <w:sz w:val="20"/>
        </w:rPr>
        <w:t xml:space="preserve">I believe that Everson has demonstrated a claim under Title II of the ADA that Wittich intentionally discriminated against him because of his disability when  [**23] Wittich arrested him and charged him with assault and disorderly conduct. </w:t>
      </w:r>
      <w:bookmarkStart w:id="4428" w:name="Bookmark_I1PDM8FT1XP000135S40000N"/>
      <w:bookmarkStart w:id="4429" w:name="Bookmark_I529J4F70M6K030030000400"/>
      <w:bookmarkEnd w:id="4428"/>
      <w:bookmarkEnd w:id="4429"/>
      <w:r>
        <w:rPr>
          <w:rFonts w:ascii="Arial" w:eastAsia="Arial" w:hAnsi="Arial" w:cs="Arial"/>
          <w:color w:val="000000"/>
          <w:sz w:val="20"/>
        </w:rPr>
        <w:t xml:space="preserve">Everson alleges his claim under the "wrongful-arrest theory," typically attributed to the case </w:t>
      </w:r>
      <w:bookmarkStart w:id="4430" w:name="Bookmark_I529J4F60M6JYC0030000400"/>
      <w:bookmarkEnd w:id="4430"/>
      <w:r>
        <w:rPr>
          <w:rFonts w:ascii="Arial" w:eastAsia="Arial" w:hAnsi="Arial" w:cs="Arial"/>
          <w:i/>
          <w:color w:val="000000"/>
          <w:sz w:val="20"/>
        </w:rPr>
        <w:t>Lewis v. Truitt</w:t>
      </w:r>
      <w:r>
        <w:rPr>
          <w:rFonts w:ascii="Arial" w:eastAsia="Arial" w:hAnsi="Arial" w:cs="Arial"/>
          <w:color w:val="000000"/>
          <w:sz w:val="20"/>
        </w:rPr>
        <w:t xml:space="preserve">, 960 F. Supp. 175 (D. Ind. 1997). Under this theory, a plaintiff must show that "(1) he was disabled, (2) the defendants knew or should have known he was disabled, and (3) the defendants arrested him because of legal conduct related to his disability." </w:t>
      </w:r>
      <w:bookmarkStart w:id="4431" w:name="Bookmark_I529J4F60M6JYC0050000400"/>
      <w:bookmarkEnd w:id="4431"/>
      <w:r>
        <w:rPr>
          <w:rFonts w:ascii="Arial" w:eastAsia="Arial" w:hAnsi="Arial" w:cs="Arial"/>
          <w:i/>
          <w:color w:val="000000"/>
          <w:sz w:val="20"/>
        </w:rPr>
        <w:t>Id.</w:t>
      </w:r>
      <w:r>
        <w:rPr>
          <w:rFonts w:ascii="Arial" w:eastAsia="Arial" w:hAnsi="Arial" w:cs="Arial"/>
          <w:color w:val="000000"/>
          <w:sz w:val="20"/>
        </w:rPr>
        <w:t xml:space="preserve"> at 178. </w:t>
      </w:r>
      <w:bookmarkStart w:id="4432" w:name="Bookmark_I529J4F70M6K030030000400_2"/>
      <w:bookmarkEnd w:id="4432"/>
      <w:r>
        <w:rPr>
          <w:rFonts w:ascii="Arial" w:eastAsia="Arial" w:hAnsi="Arial" w:cs="Arial"/>
          <w:color w:val="000000"/>
          <w:sz w:val="20"/>
        </w:rPr>
        <w:t xml:space="preserve">This test is "a specific application of the general standard." </w:t>
      </w:r>
      <w:bookmarkStart w:id="4433" w:name="Bookmark_I529J4F70M6K030020000400"/>
      <w:bookmarkEnd w:id="4433"/>
      <w:r>
        <w:rPr>
          <w:rFonts w:ascii="Arial" w:eastAsia="Arial" w:hAnsi="Arial" w:cs="Arial"/>
          <w:i/>
          <w:color w:val="000000"/>
          <w:sz w:val="20"/>
        </w:rPr>
        <w:t>Gohier v. Enright</w:t>
      </w:r>
      <w:r>
        <w:rPr>
          <w:rFonts w:ascii="Arial" w:eastAsia="Arial" w:hAnsi="Arial" w:cs="Arial"/>
          <w:color w:val="000000"/>
          <w:sz w:val="20"/>
        </w:rPr>
        <w:t>, 186 F.3d 1216, 1220 (10th Cir. 1999) (discussing the wrongful-arrest theory but concluding that it was not applicable to the facts of that case because the defendant officer did not arrest the disabled decedent but rather used force on him while he was committing an assault related to his disability).</w:t>
      </w:r>
    </w:p>
    <w:p w14:paraId="1E8F15CC" w14:textId="77777777" w:rsidR="00D041A2" w:rsidRDefault="00000000">
      <w:pPr>
        <w:pStyle w:val="Normal35"/>
        <w:widowControl w:val="0"/>
        <w:spacing w:before="200" w:line="260" w:lineRule="atLeast"/>
        <w:jc w:val="both"/>
      </w:pPr>
      <w:bookmarkStart w:id="4434" w:name="Bookmark_para_45_10"/>
      <w:bookmarkEnd w:id="4434"/>
      <w:r>
        <w:rPr>
          <w:rFonts w:ascii="Arial" w:eastAsia="Arial" w:hAnsi="Arial" w:cs="Arial"/>
          <w:color w:val="000000"/>
          <w:sz w:val="20"/>
        </w:rPr>
        <w:t xml:space="preserve">Here, it is undisputed that Everson is disabled and that Wittich knew Everson had a seizure-related medical condition. With respect to the third element, however, Wittich argues that to show that he discriminated against Everson because of his disability </w:t>
      </w:r>
      <w:r>
        <w:rPr>
          <w:rFonts w:ascii="Arial" w:eastAsia="Arial" w:hAnsi="Arial" w:cs="Arial"/>
          <w:vertAlign w:val="superscript"/>
        </w:rPr>
        <w:footnoteReference w:customMarkFollows="1" w:id="216"/>
        <w:t>2</w:t>
      </w:r>
      <w:r>
        <w:rPr>
          <w:rFonts w:ascii="Arial" w:eastAsia="Arial" w:hAnsi="Arial" w:cs="Arial"/>
          <w:color w:val="000000"/>
          <w:sz w:val="20"/>
        </w:rPr>
        <w:t xml:space="preserve">—i.e., to show intentional discrimination—Everson must show that Wittich knew Everson's conduct was related to  [**24] his disability. In other words, Wittich argues that under a modified wrongful-arrest theory for </w:t>
      </w:r>
      <w:r>
        <w:rPr>
          <w:rFonts w:ascii="Arial" w:eastAsia="Arial" w:hAnsi="Arial" w:cs="Arial"/>
          <w:i/>
          <w:color w:val="000000"/>
          <w:sz w:val="20"/>
        </w:rPr>
        <w:t>intentional</w:t>
      </w:r>
      <w:r>
        <w:rPr>
          <w:rFonts w:ascii="Arial" w:eastAsia="Arial" w:hAnsi="Arial" w:cs="Arial"/>
          <w:color w:val="000000"/>
          <w:sz w:val="20"/>
        </w:rPr>
        <w:t xml:space="preserve"> discrimination, the third element requires the plaintiff to show that the defendant arrested him because of legal conduct </w:t>
      </w:r>
      <w:r>
        <w:rPr>
          <w:rFonts w:ascii="Arial" w:eastAsia="Arial" w:hAnsi="Arial" w:cs="Arial"/>
          <w:i/>
          <w:color w:val="000000"/>
          <w:sz w:val="20"/>
        </w:rPr>
        <w:t>that the defendant knows is</w:t>
      </w:r>
      <w:r>
        <w:rPr>
          <w:rFonts w:ascii="Arial" w:eastAsia="Arial" w:hAnsi="Arial" w:cs="Arial"/>
          <w:color w:val="000000"/>
          <w:sz w:val="20"/>
        </w:rPr>
        <w:t xml:space="preserve"> related to the plaintiff's disability. </w:t>
      </w:r>
      <w:r>
        <w:rPr>
          <w:rFonts w:ascii="Arial" w:eastAsia="Arial" w:hAnsi="Arial" w:cs="Arial"/>
          <w:vertAlign w:val="superscript"/>
        </w:rPr>
        <w:footnoteReference w:customMarkFollows="1" w:id="217"/>
        <w:t>3</w:t>
      </w:r>
    </w:p>
    <w:p w14:paraId="7243FA4A" w14:textId="77777777" w:rsidR="00D041A2" w:rsidRDefault="00000000">
      <w:pPr>
        <w:pStyle w:val="Normal35"/>
        <w:widowControl w:val="0"/>
        <w:spacing w:before="200" w:line="260" w:lineRule="atLeast"/>
        <w:jc w:val="both"/>
      </w:pPr>
      <w:bookmarkStart w:id="4474" w:name="Bookmark_para_47_8"/>
      <w:bookmarkStart w:id="4475" w:name="Bookmark_I1PDM8FWG2V000135S400018"/>
      <w:bookmarkStart w:id="4476" w:name="Bookmark_I529J4FC0M6K2B0030000400"/>
      <w:bookmarkEnd w:id="4474"/>
      <w:bookmarkEnd w:id="4475"/>
      <w:bookmarkEnd w:id="4476"/>
      <w:r>
        <w:rPr>
          <w:rFonts w:ascii="Arial" w:eastAsia="Arial" w:hAnsi="Arial" w:cs="Arial"/>
          <w:color w:val="000000"/>
          <w:sz w:val="20"/>
        </w:rPr>
        <w:t xml:space="preserve"> [*781]  The majority concludes that there is "insufficient" evidence that Wittich knew that Everson's actions were related to his medical condition. Majority Op. at 12. However, Everson can prove that Wittich had the requisite knowledge through circumstantial evidence, and Wittich's subjective knowledge is a question of fact for the jury. </w:t>
      </w:r>
      <w:r>
        <w:rPr>
          <w:rFonts w:ascii="Arial" w:eastAsia="Arial" w:hAnsi="Arial" w:cs="Arial"/>
          <w:i/>
          <w:color w:val="000000"/>
          <w:sz w:val="20"/>
        </w:rPr>
        <w:t xml:space="preserve">Cf. </w:t>
      </w:r>
      <w:bookmarkStart w:id="4477" w:name="Bookmark_I529J4FC0M6K2B0020000400"/>
      <w:bookmarkEnd w:id="4477"/>
      <w:r>
        <w:rPr>
          <w:rFonts w:ascii="Arial" w:eastAsia="Arial" w:hAnsi="Arial" w:cs="Arial"/>
          <w:i/>
          <w:color w:val="000000"/>
          <w:sz w:val="20"/>
        </w:rPr>
        <w:t>Farmer v. Brennan</w:t>
      </w:r>
      <w:r>
        <w:rPr>
          <w:rFonts w:ascii="Arial" w:eastAsia="Arial" w:hAnsi="Arial" w:cs="Arial"/>
          <w:color w:val="000000"/>
          <w:sz w:val="20"/>
        </w:rPr>
        <w:t>, 511 U.S. 825, 842, 114 S. Ct. 1970, 128 L. Ed. 2d 811 (1994) (concluding that, in the context of the Eighth Amendment deliberate-indifference standard, "[w]hether a prison official had the requisite knowledge of a substantial risk is a question of fact subject to demonstration in the usual ways, including inference from circumstantial evidence"). Viewing the facts in the light most favorable to Everson, I think that Everson does present circumstantial evidence from which a reasonable jury could conclude that Wittich knew Everson's conduct was related to his seizure. Thus, there is a genuine issue of material fact remaining, and summary judgment is inappropriate.</w:t>
      </w:r>
    </w:p>
    <w:p w14:paraId="34E5D827" w14:textId="77777777" w:rsidR="00D041A2" w:rsidRDefault="00000000">
      <w:pPr>
        <w:pStyle w:val="Normal35"/>
        <w:widowControl w:val="0"/>
        <w:spacing w:before="200" w:line="260" w:lineRule="atLeast"/>
        <w:jc w:val="both"/>
      </w:pPr>
      <w:bookmarkStart w:id="4478" w:name="Bookmark_para_48_8"/>
      <w:bookmarkEnd w:id="4478"/>
      <w:r>
        <w:rPr>
          <w:rFonts w:ascii="Arial" w:eastAsia="Arial" w:hAnsi="Arial" w:cs="Arial"/>
          <w:color w:val="000000"/>
          <w:sz w:val="20"/>
        </w:rPr>
        <w:t xml:space="preserve">To start, Wittich admits that he was responding to a call requesting that  [**29] he help a person at the mall having a seizure; the dispatch call did not indicate that a crime or disturbance was occurring. R.51 (Wittich Dep. at 59-60); R.21-8 (Wittich Aff. at 1). Wittich also admits that, after he arrived on the scene but before anyone attempted to restrain Everson, he heard Everson say, "If you all didn't get away, I will have another seizure and start punching you guys." R. 51 (Wittich Dep. at 103). The majority concludes that this statement, "in the best light for Everson, put Wittich on notice that Everson was prone to having another seizure." Majority Op. at 6-7. But the majority ignores the second clause of Everson's statement: "I will have another seizure </w:t>
      </w:r>
      <w:r>
        <w:rPr>
          <w:rFonts w:ascii="Arial" w:eastAsia="Arial" w:hAnsi="Arial" w:cs="Arial"/>
          <w:i/>
          <w:color w:val="000000"/>
          <w:sz w:val="20"/>
        </w:rPr>
        <w:t>and start punching you guys.</w:t>
      </w:r>
      <w:r>
        <w:rPr>
          <w:rFonts w:ascii="Arial" w:eastAsia="Arial" w:hAnsi="Arial" w:cs="Arial"/>
          <w:color w:val="000000"/>
          <w:sz w:val="20"/>
        </w:rPr>
        <w:t>" In the light most favorable for Everson, the statement put Wittich on notice not only that Everson was prone to having another seizure but also that the seizures come with punches—i.e., that his seizures are related to his violent behavior.</w:t>
      </w:r>
    </w:p>
    <w:p w14:paraId="70A21FF7" w14:textId="77777777" w:rsidR="00D041A2" w:rsidRDefault="00000000">
      <w:pPr>
        <w:pStyle w:val="Normal35"/>
        <w:widowControl w:val="0"/>
        <w:spacing w:before="200" w:line="260" w:lineRule="atLeast"/>
        <w:jc w:val="both"/>
      </w:pPr>
      <w:bookmarkStart w:id="4479" w:name="Bookmark_para_49_8"/>
      <w:bookmarkEnd w:id="4479"/>
      <w:r>
        <w:rPr>
          <w:rFonts w:ascii="Arial" w:eastAsia="Arial" w:hAnsi="Arial" w:cs="Arial"/>
          <w:color w:val="000000"/>
          <w:sz w:val="20"/>
        </w:rPr>
        <w:t> [*782]  Furthermore, a prior panel of this court concluded that</w:t>
      </w:r>
    </w:p>
    <w:p w14:paraId="16B131BB" w14:textId="77777777" w:rsidR="00D041A2" w:rsidRDefault="00000000">
      <w:pPr>
        <w:pStyle w:val="Normal35"/>
        <w:widowControl w:val="0"/>
        <w:spacing w:before="200" w:line="260" w:lineRule="atLeast"/>
        <w:ind w:left="400"/>
        <w:jc w:val="both"/>
      </w:pPr>
      <w:bookmarkStart w:id="4480" w:name="Bookmark_para_50_8"/>
      <w:bookmarkStart w:id="4481" w:name="Bookmark_I1PDM8FWM9F000135S400019"/>
      <w:bookmarkStart w:id="4482" w:name="Bookmark_I529J4FC0M6K2B0050000400"/>
      <w:bookmarkEnd w:id="4480"/>
      <w:bookmarkEnd w:id="4481"/>
      <w:bookmarkEnd w:id="4482"/>
      <w:r>
        <w:rPr>
          <w:rFonts w:ascii="Arial" w:eastAsia="Arial" w:hAnsi="Arial" w:cs="Arial"/>
          <w:color w:val="000000"/>
          <w:sz w:val="20"/>
        </w:rPr>
        <w:t>[v]iewed in the light best to Everson, he had recovered from his seizure when he arrived at the squad car. There is nothing in the record to suggest that he was physically or verbally  [**30] abusive at that time. Deputy Sheriff Wittich knew that Everson had suffered an epileptic seizure. It is a fair inference, then, that the deputy should have known that Everson's actions were made with, at best, a semi-conscious frame of mind.</w:t>
      </w:r>
    </w:p>
    <w:p w14:paraId="26CD9519" w14:textId="77777777" w:rsidR="00D041A2" w:rsidRDefault="00000000">
      <w:pPr>
        <w:pStyle w:val="Normal35"/>
        <w:widowControl w:val="0"/>
        <w:spacing w:before="200" w:line="260" w:lineRule="atLeast"/>
        <w:jc w:val="both"/>
      </w:pPr>
      <w:bookmarkStart w:id="4483" w:name="Bookmark_I529J4FC0M6K2B0050000400_2"/>
      <w:bookmarkStart w:id="4484" w:name="Bookmark_I1PDM8FWWJY000135S40001C"/>
      <w:bookmarkStart w:id="4485" w:name="Bookmark_I529J4FF0M6K2X0020000400"/>
      <w:bookmarkStart w:id="4486" w:name="Bookmark_I529J4FC0M6K2B0040000400"/>
      <w:bookmarkEnd w:id="4483"/>
      <w:bookmarkEnd w:id="4484"/>
      <w:bookmarkEnd w:id="4485"/>
      <w:bookmarkEnd w:id="4486"/>
      <w:r>
        <w:rPr>
          <w:rFonts w:ascii="Arial" w:eastAsia="Arial" w:hAnsi="Arial" w:cs="Arial"/>
          <w:i/>
          <w:color w:val="000000"/>
          <w:sz w:val="20"/>
        </w:rPr>
        <w:t>Everson v. Leis</w:t>
      </w:r>
      <w:r>
        <w:rPr>
          <w:rFonts w:ascii="Arial" w:eastAsia="Arial" w:hAnsi="Arial" w:cs="Arial"/>
          <w:color w:val="000000"/>
          <w:sz w:val="20"/>
        </w:rPr>
        <w:t xml:space="preserve">, 556 F.3d 484, 499-500 (6th Cir. 2009); </w:t>
      </w:r>
      <w:r>
        <w:rPr>
          <w:rFonts w:ascii="Arial" w:eastAsia="Arial" w:hAnsi="Arial" w:cs="Arial"/>
          <w:i/>
          <w:color w:val="000000"/>
          <w:sz w:val="20"/>
        </w:rPr>
        <w:t>see</w:t>
      </w:r>
      <w:r>
        <w:rPr>
          <w:rFonts w:ascii="Arial" w:eastAsia="Arial" w:hAnsi="Arial" w:cs="Arial"/>
          <w:color w:val="000000"/>
          <w:sz w:val="20"/>
        </w:rPr>
        <w:t xml:space="preserve"> R.20 (Everson Dep. at 27) (indicating that Everson came out of the seizure "[w]hen [he] was on the bed, basically when they were rolling [him] out"). </w:t>
      </w:r>
      <w:bookmarkStart w:id="4487" w:name="Bookmark_I529J4FF0M6K2X0020000400_2"/>
      <w:bookmarkEnd w:id="4487"/>
      <w:r>
        <w:rPr>
          <w:rFonts w:ascii="Arial" w:eastAsia="Arial" w:hAnsi="Arial" w:cs="Arial"/>
          <w:color w:val="000000"/>
          <w:sz w:val="20"/>
        </w:rPr>
        <w:t xml:space="preserve">To be sure, that Wittich </w:t>
      </w:r>
      <w:r>
        <w:rPr>
          <w:rFonts w:ascii="Arial" w:eastAsia="Arial" w:hAnsi="Arial" w:cs="Arial"/>
          <w:i/>
          <w:color w:val="000000"/>
          <w:sz w:val="20"/>
        </w:rPr>
        <w:t>should have known</w:t>
      </w:r>
      <w:r>
        <w:rPr>
          <w:rFonts w:ascii="Arial" w:eastAsia="Arial" w:hAnsi="Arial" w:cs="Arial"/>
          <w:color w:val="000000"/>
          <w:sz w:val="20"/>
        </w:rPr>
        <w:t xml:space="preserve"> that Everson's conduct was not purposeful does not prove conclusively that Wittich </w:t>
      </w:r>
      <w:r>
        <w:rPr>
          <w:rFonts w:ascii="Arial" w:eastAsia="Arial" w:hAnsi="Arial" w:cs="Arial"/>
          <w:i/>
          <w:color w:val="000000"/>
          <w:sz w:val="20"/>
        </w:rPr>
        <w:t>did in fact know.</w:t>
      </w:r>
      <w:r>
        <w:rPr>
          <w:rFonts w:ascii="Arial" w:eastAsia="Arial" w:hAnsi="Arial" w:cs="Arial"/>
          <w:color w:val="000000"/>
          <w:sz w:val="20"/>
        </w:rPr>
        <w:t xml:space="preserve"> But an inference can be drawn from the fact that he should have known, and that inference is circumstantial evidence of Wittich's actual knowledge. </w:t>
      </w:r>
      <w:r>
        <w:rPr>
          <w:rFonts w:ascii="Arial" w:eastAsia="Arial" w:hAnsi="Arial" w:cs="Arial"/>
          <w:i/>
          <w:color w:val="000000"/>
          <w:sz w:val="20"/>
        </w:rPr>
        <w:t xml:space="preserve">Cf. </w:t>
      </w:r>
      <w:bookmarkStart w:id="4488" w:name="Bookmark_I529J4FF0M6K2X0010000400"/>
      <w:bookmarkEnd w:id="4488"/>
      <w:r>
        <w:rPr>
          <w:rFonts w:ascii="Arial" w:eastAsia="Arial" w:hAnsi="Arial" w:cs="Arial"/>
          <w:i/>
          <w:color w:val="000000"/>
          <w:sz w:val="20"/>
        </w:rPr>
        <w:t>Farmer</w:t>
      </w:r>
      <w:r>
        <w:rPr>
          <w:rFonts w:ascii="Arial" w:eastAsia="Arial" w:hAnsi="Arial" w:cs="Arial"/>
          <w:color w:val="000000"/>
          <w:sz w:val="20"/>
        </w:rPr>
        <w:t>, 511 U.S. at 842-43 &amp; n.8 ("[A] factfinder may conclude that a [defendant] knew of a substantial risk from the very fact that the risk was obvious."; "[I]f the risk is obvious, so that a reasonable man would realize it, we might well infer that [the defendant] did in fact realize it; but the inference cannot be conclusive, for we know that people are not always conscious of what reasonable people would be conscious of." (alterations in original)  [**31] (internal quotation marks omitted)).</w:t>
      </w:r>
    </w:p>
    <w:p w14:paraId="37DDA278" w14:textId="77777777" w:rsidR="00D041A2" w:rsidRDefault="00000000">
      <w:pPr>
        <w:pStyle w:val="Normal35"/>
        <w:widowControl w:val="0"/>
        <w:spacing w:before="200" w:line="260" w:lineRule="atLeast"/>
        <w:jc w:val="both"/>
      </w:pPr>
      <w:bookmarkStart w:id="4489" w:name="Bookmark_para_51_7"/>
      <w:bookmarkStart w:id="4490" w:name="Bookmark_I1PDM8FX5GV000135S40001F"/>
      <w:bookmarkStart w:id="4491" w:name="Bookmark_I529J4FF0M6K2X0040000400"/>
      <w:bookmarkEnd w:id="4489"/>
      <w:bookmarkEnd w:id="4490"/>
      <w:bookmarkEnd w:id="4491"/>
      <w:r>
        <w:rPr>
          <w:rFonts w:ascii="Arial" w:eastAsia="Arial" w:hAnsi="Arial" w:cs="Arial"/>
          <w:color w:val="000000"/>
          <w:sz w:val="20"/>
        </w:rPr>
        <w:t xml:space="preserve">The majority may be correct that the evidence in Wittich's favor—i.e., Wittich's testimony that, after Everson was restrained, Wittich asked an EMS paramedic whether Everson's conduct was related to the seizures and the paramedic told Wittich no, R.51 (Wittich Dep. at 42-43, 83-84)— is "strong[er]." Majority Op. at 13. But "[w]hen reviewing a district court's grant of summary judgment, [we] may not determine the credibility of witnesses or weigh the evidence." </w:t>
      </w:r>
      <w:r>
        <w:rPr>
          <w:rFonts w:ascii="Arial" w:eastAsia="Arial" w:hAnsi="Arial" w:cs="Arial"/>
          <w:vertAlign w:val="superscript"/>
        </w:rPr>
        <w:footnoteReference w:customMarkFollows="1" w:id="218"/>
        <w:t>4</w:t>
      </w:r>
      <w:r>
        <w:rPr>
          <w:rFonts w:ascii="Arial" w:eastAsia="Arial" w:hAnsi="Arial" w:cs="Arial"/>
          <w:color w:val="000000"/>
          <w:sz w:val="20"/>
        </w:rPr>
        <w:t xml:space="preserve"> </w:t>
      </w:r>
      <w:bookmarkStart w:id="4493" w:name="Bookmark_I529J4FF0M6K2X0030000400"/>
      <w:bookmarkEnd w:id="4493"/>
      <w:r>
        <w:rPr>
          <w:rFonts w:ascii="Arial" w:eastAsia="Arial" w:hAnsi="Arial" w:cs="Arial"/>
          <w:i/>
          <w:color w:val="000000"/>
          <w:sz w:val="20"/>
        </w:rPr>
        <w:t>Reeves v. Swift Transp. Co.</w:t>
      </w:r>
      <w:r>
        <w:rPr>
          <w:rFonts w:ascii="Arial" w:eastAsia="Arial" w:hAnsi="Arial" w:cs="Arial"/>
          <w:color w:val="000000"/>
          <w:sz w:val="20"/>
        </w:rPr>
        <w:t>, 446 F.3d 637, 640 (6th Cir. 2006). I believe that, viewing the evidence in the light most favorable to Everson, he has alleged circumstantial evidence that Wittich knew Everson's conduct was related to his medical condition. Therefore, I believe that there is a genuine issue of material fact with respect to whether Wittich intentionally discriminated against Everson when arresting him.</w:t>
      </w:r>
    </w:p>
    <w:p w14:paraId="4CAEACE2" w14:textId="77777777" w:rsidR="00D041A2" w:rsidRDefault="00000000">
      <w:pPr>
        <w:pStyle w:val="Normal35"/>
        <w:widowControl w:val="0"/>
        <w:spacing w:before="200" w:line="260" w:lineRule="atLeast"/>
        <w:jc w:val="both"/>
      </w:pPr>
      <w:bookmarkStart w:id="4494" w:name="Bookmark_para_52_7"/>
      <w:bookmarkEnd w:id="4494"/>
      <w:r>
        <w:rPr>
          <w:rFonts w:ascii="Arial" w:eastAsia="Arial" w:hAnsi="Arial" w:cs="Arial"/>
          <w:color w:val="000000"/>
          <w:sz w:val="20"/>
        </w:rPr>
        <w:t>For the same reasons, I believe that there is also a disputed issue of material fact with respect to whether Wittich discriminated against Everson when charging him with assault and disorderly conduct. I also note that, at the summary judgment stage, we must accept as true "Everson's assertion that he heard an officer state that he will 'think . . . up [a charge] and fax it down,'" Majority Op. at 14 (quoting R. 20 (Everson Dep. at 28)), and we must construe the statement in Everson's favor. Instead, the majority conjectures what the statement "appears to indicate" from the perspective of Wittich. Majority Op. at 14. In the best light to Everson, this statement raises an inference that the officer who made the statement knew that he had no basis to suspect that Everson had committed a crime, and that inference is circumstantial evidence that supports a claim of intentional discrimination.</w:t>
      </w:r>
    </w:p>
    <w:p w14:paraId="642B4B64" w14:textId="77777777" w:rsidR="00D041A2" w:rsidRDefault="00000000">
      <w:pPr>
        <w:pStyle w:val="Normal35"/>
        <w:widowControl w:val="0"/>
        <w:spacing w:before="200" w:line="260" w:lineRule="atLeast"/>
        <w:jc w:val="both"/>
      </w:pPr>
      <w:bookmarkStart w:id="4495" w:name="Bookmark_para_53_6"/>
      <w:bookmarkEnd w:id="4495"/>
      <w:r>
        <w:rPr>
          <w:rFonts w:ascii="Arial" w:eastAsia="Arial" w:hAnsi="Arial" w:cs="Arial"/>
          <w:color w:val="000000"/>
          <w:sz w:val="20"/>
        </w:rPr>
        <w:t>Accordingly, I would reverse the district court's grant of summary judgment in favor  [*783]  of Wittich on Everson's discrimination claim with respect to Wittich arresting and charging him with assault  [**33] and disorderly conduct.</w:t>
      </w:r>
    </w:p>
    <w:p w14:paraId="6BF82DBE" w14:textId="77777777" w:rsidR="00D041A2" w:rsidRDefault="00000000">
      <w:pPr>
        <w:pStyle w:val="Normal35"/>
        <w:widowControl w:val="0"/>
        <w:spacing w:before="240" w:line="260" w:lineRule="atLeast"/>
      </w:pPr>
      <w:r>
        <w:br/>
      </w:r>
      <w:r>
        <w:rPr>
          <w:rFonts w:ascii="Arial" w:eastAsia="Arial" w:hAnsi="Arial" w:cs="Arial"/>
          <w:b/>
          <w:color w:val="000000"/>
          <w:sz w:val="20"/>
        </w:rPr>
        <w:t>II. INTENTIONAL DISCRIMINATION IN ON-THE-SCENE SITUATIONS</w:t>
      </w:r>
    </w:p>
    <w:p w14:paraId="2AFFB9E0" w14:textId="77777777" w:rsidR="00D041A2" w:rsidRDefault="00000000">
      <w:pPr>
        <w:pStyle w:val="Normal35"/>
        <w:widowControl w:val="0"/>
        <w:spacing w:before="200" w:line="260" w:lineRule="atLeast"/>
        <w:jc w:val="both"/>
      </w:pPr>
      <w:bookmarkStart w:id="4496" w:name="Bookmark_para_54_6"/>
      <w:bookmarkStart w:id="4497" w:name="Bookmark_I1PDM8FX9JH000135S40001G"/>
      <w:bookmarkStart w:id="4498" w:name="Bookmark_I529J4FG0M6K3J0010000400"/>
      <w:bookmarkEnd w:id="4496"/>
      <w:bookmarkEnd w:id="4497"/>
      <w:bookmarkEnd w:id="4498"/>
      <w:r>
        <w:rPr>
          <w:rFonts w:ascii="Arial" w:eastAsia="Arial" w:hAnsi="Arial" w:cs="Arial"/>
          <w:color w:val="000000"/>
          <w:sz w:val="20"/>
        </w:rPr>
        <w:t xml:space="preserve">I agree with the majority that Everson has not established a claim that Wittich intentionally discriminated against him by approaching and restraining him. I would not extend the above-discussed indirect method of proof for demonstrating intentional discrimination with respect to arrests and filing charges to an officer's on-the-scene decisions in unexpected or exigent circumstances. </w:t>
      </w:r>
      <w:bookmarkStart w:id="4499" w:name="Bookmark_I1PDM8FXF4D000135S40001H"/>
      <w:bookmarkStart w:id="4500" w:name="Bookmark_I529J4FG0M6K3J0030000400"/>
      <w:bookmarkEnd w:id="4499"/>
      <w:bookmarkEnd w:id="4500"/>
      <w:r>
        <w:rPr>
          <w:rFonts w:ascii="Arial" w:eastAsia="Arial" w:hAnsi="Arial" w:cs="Arial"/>
          <w:i/>
          <w:color w:val="000000"/>
          <w:sz w:val="20"/>
        </w:rPr>
        <w:t xml:space="preserve">See </w:t>
      </w:r>
      <w:bookmarkStart w:id="4501" w:name="Bookmark_I529J4FF0M6K2X0050000400"/>
      <w:bookmarkEnd w:id="4501"/>
      <w:r>
        <w:rPr>
          <w:rFonts w:ascii="Arial" w:eastAsia="Arial" w:hAnsi="Arial" w:cs="Arial"/>
          <w:i/>
          <w:color w:val="000000"/>
          <w:sz w:val="20"/>
        </w:rPr>
        <w:t>Gohier</w:t>
      </w:r>
      <w:r>
        <w:rPr>
          <w:rFonts w:ascii="Arial" w:eastAsia="Arial" w:hAnsi="Arial" w:cs="Arial"/>
          <w:color w:val="000000"/>
          <w:sz w:val="20"/>
        </w:rPr>
        <w:t xml:space="preserve">, 186 F.3d at 1217-18 (explaining why the wrongful-arrest theory would not apply when an officer uses force in response to threatening conduct, even if the conduct is related to the individual's disability). Whereas an officer's decision to arrest and charge an individual is focused on the individual's conduct and its lawfulness, an officer's decisions in on-the-scene situations involve broader concerns, including officer and public safety. </w:t>
      </w:r>
      <w:bookmarkStart w:id="4502" w:name="Bookmark_I529J4FG0M6K3J0030000400_2"/>
      <w:bookmarkEnd w:id="4502"/>
      <w:r>
        <w:rPr>
          <w:rFonts w:ascii="Arial" w:eastAsia="Arial" w:hAnsi="Arial" w:cs="Arial"/>
          <w:i/>
          <w:color w:val="000000"/>
          <w:sz w:val="20"/>
        </w:rPr>
        <w:t xml:space="preserve">See </w:t>
      </w:r>
      <w:bookmarkStart w:id="4503" w:name="Bookmark_I529J4FG0M6K3J0020000400"/>
      <w:bookmarkEnd w:id="4503"/>
      <w:r>
        <w:rPr>
          <w:rFonts w:ascii="Arial" w:eastAsia="Arial" w:hAnsi="Arial" w:cs="Arial"/>
          <w:i/>
          <w:color w:val="000000"/>
          <w:sz w:val="20"/>
        </w:rPr>
        <w:t>Thompson v. Williamson Cnty.</w:t>
      </w:r>
      <w:r>
        <w:rPr>
          <w:rFonts w:ascii="Arial" w:eastAsia="Arial" w:hAnsi="Arial" w:cs="Arial"/>
          <w:color w:val="000000"/>
          <w:sz w:val="20"/>
        </w:rPr>
        <w:t>, 219 F.3d 555, 558 (6th Cir. 2000) (concluding that "if the decedent was denied access to medical services it was because of his violent, threatening behavior, not because he was mentally disabled"). Because of these additional considerations in  [**34] an officer's on-the-scene decisions, the modified wrongful-arrest method of proof explained above is not sufficient to raise an inference of intentional discrimination from the fact that the officer knew the individual's actions were related to his disability. Therefore, I agree that Everson has not demonstrated that Wittich intentionally discriminated against him in approaching and restraining him.</w:t>
      </w:r>
    </w:p>
    <w:p w14:paraId="2F8A96ED" w14:textId="77777777" w:rsidR="00D041A2" w:rsidRDefault="00000000">
      <w:pPr>
        <w:pStyle w:val="Normal35"/>
        <w:widowControl w:val="0"/>
        <w:spacing w:before="200" w:line="260" w:lineRule="atLeast"/>
        <w:jc w:val="both"/>
      </w:pPr>
      <w:bookmarkStart w:id="4504" w:name="Bookmark_para_55_4"/>
      <w:bookmarkEnd w:id="4504"/>
      <w:r>
        <w:rPr>
          <w:rFonts w:ascii="Arial" w:eastAsia="Arial" w:hAnsi="Arial" w:cs="Arial"/>
          <w:color w:val="000000"/>
          <w:sz w:val="20"/>
        </w:rPr>
        <w:t xml:space="preserve">I do not agree, however, with the majority's assertions that Wittich's actions in approaching and restraining Everson were necessarily compelled by the situation. </w:t>
      </w:r>
      <w:r>
        <w:rPr>
          <w:rFonts w:ascii="Arial" w:eastAsia="Arial" w:hAnsi="Arial" w:cs="Arial"/>
          <w:vertAlign w:val="superscript"/>
        </w:rPr>
        <w:footnoteReference w:customMarkFollows="1" w:id="219"/>
        <w:t>5</w:t>
      </w:r>
      <w:r>
        <w:rPr>
          <w:rFonts w:ascii="Arial" w:eastAsia="Arial" w:hAnsi="Arial" w:cs="Arial"/>
          <w:color w:val="000000"/>
          <w:sz w:val="20"/>
        </w:rPr>
        <w:t xml:space="preserve"> Majority Op. at 10 ("Wittich was expected to respond to this situation by securing the scene, which he did by restraining Everson."), 11 ("Everson's outward conduct required that Wittich restrain him."). Whereas restraining someone engaging in conduct similar to Everson's may be the appropriate response generally, there is evidence in the record indicating that officers should </w:t>
      </w:r>
      <w:r>
        <w:rPr>
          <w:rFonts w:ascii="Arial" w:eastAsia="Arial" w:hAnsi="Arial" w:cs="Arial"/>
          <w:i/>
          <w:color w:val="000000"/>
          <w:sz w:val="20"/>
        </w:rPr>
        <w:t>not</w:t>
      </w:r>
      <w:r>
        <w:rPr>
          <w:rFonts w:ascii="Arial" w:eastAsia="Arial" w:hAnsi="Arial" w:cs="Arial"/>
          <w:color w:val="000000"/>
          <w:sz w:val="20"/>
        </w:rPr>
        <w:t xml:space="preserve"> approach or attempt to restrain a person having an epileptic attack. R. 51-1 (Epilepsy Foundation Doc.); R. 51-2 (OHIO REV. CODE ANN. § 2305.43). What law-enforcement procedures or practices were "required" in response to Everson's conduct or "expected"  [**35] of Wittich in the situation may be relevant to a failure-to-accommodate claim, which Everson does not develop in this case. </w:t>
      </w:r>
      <w:r>
        <w:rPr>
          <w:rFonts w:ascii="Arial" w:eastAsia="Arial" w:hAnsi="Arial" w:cs="Arial"/>
          <w:vertAlign w:val="superscript"/>
        </w:rPr>
        <w:footnoteReference w:customMarkFollows="1" w:id="220"/>
        <w:t>6</w:t>
      </w:r>
      <w:r>
        <w:rPr>
          <w:rFonts w:ascii="Arial" w:eastAsia="Arial" w:hAnsi="Arial" w:cs="Arial"/>
          <w:color w:val="000000"/>
          <w:sz w:val="20"/>
        </w:rPr>
        <w:t xml:space="preserve"> What matters for Everson's claim of intentional discrimination  [*784]  is Wittich's statement that he believed Everson's conduct was threatening his safety and the safety of others, and Everson's failure to provide any evidence, direct or circumstantial, to discredit Wittich or otherwise suggest that Wittich acted because of Everson's disability.</w:t>
      </w:r>
    </w:p>
    <w:p w14:paraId="72CCBFB0" w14:textId="77777777" w:rsidR="00D041A2" w:rsidRDefault="00000000">
      <w:pPr>
        <w:pStyle w:val="Normal35"/>
        <w:widowControl w:val="0"/>
        <w:spacing w:before="240" w:line="260" w:lineRule="atLeast"/>
      </w:pPr>
      <w:r>
        <w:br/>
      </w:r>
      <w:r>
        <w:rPr>
          <w:rFonts w:ascii="Arial" w:eastAsia="Arial" w:hAnsi="Arial" w:cs="Arial"/>
          <w:b/>
          <w:color w:val="000000"/>
          <w:sz w:val="20"/>
        </w:rPr>
        <w:t>III. THE "SOLELY BECAUSE OF" STANDARD FOR INTENTIONAL DISCRIMINATION</w:t>
      </w:r>
    </w:p>
    <w:p w14:paraId="33E2A89E" w14:textId="77777777" w:rsidR="00D041A2" w:rsidRDefault="00000000">
      <w:pPr>
        <w:pStyle w:val="Normal35"/>
        <w:widowControl w:val="0"/>
        <w:spacing w:before="200" w:line="260" w:lineRule="atLeast"/>
        <w:jc w:val="both"/>
      </w:pPr>
      <w:bookmarkStart w:id="4524" w:name="Bookmark_para_56_4"/>
      <w:bookmarkEnd w:id="4524"/>
      <w:r>
        <w:rPr>
          <w:rFonts w:ascii="Arial" w:eastAsia="Arial" w:hAnsi="Arial" w:cs="Arial"/>
          <w:color w:val="000000"/>
          <w:sz w:val="20"/>
        </w:rPr>
        <w:t>I am also compelled to  [**37] highlight at this time how this court's "solely because of' standard for plaintiffs to prove a prima facie case of intentional discrimination under Title II of the ADA conflicts with the majority of our sister circuits. Although I agree with the majority that the "solely" standard is not dispositive in this case, I think that our divergence from the majority of circuits on this standard is an issue that our en banc court should consider in an appropriate case.</w:t>
      </w:r>
    </w:p>
    <w:p w14:paraId="196B7B9C" w14:textId="77777777" w:rsidR="00D041A2" w:rsidRDefault="00000000">
      <w:pPr>
        <w:pStyle w:val="Normal35"/>
        <w:widowControl w:val="0"/>
        <w:spacing w:before="200" w:line="260" w:lineRule="atLeast"/>
        <w:jc w:val="both"/>
      </w:pPr>
      <w:bookmarkStart w:id="4525" w:name="Bookmark_para_57_4"/>
      <w:bookmarkStart w:id="4526" w:name="Bookmark_I1PDM8FYRJX000135S40001V"/>
      <w:bookmarkStart w:id="4527" w:name="Bookmark_I1PDM8FYW7C000135S40001W"/>
      <w:bookmarkStart w:id="4528" w:name="Bookmark_I1PDM8G00W0000135S40001X"/>
      <w:bookmarkStart w:id="4529" w:name="Bookmark_I1PDM8G04X9000135S40001Y"/>
      <w:bookmarkStart w:id="4530" w:name="Bookmark_I1PDM8G08HH000135S400020"/>
      <w:bookmarkStart w:id="4531" w:name="Bookmark_I1PDM8G0DP9000135S400021"/>
      <w:bookmarkStart w:id="4532" w:name="Bookmark_I1PDM8G0J7G000135S400022"/>
      <w:bookmarkStart w:id="4533" w:name="Bookmark_I1PDM8G0NVP000135S400023"/>
      <w:bookmarkStart w:id="4534" w:name="Bookmark_I529J4FK0M6K4M0040000400"/>
      <w:bookmarkEnd w:id="4525"/>
      <w:bookmarkEnd w:id="4526"/>
      <w:bookmarkEnd w:id="4527"/>
      <w:bookmarkEnd w:id="4528"/>
      <w:bookmarkEnd w:id="4529"/>
      <w:bookmarkEnd w:id="4530"/>
      <w:bookmarkEnd w:id="4531"/>
      <w:bookmarkEnd w:id="4532"/>
      <w:bookmarkEnd w:id="4533"/>
      <w:bookmarkEnd w:id="4534"/>
      <w:r>
        <w:rPr>
          <w:rFonts w:ascii="Arial" w:eastAsia="Arial" w:hAnsi="Arial" w:cs="Arial"/>
          <w:color w:val="000000"/>
          <w:sz w:val="20"/>
        </w:rPr>
        <w:t xml:space="preserve">The text of Title II states that "no qualified individual with a disability shall, </w:t>
      </w:r>
      <w:r>
        <w:rPr>
          <w:rFonts w:ascii="Arial" w:eastAsia="Arial" w:hAnsi="Arial" w:cs="Arial"/>
          <w:i/>
          <w:color w:val="000000"/>
          <w:sz w:val="20"/>
        </w:rPr>
        <w:t>by reason of such disability</w:t>
      </w:r>
      <w:r>
        <w:rPr>
          <w:rFonts w:ascii="Arial" w:eastAsia="Arial" w:hAnsi="Arial" w:cs="Arial"/>
          <w:color w:val="000000"/>
          <w:sz w:val="20"/>
        </w:rPr>
        <w:t xml:space="preserve">, be excluded from participation in or be denied the benefits of the services, programs, or activities of a public entity, or be subjected to discrimination by any such entity." 42 U.S.C. § 12132 (emphasis added). Our sister circuits have tracked this language when setting forth the elements of a prima facie case. </w:t>
      </w:r>
      <w:bookmarkStart w:id="4535" w:name="Bookmark_I529J4FK0M6K4M0030000400"/>
      <w:bookmarkEnd w:id="4535"/>
      <w:r>
        <w:rPr>
          <w:rFonts w:ascii="Arial" w:eastAsia="Arial" w:hAnsi="Arial" w:cs="Arial"/>
          <w:i/>
          <w:color w:val="000000"/>
          <w:sz w:val="20"/>
        </w:rPr>
        <w:t>Bowers v. Nat'l Collegiate Athletic Ass'n</w:t>
      </w:r>
      <w:r>
        <w:rPr>
          <w:rFonts w:ascii="Arial" w:eastAsia="Arial" w:hAnsi="Arial" w:cs="Arial"/>
          <w:color w:val="000000"/>
          <w:sz w:val="20"/>
        </w:rPr>
        <w:t xml:space="preserve">, 475 F.3d 524, 553 n.32 (3d Cir. 2007) ("by reason of his disability"); </w:t>
      </w:r>
      <w:bookmarkStart w:id="4536" w:name="Bookmark_I529J4FK0M6K4M0050000400"/>
      <w:bookmarkEnd w:id="4536"/>
      <w:r>
        <w:rPr>
          <w:rFonts w:ascii="Arial" w:eastAsia="Arial" w:hAnsi="Arial" w:cs="Arial"/>
          <w:i/>
          <w:color w:val="000000"/>
          <w:sz w:val="20"/>
        </w:rPr>
        <w:t>Bircoll v. Miami-Dade Cnty.</w:t>
      </w:r>
      <w:r>
        <w:rPr>
          <w:rFonts w:ascii="Arial" w:eastAsia="Arial" w:hAnsi="Arial" w:cs="Arial"/>
          <w:color w:val="000000"/>
          <w:sz w:val="20"/>
        </w:rPr>
        <w:t>, 480 F.3d 1072,1083 (11th Cir. 2007) ("by reason of the plaintiff's disability")</w:t>
      </w:r>
      <w:r>
        <w:rPr>
          <w:rFonts w:ascii="Arial" w:eastAsia="Arial" w:hAnsi="Arial" w:cs="Arial"/>
          <w:i/>
          <w:color w:val="000000"/>
          <w:sz w:val="20"/>
        </w:rPr>
        <w:t>);</w:t>
      </w:r>
      <w:bookmarkStart w:id="4537" w:name="Bookmark_I529J4FK0M6K4R0020000400"/>
      <w:bookmarkEnd w:id="4537"/>
      <w:r>
        <w:rPr>
          <w:rFonts w:ascii="Arial" w:eastAsia="Arial" w:hAnsi="Arial" w:cs="Arial"/>
          <w:i/>
          <w:color w:val="000000"/>
          <w:sz w:val="20"/>
        </w:rPr>
        <w:t>Buchanan v. Maine</w:t>
      </w:r>
      <w:r>
        <w:rPr>
          <w:rFonts w:ascii="Arial" w:eastAsia="Arial" w:hAnsi="Arial" w:cs="Arial"/>
          <w:color w:val="000000"/>
          <w:sz w:val="20"/>
        </w:rPr>
        <w:t xml:space="preserve">, 469 F.3d 158, 170-71 (1st Cir. 2006) ("by reason of the plaintiff's  [**38] disability" (internal quotation marks omitted)); </w:t>
      </w:r>
      <w:bookmarkStart w:id="4538" w:name="Bookmark_I529J4FK0M6K4R0040000400"/>
      <w:bookmarkEnd w:id="4538"/>
      <w:r>
        <w:rPr>
          <w:rFonts w:ascii="Arial" w:eastAsia="Arial" w:hAnsi="Arial" w:cs="Arial"/>
          <w:i/>
          <w:color w:val="000000"/>
          <w:sz w:val="20"/>
        </w:rPr>
        <w:t>Rodde v. Bonta</w:t>
      </w:r>
      <w:r>
        <w:rPr>
          <w:rFonts w:ascii="Arial" w:eastAsia="Arial" w:hAnsi="Arial" w:cs="Arial"/>
          <w:color w:val="000000"/>
          <w:sz w:val="20"/>
        </w:rPr>
        <w:t xml:space="preserve">, 357 F.3d 988, 995 (9th Cir. 2004) ("by reason of his disability" (internal quotation marks omitted)); </w:t>
      </w:r>
      <w:bookmarkStart w:id="4539" w:name="Bookmark_I529J4FM0M6K4V0010000400"/>
      <w:bookmarkEnd w:id="4539"/>
      <w:r>
        <w:rPr>
          <w:rFonts w:ascii="Arial" w:eastAsia="Arial" w:hAnsi="Arial" w:cs="Arial"/>
          <w:i/>
          <w:color w:val="000000"/>
          <w:sz w:val="20"/>
        </w:rPr>
        <w:t>Henrietta D.</w:t>
      </w:r>
      <w:r>
        <w:rPr>
          <w:rFonts w:ascii="Arial" w:eastAsia="Arial" w:hAnsi="Arial" w:cs="Arial"/>
          <w:color w:val="000000"/>
          <w:sz w:val="20"/>
        </w:rPr>
        <w:t xml:space="preserve">, 331 F.3d at 272 ("by reason of plaintiffs' disabilities"); </w:t>
      </w:r>
      <w:bookmarkStart w:id="4540" w:name="Bookmark_I529J4FM0M6K4V0030000400"/>
      <w:bookmarkEnd w:id="4540"/>
      <w:r>
        <w:rPr>
          <w:rFonts w:ascii="Arial" w:eastAsia="Arial" w:hAnsi="Arial" w:cs="Arial"/>
          <w:i/>
          <w:color w:val="000000"/>
          <w:sz w:val="20"/>
        </w:rPr>
        <w:t>Gohier</w:t>
      </w:r>
      <w:r>
        <w:rPr>
          <w:rFonts w:ascii="Arial" w:eastAsia="Arial" w:hAnsi="Arial" w:cs="Arial"/>
          <w:color w:val="000000"/>
          <w:sz w:val="20"/>
        </w:rPr>
        <w:t xml:space="preserve">, 186 F.3d at 1219 ("by reason of the plaintiff's disability" (internal quotation marks omitted)); </w:t>
      </w:r>
      <w:bookmarkStart w:id="4541" w:name="Bookmark_I529J4FM0M6K4V0050000400"/>
      <w:bookmarkEnd w:id="4541"/>
      <w:r>
        <w:rPr>
          <w:rFonts w:ascii="Arial" w:eastAsia="Arial" w:hAnsi="Arial" w:cs="Arial"/>
          <w:i/>
          <w:color w:val="000000"/>
          <w:sz w:val="20"/>
        </w:rPr>
        <w:t>Randolph v. Rodgers</w:t>
      </w:r>
      <w:r>
        <w:rPr>
          <w:rFonts w:ascii="Arial" w:eastAsia="Arial" w:hAnsi="Arial" w:cs="Arial"/>
          <w:color w:val="000000"/>
          <w:sz w:val="20"/>
        </w:rPr>
        <w:t xml:space="preserve">, 170 F.3d 850, 858 (8th Cir. 1999) ("based upon disability"); </w:t>
      </w:r>
      <w:bookmarkStart w:id="4542" w:name="Bookmark_I529J4FM0M6K4Y0020000400"/>
      <w:bookmarkEnd w:id="4542"/>
      <w:r>
        <w:rPr>
          <w:rFonts w:ascii="Arial" w:eastAsia="Arial" w:hAnsi="Arial" w:cs="Arial"/>
          <w:i/>
          <w:color w:val="000000"/>
          <w:sz w:val="20"/>
        </w:rPr>
        <w:t>Lightbourn v. Cnty. of El Paso</w:t>
      </w:r>
      <w:r>
        <w:rPr>
          <w:rFonts w:ascii="Arial" w:eastAsia="Arial" w:hAnsi="Arial" w:cs="Arial"/>
          <w:color w:val="000000"/>
          <w:sz w:val="20"/>
        </w:rPr>
        <w:t xml:space="preserve">, 118 F.3d 421, 428 (5th Cir. 1997) ("by reason of their disability"), </w:t>
      </w:r>
      <w:r>
        <w:rPr>
          <w:rFonts w:ascii="Arial" w:eastAsia="Arial" w:hAnsi="Arial" w:cs="Arial"/>
          <w:i/>
          <w:color w:val="000000"/>
          <w:sz w:val="20"/>
        </w:rPr>
        <w:t>cert. denied</w:t>
      </w:r>
      <w:r>
        <w:rPr>
          <w:rFonts w:ascii="Arial" w:eastAsia="Arial" w:hAnsi="Arial" w:cs="Arial"/>
          <w:color w:val="000000"/>
          <w:sz w:val="20"/>
        </w:rPr>
        <w:t>, 522 U.S. 1052, 118 S. Ct. 700, 139 L. Ed. 2d 643 (1998).</w:t>
      </w:r>
    </w:p>
    <w:p w14:paraId="4B71CAB7" w14:textId="77777777" w:rsidR="00D041A2" w:rsidRDefault="00000000">
      <w:pPr>
        <w:pStyle w:val="Normal35"/>
        <w:widowControl w:val="0"/>
        <w:spacing w:before="200" w:line="260" w:lineRule="atLeast"/>
        <w:jc w:val="both"/>
      </w:pPr>
      <w:bookmarkStart w:id="4543" w:name="Bookmark_para_58_4"/>
      <w:bookmarkStart w:id="4544" w:name="Bookmark_I1PDM8G0TGY000135S400024"/>
      <w:bookmarkStart w:id="4545" w:name="Bookmark_I1PDM8G0YHB000135S400025"/>
      <w:bookmarkStart w:id="4546" w:name="Bookmark_I529J4FM0M6K4Y0050000400"/>
      <w:bookmarkStart w:id="4547" w:name="Bookmark_I1PDM8G13C3000135S400026"/>
      <w:bookmarkStart w:id="4548" w:name="Bookmark_I1PDM8G172J000135S400027"/>
      <w:bookmarkStart w:id="4549" w:name="Bookmark_I529J4FM0M6K510040000400"/>
      <w:bookmarkEnd w:id="4543"/>
      <w:bookmarkEnd w:id="4544"/>
      <w:bookmarkEnd w:id="4545"/>
      <w:bookmarkEnd w:id="4546"/>
      <w:bookmarkEnd w:id="4547"/>
      <w:bookmarkEnd w:id="4548"/>
      <w:bookmarkEnd w:id="4549"/>
      <w:r>
        <w:rPr>
          <w:rFonts w:ascii="Arial" w:eastAsia="Arial" w:hAnsi="Arial" w:cs="Arial"/>
          <w:color w:val="000000"/>
          <w:sz w:val="20"/>
        </w:rPr>
        <w:t xml:space="preserve">But the Fourth Circuit, in a decision on which this court relied in </w:t>
      </w:r>
      <w:bookmarkStart w:id="4550" w:name="Bookmark_I529J4FM0M6K4Y0040000400"/>
      <w:bookmarkEnd w:id="4550"/>
      <w:r>
        <w:rPr>
          <w:rFonts w:ascii="Arial" w:eastAsia="Arial" w:hAnsi="Arial" w:cs="Arial"/>
          <w:i/>
          <w:color w:val="000000"/>
          <w:sz w:val="20"/>
        </w:rPr>
        <w:t>Jones v. City of Monroe</w:t>
      </w:r>
      <w:r>
        <w:rPr>
          <w:rFonts w:ascii="Arial" w:eastAsia="Arial" w:hAnsi="Arial" w:cs="Arial"/>
          <w:color w:val="000000"/>
          <w:sz w:val="20"/>
        </w:rPr>
        <w:t xml:space="preserve">, 341 F.3d 474, 477 (6th Cir. 2003), has stated that a Title II plaintiff must establish that the discrimination was "solely on the basis of the disability." </w:t>
      </w:r>
      <w:bookmarkStart w:id="4551" w:name="Bookmark_I529J4FM0M6K510010000400"/>
      <w:bookmarkEnd w:id="4551"/>
      <w:r>
        <w:rPr>
          <w:rFonts w:ascii="Arial" w:eastAsia="Arial" w:hAnsi="Arial" w:cs="Arial"/>
          <w:i/>
          <w:color w:val="000000"/>
          <w:sz w:val="20"/>
        </w:rPr>
        <w:t>Doe v. Univ. of Md. Med. Sys. Corp.</w:t>
      </w:r>
      <w:r>
        <w:rPr>
          <w:rFonts w:ascii="Arial" w:eastAsia="Arial" w:hAnsi="Arial" w:cs="Arial"/>
          <w:color w:val="000000"/>
          <w:sz w:val="20"/>
        </w:rPr>
        <w:t xml:space="preserve">, 50 F.3d 1261, 1265 (4th Cir. 1995). In both </w:t>
      </w:r>
      <w:r>
        <w:rPr>
          <w:rFonts w:ascii="Arial" w:eastAsia="Arial" w:hAnsi="Arial" w:cs="Arial"/>
          <w:i/>
          <w:color w:val="000000"/>
          <w:sz w:val="20"/>
        </w:rPr>
        <w:t>Jones</w:t>
      </w:r>
      <w:r>
        <w:rPr>
          <w:rFonts w:ascii="Arial" w:eastAsia="Arial" w:hAnsi="Arial" w:cs="Arial"/>
          <w:color w:val="000000"/>
          <w:sz w:val="20"/>
        </w:rPr>
        <w:t xml:space="preserve"> and </w:t>
      </w:r>
      <w:r>
        <w:rPr>
          <w:rFonts w:ascii="Arial" w:eastAsia="Arial" w:hAnsi="Arial" w:cs="Arial"/>
          <w:i/>
          <w:color w:val="000000"/>
          <w:sz w:val="20"/>
        </w:rPr>
        <w:t>Doe</w:t>
      </w:r>
      <w:r>
        <w:rPr>
          <w:rFonts w:ascii="Arial" w:eastAsia="Arial" w:hAnsi="Arial" w:cs="Arial"/>
          <w:color w:val="000000"/>
          <w:sz w:val="20"/>
        </w:rPr>
        <w:t xml:space="preserve">, the plaintiffs brought claims under Title II of the ADA and under § 504 of the Rehabilitation Act, 29 U.S.C. § 794, and the courts applied the sole-motivation standard to both claims. </w:t>
      </w:r>
      <w:bookmarkStart w:id="4552" w:name="Bookmark_I529J4FM0M6K510030000400"/>
      <w:bookmarkEnd w:id="4552"/>
      <w:r>
        <w:rPr>
          <w:rFonts w:ascii="Arial" w:eastAsia="Arial" w:hAnsi="Arial" w:cs="Arial"/>
          <w:i/>
          <w:color w:val="000000"/>
          <w:sz w:val="20"/>
        </w:rPr>
        <w:t>Jones</w:t>
      </w:r>
      <w:r>
        <w:rPr>
          <w:rFonts w:ascii="Arial" w:eastAsia="Arial" w:hAnsi="Arial" w:cs="Arial"/>
          <w:color w:val="000000"/>
          <w:sz w:val="20"/>
        </w:rPr>
        <w:t xml:space="preserve">, 341 F.3d at 477 &amp; n.3; </w:t>
      </w:r>
      <w:bookmarkStart w:id="4553" w:name="Bookmark_I529J4FM0M6K510050000400"/>
      <w:bookmarkEnd w:id="4553"/>
      <w:r>
        <w:rPr>
          <w:rFonts w:ascii="Arial" w:eastAsia="Arial" w:hAnsi="Arial" w:cs="Arial"/>
          <w:i/>
          <w:color w:val="000000"/>
          <w:sz w:val="20"/>
        </w:rPr>
        <w:t>Doe</w:t>
      </w:r>
      <w:r>
        <w:rPr>
          <w:rFonts w:ascii="Arial" w:eastAsia="Arial" w:hAnsi="Arial" w:cs="Arial"/>
          <w:color w:val="000000"/>
          <w:sz w:val="20"/>
        </w:rPr>
        <w:t xml:space="preserve">, 50 F.3d at 1264-65 &amp; n.9. </w:t>
      </w:r>
      <w:bookmarkStart w:id="4554" w:name="Bookmark_I1PDM8G1BTT000135S400028"/>
      <w:bookmarkStart w:id="4555" w:name="Bookmark_I1PDM8G1GHV000135S400029"/>
      <w:bookmarkStart w:id="4556" w:name="Bookmark_I529J4FM0M6K530030000400"/>
      <w:bookmarkEnd w:id="4554"/>
      <w:bookmarkEnd w:id="4555"/>
      <w:bookmarkEnd w:id="4556"/>
      <w:r>
        <w:rPr>
          <w:rFonts w:ascii="Arial" w:eastAsia="Arial" w:hAnsi="Arial" w:cs="Arial"/>
          <w:color w:val="000000"/>
          <w:sz w:val="20"/>
        </w:rPr>
        <w:t xml:space="preserve">The text of the Rehabilitation Act, however, includes  [**39] the word "solely," whereas the ADA does not. </w:t>
      </w:r>
      <w:r>
        <w:rPr>
          <w:rFonts w:ascii="Arial" w:eastAsia="Arial" w:hAnsi="Arial" w:cs="Arial"/>
          <w:i/>
          <w:color w:val="000000"/>
          <w:sz w:val="20"/>
        </w:rPr>
        <w:t>Compare</w:t>
      </w:r>
      <w:r>
        <w:rPr>
          <w:rFonts w:ascii="Arial" w:eastAsia="Arial" w:hAnsi="Arial" w:cs="Arial"/>
          <w:color w:val="000000"/>
          <w:sz w:val="20"/>
        </w:rPr>
        <w:t xml:space="preserve"> 29 U.S.C. § 794(a) ("No otherwise qualified individual with a disability . . . shall, </w:t>
      </w:r>
      <w:r>
        <w:rPr>
          <w:rFonts w:ascii="Arial" w:eastAsia="Arial" w:hAnsi="Arial" w:cs="Arial"/>
          <w:i/>
          <w:color w:val="000000"/>
          <w:sz w:val="20"/>
        </w:rPr>
        <w:t>solely</w:t>
      </w:r>
      <w:r>
        <w:rPr>
          <w:rFonts w:ascii="Arial" w:eastAsia="Arial" w:hAnsi="Arial" w:cs="Arial"/>
          <w:color w:val="000000"/>
          <w:sz w:val="20"/>
        </w:rPr>
        <w:t xml:space="preserve"> by reason of her or his disability, . . . be subjected to discrimination . . . ." (emphasis added)), </w:t>
      </w:r>
      <w:r>
        <w:rPr>
          <w:rFonts w:ascii="Arial" w:eastAsia="Arial" w:hAnsi="Arial" w:cs="Arial"/>
          <w:i/>
          <w:color w:val="000000"/>
          <w:sz w:val="20"/>
        </w:rPr>
        <w:t>with</w:t>
      </w:r>
      <w:r>
        <w:rPr>
          <w:rFonts w:ascii="Arial" w:eastAsia="Arial" w:hAnsi="Arial" w:cs="Arial"/>
          <w:color w:val="000000"/>
          <w:sz w:val="20"/>
        </w:rPr>
        <w:t xml:space="preserve"> 42 U.S.C. § 12132 ("[N]o qualified individual with a disability shall, by reason of such disability . . . . be subjected to discrimination . . . ."). Prior to  [*785]  </w:t>
      </w:r>
      <w:r>
        <w:rPr>
          <w:rFonts w:ascii="Arial" w:eastAsia="Arial" w:hAnsi="Arial" w:cs="Arial"/>
          <w:i/>
          <w:color w:val="000000"/>
          <w:sz w:val="20"/>
        </w:rPr>
        <w:t>Jones</w:t>
      </w:r>
      <w:r>
        <w:rPr>
          <w:rFonts w:ascii="Arial" w:eastAsia="Arial" w:hAnsi="Arial" w:cs="Arial"/>
          <w:color w:val="000000"/>
          <w:sz w:val="20"/>
        </w:rPr>
        <w:t xml:space="preserve">, this court recognized that, although we frequently apply the same analysis to claims under both statutes, this textual difference may be an instance in which the analyses diverge. </w:t>
      </w:r>
      <w:bookmarkStart w:id="4557" w:name="Bookmark_I529J4FM0M6K530020000400"/>
      <w:bookmarkEnd w:id="4557"/>
      <w:r>
        <w:rPr>
          <w:rFonts w:ascii="Arial" w:eastAsia="Arial" w:hAnsi="Arial" w:cs="Arial"/>
          <w:i/>
          <w:color w:val="000000"/>
          <w:sz w:val="20"/>
        </w:rPr>
        <w:t>McPherson v. Mich. High Sch. Athletic Ass'n, Inc.</w:t>
      </w:r>
      <w:r>
        <w:rPr>
          <w:rFonts w:ascii="Arial" w:eastAsia="Arial" w:hAnsi="Arial" w:cs="Arial"/>
          <w:color w:val="000000"/>
          <w:sz w:val="20"/>
        </w:rPr>
        <w:t xml:space="preserve">, 119 F.3d 453, 460 (6th Cir. 1997) (en banc); </w:t>
      </w:r>
      <w:r>
        <w:rPr>
          <w:rFonts w:ascii="Arial" w:eastAsia="Arial" w:hAnsi="Arial" w:cs="Arial"/>
          <w:i/>
          <w:color w:val="000000"/>
          <w:sz w:val="20"/>
        </w:rPr>
        <w:t xml:space="preserve">see also </w:t>
      </w:r>
      <w:bookmarkStart w:id="4558" w:name="Bookmark_I529J4FM0M6K530040000400"/>
      <w:bookmarkEnd w:id="4558"/>
      <w:r>
        <w:rPr>
          <w:rFonts w:ascii="Arial" w:eastAsia="Arial" w:hAnsi="Arial" w:cs="Arial"/>
          <w:i/>
          <w:color w:val="000000"/>
          <w:sz w:val="20"/>
        </w:rPr>
        <w:t>McNely v. Ocala Star-Banner Corp.</w:t>
      </w:r>
      <w:r>
        <w:rPr>
          <w:rFonts w:ascii="Arial" w:eastAsia="Arial" w:hAnsi="Arial" w:cs="Arial"/>
          <w:color w:val="000000"/>
          <w:sz w:val="20"/>
        </w:rPr>
        <w:t>, 99 F.3d 1068, 1073-77 (11th Cir. 1996) (analyzing the statutory language, legislative history, and case law to conclude that it is improper to import "solely" from the Rehabilitation Act into the ADA ).</w:t>
      </w:r>
    </w:p>
    <w:p w14:paraId="677AAD6A" w14:textId="77777777" w:rsidR="00D041A2" w:rsidRDefault="00000000">
      <w:pPr>
        <w:pStyle w:val="Normal35"/>
        <w:widowControl w:val="0"/>
        <w:spacing w:before="200" w:line="260" w:lineRule="atLeast"/>
        <w:jc w:val="both"/>
      </w:pPr>
      <w:bookmarkStart w:id="4559" w:name="Bookmark_para_59_4"/>
      <w:bookmarkStart w:id="4560" w:name="Bookmark_I1PDM8G1MVP000135S40002B"/>
      <w:bookmarkStart w:id="4561" w:name="Bookmark_I1PDM8G1SJ9000135S40002C"/>
      <w:bookmarkStart w:id="4562" w:name="Bookmark_I1PDM8G1XG9000135S40002D"/>
      <w:bookmarkStart w:id="4563" w:name="Bookmark_I1PDM8G21T8000135S40002F"/>
      <w:bookmarkStart w:id="4564" w:name="Bookmark_I529J4FM0M6K550020000400"/>
      <w:bookmarkStart w:id="4565" w:name="Bookmark_I1PDM8G25TX000135S40002G"/>
      <w:bookmarkStart w:id="4566" w:name="Bookmark_I529J4FM0M6K570050000400"/>
      <w:bookmarkStart w:id="4567" w:name="Bookmark_I1PDM8G29J6000135S40002H"/>
      <w:bookmarkStart w:id="4568" w:name="Bookmark_I1PDM8G2DVR000135S40002J"/>
      <w:bookmarkStart w:id="4569" w:name="Bookmark_I529J4FN0M6K5B0020000400"/>
      <w:bookmarkEnd w:id="4559"/>
      <w:bookmarkEnd w:id="4560"/>
      <w:bookmarkEnd w:id="4561"/>
      <w:bookmarkEnd w:id="4562"/>
      <w:bookmarkEnd w:id="4563"/>
      <w:bookmarkEnd w:id="4564"/>
      <w:bookmarkEnd w:id="4565"/>
      <w:bookmarkEnd w:id="4566"/>
      <w:bookmarkEnd w:id="4567"/>
      <w:bookmarkEnd w:id="4568"/>
      <w:bookmarkEnd w:id="4569"/>
      <w:r>
        <w:rPr>
          <w:rFonts w:ascii="Arial" w:eastAsia="Arial" w:hAnsi="Arial" w:cs="Arial"/>
          <w:color w:val="000000"/>
          <w:sz w:val="20"/>
        </w:rPr>
        <w:t xml:space="preserve">But in </w:t>
      </w:r>
      <w:r>
        <w:rPr>
          <w:rFonts w:ascii="Arial" w:eastAsia="Arial" w:hAnsi="Arial" w:cs="Arial"/>
          <w:i/>
          <w:color w:val="000000"/>
          <w:sz w:val="20"/>
        </w:rPr>
        <w:t>Jones</w:t>
      </w:r>
      <w:r>
        <w:rPr>
          <w:rFonts w:ascii="Arial" w:eastAsia="Arial" w:hAnsi="Arial" w:cs="Arial"/>
          <w:color w:val="000000"/>
          <w:sz w:val="20"/>
        </w:rPr>
        <w:t xml:space="preserve">, we summarily concluded that "[f]or purposes of [that] case, there are no relevant differences between Title II of the ADA and Section 504 of the Rehabilitation Act," </w:t>
      </w:r>
      <w:bookmarkStart w:id="4570" w:name="Bookmark_I529J4FM0M6K550010000400"/>
      <w:bookmarkEnd w:id="4570"/>
      <w:r>
        <w:rPr>
          <w:rFonts w:ascii="Arial" w:eastAsia="Arial" w:hAnsi="Arial" w:cs="Arial"/>
          <w:color w:val="000000"/>
          <w:sz w:val="20"/>
        </w:rPr>
        <w:t xml:space="preserve">341 F.3d at 477 n.3, and for the first time imported the sole-motivation standard  [**40] from the Rehabilitation Act into the third element of the prima facie case for Title II ADA claims with no analysis other than citations to </w:t>
      </w:r>
      <w:bookmarkStart w:id="4571" w:name="Bookmark_I529J4FM0M6K550030000400"/>
      <w:bookmarkEnd w:id="4571"/>
      <w:r>
        <w:rPr>
          <w:rFonts w:ascii="Arial" w:eastAsia="Arial" w:hAnsi="Arial" w:cs="Arial"/>
          <w:i/>
          <w:color w:val="000000"/>
          <w:sz w:val="20"/>
        </w:rPr>
        <w:t>Kaltenberger v. Ohio Coll. of Podiatric Med.</w:t>
      </w:r>
      <w:r>
        <w:rPr>
          <w:rFonts w:ascii="Arial" w:eastAsia="Arial" w:hAnsi="Arial" w:cs="Arial"/>
          <w:color w:val="000000"/>
          <w:sz w:val="20"/>
        </w:rPr>
        <w:t xml:space="preserve">, 162 F.3d 432, 435 (6th Cir. 1998) (setting forth the prima facie case for a Title II ADA claim but without using the word "solely"), </w:t>
      </w:r>
      <w:bookmarkStart w:id="4572" w:name="Bookmark_I529J4FM0M6K550050000400"/>
      <w:bookmarkEnd w:id="4572"/>
      <w:r>
        <w:rPr>
          <w:rFonts w:ascii="Arial" w:eastAsia="Arial" w:hAnsi="Arial" w:cs="Arial"/>
          <w:i/>
          <w:color w:val="000000"/>
          <w:sz w:val="20"/>
        </w:rPr>
        <w:t>Burns v. City of Columbus</w:t>
      </w:r>
      <w:r>
        <w:rPr>
          <w:rFonts w:ascii="Arial" w:eastAsia="Arial" w:hAnsi="Arial" w:cs="Arial"/>
          <w:color w:val="000000"/>
          <w:sz w:val="20"/>
        </w:rPr>
        <w:t xml:space="preserve">, 91 F.3d 836, 841 (6th Cir. 1996) (a Rehabilitation Act case), and </w:t>
      </w:r>
      <w:bookmarkStart w:id="4573" w:name="Bookmark_I529J4FM0M6K570020000400"/>
      <w:bookmarkEnd w:id="4573"/>
      <w:r>
        <w:rPr>
          <w:rFonts w:ascii="Arial" w:eastAsia="Arial" w:hAnsi="Arial" w:cs="Arial"/>
          <w:i/>
          <w:color w:val="000000"/>
          <w:sz w:val="20"/>
        </w:rPr>
        <w:t>Doe</w:t>
      </w:r>
      <w:r>
        <w:rPr>
          <w:rFonts w:ascii="Arial" w:eastAsia="Arial" w:hAnsi="Arial" w:cs="Arial"/>
          <w:color w:val="000000"/>
          <w:sz w:val="20"/>
        </w:rPr>
        <w:t xml:space="preserve">, 50 F.3d 1261). </w:t>
      </w:r>
      <w:bookmarkStart w:id="4574" w:name="Bookmark_I1PDM8G2K4M000135S40002K"/>
      <w:bookmarkStart w:id="4575" w:name="Bookmark_I1PDM8G2WFR000135S40002N"/>
      <w:bookmarkStart w:id="4576" w:name="Bookmark_I1PDM8G3527000135S40002R"/>
      <w:bookmarkStart w:id="4577" w:name="Bookmark_I529J4FN0M6K5D0010000400"/>
      <w:bookmarkEnd w:id="4574"/>
      <w:bookmarkEnd w:id="4575"/>
      <w:bookmarkEnd w:id="4576"/>
      <w:bookmarkEnd w:id="4577"/>
      <w:r>
        <w:rPr>
          <w:rFonts w:ascii="Arial" w:eastAsia="Arial" w:hAnsi="Arial" w:cs="Arial"/>
          <w:vertAlign w:val="superscript"/>
        </w:rPr>
        <w:footnoteReference w:customMarkFollows="1" w:id="221"/>
        <w:t>7</w:t>
      </w:r>
      <w:r>
        <w:rPr>
          <w:rFonts w:ascii="Arial" w:eastAsia="Arial" w:hAnsi="Arial" w:cs="Arial"/>
          <w:color w:val="000000"/>
          <w:sz w:val="20"/>
        </w:rPr>
        <w:t xml:space="preserve"> </w:t>
      </w:r>
      <w:bookmarkStart w:id="4596" w:name="Bookmark_I529J4FM0M6K570040000400"/>
      <w:bookmarkEnd w:id="4596"/>
      <w:r>
        <w:rPr>
          <w:rFonts w:ascii="Arial" w:eastAsia="Arial" w:hAnsi="Arial" w:cs="Arial"/>
          <w:i/>
          <w:color w:val="000000"/>
          <w:sz w:val="20"/>
        </w:rPr>
        <w:t>Jones</w:t>
      </w:r>
      <w:r>
        <w:rPr>
          <w:rFonts w:ascii="Arial" w:eastAsia="Arial" w:hAnsi="Arial" w:cs="Arial"/>
          <w:color w:val="000000"/>
          <w:sz w:val="20"/>
        </w:rPr>
        <w:t xml:space="preserve">, 341 F.3d at 477. Although elsewhere in the </w:t>
      </w:r>
      <w:r>
        <w:rPr>
          <w:rFonts w:ascii="Arial" w:eastAsia="Arial" w:hAnsi="Arial" w:cs="Arial"/>
          <w:i/>
          <w:color w:val="000000"/>
          <w:sz w:val="20"/>
        </w:rPr>
        <w:t>Jones</w:t>
      </w:r>
      <w:r>
        <w:rPr>
          <w:rFonts w:ascii="Arial" w:eastAsia="Arial" w:hAnsi="Arial" w:cs="Arial"/>
          <w:color w:val="000000"/>
          <w:sz w:val="20"/>
        </w:rPr>
        <w:t xml:space="preserve"> opinion we describe the third element without the word "solely"—"whether [the plaintiff] was excluded from participation in or denied a benefit on the basis of her disability," </w:t>
      </w:r>
      <w:bookmarkStart w:id="4597" w:name="Bookmark_I529J4FN0M6K5B0010000400"/>
      <w:bookmarkEnd w:id="4597"/>
      <w:r>
        <w:rPr>
          <w:rFonts w:ascii="Arial" w:eastAsia="Arial" w:hAnsi="Arial" w:cs="Arial"/>
          <w:i/>
          <w:color w:val="000000"/>
          <w:sz w:val="20"/>
        </w:rPr>
        <w:t>id.</w:t>
      </w:r>
      <w:r>
        <w:rPr>
          <w:rFonts w:ascii="Arial" w:eastAsia="Arial" w:hAnsi="Arial" w:cs="Arial"/>
          <w:color w:val="000000"/>
          <w:sz w:val="20"/>
        </w:rPr>
        <w:t xml:space="preserve"> at 477 n.4 (quoting </w:t>
      </w:r>
      <w:bookmarkStart w:id="4598" w:name="Bookmark_I529J4FN0M6K5B0030000400"/>
      <w:bookmarkEnd w:id="4598"/>
      <w:r>
        <w:rPr>
          <w:rFonts w:ascii="Arial" w:eastAsia="Arial" w:hAnsi="Arial" w:cs="Arial"/>
          <w:i/>
          <w:color w:val="000000"/>
          <w:sz w:val="20"/>
        </w:rPr>
        <w:t>Henrietta D.</w:t>
      </w:r>
      <w:r>
        <w:rPr>
          <w:rFonts w:ascii="Arial" w:eastAsia="Arial" w:hAnsi="Arial" w:cs="Arial"/>
          <w:color w:val="000000"/>
          <w:sz w:val="20"/>
        </w:rPr>
        <w:t xml:space="preserve">, 331 F.3d at 276-78)—the sole-motivation standard has become firmly entrenched in this court's binding Title II precedent. </w:t>
      </w:r>
      <w:bookmarkStart w:id="4599" w:name="Bookmark_I529J4FN0M6K5D0010000400_2"/>
      <w:bookmarkEnd w:id="4599"/>
      <w:r>
        <w:rPr>
          <w:rFonts w:ascii="Arial" w:eastAsia="Arial" w:hAnsi="Arial" w:cs="Arial"/>
          <w:vertAlign w:val="superscript"/>
        </w:rPr>
        <w:footnoteReference w:customMarkFollows="1" w:id="222"/>
        <w:t>8</w:t>
      </w:r>
      <w:r>
        <w:rPr>
          <w:rFonts w:ascii="Arial" w:eastAsia="Arial" w:hAnsi="Arial" w:cs="Arial"/>
          <w:color w:val="000000"/>
          <w:sz w:val="20"/>
        </w:rPr>
        <w:t xml:space="preserve"> </w:t>
      </w:r>
      <w:r>
        <w:rPr>
          <w:rFonts w:ascii="Arial" w:eastAsia="Arial" w:hAnsi="Arial" w:cs="Arial"/>
          <w:i/>
          <w:color w:val="000000"/>
          <w:sz w:val="20"/>
        </w:rPr>
        <w:t xml:space="preserve">See </w:t>
      </w:r>
      <w:bookmarkStart w:id="4629" w:name="Bookmark_I529J4FN0M6K5B0050000400"/>
      <w:bookmarkEnd w:id="4629"/>
      <w:r>
        <w:rPr>
          <w:rFonts w:ascii="Arial" w:eastAsia="Arial" w:hAnsi="Arial" w:cs="Arial"/>
          <w:i/>
          <w:color w:val="000000"/>
          <w:sz w:val="20"/>
        </w:rPr>
        <w:t xml:space="preserve">Tucker v. </w:t>
      </w:r>
      <w:r>
        <w:rPr>
          <w:rFonts w:ascii="Arial" w:eastAsia="Arial" w:hAnsi="Arial" w:cs="Arial"/>
          <w:color w:val="000000"/>
          <w:sz w:val="20"/>
        </w:rPr>
        <w:t> [*786] </w:t>
      </w:r>
      <w:r>
        <w:rPr>
          <w:rFonts w:ascii="Arial" w:eastAsia="Arial" w:hAnsi="Arial" w:cs="Arial"/>
          <w:i/>
          <w:color w:val="000000"/>
          <w:sz w:val="20"/>
        </w:rPr>
        <w:t xml:space="preserve"> Tennessee</w:t>
      </w:r>
      <w:r>
        <w:rPr>
          <w:rFonts w:ascii="Arial" w:eastAsia="Arial" w:hAnsi="Arial" w:cs="Arial"/>
          <w:color w:val="000000"/>
          <w:sz w:val="20"/>
        </w:rPr>
        <w:t xml:space="preserve">, 539 F.3d 526, 532 (6th Cir. 2008), </w:t>
      </w:r>
      <w:r>
        <w:rPr>
          <w:rFonts w:ascii="Arial" w:eastAsia="Arial" w:hAnsi="Arial" w:cs="Arial"/>
          <w:i/>
          <w:color w:val="000000"/>
          <w:sz w:val="20"/>
        </w:rPr>
        <w:t>cert. denied</w:t>
      </w:r>
      <w:r>
        <w:rPr>
          <w:rFonts w:ascii="Arial" w:eastAsia="Arial" w:hAnsi="Arial" w:cs="Arial"/>
          <w:color w:val="000000"/>
          <w:sz w:val="20"/>
        </w:rPr>
        <w:t xml:space="preserve">, 130 S. Ct. 60, 175 L. Ed. 2d 24 (2009); </w:t>
      </w:r>
      <w:bookmarkStart w:id="4630" w:name="Bookmark_I529J4FN0M6K5D0020000400"/>
      <w:bookmarkEnd w:id="4630"/>
      <w:r>
        <w:rPr>
          <w:rFonts w:ascii="Arial" w:eastAsia="Arial" w:hAnsi="Arial" w:cs="Arial"/>
          <w:i/>
          <w:color w:val="000000"/>
          <w:sz w:val="20"/>
        </w:rPr>
        <w:t>Dillery v. City of Sandusky</w:t>
      </w:r>
      <w:r>
        <w:rPr>
          <w:rFonts w:ascii="Arial" w:eastAsia="Arial" w:hAnsi="Arial" w:cs="Arial"/>
          <w:color w:val="000000"/>
          <w:sz w:val="20"/>
        </w:rPr>
        <w:t xml:space="preserve">, 398 F.3d 562, 567 (6th Cir. 2005) (quoting </w:t>
      </w:r>
      <w:bookmarkStart w:id="4631" w:name="Bookmark_I529J4FN0M6K5D0040000400"/>
      <w:bookmarkEnd w:id="4631"/>
      <w:r>
        <w:rPr>
          <w:rFonts w:ascii="Arial" w:eastAsia="Arial" w:hAnsi="Arial" w:cs="Arial"/>
          <w:i/>
          <w:color w:val="000000"/>
          <w:sz w:val="20"/>
        </w:rPr>
        <w:t>Jones</w:t>
      </w:r>
      <w:r>
        <w:rPr>
          <w:rFonts w:ascii="Arial" w:eastAsia="Arial" w:hAnsi="Arial" w:cs="Arial"/>
          <w:color w:val="000000"/>
          <w:sz w:val="20"/>
        </w:rPr>
        <w:t>, 341 F.3d at 477).</w:t>
      </w:r>
    </w:p>
    <w:p w14:paraId="685B9AAA" w14:textId="77777777" w:rsidR="00D041A2" w:rsidRDefault="00000000">
      <w:pPr>
        <w:pStyle w:val="Normal35"/>
        <w:widowControl w:val="0"/>
        <w:spacing w:before="200" w:line="260" w:lineRule="atLeast"/>
        <w:jc w:val="both"/>
      </w:pPr>
      <w:bookmarkStart w:id="4632" w:name="Bookmark_para_60_3"/>
      <w:bookmarkEnd w:id="4632"/>
      <w:r>
        <w:rPr>
          <w:rFonts w:ascii="Arial" w:eastAsia="Arial" w:hAnsi="Arial" w:cs="Arial"/>
          <w:color w:val="000000"/>
          <w:sz w:val="20"/>
        </w:rPr>
        <w:t>Because our "solely because of" standard is in tension with the majority of circuits, I believe that our en banc court should consider the continued validity of our decisions applying this standard in an appropriate case.</w:t>
      </w:r>
    </w:p>
    <w:p w14:paraId="1D495FD3" w14:textId="77777777" w:rsidR="00D041A2" w:rsidRDefault="00000000">
      <w:pPr>
        <w:pStyle w:val="Normal35"/>
        <w:widowControl w:val="0"/>
        <w:spacing w:before="240" w:line="260" w:lineRule="atLeast"/>
      </w:pPr>
      <w:r>
        <w:br/>
      </w:r>
      <w:r>
        <w:rPr>
          <w:rFonts w:ascii="Arial" w:eastAsia="Arial" w:hAnsi="Arial" w:cs="Arial"/>
          <w:b/>
          <w:color w:val="000000"/>
          <w:sz w:val="20"/>
        </w:rPr>
        <w:t>IV. CONCLUSION</w:t>
      </w:r>
    </w:p>
    <w:p w14:paraId="22EDE2FE" w14:textId="77777777" w:rsidR="00D041A2" w:rsidRDefault="00000000">
      <w:pPr>
        <w:pStyle w:val="Normal35"/>
        <w:widowControl w:val="0"/>
        <w:spacing w:before="200" w:line="260" w:lineRule="atLeast"/>
        <w:jc w:val="both"/>
      </w:pPr>
      <w:bookmarkStart w:id="4633" w:name="Bookmark_para_61_3"/>
      <w:bookmarkEnd w:id="4633"/>
      <w:r>
        <w:rPr>
          <w:rFonts w:ascii="Arial" w:eastAsia="Arial" w:hAnsi="Arial" w:cs="Arial"/>
          <w:color w:val="000000"/>
          <w:sz w:val="20"/>
        </w:rPr>
        <w:t>I respectfully dissent and would reverse the district judge's grant of summary judgment in favor of Wittich with respect to Everson's claim that Wittich intentionally discriminated against him by arresting and charging him with assault and disorderly conduct for involuntary conduct caused by his disability. Because I believe that a genuine issue of material fact remains with respect to whether Wittich knew that Everson's conduct was related to his disability, I would allow Everson to proceed on his ADA claim against Wittich.</w:t>
      </w:r>
    </w:p>
    <w:p w14:paraId="1B29ECBD" w14:textId="77777777" w:rsidR="00D041A2" w:rsidRDefault="00D041A2">
      <w:pPr>
        <w:pStyle w:val="Normal35"/>
      </w:pPr>
    </w:p>
    <w:p w14:paraId="326BC68F" w14:textId="12005D94" w:rsidR="00D041A2" w:rsidRDefault="00000000">
      <w:pPr>
        <w:pStyle w:val="Normal35"/>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37088" behindDoc="0" locked="0" layoutInCell="1" allowOverlap="1" wp14:anchorId="6DCEE5A7" wp14:editId="2A4AC8A6">
                <wp:simplePos x="0" y="0"/>
                <wp:positionH relativeFrom="column">
                  <wp:posOffset>0</wp:posOffset>
                </wp:positionH>
                <wp:positionV relativeFrom="paragraph">
                  <wp:posOffset>127000</wp:posOffset>
                </wp:positionV>
                <wp:extent cx="6502400" cy="0"/>
                <wp:effectExtent l="9525" t="12700" r="12700" b="6350"/>
                <wp:wrapNone/>
                <wp:docPr id="172056763"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1DF2C" id="Line 78"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BAD22C1" w14:textId="77777777" w:rsidR="00D041A2" w:rsidRDefault="00D041A2">
      <w:pPr>
        <w:pStyle w:val="Normal36"/>
        <w:sectPr w:rsidR="00D041A2">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gutter="0"/>
          <w:cols w:space="720"/>
          <w:titlePg/>
        </w:sectPr>
      </w:pPr>
    </w:p>
    <w:p w14:paraId="6C1B38E7" w14:textId="77777777" w:rsidR="00D041A2" w:rsidRDefault="00D041A2">
      <w:pPr>
        <w:pStyle w:val="Normal36"/>
      </w:pPr>
    </w:p>
    <w:p w14:paraId="6B62DA3F" w14:textId="77777777" w:rsidR="00D041A2" w:rsidRDefault="00000000">
      <w:pPr>
        <w:pStyle w:val="Heading135"/>
        <w:keepNext w:val="0"/>
        <w:widowControl w:val="0"/>
        <w:spacing w:after="200" w:line="340" w:lineRule="atLeast"/>
        <w:jc w:val="center"/>
      </w:pPr>
      <w:r>
        <w:rPr>
          <w:rFonts w:eastAsia="Arial"/>
          <w:color w:val="000000"/>
          <w:sz w:val="28"/>
        </w:rPr>
        <w:t>Steward v. New Chrysler</w:t>
      </w:r>
    </w:p>
    <w:p w14:paraId="4A5B851E" w14:textId="77777777" w:rsidR="00D041A2" w:rsidRDefault="00000000">
      <w:pPr>
        <w:pStyle w:val="Normal36"/>
        <w:widowControl w:val="0"/>
        <w:spacing w:before="120" w:line="260" w:lineRule="atLeast"/>
        <w:jc w:val="center"/>
      </w:pPr>
      <w:r>
        <w:rPr>
          <w:rFonts w:ascii="Arial" w:eastAsia="Arial" w:hAnsi="Arial" w:cs="Arial"/>
          <w:color w:val="000000"/>
          <w:sz w:val="20"/>
        </w:rPr>
        <w:t>United States Court of Appeals for the Sixth Circuit</w:t>
      </w:r>
    </w:p>
    <w:p w14:paraId="340EAED5" w14:textId="77777777" w:rsidR="00D041A2" w:rsidRDefault="00000000">
      <w:pPr>
        <w:pStyle w:val="Normal36"/>
        <w:widowControl w:val="0"/>
        <w:spacing w:before="120" w:line="260" w:lineRule="atLeast"/>
        <w:jc w:val="center"/>
      </w:pPr>
      <w:r>
        <w:rPr>
          <w:rFonts w:ascii="Arial" w:eastAsia="Arial" w:hAnsi="Arial" w:cs="Arial"/>
          <w:color w:val="000000"/>
          <w:sz w:val="20"/>
        </w:rPr>
        <w:t>February 4, 2011, Filed</w:t>
      </w:r>
    </w:p>
    <w:p w14:paraId="3256008A" w14:textId="77777777" w:rsidR="00D041A2" w:rsidRDefault="00000000">
      <w:pPr>
        <w:pStyle w:val="Normal36"/>
        <w:widowControl w:val="0"/>
        <w:spacing w:before="120" w:line="260" w:lineRule="atLeast"/>
        <w:jc w:val="center"/>
      </w:pPr>
      <w:r>
        <w:rPr>
          <w:rFonts w:ascii="Arial" w:eastAsia="Arial" w:hAnsi="Arial" w:cs="Arial"/>
          <w:color w:val="000000"/>
          <w:sz w:val="20"/>
        </w:rPr>
        <w:t>File Name: 11a0071n.06</w:t>
      </w:r>
    </w:p>
    <w:p w14:paraId="285F7BD6" w14:textId="77777777" w:rsidR="00D041A2" w:rsidRDefault="00000000">
      <w:pPr>
        <w:pStyle w:val="Normal36"/>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08-1282</w:t>
      </w:r>
    </w:p>
    <w:p w14:paraId="721E8214" w14:textId="77777777" w:rsidR="00D041A2" w:rsidRDefault="00D041A2">
      <w:pPr>
        <w:pStyle w:val="Normal36"/>
        <w:widowControl w:val="0"/>
        <w:spacing w:line="240" w:lineRule="atLeast"/>
        <w:jc w:val="both"/>
      </w:pPr>
      <w:bookmarkStart w:id="4634" w:name="Bookmark_37"/>
      <w:bookmarkEnd w:id="4634"/>
    </w:p>
    <w:p w14:paraId="17712218" w14:textId="77777777" w:rsidR="00D041A2" w:rsidRDefault="00000000">
      <w:pPr>
        <w:pStyle w:val="Normal36"/>
        <w:widowControl w:val="0"/>
        <w:spacing w:before="200" w:line="240" w:lineRule="atLeast"/>
      </w:pPr>
      <w:bookmarkStart w:id="4635" w:name="Reporter_35"/>
      <w:bookmarkEnd w:id="4635"/>
      <w:r>
        <w:rPr>
          <w:rFonts w:ascii="Arial" w:eastAsia="Arial" w:hAnsi="Arial" w:cs="Arial"/>
          <w:b/>
          <w:color w:val="000000"/>
          <w:sz w:val="18"/>
        </w:rPr>
        <w:t>Reporter</w:t>
      </w:r>
    </w:p>
    <w:p w14:paraId="6A35AAB0" w14:textId="77777777" w:rsidR="00D041A2" w:rsidRDefault="00000000">
      <w:pPr>
        <w:pStyle w:val="Normal36"/>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415 Fed. Appx. 632 *; 2011 U.S. App. LEXIS 2267 **; 2011 FED App. 0071N (6th Cir.)</w:t>
      </w:r>
    </w:p>
    <w:p w14:paraId="27E21614" w14:textId="77777777" w:rsidR="00D041A2" w:rsidRDefault="00000000">
      <w:pPr>
        <w:pStyle w:val="Normal36"/>
        <w:widowControl w:val="0"/>
        <w:spacing w:before="120" w:line="260" w:lineRule="atLeast"/>
      </w:pPr>
      <w:r>
        <w:rPr>
          <w:rFonts w:ascii="Arial" w:eastAsia="Arial" w:hAnsi="Arial" w:cs="Arial"/>
          <w:color w:val="000000"/>
          <w:sz w:val="20"/>
        </w:rPr>
        <w:t>LORETTA FRAZIER STEWARD, Plaintiff-Appellant, v. NEW CHRYSLER, Defendant-Appellee.</w:t>
      </w:r>
    </w:p>
    <w:p w14:paraId="2775C593" w14:textId="77777777" w:rsidR="00D041A2" w:rsidRDefault="00000000">
      <w:pPr>
        <w:pStyle w:val="Normal36"/>
        <w:widowControl w:val="0"/>
        <w:spacing w:before="240" w:line="260" w:lineRule="atLeast"/>
        <w:jc w:val="both"/>
      </w:pPr>
      <w:bookmarkStart w:id="4636" w:name="Notice_22"/>
      <w:bookmarkEnd w:id="4636"/>
      <w:r>
        <w:rPr>
          <w:rFonts w:ascii="Arial" w:eastAsia="Arial" w:hAnsi="Arial" w:cs="Arial"/>
          <w:b/>
          <w:color w:val="000000"/>
          <w:sz w:val="20"/>
        </w:rPr>
        <w:t>Notice:</w:t>
      </w:r>
      <w:r>
        <w:rPr>
          <w:rFonts w:ascii="Arial" w:eastAsia="Arial" w:hAnsi="Arial" w:cs="Arial"/>
          <w:color w:val="000000"/>
          <w:sz w:val="20"/>
        </w:rPr>
        <w:t> </w:t>
      </w:r>
      <w:bookmarkStart w:id="4637" w:name="Bookmark_para_1_35"/>
      <w:bookmarkEnd w:id="4637"/>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14:paraId="6C2956BE" w14:textId="77777777" w:rsidR="00D041A2" w:rsidRDefault="00000000">
      <w:pPr>
        <w:pStyle w:val="Normal36"/>
        <w:widowControl w:val="0"/>
        <w:spacing w:before="240" w:line="260" w:lineRule="atLeast"/>
        <w:jc w:val="both"/>
      </w:pPr>
      <w:bookmarkStart w:id="4638" w:name="Prior_History_35"/>
      <w:bookmarkEnd w:id="4638"/>
      <w:r>
        <w:rPr>
          <w:rFonts w:ascii="Arial" w:eastAsia="Arial" w:hAnsi="Arial" w:cs="Arial"/>
          <w:b/>
          <w:color w:val="000000"/>
          <w:sz w:val="20"/>
        </w:rPr>
        <w:t>Prior History:</w:t>
      </w:r>
      <w:r>
        <w:rPr>
          <w:rFonts w:ascii="Arial" w:eastAsia="Arial" w:hAnsi="Arial" w:cs="Arial"/>
          <w:color w:val="000000"/>
          <w:sz w:val="20"/>
        </w:rPr>
        <w:t>  [**1] </w:t>
      </w:r>
      <w:bookmarkStart w:id="4639" w:name="Bookmark_para_2_35"/>
      <w:bookmarkEnd w:id="4639"/>
      <w:r>
        <w:rPr>
          <w:rFonts w:ascii="Arial" w:eastAsia="Arial" w:hAnsi="Arial" w:cs="Arial"/>
          <w:color w:val="000000"/>
          <w:sz w:val="20"/>
        </w:rPr>
        <w:t>On Appeal from the United States District Court for the Eastern District of Michigan.</w:t>
      </w:r>
    </w:p>
    <w:p w14:paraId="08F195A9" w14:textId="77777777" w:rsidR="00D041A2" w:rsidRDefault="00000000">
      <w:pPr>
        <w:pStyle w:val="Normal36"/>
        <w:widowControl w:val="0"/>
        <w:spacing w:before="120" w:line="260" w:lineRule="atLeast"/>
      </w:pPr>
      <w:r>
        <w:rPr>
          <w:rFonts w:ascii="Arial" w:eastAsia="Arial" w:hAnsi="Arial" w:cs="Arial"/>
          <w:color w:val="000000"/>
          <w:sz w:val="20"/>
        </w:rPr>
        <w:t>Steward v. Daimler Chrysler Corp., 533 F. Supp. 2d 717, 2008 U.S. Dist. LEXIS 7881 ( E.D. Mich., 2008)</w:t>
      </w:r>
    </w:p>
    <w:p w14:paraId="370737C2" w14:textId="77777777" w:rsidR="00D041A2" w:rsidRDefault="00000000">
      <w:pPr>
        <w:pStyle w:val="Normal36"/>
        <w:widowControl w:val="0"/>
        <w:spacing w:before="240" w:line="260" w:lineRule="atLeast"/>
      </w:pPr>
      <w:bookmarkStart w:id="4640" w:name="Counsel_35"/>
      <w:bookmarkEnd w:id="4640"/>
      <w:r>
        <w:rPr>
          <w:rFonts w:ascii="Arial" w:eastAsia="Arial" w:hAnsi="Arial" w:cs="Arial"/>
          <w:b/>
          <w:color w:val="000000"/>
          <w:sz w:val="20"/>
        </w:rPr>
        <w:t>Counsel:</w:t>
      </w:r>
      <w:r>
        <w:rPr>
          <w:rFonts w:ascii="Arial" w:eastAsia="Arial" w:hAnsi="Arial" w:cs="Arial"/>
          <w:color w:val="000000"/>
          <w:sz w:val="20"/>
        </w:rPr>
        <w:t> For LORETTA F. STEWARD, Plaintiff - Appellant: Nanette L. Korpi, Law Offices, Southfield, MI.</w:t>
      </w:r>
    </w:p>
    <w:p w14:paraId="2AF2CC45" w14:textId="77777777" w:rsidR="00D041A2" w:rsidRDefault="00000000">
      <w:pPr>
        <w:pStyle w:val="Normal36"/>
        <w:widowControl w:val="0"/>
        <w:spacing w:before="120" w:line="260" w:lineRule="atLeast"/>
      </w:pPr>
      <w:r>
        <w:rPr>
          <w:rFonts w:ascii="Arial" w:eastAsia="Arial" w:hAnsi="Arial" w:cs="Arial"/>
          <w:color w:val="000000"/>
          <w:sz w:val="20"/>
        </w:rPr>
        <w:t>For NEW CHRYSLER, Defendant - Appellee: Richard M. Tuyn, Ogletree, Deakins, Nash, Smoak &amp; Stewart, Bloomfield Hills, MI.</w:t>
      </w:r>
    </w:p>
    <w:p w14:paraId="3F932EC9" w14:textId="77777777" w:rsidR="00D041A2" w:rsidRDefault="00000000">
      <w:pPr>
        <w:pStyle w:val="Normal36"/>
        <w:widowControl w:val="0"/>
        <w:spacing w:before="240" w:line="260" w:lineRule="atLeast"/>
      </w:pPr>
      <w:bookmarkStart w:id="4641" w:name="Judges_35"/>
      <w:bookmarkEnd w:id="4641"/>
      <w:r>
        <w:rPr>
          <w:rFonts w:ascii="Arial" w:eastAsia="Arial" w:hAnsi="Arial" w:cs="Arial"/>
          <w:b/>
          <w:color w:val="000000"/>
          <w:sz w:val="20"/>
        </w:rPr>
        <w:t>Judges:</w:t>
      </w:r>
      <w:r>
        <w:rPr>
          <w:rFonts w:ascii="Arial" w:eastAsia="Arial" w:hAnsi="Arial" w:cs="Arial"/>
          <w:color w:val="000000"/>
          <w:sz w:val="20"/>
        </w:rPr>
        <w:t> Before: BOGGS, MOORE, and SUTTON, Circuit Judges. KAREN NELSON MOORE, Circuit Judge, concurring in part and dissenting in part.</w:t>
      </w:r>
    </w:p>
    <w:p w14:paraId="0C76A5F2" w14:textId="77777777" w:rsidR="00D041A2" w:rsidRDefault="00000000">
      <w:pPr>
        <w:pStyle w:val="Normal36"/>
        <w:widowControl w:val="0"/>
        <w:spacing w:before="240" w:line="260" w:lineRule="atLeast"/>
      </w:pPr>
      <w:bookmarkStart w:id="4642" w:name="Opinion_by_20"/>
      <w:bookmarkEnd w:id="4642"/>
      <w:r>
        <w:rPr>
          <w:rFonts w:ascii="Arial" w:eastAsia="Arial" w:hAnsi="Arial" w:cs="Arial"/>
          <w:b/>
          <w:color w:val="000000"/>
          <w:sz w:val="20"/>
        </w:rPr>
        <w:t>Opinion by:</w:t>
      </w:r>
      <w:r>
        <w:rPr>
          <w:rFonts w:ascii="Arial" w:eastAsia="Arial" w:hAnsi="Arial" w:cs="Arial"/>
          <w:color w:val="000000"/>
          <w:sz w:val="20"/>
        </w:rPr>
        <w:t> BOGGS</w:t>
      </w:r>
    </w:p>
    <w:p w14:paraId="3EC8EEFC" w14:textId="77777777" w:rsidR="00D041A2" w:rsidRDefault="00000000">
      <w:pPr>
        <w:pStyle w:val="Normal36"/>
        <w:keepNext/>
        <w:widowControl w:val="0"/>
        <w:spacing w:before="240" w:line="340" w:lineRule="atLeast"/>
      </w:pPr>
      <w:bookmarkStart w:id="4643" w:name="Opinion_35"/>
      <w:bookmarkEnd w:id="4643"/>
      <w:r>
        <w:rPr>
          <w:rFonts w:ascii="Arial" w:eastAsia="Arial" w:hAnsi="Arial" w:cs="Arial"/>
          <w:b/>
          <w:color w:val="000000"/>
          <w:sz w:val="28"/>
        </w:rPr>
        <w:t>Opinion</w:t>
      </w:r>
    </w:p>
    <w:p w14:paraId="3D850A9F" w14:textId="53DB082C" w:rsidR="00D041A2" w:rsidRDefault="004D4403">
      <w:pPr>
        <w:pStyle w:val="Normal36"/>
        <w:spacing w:line="60" w:lineRule="exact"/>
      </w:pPr>
      <w:r>
        <w:rPr>
          <w:noProof/>
        </w:rPr>
        <mc:AlternateContent>
          <mc:Choice Requires="wps">
            <w:drawing>
              <wp:anchor distT="0" distB="0" distL="114300" distR="114300" simplePos="0" relativeHeight="251738112" behindDoc="0" locked="0" layoutInCell="1" allowOverlap="1" wp14:anchorId="354D39E5" wp14:editId="1FC496D4">
                <wp:simplePos x="0" y="0"/>
                <wp:positionH relativeFrom="column">
                  <wp:posOffset>0</wp:posOffset>
                </wp:positionH>
                <wp:positionV relativeFrom="paragraph">
                  <wp:posOffset>25400</wp:posOffset>
                </wp:positionV>
                <wp:extent cx="3187700" cy="0"/>
                <wp:effectExtent l="19050" t="15875" r="12700" b="12700"/>
                <wp:wrapTopAndBottom/>
                <wp:docPr id="304458250"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6082B" id="Line 79"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3F53DC5" w14:textId="77777777" w:rsidR="00D041A2" w:rsidRDefault="00D041A2">
      <w:pPr>
        <w:pStyle w:val="Normal36"/>
      </w:pPr>
    </w:p>
    <w:p w14:paraId="624F7765" w14:textId="77777777" w:rsidR="00D041A2" w:rsidRDefault="00000000">
      <w:pPr>
        <w:pStyle w:val="Normal36"/>
        <w:widowControl w:val="0"/>
        <w:spacing w:before="200" w:line="260" w:lineRule="atLeast"/>
        <w:jc w:val="both"/>
      </w:pPr>
      <w:bookmarkStart w:id="4644" w:name="Bookmark_para_3_35"/>
      <w:bookmarkEnd w:id="4644"/>
      <w:r>
        <w:rPr>
          <w:rFonts w:ascii="Arial" w:eastAsia="Arial" w:hAnsi="Arial" w:cs="Arial"/>
          <w:color w:val="000000"/>
          <w:sz w:val="20"/>
        </w:rPr>
        <w:t xml:space="preserve"> [*633]  BOGGS, Circuit Judge. Plaintiff Loretta Frazier Steward ("Steward") </w:t>
      </w:r>
      <w:r>
        <w:rPr>
          <w:rFonts w:ascii="Arial" w:eastAsia="Arial" w:hAnsi="Arial" w:cs="Arial"/>
          <w:vertAlign w:val="superscript"/>
        </w:rPr>
        <w:footnoteReference w:customMarkFollows="1" w:id="223"/>
        <w:t>1</w:t>
      </w:r>
      <w:r>
        <w:rPr>
          <w:rFonts w:ascii="Arial" w:eastAsia="Arial" w:hAnsi="Arial" w:cs="Arial"/>
          <w:color w:val="000000"/>
          <w:sz w:val="20"/>
        </w:rPr>
        <w:t xml:space="preserve"> appeals the district court's grant of summary judgment with respect to various state-law claims and a federal Americans with Disabilities Act ("ADA") claim arising out of her employment at the corporate predecessors of defendant New Chrysler (collectively, "Chrysler"). </w:t>
      </w:r>
      <w:r>
        <w:rPr>
          <w:rFonts w:ascii="Arial" w:eastAsia="Arial" w:hAnsi="Arial" w:cs="Arial"/>
          <w:vertAlign w:val="superscript"/>
        </w:rPr>
        <w:footnoteReference w:customMarkFollows="1" w:id="224"/>
        <w:t>2</w:t>
      </w:r>
      <w:r>
        <w:rPr>
          <w:rFonts w:ascii="Arial" w:eastAsia="Arial" w:hAnsi="Arial" w:cs="Arial"/>
          <w:color w:val="000000"/>
          <w:sz w:val="20"/>
        </w:rPr>
        <w:t xml:space="preserve"> Steward also appeals the district court's refusal to allow her to dismiss her ADA claim voluntarily prior to the district court's determination of Chrysler's summary-judgment motion. We affirm </w:t>
      </w:r>
      <w:r>
        <w:rPr>
          <w:rFonts w:ascii="Arial" w:eastAsia="Arial" w:hAnsi="Arial" w:cs="Arial"/>
          <w:i/>
          <w:color w:val="000000"/>
          <w:sz w:val="20"/>
        </w:rPr>
        <w:t>in toto.</w:t>
      </w:r>
    </w:p>
    <w:p w14:paraId="1DA44CD0" w14:textId="77777777" w:rsidR="00D041A2" w:rsidRDefault="00000000">
      <w:pPr>
        <w:pStyle w:val="Normal36"/>
        <w:widowControl w:val="0"/>
        <w:spacing w:before="240" w:line="260" w:lineRule="atLeast"/>
      </w:pPr>
      <w:r>
        <w:br/>
      </w:r>
      <w:r>
        <w:rPr>
          <w:rFonts w:ascii="Arial" w:eastAsia="Arial" w:hAnsi="Arial" w:cs="Arial"/>
          <w:b/>
          <w:color w:val="000000"/>
          <w:sz w:val="20"/>
        </w:rPr>
        <w:t>I. BACKGROUND</w:t>
      </w:r>
    </w:p>
    <w:p w14:paraId="4323895A" w14:textId="77777777" w:rsidR="00D041A2" w:rsidRDefault="00000000">
      <w:pPr>
        <w:pStyle w:val="Normal36"/>
        <w:widowControl w:val="0"/>
        <w:spacing w:before="240" w:line="260" w:lineRule="atLeast"/>
      </w:pPr>
      <w:r>
        <w:br/>
      </w:r>
      <w:r>
        <w:rPr>
          <w:rFonts w:ascii="Arial" w:eastAsia="Arial" w:hAnsi="Arial" w:cs="Arial"/>
          <w:b/>
          <w:color w:val="000000"/>
          <w:sz w:val="20"/>
        </w:rPr>
        <w:t>A. Steward's Hiring by Chrysler</w:t>
      </w:r>
    </w:p>
    <w:p w14:paraId="4559079A" w14:textId="77777777" w:rsidR="00D041A2" w:rsidRDefault="00000000">
      <w:pPr>
        <w:pStyle w:val="Normal36"/>
        <w:widowControl w:val="0"/>
        <w:spacing w:before="200" w:line="260" w:lineRule="atLeast"/>
        <w:jc w:val="both"/>
      </w:pPr>
      <w:bookmarkStart w:id="4647" w:name="Bookmark_para_4_35"/>
      <w:bookmarkEnd w:id="4647"/>
      <w:r>
        <w:rPr>
          <w:rFonts w:ascii="Arial" w:eastAsia="Arial" w:hAnsi="Arial" w:cs="Arial"/>
          <w:color w:val="000000"/>
          <w:sz w:val="20"/>
        </w:rPr>
        <w:t>Steward, an African-American female, commenced her employment at Chrysler in 1997. Her employment application contained the following provision:</w:t>
      </w:r>
    </w:p>
    <w:p w14:paraId="03858AD9" w14:textId="77777777" w:rsidR="00D041A2" w:rsidRDefault="00000000">
      <w:pPr>
        <w:pStyle w:val="Normal36"/>
        <w:widowControl w:val="0"/>
        <w:spacing w:line="260" w:lineRule="atLeast"/>
        <w:ind w:left="400"/>
        <w:jc w:val="both"/>
      </w:pPr>
      <w:bookmarkStart w:id="4648" w:name="Bookmark_para_5_35"/>
      <w:bookmarkEnd w:id="4648"/>
      <w:r>
        <w:rPr>
          <w:rFonts w:ascii="Arial" w:eastAsia="Arial" w:hAnsi="Arial" w:cs="Arial"/>
          <w:color w:val="000000"/>
          <w:sz w:val="20"/>
        </w:rPr>
        <w:t>I agree that any claim or lawsuit relating to my service with [Chrysler] or any of its subsidiaries must be filed no more than six (6) months after the date of the employment action that is the subject of the claim or lawsuit. I waive any statute of limitations to the contrary.</w:t>
      </w:r>
    </w:p>
    <w:p w14:paraId="352C4986" w14:textId="77777777" w:rsidR="00D041A2" w:rsidRDefault="00000000">
      <w:pPr>
        <w:pStyle w:val="Normal36"/>
        <w:widowControl w:val="0"/>
        <w:spacing w:before="200" w:line="260" w:lineRule="atLeast"/>
        <w:jc w:val="both"/>
      </w:pPr>
      <w:r>
        <w:rPr>
          <w:rFonts w:ascii="Arial" w:eastAsia="Arial" w:hAnsi="Arial" w:cs="Arial"/>
          <w:color w:val="000000"/>
          <w:sz w:val="20"/>
        </w:rPr>
        <w:t>Record on Appeal ("ROA") at 155. For the  [**3] duration of her employment at Chrysler, Steward was an hourly, union-represented worker on the assembly line at Chrysler's Viper Plant in Detroit.</w:t>
      </w:r>
    </w:p>
    <w:p w14:paraId="7F0D7756" w14:textId="77777777" w:rsidR="00D041A2" w:rsidRDefault="00000000">
      <w:pPr>
        <w:pStyle w:val="Normal36"/>
        <w:widowControl w:val="0"/>
        <w:spacing w:before="240" w:line="260" w:lineRule="atLeast"/>
      </w:pPr>
      <w:r>
        <w:br/>
      </w:r>
      <w:r>
        <w:rPr>
          <w:rFonts w:ascii="Arial" w:eastAsia="Arial" w:hAnsi="Arial" w:cs="Arial"/>
          <w:b/>
          <w:color w:val="000000"/>
          <w:sz w:val="20"/>
        </w:rPr>
        <w:t>B. Steward's Experience with John McKerley</w:t>
      </w:r>
    </w:p>
    <w:p w14:paraId="42A82065" w14:textId="77777777" w:rsidR="00D041A2" w:rsidRDefault="00000000">
      <w:pPr>
        <w:pStyle w:val="Normal36"/>
        <w:widowControl w:val="0"/>
        <w:spacing w:before="240" w:line="260" w:lineRule="atLeast"/>
      </w:pPr>
      <w:r>
        <w:br/>
      </w:r>
      <w:r>
        <w:rPr>
          <w:rFonts w:ascii="Arial" w:eastAsia="Arial" w:hAnsi="Arial" w:cs="Arial"/>
          <w:b/>
          <w:color w:val="000000"/>
          <w:sz w:val="20"/>
        </w:rPr>
        <w:t>1.</w:t>
      </w:r>
      <w:r>
        <w:rPr>
          <w:rFonts w:ascii="Arial" w:eastAsia="Arial" w:hAnsi="Arial" w:cs="Arial"/>
          <w:b/>
          <w:i/>
          <w:color w:val="000000"/>
          <w:sz w:val="20"/>
        </w:rPr>
        <w:t>Steward's Deposition Testimony</w:t>
      </w:r>
    </w:p>
    <w:p w14:paraId="46EF89CC" w14:textId="77777777" w:rsidR="00D041A2" w:rsidRDefault="00000000">
      <w:pPr>
        <w:pStyle w:val="Normal36"/>
        <w:widowControl w:val="0"/>
        <w:spacing w:before="200" w:line="260" w:lineRule="atLeast"/>
        <w:jc w:val="both"/>
      </w:pPr>
      <w:bookmarkStart w:id="4649" w:name="Bookmark_para_6_35"/>
      <w:bookmarkEnd w:id="4649"/>
      <w:r>
        <w:rPr>
          <w:rFonts w:ascii="Arial" w:eastAsia="Arial" w:hAnsi="Arial" w:cs="Arial"/>
          <w:color w:val="000000"/>
          <w:sz w:val="20"/>
        </w:rPr>
        <w:t>From 1998 onward, Steward worked under the direct supervision of John McKerley, a white male. Since she had the "highest seniority on the line," Steward enjoyed "[her] choice of jobs." ROA at 122, 366. She further disavowed any knowledge of how other employees were assigned to their stations. ROA at 124. Nevertheless, Steward stated in her deposition that McKerley kept the approximately five to ten African-American employees (out of 20-40 whom he oversaw) "segregated" at opposite ends of the assembly line; Steward and some of her co-workers referred to her end of the line as "the undesirables," and to the other end as "the good old boys." ROA at 139. Steward also stated that McKerley assigned additional and more difficult work to her portion of the line, and sometimes had "the  [*634]  undesirables" do extra work while "the good old boys" took breaks. ROA at 358, 361. Furthermore, Steward complained that McKerley would sometimes cause the assembly line to move forward before  [**4] Steward was finished with a job, thereby endangering her safety. ROA at 367.</w:t>
      </w:r>
    </w:p>
    <w:p w14:paraId="6E863F68" w14:textId="77777777" w:rsidR="00D041A2" w:rsidRDefault="00000000">
      <w:pPr>
        <w:pStyle w:val="Normal36"/>
        <w:widowControl w:val="0"/>
        <w:spacing w:before="200" w:line="260" w:lineRule="atLeast"/>
        <w:jc w:val="both"/>
      </w:pPr>
      <w:bookmarkStart w:id="4650" w:name="Bookmark_para_7_35"/>
      <w:bookmarkEnd w:id="4650"/>
      <w:r>
        <w:rPr>
          <w:rFonts w:ascii="Arial" w:eastAsia="Arial" w:hAnsi="Arial" w:cs="Arial"/>
          <w:color w:val="000000"/>
          <w:sz w:val="20"/>
        </w:rPr>
        <w:t xml:space="preserve">At the same time, however, Steward admitted that at least one white employee worked in what she called the "black part of the line," ROA at 270, 358; that she was, at least at one point, teamed at her station with a white employee, ROA at 123; and that white employees replaced her at her position on the line when she was absent, ROA at 125. Further, she does not claim that she was denied any particular job on the assembly line on account of her race. </w:t>
      </w:r>
      <w:r>
        <w:rPr>
          <w:rFonts w:ascii="Arial" w:eastAsia="Arial" w:hAnsi="Arial" w:cs="Arial"/>
          <w:vertAlign w:val="superscript"/>
        </w:rPr>
        <w:footnoteReference w:customMarkFollows="1" w:id="225"/>
        <w:t>3</w:t>
      </w:r>
      <w:r>
        <w:rPr>
          <w:rFonts w:ascii="Arial" w:eastAsia="Arial" w:hAnsi="Arial" w:cs="Arial"/>
          <w:color w:val="000000"/>
          <w:sz w:val="20"/>
        </w:rPr>
        <w:t xml:space="preserve"> ROA at 122-124, 366.</w:t>
      </w:r>
    </w:p>
    <w:p w14:paraId="2F3B72FE" w14:textId="77777777" w:rsidR="00D041A2" w:rsidRDefault="00000000">
      <w:pPr>
        <w:pStyle w:val="Normal36"/>
        <w:widowControl w:val="0"/>
        <w:spacing w:before="200" w:line="260" w:lineRule="atLeast"/>
        <w:jc w:val="both"/>
      </w:pPr>
      <w:bookmarkStart w:id="4652" w:name="Bookmark_para_8_34"/>
      <w:bookmarkEnd w:id="4652"/>
      <w:r>
        <w:rPr>
          <w:rFonts w:ascii="Arial" w:eastAsia="Arial" w:hAnsi="Arial" w:cs="Arial"/>
          <w:color w:val="000000"/>
          <w:sz w:val="20"/>
        </w:rPr>
        <w:t xml:space="preserve">According to Steward, McKerley "tr[ied] to keep it a secret" if there was overtime work available so that he could offer it to "his friends first, his golf buddies first" — i.e., to the "good old boys." ROA at 361.  [**5] McKerley also "let[] his golf buddies or his friends . . . take [personal] days" more freely than he let Steward take them. ROA at 361. Steward claimed that McKerley gave her disciplinary write-ups for petty infractions for which other employees were not disciplined, such as using the bathroom. ROA at 119, 361. However, Steward admitted that she was not suspended or docked any pay as a result of any such write-ups. ROA at 143, 364. Further, Steward did not claim that McKerley singled her out for discipline on account of her race, as opposed to some other reason. </w:t>
      </w:r>
      <w:r>
        <w:rPr>
          <w:rFonts w:ascii="Arial" w:eastAsia="Arial" w:hAnsi="Arial" w:cs="Arial"/>
          <w:i/>
          <w:color w:val="000000"/>
          <w:sz w:val="20"/>
        </w:rPr>
        <w:t>See</w:t>
      </w:r>
      <w:r>
        <w:rPr>
          <w:rFonts w:ascii="Arial" w:eastAsia="Arial" w:hAnsi="Arial" w:cs="Arial"/>
          <w:color w:val="000000"/>
          <w:sz w:val="20"/>
        </w:rPr>
        <w:t xml:space="preserve"> ROA at 145 ("[I believe] that's some kind of discrimination for whether I'm black, whether I'm a woman, or for whatever reason, whether I filed charges, whether I'm voiceful, whether I practice my rights . . . through the National Labor Board.").</w:t>
      </w:r>
    </w:p>
    <w:p w14:paraId="16B737A4" w14:textId="77777777" w:rsidR="00D041A2" w:rsidRDefault="00000000">
      <w:pPr>
        <w:pStyle w:val="Normal36"/>
        <w:widowControl w:val="0"/>
        <w:spacing w:before="200" w:line="260" w:lineRule="atLeast"/>
        <w:jc w:val="both"/>
      </w:pPr>
      <w:bookmarkStart w:id="4653" w:name="Bookmark_para_9_33"/>
      <w:bookmarkEnd w:id="4653"/>
      <w:r>
        <w:rPr>
          <w:rFonts w:ascii="Arial" w:eastAsia="Arial" w:hAnsi="Arial" w:cs="Arial"/>
          <w:color w:val="000000"/>
          <w:sz w:val="20"/>
        </w:rPr>
        <w:t>Steward stated that McKerley occasionally made "little racial jokes" to his friends, but "[n]ot to [her] directly"; she "didn't really pay too much attention" to these jokes, and she could not describe them further. ROA at 146. Steward noted that a black employee once teased McKerley about "want[ing] some of [Steward's] behind" and "lik[ing] black girls' behinds." ROA at 146. She  [**6] did not complain about any of these comments to plant management.</w:t>
      </w:r>
    </w:p>
    <w:p w14:paraId="0DDE5F5B" w14:textId="77777777" w:rsidR="00D041A2" w:rsidRDefault="00000000">
      <w:pPr>
        <w:pStyle w:val="Normal36"/>
        <w:widowControl w:val="0"/>
        <w:spacing w:before="240" w:line="260" w:lineRule="atLeast"/>
      </w:pPr>
      <w:r>
        <w:br/>
      </w:r>
      <w:r>
        <w:rPr>
          <w:rFonts w:ascii="Arial" w:eastAsia="Arial" w:hAnsi="Arial" w:cs="Arial"/>
          <w:b/>
          <w:color w:val="000000"/>
          <w:sz w:val="20"/>
        </w:rPr>
        <w:t>2.</w:t>
      </w:r>
      <w:r>
        <w:rPr>
          <w:rFonts w:ascii="Arial" w:eastAsia="Arial" w:hAnsi="Arial" w:cs="Arial"/>
          <w:b/>
          <w:i/>
          <w:color w:val="000000"/>
          <w:sz w:val="20"/>
        </w:rPr>
        <w:t>Other Employees' Deposition Testimony</w:t>
      </w:r>
    </w:p>
    <w:p w14:paraId="26FCD231" w14:textId="77777777" w:rsidR="00D041A2" w:rsidRDefault="00000000">
      <w:pPr>
        <w:pStyle w:val="Normal36"/>
        <w:widowControl w:val="0"/>
        <w:spacing w:before="200" w:line="260" w:lineRule="atLeast"/>
        <w:jc w:val="both"/>
      </w:pPr>
      <w:bookmarkStart w:id="4654" w:name="Bookmark_para_10_33"/>
      <w:bookmarkEnd w:id="4654"/>
      <w:r>
        <w:rPr>
          <w:rFonts w:ascii="Arial" w:eastAsia="Arial" w:hAnsi="Arial" w:cs="Arial"/>
          <w:color w:val="000000"/>
          <w:sz w:val="20"/>
        </w:rPr>
        <w:t>Steward also offered the deposition testimony of three other African-American employees as to their own experience under McKerley.</w:t>
      </w:r>
    </w:p>
    <w:p w14:paraId="4C187B1D" w14:textId="77777777" w:rsidR="00D041A2" w:rsidRDefault="00000000">
      <w:pPr>
        <w:pStyle w:val="Normal36"/>
        <w:widowControl w:val="0"/>
        <w:spacing w:before="240" w:line="260" w:lineRule="atLeast"/>
      </w:pPr>
      <w:r>
        <w:br/>
      </w:r>
      <w:r>
        <w:rPr>
          <w:rFonts w:ascii="Arial" w:eastAsia="Arial" w:hAnsi="Arial" w:cs="Arial"/>
          <w:b/>
          <w:color w:val="000000"/>
          <w:sz w:val="20"/>
        </w:rPr>
        <w:t>a. Anthony Thomas</w:t>
      </w:r>
    </w:p>
    <w:p w14:paraId="6237F527" w14:textId="77777777" w:rsidR="00D041A2" w:rsidRDefault="00000000">
      <w:pPr>
        <w:pStyle w:val="Normal36"/>
        <w:widowControl w:val="0"/>
        <w:spacing w:before="200" w:line="260" w:lineRule="atLeast"/>
        <w:jc w:val="both"/>
      </w:pPr>
      <w:bookmarkStart w:id="4655" w:name="Bookmark_para_11_32"/>
      <w:bookmarkEnd w:id="4655"/>
      <w:r>
        <w:rPr>
          <w:rFonts w:ascii="Arial" w:eastAsia="Arial" w:hAnsi="Arial" w:cs="Arial"/>
          <w:color w:val="000000"/>
          <w:sz w:val="20"/>
        </w:rPr>
        <w:t>Anthony Thomas stated in deposition that McKerley "took care of" his personal friends whom he "hung out with and went golfing with and ate with and whatnot"; these employees were white men. ROA at 259. McKerley "kept [his friends] at the front of the line with all the jobs with the less work on it, where they would be getting as much overtime as they could . . . ." ROA at 259. However, Thomas acknowledged that he shared a job on the assembly line at various times with white employees, and that some white employees not among "the guys that McKerley hung out with" received the same difficult work Thomas and other African-Americans did. ROA at 269, 270. Thomas claimed that  [*635]  McKerley "would harass [him] all of the time" by giving him "dirty jobs" and extra tasks, but stated that he did not know why McKerley did so. ROA at 261. Thomas complained to McKerley's boss, an African-American female, that the distribution of work was uneven, but had  [**7] never suggested to management that the disparity was related to race. ROA at 270.</w:t>
      </w:r>
    </w:p>
    <w:p w14:paraId="17C4CF68" w14:textId="77777777" w:rsidR="00D041A2" w:rsidRDefault="00000000">
      <w:pPr>
        <w:pStyle w:val="Normal36"/>
        <w:widowControl w:val="0"/>
        <w:spacing w:before="200" w:line="260" w:lineRule="atLeast"/>
        <w:jc w:val="both"/>
      </w:pPr>
      <w:bookmarkStart w:id="4656" w:name="Bookmark_para_12_31"/>
      <w:bookmarkEnd w:id="4656"/>
      <w:r>
        <w:rPr>
          <w:rFonts w:ascii="Arial" w:eastAsia="Arial" w:hAnsi="Arial" w:cs="Arial"/>
          <w:color w:val="000000"/>
          <w:sz w:val="20"/>
        </w:rPr>
        <w:t>Thomas also claimed that McKerley would "harass" employees by forcing the assembly line to move forward before they were finished with their tasks, and that this affected "everybody, whites or blacks." ROA at 265. It seemed to Thomas that "the blacks [were] the ones [McKerley] was fighting [i.e., arguing with] the most, but he fought with the whites too." ROA at 267.</w:t>
      </w:r>
    </w:p>
    <w:p w14:paraId="74559462" w14:textId="77777777" w:rsidR="00D041A2" w:rsidRDefault="00000000">
      <w:pPr>
        <w:pStyle w:val="Normal36"/>
        <w:widowControl w:val="0"/>
        <w:spacing w:before="200" w:line="260" w:lineRule="atLeast"/>
        <w:jc w:val="both"/>
      </w:pPr>
      <w:bookmarkStart w:id="4657" w:name="Bookmark_para_13_29"/>
      <w:bookmarkEnd w:id="4657"/>
      <w:r>
        <w:rPr>
          <w:rFonts w:ascii="Arial" w:eastAsia="Arial" w:hAnsi="Arial" w:cs="Arial"/>
          <w:color w:val="000000"/>
          <w:sz w:val="20"/>
        </w:rPr>
        <w:t>Thomas claimed that McKerley subjected African-American employees to stricter disciplinary standards than white employees, but he could not give any examples when asked. ROA at 267-68. He recalled having overheard McKerley make a racial joke to another person sometime during or before 2001, but could not remember anything more specific about it. ROA at 268. In 2003 or 2004, Thomas transferred to a different area of the plant to get out from under McKerley's supervision; all the incidents which he described took place before that transfer. ROA at 265, 270.</w:t>
      </w:r>
    </w:p>
    <w:p w14:paraId="122A5802" w14:textId="77777777" w:rsidR="00D041A2" w:rsidRDefault="00000000">
      <w:pPr>
        <w:pStyle w:val="Normal36"/>
        <w:widowControl w:val="0"/>
        <w:spacing w:before="240" w:line="260" w:lineRule="atLeast"/>
      </w:pPr>
      <w:r>
        <w:br/>
      </w:r>
      <w:r>
        <w:rPr>
          <w:rFonts w:ascii="Arial" w:eastAsia="Arial" w:hAnsi="Arial" w:cs="Arial"/>
          <w:b/>
          <w:color w:val="000000"/>
          <w:sz w:val="20"/>
        </w:rPr>
        <w:t>b. Eugene Glenn</w:t>
      </w:r>
    </w:p>
    <w:p w14:paraId="7D7F077C" w14:textId="77777777" w:rsidR="00D041A2" w:rsidRDefault="00000000">
      <w:pPr>
        <w:pStyle w:val="Normal36"/>
        <w:widowControl w:val="0"/>
        <w:spacing w:before="200" w:line="260" w:lineRule="atLeast"/>
        <w:jc w:val="both"/>
      </w:pPr>
      <w:bookmarkStart w:id="4658" w:name="Bookmark_para_14_25"/>
      <w:bookmarkEnd w:id="4658"/>
      <w:r>
        <w:rPr>
          <w:rFonts w:ascii="Arial" w:eastAsia="Arial" w:hAnsi="Arial" w:cs="Arial"/>
          <w:color w:val="000000"/>
          <w:sz w:val="20"/>
        </w:rPr>
        <w:t xml:space="preserve">Another African-American employee, Eugene Glenn, testified that he had worked as a "team leader" under McKerley. ROA at 278. McKerley subjected him to discipline for infractions  [**8] that other employees were allowed to get away with, but Glenn denied that this disparity "was totally racial," since other African-American employees were among those who were not disciplined; rather, Glenn felt that he was "being singled out" and that "it was definitely about me." ROA at 280. Glenn acknowledged that he had also heard white employees complain about being singled out for discipline by McKerley. ROA at 284. Glenn contradicted Steward's allegation that the assembly line was segregated, testifying that McKerley "didn't want . . . two or more black people together" and that he tried to keep them </w:t>
      </w:r>
      <w:r>
        <w:rPr>
          <w:rFonts w:ascii="Arial" w:eastAsia="Arial" w:hAnsi="Arial" w:cs="Arial"/>
          <w:i/>
          <w:color w:val="000000"/>
          <w:sz w:val="20"/>
        </w:rPr>
        <w:t>separated</w:t>
      </w:r>
      <w:r>
        <w:rPr>
          <w:rFonts w:ascii="Arial" w:eastAsia="Arial" w:hAnsi="Arial" w:cs="Arial"/>
          <w:color w:val="000000"/>
          <w:sz w:val="20"/>
        </w:rPr>
        <w:t xml:space="preserve"> from one another; Glenn also stated that an effort was made "to put more black people" in areas of the assembly line where whites had traditionally predominated. ROA at 285.</w:t>
      </w:r>
    </w:p>
    <w:p w14:paraId="0D4F1A2F" w14:textId="77777777" w:rsidR="00D041A2" w:rsidRDefault="00000000">
      <w:pPr>
        <w:pStyle w:val="Normal36"/>
        <w:widowControl w:val="0"/>
        <w:spacing w:before="200" w:line="260" w:lineRule="atLeast"/>
        <w:jc w:val="both"/>
      </w:pPr>
      <w:bookmarkStart w:id="4659" w:name="Bookmark_para_15_24"/>
      <w:bookmarkEnd w:id="4659"/>
      <w:r>
        <w:rPr>
          <w:rFonts w:ascii="Arial" w:eastAsia="Arial" w:hAnsi="Arial" w:cs="Arial"/>
          <w:color w:val="000000"/>
          <w:sz w:val="20"/>
        </w:rPr>
        <w:t>Glenn contradicted the allegation that whites were given easier tasks, stating, "I am not going to say [white employees] were given easier jobs," although he maintained that whites "might have been given preference in other ways." ROA at 279. He claimed that a few women (including some African-American women) had received easier, more desirable tasks than he had, and that this was "not . . . racially"  [**9] motivated, but rather, was "because of the fact that they're women." ROA at 288.</w:t>
      </w:r>
    </w:p>
    <w:p w14:paraId="2EAC338C" w14:textId="77777777" w:rsidR="00D041A2" w:rsidRDefault="00000000">
      <w:pPr>
        <w:pStyle w:val="Normal36"/>
        <w:widowControl w:val="0"/>
        <w:spacing w:before="200" w:line="260" w:lineRule="atLeast"/>
        <w:jc w:val="both"/>
      </w:pPr>
      <w:bookmarkStart w:id="4660" w:name="Bookmark_para_16_24"/>
      <w:bookmarkEnd w:id="4660"/>
      <w:r>
        <w:rPr>
          <w:rFonts w:ascii="Arial" w:eastAsia="Arial" w:hAnsi="Arial" w:cs="Arial"/>
          <w:color w:val="000000"/>
          <w:sz w:val="20"/>
        </w:rPr>
        <w:t>Glenn alluded vaguely to racial jokes made by McKerley, but the only specific examples he could recall were McKerley mentioning that "one of his cousin[s'] wife left him for a black guy" and telling Glenn and another employee that a "police officer was coming over to arrest [them]." ROA at 289, 294. Glenn was "never really offended" by anything McKerley said, acknowledged that any joking was friendly and "just normal . . . talk," and thought that McKerley "was from Alabama, so, he probably [was] . . . a little prejudiced, but he could still hold a conversation with you." ROA at 289, 294. Glenn last worked for McKerley between August 2005 and February 2006. ROA at 278.</w:t>
      </w:r>
    </w:p>
    <w:p w14:paraId="1F425DB9" w14:textId="77777777" w:rsidR="00D041A2" w:rsidRDefault="00000000">
      <w:pPr>
        <w:pStyle w:val="Normal36"/>
        <w:widowControl w:val="0"/>
        <w:spacing w:before="240" w:line="260" w:lineRule="atLeast"/>
      </w:pPr>
      <w:r>
        <w:br/>
      </w:r>
      <w:r>
        <w:rPr>
          <w:rFonts w:ascii="Arial" w:eastAsia="Arial" w:hAnsi="Arial" w:cs="Arial"/>
          <w:b/>
          <w:color w:val="000000"/>
          <w:sz w:val="20"/>
        </w:rPr>
        <w:t>c. Alfred Dunlap</w:t>
      </w:r>
    </w:p>
    <w:p w14:paraId="50125035" w14:textId="77777777" w:rsidR="00D041A2" w:rsidRDefault="00000000">
      <w:pPr>
        <w:pStyle w:val="Normal36"/>
        <w:widowControl w:val="0"/>
        <w:spacing w:before="200" w:line="260" w:lineRule="atLeast"/>
        <w:jc w:val="both"/>
      </w:pPr>
      <w:bookmarkStart w:id="4661" w:name="Bookmark_para_17_23"/>
      <w:bookmarkEnd w:id="4661"/>
      <w:r>
        <w:rPr>
          <w:rFonts w:ascii="Arial" w:eastAsia="Arial" w:hAnsi="Arial" w:cs="Arial"/>
          <w:color w:val="000000"/>
          <w:sz w:val="20"/>
        </w:rPr>
        <w:t>A third employee, Alfred Dunlap, stated that he worked for McKerley for about a  [*636]  year beginning in 1997, and once again for about a year beginning in 2000 or 2001. ROA at 318, 319, 320. He claimed that under McKerley, a "group of white guys" that he and others used to call "the good old boys" worked "down [at one] end of the line," ROA at 318; according to Dunlap, McKerley gave these employees more opportunities to earn overtime.  [**10] ROA at 319. Dunlap did not know whether the "good old boys" had easier or more difficult jobs than the other employees, ROA at 327, and stated that "one of the toughest jobs in the line," if not the most difficult, was performed by four white males. ROA at 339.</w:t>
      </w:r>
    </w:p>
    <w:p w14:paraId="699BDE76" w14:textId="77777777" w:rsidR="00D041A2" w:rsidRDefault="00000000">
      <w:pPr>
        <w:pStyle w:val="Normal36"/>
        <w:widowControl w:val="0"/>
        <w:spacing w:before="200" w:line="260" w:lineRule="atLeast"/>
        <w:jc w:val="both"/>
      </w:pPr>
      <w:bookmarkStart w:id="4662" w:name="Bookmark_para_18_21"/>
      <w:bookmarkEnd w:id="4662"/>
      <w:r>
        <w:rPr>
          <w:rFonts w:ascii="Arial" w:eastAsia="Arial" w:hAnsi="Arial" w:cs="Arial"/>
          <w:color w:val="000000"/>
          <w:sz w:val="20"/>
        </w:rPr>
        <w:t>Although Dunlap did feel that "the line was sort of separated" by race, he also explained that "[i]t wasn't meant to be that way but I guess you feel comfortable with your own race," and that it "[j]ust ended up that way." ROA at 322, 330. Dunlap also stated that at least three white employees worked in the predominantly African-American part of the line. ROA at 327, 339. At one point, according to Dunlap, Steward worked on the opposite end of the line from the section that was primarily African-American, ROA at 339; Dunlap stated that Steward "would complain [to McKerley] and you know, she'd give [McKerley] an earful, but she would still do her job," ROA at 341.</w:t>
      </w:r>
    </w:p>
    <w:p w14:paraId="1BB25393" w14:textId="77777777" w:rsidR="00D041A2" w:rsidRDefault="00000000">
      <w:pPr>
        <w:pStyle w:val="Normal36"/>
        <w:widowControl w:val="0"/>
        <w:spacing w:before="200" w:line="260" w:lineRule="atLeast"/>
        <w:jc w:val="both"/>
      </w:pPr>
      <w:bookmarkStart w:id="4663" w:name="Bookmark_para_19_21"/>
      <w:bookmarkEnd w:id="4663"/>
      <w:r>
        <w:rPr>
          <w:rFonts w:ascii="Arial" w:eastAsia="Arial" w:hAnsi="Arial" w:cs="Arial"/>
          <w:color w:val="000000"/>
          <w:sz w:val="20"/>
        </w:rPr>
        <w:t>Dunlap claimed that McKerley would come to him before other employees of similar seniority when there were extra tasks to be done, and that McKerley singled him out for extra work. ROA at 320. He also claimed that McKerley "would keep [a closer] eye on certain people"  [**11] to "make sure [they were] working"; these people included Steward, Thomas, and two other African-American employees. ROA at 327. These same employees were also moved from position to position more often than white employees were. ROA at 329. However, McKerley did not discipline him more harshly than he did white employees. ROA at 333.</w:t>
      </w:r>
    </w:p>
    <w:p w14:paraId="233CE7CD" w14:textId="77777777" w:rsidR="00D041A2" w:rsidRDefault="00000000">
      <w:pPr>
        <w:pStyle w:val="Normal36"/>
        <w:widowControl w:val="0"/>
        <w:spacing w:before="200" w:line="260" w:lineRule="atLeast"/>
        <w:jc w:val="both"/>
      </w:pPr>
      <w:bookmarkStart w:id="4664" w:name="Bookmark_para_20_21"/>
      <w:bookmarkEnd w:id="4664"/>
      <w:r>
        <w:rPr>
          <w:rFonts w:ascii="Arial" w:eastAsia="Arial" w:hAnsi="Arial" w:cs="Arial"/>
          <w:color w:val="000000"/>
          <w:sz w:val="20"/>
        </w:rPr>
        <w:t>Lastly, Dunlap claimed that in 1997, McKerley had said that he "d[idn't] see why slavery [in the pre-Civil War South] was such a big deal" because "blacks had a place to sleep, a place to stay, [and] food to eat everyday"; Dunlap could not recall any other racial comments. ROA at 333, 339.</w:t>
      </w:r>
    </w:p>
    <w:p w14:paraId="72955C31" w14:textId="77777777" w:rsidR="00D041A2" w:rsidRDefault="00000000">
      <w:pPr>
        <w:pStyle w:val="Normal36"/>
        <w:widowControl w:val="0"/>
        <w:spacing w:before="240" w:line="260" w:lineRule="atLeast"/>
      </w:pPr>
      <w:r>
        <w:br/>
      </w:r>
      <w:r>
        <w:rPr>
          <w:rFonts w:ascii="Arial" w:eastAsia="Arial" w:hAnsi="Arial" w:cs="Arial"/>
          <w:b/>
          <w:color w:val="000000"/>
          <w:sz w:val="20"/>
        </w:rPr>
        <w:t>C. Steward's Physical Restrictions and Layoff</w:t>
      </w:r>
    </w:p>
    <w:p w14:paraId="66FEB0E5" w14:textId="77777777" w:rsidR="00D041A2" w:rsidRDefault="00000000">
      <w:pPr>
        <w:pStyle w:val="Normal36"/>
        <w:widowControl w:val="0"/>
        <w:spacing w:before="200" w:line="260" w:lineRule="atLeast"/>
        <w:jc w:val="both"/>
      </w:pPr>
      <w:bookmarkStart w:id="4665" w:name="Bookmark_para_21_21"/>
      <w:bookmarkEnd w:id="4665"/>
      <w:r>
        <w:rPr>
          <w:rFonts w:ascii="Arial" w:eastAsia="Arial" w:hAnsi="Arial" w:cs="Arial"/>
          <w:color w:val="000000"/>
          <w:sz w:val="20"/>
        </w:rPr>
        <w:t>During her years of employment at Chrysler, Steward developed several debilitating conditions, including bilateral carpal-tunnel syndrome and left ulnar neuropathy. ROA at 305. By October 2004, her physical limitations prohibited her from lifting more than ten pounds with her left hand, prevented her from pushing or pulling more than ten pounds, and required her to wear padded gloves. ROA at 299. On October 4 of that year, Moyna Moore, then a Chrysler human resources employee, sent an email to McKerley and two other supervisors  [**12] stating that Steward's limitations could be accommodated by placing her in another position; although that position had already been designated for another employee, Moore stated that Steward had priority over the other employee because of Steward's greater seniority. ROA at 300. Chrysler instead chose to accommodate Steward by assigning a full-time assistant to Steward in her position lifting and installing windshield frames. ROA at 370. This accommodation continued until March 2005, when, citing budgetary constraints, Chrysler took away Steward's assistant.</w:t>
      </w:r>
    </w:p>
    <w:p w14:paraId="53D52D03" w14:textId="77777777" w:rsidR="00D041A2" w:rsidRDefault="00000000">
      <w:pPr>
        <w:pStyle w:val="Normal36"/>
        <w:widowControl w:val="0"/>
        <w:spacing w:before="200" w:line="260" w:lineRule="atLeast"/>
        <w:jc w:val="both"/>
      </w:pPr>
      <w:bookmarkStart w:id="4666" w:name="Bookmark_para_22_21"/>
      <w:bookmarkEnd w:id="4666"/>
      <w:r>
        <w:rPr>
          <w:rFonts w:ascii="Arial" w:eastAsia="Arial" w:hAnsi="Arial" w:cs="Arial"/>
          <w:color w:val="000000"/>
          <w:sz w:val="20"/>
        </w:rPr>
        <w:t>On March 16, 2005, Steward filed a charge of disability discrimination with the Equal Employment Opportunity Commission ("EEOC"), stating:</w:t>
      </w:r>
    </w:p>
    <w:p w14:paraId="342CB48A" w14:textId="77777777" w:rsidR="00D041A2" w:rsidRDefault="00000000">
      <w:pPr>
        <w:pStyle w:val="Normal36"/>
        <w:widowControl w:val="0"/>
        <w:spacing w:before="200" w:line="260" w:lineRule="atLeast"/>
        <w:ind w:left="400"/>
        <w:jc w:val="both"/>
      </w:pPr>
      <w:bookmarkStart w:id="4667" w:name="Bookmark_para_23_20"/>
      <w:bookmarkEnd w:id="4667"/>
      <w:r>
        <w:rPr>
          <w:rFonts w:ascii="Arial" w:eastAsia="Arial" w:hAnsi="Arial" w:cs="Arial"/>
          <w:color w:val="000000"/>
          <w:sz w:val="20"/>
        </w:rPr>
        <w:t> [*637]  I am now employed [with Chrysler] as a Craft Person. I am an individual with a disability. . . .</w:t>
      </w:r>
    </w:p>
    <w:p w14:paraId="3216F3EA" w14:textId="77777777" w:rsidR="00D041A2" w:rsidRDefault="00000000">
      <w:pPr>
        <w:pStyle w:val="Normal36"/>
        <w:widowControl w:val="0"/>
        <w:spacing w:line="260" w:lineRule="atLeast"/>
        <w:ind w:left="400"/>
        <w:jc w:val="both"/>
      </w:pPr>
      <w:bookmarkStart w:id="4668" w:name="Bookmark_para_24_19"/>
      <w:bookmarkEnd w:id="4668"/>
      <w:r>
        <w:rPr>
          <w:rFonts w:ascii="Arial" w:eastAsia="Arial" w:hAnsi="Arial" w:cs="Arial"/>
          <w:color w:val="000000"/>
          <w:sz w:val="20"/>
        </w:rPr>
        <w:t>The respondent refuses to give me another Craft Person job that would honor my restrictions. I am doing my job against my doctor's restrictions. . . .</w:t>
      </w:r>
    </w:p>
    <w:p w14:paraId="3598336C" w14:textId="77777777" w:rsidR="00D041A2" w:rsidRDefault="00000000">
      <w:pPr>
        <w:pStyle w:val="Normal36"/>
        <w:widowControl w:val="0"/>
        <w:spacing w:line="260" w:lineRule="atLeast"/>
        <w:ind w:left="400"/>
        <w:jc w:val="both"/>
      </w:pPr>
      <w:bookmarkStart w:id="4669" w:name="Bookmark_para_25_19"/>
      <w:bookmarkEnd w:id="4669"/>
      <w:r>
        <w:rPr>
          <w:rFonts w:ascii="Arial" w:eastAsia="Arial" w:hAnsi="Arial" w:cs="Arial"/>
          <w:color w:val="000000"/>
          <w:sz w:val="20"/>
        </w:rPr>
        <w:t>I believe that I have been denied a reasonable accommodation, because of my disability, in violation of the [ADA] . . . .</w:t>
      </w:r>
    </w:p>
    <w:p w14:paraId="2AF980CA" w14:textId="77777777" w:rsidR="00D041A2" w:rsidRDefault="00000000">
      <w:pPr>
        <w:pStyle w:val="Normal36"/>
        <w:widowControl w:val="0"/>
        <w:spacing w:line="260" w:lineRule="atLeast"/>
        <w:jc w:val="both"/>
      </w:pPr>
      <w:r>
        <w:rPr>
          <w:rFonts w:ascii="Arial" w:eastAsia="Arial" w:hAnsi="Arial" w:cs="Arial"/>
          <w:color w:val="000000"/>
          <w:sz w:val="20"/>
        </w:rPr>
        <w:t>ROA at 229.</w:t>
      </w:r>
    </w:p>
    <w:p w14:paraId="40CE94F5" w14:textId="77777777" w:rsidR="00D041A2" w:rsidRDefault="00000000">
      <w:pPr>
        <w:pStyle w:val="Normal36"/>
        <w:widowControl w:val="0"/>
        <w:spacing w:before="200" w:line="260" w:lineRule="atLeast"/>
        <w:jc w:val="both"/>
      </w:pPr>
      <w:bookmarkStart w:id="4670" w:name="Bookmark_para_26_18"/>
      <w:bookmarkEnd w:id="4670"/>
      <w:r>
        <w:rPr>
          <w:rFonts w:ascii="Arial" w:eastAsia="Arial" w:hAnsi="Arial" w:cs="Arial"/>
          <w:color w:val="000000"/>
          <w:sz w:val="20"/>
        </w:rPr>
        <w:t>The next day, on March 17, 2005, Chrysler informed Steward that she was being placed on paid layoff because no positions  [**13] existed that could accommodate her physical limitations. Under this arrangement, Steward has been paid 95% of her former annual gross pay to perform no duties, although Steward stopped receiving health-care and other benefits after one year. As far as the record discloses, this arrangement was to continue at least until the expiration of the active collective-bargaining agreement in September 2007, and possibly indefinitely. ROA at 131, 137.</w:t>
      </w:r>
    </w:p>
    <w:p w14:paraId="50355119" w14:textId="77777777" w:rsidR="00D041A2" w:rsidRDefault="00000000">
      <w:pPr>
        <w:pStyle w:val="Normal36"/>
        <w:widowControl w:val="0"/>
        <w:spacing w:before="240" w:line="260" w:lineRule="atLeast"/>
      </w:pPr>
      <w:r>
        <w:br/>
      </w:r>
      <w:r>
        <w:rPr>
          <w:rFonts w:ascii="Arial" w:eastAsia="Arial" w:hAnsi="Arial" w:cs="Arial"/>
          <w:b/>
          <w:color w:val="000000"/>
          <w:sz w:val="20"/>
        </w:rPr>
        <w:t>D. Procedural History of Steward's Lawsuit</w:t>
      </w:r>
    </w:p>
    <w:p w14:paraId="2874FA9C" w14:textId="77777777" w:rsidR="00D041A2" w:rsidRDefault="00000000">
      <w:pPr>
        <w:pStyle w:val="Normal36"/>
        <w:widowControl w:val="0"/>
        <w:spacing w:before="200" w:line="260" w:lineRule="atLeast"/>
        <w:jc w:val="both"/>
      </w:pPr>
      <w:bookmarkStart w:id="4671" w:name="Bookmark_para_27_18"/>
      <w:bookmarkEnd w:id="4671"/>
      <w:r>
        <w:rPr>
          <w:rFonts w:ascii="Arial" w:eastAsia="Arial" w:hAnsi="Arial" w:cs="Arial"/>
          <w:color w:val="000000"/>
          <w:sz w:val="20"/>
        </w:rPr>
        <w:t xml:space="preserve">After the EEOC issued her a right-to-sue letter, Steward filed a complaint against Chrysler in Michigan state court, alleging (1) race discrimination in violation of Michigan's Elliott-Larsen Civil Rights Act ("ELCRA"); (2) disability discrimination in violation of Michigan's Persons With Disabilities Civil Rights Act ("PWDCRA"); (3) retaliation; and (4) intentional infliction of emotional distress ("IIED"). She later amended her complaint to assert a claim under the ADA, at which point Chrysler removed the action to federal court. </w:t>
      </w:r>
      <w:bookmarkStart w:id="4672" w:name="Bookmark_I5282BMG0N5Y5J0020000400"/>
      <w:bookmarkEnd w:id="4672"/>
      <w:r>
        <w:rPr>
          <w:rFonts w:ascii="Arial" w:eastAsia="Arial" w:hAnsi="Arial" w:cs="Arial"/>
          <w:color w:val="000000"/>
          <w:sz w:val="20"/>
        </w:rPr>
        <w:t xml:space="preserve">Thereafter, Chrysler moved for summary judgment as to all of Steward's claims. Steward opposed Chrysler's motion for summary judgment, and also filed a motion seeking dismissal  [**14] without prejudice of her ADA claim under Federal Rule of Civil Procedure 41(a)(2) and remand of her other claims to state court. The district court granted summary judgment to Chrysler with respect to all of Steward's claims and dismissed her Rule 41(a)(2) motion as moot. </w:t>
      </w:r>
      <w:r>
        <w:rPr>
          <w:rFonts w:ascii="Arial" w:eastAsia="Arial" w:hAnsi="Arial" w:cs="Arial"/>
          <w:i/>
          <w:color w:val="000000"/>
          <w:sz w:val="20"/>
        </w:rPr>
        <w:t xml:space="preserve">See </w:t>
      </w:r>
      <w:bookmarkStart w:id="4673" w:name="Bookmark_I5282BMG0N5Y5J0010000400"/>
      <w:bookmarkEnd w:id="4673"/>
      <w:r>
        <w:rPr>
          <w:rFonts w:ascii="Arial" w:eastAsia="Arial" w:hAnsi="Arial" w:cs="Arial"/>
          <w:i/>
          <w:color w:val="000000"/>
          <w:sz w:val="20"/>
        </w:rPr>
        <w:t>Steward v. Daimler Chrysler Corp.</w:t>
      </w:r>
      <w:r>
        <w:rPr>
          <w:rFonts w:ascii="Arial" w:eastAsia="Arial" w:hAnsi="Arial" w:cs="Arial"/>
          <w:color w:val="000000"/>
          <w:sz w:val="20"/>
        </w:rPr>
        <w:t>, 533 F. Supp. 2d 717 (E.D. Mich. 2008). Steward timely appealed.</w:t>
      </w:r>
    </w:p>
    <w:p w14:paraId="2ABEF3F0" w14:textId="77777777" w:rsidR="00D041A2" w:rsidRDefault="00000000">
      <w:pPr>
        <w:pStyle w:val="Normal36"/>
        <w:widowControl w:val="0"/>
        <w:spacing w:before="240" w:line="260" w:lineRule="atLeast"/>
      </w:pPr>
      <w:r>
        <w:br/>
      </w:r>
      <w:r>
        <w:rPr>
          <w:rFonts w:ascii="Arial" w:eastAsia="Arial" w:hAnsi="Arial" w:cs="Arial"/>
          <w:b/>
          <w:color w:val="000000"/>
          <w:sz w:val="20"/>
        </w:rPr>
        <w:t>II. DISCUSSION</w:t>
      </w:r>
    </w:p>
    <w:p w14:paraId="7AA0F9AD" w14:textId="77777777" w:rsidR="00D041A2" w:rsidRDefault="00000000">
      <w:pPr>
        <w:pStyle w:val="Normal36"/>
        <w:widowControl w:val="0"/>
        <w:spacing w:before="240" w:line="260" w:lineRule="atLeast"/>
      </w:pPr>
      <w:r>
        <w:br/>
      </w:r>
      <w:r>
        <w:rPr>
          <w:rFonts w:ascii="Arial" w:eastAsia="Arial" w:hAnsi="Arial" w:cs="Arial"/>
          <w:b/>
          <w:color w:val="000000"/>
          <w:sz w:val="20"/>
        </w:rPr>
        <w:t>A. Steward's Motion for Voluntary Dismissal</w:t>
      </w:r>
    </w:p>
    <w:p w14:paraId="0C976A98" w14:textId="77777777" w:rsidR="00D041A2" w:rsidRDefault="00000000">
      <w:pPr>
        <w:pStyle w:val="Normal36"/>
        <w:widowControl w:val="0"/>
        <w:spacing w:before="200" w:line="260" w:lineRule="atLeast"/>
        <w:jc w:val="both"/>
      </w:pPr>
      <w:bookmarkStart w:id="4674" w:name="Bookmark_para_28_17"/>
      <w:bookmarkStart w:id="4675" w:name="Bookmark_I5282BMG0N5Y5J0040000400"/>
      <w:bookmarkEnd w:id="4674"/>
      <w:bookmarkEnd w:id="4675"/>
      <w:r>
        <w:rPr>
          <w:rFonts w:ascii="Arial" w:eastAsia="Arial" w:hAnsi="Arial" w:cs="Arial"/>
          <w:color w:val="000000"/>
          <w:sz w:val="20"/>
        </w:rPr>
        <w:t xml:space="preserve">We first address Steward's claim that the district court erred by declining to grant her motion pursuant to Fed. R. Civ. P. 41(a)(2) to dismiss her ADA claim and remand her action to state court. </w:t>
      </w:r>
      <w:bookmarkStart w:id="4676" w:name="Bookmark_I0MP4107KNB00109S620032V"/>
      <w:bookmarkStart w:id="4677" w:name="Bookmark_I0MP410FBCB00109S6200594"/>
      <w:bookmarkStart w:id="4678" w:name="Bookmark_I5282BMG0N5Y5P0010000400"/>
      <w:bookmarkStart w:id="4679" w:name="Bookmark_LNHNREFclscc1_27"/>
      <w:bookmarkEnd w:id="4676"/>
      <w:bookmarkEnd w:id="4677"/>
      <w:bookmarkEnd w:id="4678"/>
      <w:bookmarkEnd w:id="4679"/>
      <w:r>
        <w:rPr>
          <w:rFonts w:ascii="Arial" w:eastAsia="Arial" w:hAnsi="Arial" w:cs="Arial"/>
          <w:color w:val="000000"/>
          <w:sz w:val="20"/>
        </w:rPr>
        <w:t xml:space="preserve">We review the district court's decision for abuse of discretion. </w:t>
      </w:r>
      <w:bookmarkStart w:id="4680" w:name="Bookmark_I5282BMG0N5Y5J0030000400"/>
      <w:bookmarkEnd w:id="4680"/>
      <w:r>
        <w:rPr>
          <w:rFonts w:ascii="Arial" w:eastAsia="Arial" w:hAnsi="Arial" w:cs="Arial"/>
          <w:i/>
          <w:color w:val="000000"/>
          <w:sz w:val="20"/>
        </w:rPr>
        <w:t>Bridgeport Music, Inc. v. Universal-MCA Music Publ'g, Inc.</w:t>
      </w:r>
      <w:r>
        <w:rPr>
          <w:rFonts w:ascii="Arial" w:eastAsia="Arial" w:hAnsi="Arial" w:cs="Arial"/>
          <w:color w:val="000000"/>
          <w:sz w:val="20"/>
        </w:rPr>
        <w:t xml:space="preserve">, 583 F.3d 948, 953 (6th Cir. 2009). </w:t>
      </w:r>
      <w:bookmarkStart w:id="4681" w:name="Bookmark_I71N19XK45000002RKN0030T"/>
      <w:bookmarkStart w:id="4682" w:name="Bookmark_I71N19XSMW300002RKN00326"/>
      <w:bookmarkStart w:id="4683" w:name="Bookmark_I5282BMG0N5Y5P0010000400_2"/>
      <w:bookmarkEnd w:id="4681"/>
      <w:bookmarkEnd w:id="4682"/>
      <w:bookmarkEnd w:id="4683"/>
      <w:r>
        <w:rPr>
          <w:rFonts w:ascii="Arial" w:eastAsia="Arial" w:hAnsi="Arial" w:cs="Arial"/>
          <w:color w:val="000000"/>
          <w:sz w:val="20"/>
        </w:rPr>
        <w:t xml:space="preserve">In considering whether the district court abused its discretion, we consider "the defendant's effort and expense of preparation for trial, excessive delay and lack of diligence on the part of the plaintiff in prosecuting the action, insufficient explanation for the need to take a dismissal, and whether a motion for summary judgment has been filed by the defendant." </w:t>
      </w:r>
      <w:bookmarkStart w:id="4684" w:name="Bookmark_I5282BMG0N5Y5J0050000400"/>
      <w:bookmarkEnd w:id="4684"/>
      <w:r>
        <w:rPr>
          <w:rFonts w:ascii="Arial" w:eastAsia="Arial" w:hAnsi="Arial" w:cs="Arial"/>
          <w:i/>
          <w:color w:val="000000"/>
          <w:sz w:val="20"/>
        </w:rPr>
        <w:t>Ibid.</w:t>
      </w:r>
      <w:r>
        <w:rPr>
          <w:rFonts w:ascii="Arial" w:eastAsia="Arial" w:hAnsi="Arial" w:cs="Arial"/>
          <w:color w:val="000000"/>
          <w:sz w:val="20"/>
        </w:rPr>
        <w:t xml:space="preserve"> (quoting </w:t>
      </w:r>
      <w:bookmarkStart w:id="4685" w:name="Bookmark_I5282BMG0N5Y5P0020000400"/>
      <w:bookmarkEnd w:id="4685"/>
      <w:r>
        <w:rPr>
          <w:rFonts w:ascii="Arial" w:eastAsia="Arial" w:hAnsi="Arial" w:cs="Arial"/>
          <w:i/>
          <w:color w:val="000000"/>
          <w:sz w:val="20"/>
        </w:rPr>
        <w:t>Grover v. Eli Lilly &amp; Co.</w:t>
      </w:r>
      <w:r>
        <w:rPr>
          <w:rFonts w:ascii="Arial" w:eastAsia="Arial" w:hAnsi="Arial" w:cs="Arial"/>
          <w:color w:val="000000"/>
          <w:sz w:val="20"/>
        </w:rPr>
        <w:t>, 33 F.3d 716, 718 (6th Cir. 1994)).</w:t>
      </w:r>
    </w:p>
    <w:p w14:paraId="27E10FBA" w14:textId="77777777" w:rsidR="00D041A2" w:rsidRDefault="00000000">
      <w:pPr>
        <w:pStyle w:val="Normal36"/>
        <w:widowControl w:val="0"/>
        <w:spacing w:before="200" w:line="260" w:lineRule="atLeast"/>
        <w:jc w:val="both"/>
      </w:pPr>
      <w:bookmarkStart w:id="4686" w:name="Bookmark_para_29_16"/>
      <w:bookmarkEnd w:id="4686"/>
      <w:r>
        <w:rPr>
          <w:rFonts w:ascii="Arial" w:eastAsia="Arial" w:hAnsi="Arial" w:cs="Arial"/>
          <w:color w:val="000000"/>
          <w:sz w:val="20"/>
        </w:rPr>
        <w:t>Steward  [**15] made her motion in January 2008, over fourteen months after this lawsuit was commenced, four months after Chrysler filed its motion for summary judgment, three months after briefing on Chrysler's motion was completed, and two months after the district court held a hearing on that motion. That Chrysler had expended significant resources in defending this action by that point is clear. Steward offers no good reason why she waited so long to move for dismissal.  [*638]  Consequently, we cannot say that the district court abused its discretion by not granting her motion.</w:t>
      </w:r>
    </w:p>
    <w:p w14:paraId="0025297E" w14:textId="77777777" w:rsidR="00D041A2" w:rsidRDefault="00000000">
      <w:pPr>
        <w:pStyle w:val="Normal36"/>
        <w:widowControl w:val="0"/>
        <w:spacing w:before="240" w:line="260" w:lineRule="atLeast"/>
      </w:pPr>
      <w:r>
        <w:br/>
      </w:r>
      <w:r>
        <w:rPr>
          <w:rFonts w:ascii="Arial" w:eastAsia="Arial" w:hAnsi="Arial" w:cs="Arial"/>
          <w:b/>
          <w:color w:val="000000"/>
          <w:sz w:val="20"/>
        </w:rPr>
        <w:t>B. Chrysler's Motion for Summary Judgment</w:t>
      </w:r>
    </w:p>
    <w:p w14:paraId="2CB56EDD" w14:textId="77777777" w:rsidR="00D041A2" w:rsidRDefault="00000000">
      <w:pPr>
        <w:pStyle w:val="Normal36"/>
        <w:widowControl w:val="0"/>
        <w:spacing w:before="200" w:line="260" w:lineRule="atLeast"/>
        <w:jc w:val="both"/>
      </w:pPr>
      <w:bookmarkStart w:id="4687" w:name="Bookmark_para_30_16"/>
      <w:bookmarkStart w:id="4688" w:name="Bookmark_I5282BMG0N5Y5P0050000400"/>
      <w:bookmarkStart w:id="4689" w:name="Bookmark_I5282BMH0N5Y5S0020000400"/>
      <w:bookmarkEnd w:id="4687"/>
      <w:bookmarkEnd w:id="4688"/>
      <w:bookmarkEnd w:id="4689"/>
      <w:r>
        <w:rPr>
          <w:rFonts w:ascii="Arial" w:eastAsia="Arial" w:hAnsi="Arial" w:cs="Arial"/>
          <w:color w:val="000000"/>
          <w:sz w:val="20"/>
        </w:rPr>
        <w:t xml:space="preserve">We now turn to the propriety of the district court's award of summary judgment to Chrysler as to Steward's various claims. </w:t>
      </w:r>
      <w:bookmarkStart w:id="4690" w:name="Bookmark_LNHNREFclscc2_27"/>
      <w:bookmarkEnd w:id="4690"/>
      <w:r>
        <w:rPr>
          <w:rFonts w:ascii="Arial" w:eastAsia="Arial" w:hAnsi="Arial" w:cs="Arial"/>
          <w:color w:val="000000"/>
          <w:sz w:val="20"/>
        </w:rPr>
        <w:t xml:space="preserve">A district court's grant of summary judgment is reviewed </w:t>
      </w:r>
      <w:r>
        <w:rPr>
          <w:rFonts w:ascii="Arial" w:eastAsia="Arial" w:hAnsi="Arial" w:cs="Arial"/>
          <w:i/>
          <w:color w:val="000000"/>
          <w:sz w:val="20"/>
        </w:rPr>
        <w:t xml:space="preserve">de novo. </w:t>
      </w:r>
      <w:bookmarkStart w:id="4691" w:name="Bookmark_I5282BMG0N5Y5P0040000400"/>
      <w:bookmarkEnd w:id="4691"/>
      <w:r>
        <w:rPr>
          <w:rFonts w:ascii="Arial" w:eastAsia="Arial" w:hAnsi="Arial" w:cs="Arial"/>
          <w:i/>
          <w:color w:val="000000"/>
          <w:sz w:val="20"/>
        </w:rPr>
        <w:t>Upshaw v. Ford Motor Co.</w:t>
      </w:r>
      <w:r>
        <w:rPr>
          <w:rFonts w:ascii="Arial" w:eastAsia="Arial" w:hAnsi="Arial" w:cs="Arial"/>
          <w:color w:val="000000"/>
          <w:sz w:val="20"/>
        </w:rPr>
        <w:t xml:space="preserve">, 576 F.3d 576, 584 (6th Cir. 2009). </w:t>
      </w:r>
      <w:bookmarkStart w:id="4692" w:name="Bookmark_I5282BMH0N5Y5S0040000400"/>
      <w:bookmarkStart w:id="4693" w:name="Bookmark_LNHNREFclscc3_25"/>
      <w:bookmarkEnd w:id="4692"/>
      <w:bookmarkEnd w:id="4693"/>
      <w:r>
        <w:rPr>
          <w:rFonts w:ascii="Arial" w:eastAsia="Arial" w:hAnsi="Arial" w:cs="Arial"/>
          <w:color w:val="000000"/>
          <w:sz w:val="20"/>
        </w:rPr>
        <w:t xml:space="preserve">"Summary judgment is appropriate if the pleadings, depositions, answers to interrogatories, and admissions on file, together with the affidavits, if any, 'show that there is no genuine issue as to any material fact and that the movant is entitled to a judgment as a matter of law.'" </w:t>
      </w:r>
      <w:bookmarkStart w:id="4694" w:name="Bookmark_I5282BMH0N5Y5S0010000400"/>
      <w:bookmarkEnd w:id="4694"/>
      <w:r>
        <w:rPr>
          <w:rFonts w:ascii="Arial" w:eastAsia="Arial" w:hAnsi="Arial" w:cs="Arial"/>
          <w:i/>
          <w:color w:val="000000"/>
          <w:sz w:val="20"/>
        </w:rPr>
        <w:t>Moses v. Providence Hosp. &amp; Med. Ctrs., Inc.</w:t>
      </w:r>
      <w:r>
        <w:rPr>
          <w:rFonts w:ascii="Arial" w:eastAsia="Arial" w:hAnsi="Arial" w:cs="Arial"/>
          <w:color w:val="000000"/>
          <w:sz w:val="20"/>
        </w:rPr>
        <w:t xml:space="preserve">, 561 F.3d 573, 578 (6th Cir.2009)  [**16] (quoting Fed. R. Civ. P. 56(c)). </w:t>
      </w:r>
      <w:bookmarkStart w:id="4695" w:name="Bookmark_I5282BMH0N5Y5S0040000400_2"/>
      <w:bookmarkStart w:id="4696" w:name="Bookmark_I5282BMH0N5Y5V0010000400"/>
      <w:bookmarkStart w:id="4697" w:name="Bookmark_LNHNREFclscc4_24"/>
      <w:bookmarkEnd w:id="4695"/>
      <w:bookmarkEnd w:id="4696"/>
      <w:bookmarkEnd w:id="4697"/>
      <w:r>
        <w:rPr>
          <w:rFonts w:ascii="Arial" w:eastAsia="Arial" w:hAnsi="Arial" w:cs="Arial"/>
          <w:color w:val="000000"/>
          <w:sz w:val="20"/>
        </w:rPr>
        <w:t xml:space="preserve">In reviewing the district court's decision, we view all evidence in the light most favorable to, and make all reasonable inferences in favor of, the non-moving party. </w:t>
      </w:r>
      <w:bookmarkStart w:id="4698" w:name="Bookmark_I5282BMH0N5Y5S0030000400"/>
      <w:bookmarkEnd w:id="4698"/>
      <w:r>
        <w:rPr>
          <w:rFonts w:ascii="Arial" w:eastAsia="Arial" w:hAnsi="Arial" w:cs="Arial"/>
          <w:i/>
          <w:color w:val="000000"/>
          <w:sz w:val="20"/>
        </w:rPr>
        <w:t>Matsushita Elec. Indus. Co. v. Zenith Radio Corp.</w:t>
      </w:r>
      <w:r>
        <w:rPr>
          <w:rFonts w:ascii="Arial" w:eastAsia="Arial" w:hAnsi="Arial" w:cs="Arial"/>
          <w:color w:val="000000"/>
          <w:sz w:val="20"/>
        </w:rPr>
        <w:t xml:space="preserve">, 475 U.S. 574, 587, 106 S. Ct. 1348, 89 L. Ed. 2d 538 (1986). </w:t>
      </w:r>
      <w:bookmarkStart w:id="4699" w:name="Bookmark_I5282BMH0N5Y5V0010000400_2"/>
      <w:bookmarkEnd w:id="4699"/>
      <w:r>
        <w:rPr>
          <w:rFonts w:ascii="Arial" w:eastAsia="Arial" w:hAnsi="Arial" w:cs="Arial"/>
          <w:color w:val="000000"/>
          <w:sz w:val="20"/>
        </w:rPr>
        <w:t xml:space="preserve">However, </w:t>
      </w:r>
      <w:bookmarkStart w:id="4700" w:name="Bookmark_LNHNREFclscc5_24"/>
      <w:bookmarkEnd w:id="4700"/>
      <w:r>
        <w:rPr>
          <w:rFonts w:ascii="Arial" w:eastAsia="Arial" w:hAnsi="Arial" w:cs="Arial"/>
          <w:color w:val="000000"/>
          <w:sz w:val="20"/>
        </w:rPr>
        <w:t xml:space="preserve">"[t]he mere existence of a scintilla of evidence in support of the [non-moving party's] position will be insufficient [to defeat a motion for summary judgment]; there must be evidence on which the jury could </w:t>
      </w:r>
      <w:r>
        <w:rPr>
          <w:rFonts w:ascii="Arial" w:eastAsia="Arial" w:hAnsi="Arial" w:cs="Arial"/>
          <w:i/>
          <w:color w:val="000000"/>
          <w:sz w:val="20"/>
        </w:rPr>
        <w:t>reasonably</w:t>
      </w:r>
      <w:r>
        <w:rPr>
          <w:rFonts w:ascii="Arial" w:eastAsia="Arial" w:hAnsi="Arial" w:cs="Arial"/>
          <w:color w:val="000000"/>
          <w:sz w:val="20"/>
        </w:rPr>
        <w:t xml:space="preserve"> find for the [non-moving party]." </w:t>
      </w:r>
      <w:bookmarkStart w:id="4701" w:name="Bookmark_I5282BMH0N5Y5S0050000400"/>
      <w:bookmarkEnd w:id="4701"/>
      <w:r>
        <w:rPr>
          <w:rFonts w:ascii="Arial" w:eastAsia="Arial" w:hAnsi="Arial" w:cs="Arial"/>
          <w:i/>
          <w:color w:val="000000"/>
          <w:sz w:val="20"/>
        </w:rPr>
        <w:t>Ganley v. Mazda Motor of Am.</w:t>
      </w:r>
      <w:r>
        <w:rPr>
          <w:rFonts w:ascii="Arial" w:eastAsia="Arial" w:hAnsi="Arial" w:cs="Arial"/>
          <w:color w:val="000000"/>
          <w:sz w:val="20"/>
        </w:rPr>
        <w:t xml:space="preserve">, 367 F. App'x 616, 621 (6th Cir. 2010) (quoting </w:t>
      </w:r>
      <w:bookmarkStart w:id="4702" w:name="Bookmark_I5282BMH0N5Y5V0020000400"/>
      <w:bookmarkEnd w:id="4702"/>
      <w:r>
        <w:rPr>
          <w:rFonts w:ascii="Arial" w:eastAsia="Arial" w:hAnsi="Arial" w:cs="Arial"/>
          <w:i/>
          <w:color w:val="000000"/>
          <w:sz w:val="20"/>
        </w:rPr>
        <w:t>Moldowan v. City of Warren</w:t>
      </w:r>
      <w:r>
        <w:rPr>
          <w:rFonts w:ascii="Arial" w:eastAsia="Arial" w:hAnsi="Arial" w:cs="Arial"/>
          <w:color w:val="000000"/>
          <w:sz w:val="20"/>
        </w:rPr>
        <w:t xml:space="preserve">, 578 F.3d 351, 374 (6th Cir. 2009)) (alterations in </w:t>
      </w:r>
      <w:r>
        <w:rPr>
          <w:rFonts w:ascii="Arial" w:eastAsia="Arial" w:hAnsi="Arial" w:cs="Arial"/>
          <w:i/>
          <w:color w:val="000000"/>
          <w:sz w:val="20"/>
        </w:rPr>
        <w:t>Moldowan</w:t>
      </w:r>
      <w:r>
        <w:rPr>
          <w:rFonts w:ascii="Arial" w:eastAsia="Arial" w:hAnsi="Arial" w:cs="Arial"/>
          <w:color w:val="000000"/>
          <w:sz w:val="20"/>
        </w:rPr>
        <w:t>).</w:t>
      </w:r>
    </w:p>
    <w:p w14:paraId="476ACE95" w14:textId="77777777" w:rsidR="00D041A2" w:rsidRDefault="00000000">
      <w:pPr>
        <w:pStyle w:val="Normal36"/>
        <w:widowControl w:val="0"/>
        <w:spacing w:before="240" w:line="260" w:lineRule="atLeast"/>
      </w:pPr>
      <w:r>
        <w:br/>
      </w:r>
      <w:r>
        <w:rPr>
          <w:rFonts w:ascii="Arial" w:eastAsia="Arial" w:hAnsi="Arial" w:cs="Arial"/>
          <w:b/>
          <w:color w:val="000000"/>
          <w:sz w:val="20"/>
        </w:rPr>
        <w:t>1.</w:t>
      </w:r>
      <w:r>
        <w:rPr>
          <w:rFonts w:ascii="Arial" w:eastAsia="Arial" w:hAnsi="Arial" w:cs="Arial"/>
          <w:b/>
          <w:i/>
          <w:color w:val="000000"/>
          <w:sz w:val="20"/>
        </w:rPr>
        <w:t>Effect of Steward's Contractual Waiver</w:t>
      </w:r>
    </w:p>
    <w:p w14:paraId="6783F821" w14:textId="77777777" w:rsidR="00D041A2" w:rsidRDefault="00000000">
      <w:pPr>
        <w:pStyle w:val="Normal36"/>
        <w:widowControl w:val="0"/>
        <w:spacing w:before="200" w:line="260" w:lineRule="atLeast"/>
        <w:jc w:val="both"/>
      </w:pPr>
      <w:bookmarkStart w:id="4703" w:name="Bookmark_para_31_15"/>
      <w:bookmarkEnd w:id="4703"/>
      <w:r>
        <w:rPr>
          <w:rFonts w:ascii="Arial" w:eastAsia="Arial" w:hAnsi="Arial" w:cs="Arial"/>
          <w:color w:val="000000"/>
          <w:sz w:val="20"/>
        </w:rPr>
        <w:t>As an initial matter, before we reach the substance of any of Steward's claims, we address the effect of the aforementioned provision in Steward's employment application on the timeliness of her claims. To restate, this clause provided that "any claim or lawsuit relating to [Steward's employment] . . . must be filed no more than six (6) months after the date of the employment action that is the subject of the claim or lawsuit." By signing the agreement,  [**17] Steward agreed to "waive any statute of limitations to the contrary."</w:t>
      </w:r>
    </w:p>
    <w:p w14:paraId="4CD2E733" w14:textId="77777777" w:rsidR="00D041A2" w:rsidRDefault="00000000">
      <w:pPr>
        <w:pStyle w:val="Normal36"/>
        <w:widowControl w:val="0"/>
        <w:spacing w:before="200" w:line="260" w:lineRule="atLeast"/>
        <w:jc w:val="both"/>
      </w:pPr>
      <w:bookmarkStart w:id="4704" w:name="Bookmark_para_32_15"/>
      <w:bookmarkStart w:id="4705" w:name="Bookmark_I5282BMH0N5Y5V0050000400"/>
      <w:bookmarkStart w:id="4706" w:name="Bookmark_I0MP4107W9M00109S620032X"/>
      <w:bookmarkStart w:id="4707" w:name="Bookmark_I5282BMH0N5Y600020000400"/>
      <w:bookmarkStart w:id="4708" w:name="Bookmark_I5282BMH0N5Y600040000400"/>
      <w:bookmarkEnd w:id="4704"/>
      <w:bookmarkEnd w:id="4705"/>
      <w:bookmarkEnd w:id="4706"/>
      <w:bookmarkEnd w:id="4707"/>
      <w:bookmarkEnd w:id="4708"/>
      <w:r>
        <w:rPr>
          <w:rFonts w:ascii="Arial" w:eastAsia="Arial" w:hAnsi="Arial" w:cs="Arial"/>
          <w:color w:val="000000"/>
          <w:sz w:val="20"/>
        </w:rPr>
        <w:t xml:space="preserve">In </w:t>
      </w:r>
      <w:r>
        <w:rPr>
          <w:rFonts w:ascii="Arial" w:eastAsia="Arial" w:hAnsi="Arial" w:cs="Arial"/>
          <w:i/>
          <w:color w:val="000000"/>
          <w:sz w:val="20"/>
        </w:rPr>
        <w:t>Thurman v. Daimler Chrysler</w:t>
      </w:r>
      <w:r>
        <w:rPr>
          <w:rFonts w:ascii="Arial" w:eastAsia="Arial" w:hAnsi="Arial" w:cs="Arial"/>
          <w:color w:val="000000"/>
          <w:sz w:val="20"/>
        </w:rPr>
        <w:t xml:space="preserve">, a lawsuit filed against Chrysler by another Chrysler employee, we addressed the legal effect of this same provision. </w:t>
      </w:r>
      <w:bookmarkStart w:id="4709" w:name="Bookmark_I5282BMH0N5Y5V0040000400"/>
      <w:bookmarkEnd w:id="4709"/>
      <w:r>
        <w:rPr>
          <w:rFonts w:ascii="Arial" w:eastAsia="Arial" w:hAnsi="Arial" w:cs="Arial"/>
          <w:color w:val="000000"/>
          <w:sz w:val="20"/>
        </w:rPr>
        <w:t>397 F.3d 352, 116 Fed. Appx. 638 (6th Cir. 2004). We observed that</w:t>
      </w:r>
      <w:bookmarkStart w:id="4710" w:name="Bookmark_LNHNREFclscc6_24"/>
      <w:bookmarkEnd w:id="4710"/>
      <w:r>
        <w:rPr>
          <w:rFonts w:ascii="Arial" w:eastAsia="Arial" w:hAnsi="Arial" w:cs="Arial"/>
          <w:color w:val="000000"/>
          <w:sz w:val="20"/>
        </w:rPr>
        <w:t xml:space="preserve"> under Michigan law, (1) "terms in an employment application constitute part of an employee's contract of employment"; (2) "contracting parties may agree to an abbreviated statute of limitations so long as it is reasonable"; and (3) a "six-month statute of limitations clause in an employment application [is] not inherently unreasonable." </w:t>
      </w:r>
      <w:bookmarkStart w:id="4711" w:name="Bookmark_I5282BMH0N5Y600010000400"/>
      <w:bookmarkEnd w:id="4711"/>
      <w:r>
        <w:rPr>
          <w:rFonts w:ascii="Arial" w:eastAsia="Arial" w:hAnsi="Arial" w:cs="Arial"/>
          <w:i/>
          <w:color w:val="000000"/>
          <w:sz w:val="20"/>
        </w:rPr>
        <w:t>Id.</w:t>
      </w:r>
      <w:r>
        <w:rPr>
          <w:rFonts w:ascii="Arial" w:eastAsia="Arial" w:hAnsi="Arial" w:cs="Arial"/>
          <w:color w:val="000000"/>
          <w:sz w:val="20"/>
        </w:rPr>
        <w:t xml:space="preserve"> at 356-57 (citations omitted). Accordingly, we held that the waiver was enforceable and served to bar the plaintiff's claims insofar as they accrued more than six months before she filed suit. </w:t>
      </w:r>
      <w:bookmarkStart w:id="4712" w:name="Bookmark_I5282BMH0N5Y600030000400"/>
      <w:bookmarkEnd w:id="4712"/>
      <w:r>
        <w:rPr>
          <w:rFonts w:ascii="Arial" w:eastAsia="Arial" w:hAnsi="Arial" w:cs="Arial"/>
          <w:i/>
          <w:color w:val="000000"/>
          <w:sz w:val="20"/>
        </w:rPr>
        <w:t>Id.</w:t>
      </w:r>
      <w:r>
        <w:rPr>
          <w:rFonts w:ascii="Arial" w:eastAsia="Arial" w:hAnsi="Arial" w:cs="Arial"/>
          <w:color w:val="000000"/>
          <w:sz w:val="20"/>
        </w:rPr>
        <w:t xml:space="preserve"> at 358.</w:t>
      </w:r>
    </w:p>
    <w:p w14:paraId="51FC67DE" w14:textId="77777777" w:rsidR="00D041A2" w:rsidRDefault="00000000">
      <w:pPr>
        <w:pStyle w:val="Normal36"/>
        <w:widowControl w:val="0"/>
        <w:spacing w:before="200" w:line="260" w:lineRule="atLeast"/>
        <w:jc w:val="both"/>
      </w:pPr>
      <w:bookmarkStart w:id="4713" w:name="Bookmark_para_33_15"/>
      <w:bookmarkEnd w:id="4713"/>
      <w:r>
        <w:rPr>
          <w:rFonts w:ascii="Arial" w:eastAsia="Arial" w:hAnsi="Arial" w:cs="Arial"/>
          <w:color w:val="000000"/>
          <w:sz w:val="20"/>
        </w:rPr>
        <w:t xml:space="preserve">In this case, Steward filed suit on August 5, 2005. Her claims are therefore barred to the extent they accrued before February 5, 2005. This time bar does not affect her disability-discrimination claims or her retaliation claim, which are premised on her being placed on paid layoff on March 17, 2005. However, her race-discrimination claim and her IIED claim are premised not on her termination,  [**18] but rather, on workplace conduct that occurred throughout her time under McKerley. </w:t>
      </w:r>
      <w:bookmarkStart w:id="4714" w:name="Bookmark_I5282BMH0N5Y630010000400"/>
      <w:bookmarkEnd w:id="4714"/>
      <w:r>
        <w:rPr>
          <w:rFonts w:ascii="Arial" w:eastAsia="Arial" w:hAnsi="Arial" w:cs="Arial"/>
          <w:color w:val="000000"/>
          <w:sz w:val="20"/>
        </w:rPr>
        <w:t xml:space="preserve">Almost all of the specific racial incidents of which Steward complains occurred before February 2005 — that is, where Steward provides any dates at all. However, Steward did testify that the segregated assembly line persisted "up until basically the time that [she] left" in March 2005. </w:t>
      </w:r>
      <w:bookmarkStart w:id="4715" w:name="Bookmark_I0MP41082DG00109S620057W"/>
      <w:bookmarkStart w:id="4716" w:name="Bookmark_I0MP4108B2S00109S620057Y"/>
      <w:bookmarkStart w:id="4717" w:name="Bookmark_I5282BMJ0N5Y660040000400"/>
      <w:bookmarkEnd w:id="4715"/>
      <w:bookmarkEnd w:id="4716"/>
      <w:bookmarkEnd w:id="4717"/>
      <w:r>
        <w:rPr>
          <w:rFonts w:ascii="Arial" w:eastAsia="Arial" w:hAnsi="Arial" w:cs="Arial"/>
          <w:color w:val="000000"/>
          <w:sz w:val="20"/>
        </w:rPr>
        <w:t xml:space="preserve">Accordingly, her race-based claims are not altogether time-barred; however, Steward  [*639]  may not recover for any incidents that occurred before February 2005. </w:t>
      </w:r>
      <w:bookmarkStart w:id="4718" w:name="Bookmark_I5282BMH0N5Y630050000400"/>
      <w:bookmarkEnd w:id="4718"/>
      <w:r>
        <w:rPr>
          <w:rFonts w:ascii="Arial" w:eastAsia="Arial" w:hAnsi="Arial" w:cs="Arial"/>
          <w:i/>
          <w:color w:val="000000"/>
          <w:sz w:val="20"/>
        </w:rPr>
        <w:t xml:space="preserve">See </w:t>
      </w:r>
      <w:bookmarkStart w:id="4719" w:name="Bookmark_I5282BMH0N5Y600050000400"/>
      <w:bookmarkEnd w:id="4719"/>
      <w:r>
        <w:rPr>
          <w:rFonts w:ascii="Arial" w:eastAsia="Arial" w:hAnsi="Arial" w:cs="Arial"/>
          <w:i/>
          <w:color w:val="000000"/>
          <w:sz w:val="20"/>
        </w:rPr>
        <w:t>Leffman v. Sprint Corp.</w:t>
      </w:r>
      <w:r>
        <w:rPr>
          <w:rFonts w:ascii="Arial" w:eastAsia="Arial" w:hAnsi="Arial" w:cs="Arial"/>
          <w:color w:val="000000"/>
          <w:sz w:val="20"/>
        </w:rPr>
        <w:t>, 481 F.3d 428, 431 (6th Cir. 2007) (</w:t>
      </w:r>
      <w:bookmarkStart w:id="4720" w:name="Bookmark_LNHNREFclscc7_24"/>
      <w:bookmarkEnd w:id="4720"/>
      <w:r>
        <w:rPr>
          <w:rFonts w:ascii="Arial" w:eastAsia="Arial" w:hAnsi="Arial" w:cs="Arial"/>
          <w:color w:val="000000"/>
          <w:sz w:val="20"/>
        </w:rPr>
        <w:t xml:space="preserve">"A discriminatory act which is not made the basis for a timely charge is . . . merely an unfortunate event in history which has no present legal consequences." (quoting </w:t>
      </w:r>
      <w:bookmarkStart w:id="4721" w:name="Bookmark_I5282BMH0N5Y630020000400"/>
      <w:bookmarkEnd w:id="4721"/>
      <w:r>
        <w:rPr>
          <w:rFonts w:ascii="Arial" w:eastAsia="Arial" w:hAnsi="Arial" w:cs="Arial"/>
          <w:i/>
          <w:color w:val="000000"/>
          <w:sz w:val="20"/>
        </w:rPr>
        <w:t>United Air Lines, Inc. v. Evans</w:t>
      </w:r>
      <w:r>
        <w:rPr>
          <w:rFonts w:ascii="Arial" w:eastAsia="Arial" w:hAnsi="Arial" w:cs="Arial"/>
          <w:color w:val="000000"/>
          <w:sz w:val="20"/>
        </w:rPr>
        <w:t xml:space="preserve">, 431 U.S. 553, 558, 97 S. Ct. 1885, 52 L. Ed. 2d 571 (1977)). </w:t>
      </w:r>
      <w:bookmarkStart w:id="4722" w:name="Bookmark_I5282BMH0N5Y630050000400_2"/>
      <w:bookmarkStart w:id="4723" w:name="Bookmark_I5282BMJ0N5Y660040000400_2"/>
      <w:bookmarkEnd w:id="4722"/>
      <w:bookmarkEnd w:id="4723"/>
      <w:r>
        <w:rPr>
          <w:rFonts w:ascii="Arial" w:eastAsia="Arial" w:hAnsi="Arial" w:cs="Arial"/>
          <w:vertAlign w:val="superscript"/>
        </w:rPr>
        <w:footnoteReference w:customMarkFollows="1" w:id="226"/>
        <w:t>4</w:t>
      </w:r>
      <w:r>
        <w:rPr>
          <w:rFonts w:ascii="Arial" w:eastAsia="Arial" w:hAnsi="Arial" w:cs="Arial"/>
          <w:color w:val="000000"/>
          <w:sz w:val="20"/>
        </w:rPr>
        <w:t xml:space="preserve"> Conduct that occurred prior to that date "may be considered as 'background evidence'" to establish racial animus with respect to actionable conduct </w:t>
      </w:r>
      <w:r>
        <w:rPr>
          <w:rFonts w:ascii="Arial" w:eastAsia="Arial" w:hAnsi="Arial" w:cs="Arial"/>
          <w:i/>
          <w:color w:val="000000"/>
          <w:sz w:val="20"/>
        </w:rPr>
        <w:t>within</w:t>
      </w:r>
      <w:r>
        <w:rPr>
          <w:rFonts w:ascii="Arial" w:eastAsia="Arial" w:hAnsi="Arial" w:cs="Arial"/>
          <w:color w:val="000000"/>
          <w:sz w:val="20"/>
        </w:rPr>
        <w:t xml:space="preserve"> the limitations period, but is not in itself actionable. </w:t>
      </w:r>
      <w:bookmarkStart w:id="4727" w:name="Bookmark_I5282BMH0N5Y630040000400"/>
      <w:bookmarkEnd w:id="4727"/>
      <w:r>
        <w:rPr>
          <w:rFonts w:ascii="Arial" w:eastAsia="Arial" w:hAnsi="Arial" w:cs="Arial"/>
          <w:i/>
          <w:color w:val="000000"/>
          <w:sz w:val="20"/>
        </w:rPr>
        <w:t>Barrett v. Whirlpool Corp.</w:t>
      </w:r>
      <w:r>
        <w:rPr>
          <w:rFonts w:ascii="Arial" w:eastAsia="Arial" w:hAnsi="Arial" w:cs="Arial"/>
          <w:color w:val="000000"/>
          <w:sz w:val="20"/>
        </w:rPr>
        <w:t xml:space="preserve">, 556 F.3d 502, 519 (6th Cir. 2009) (quoting </w:t>
      </w:r>
      <w:bookmarkStart w:id="4728" w:name="Bookmark_I5282BMJ0N5Y660010000400"/>
      <w:bookmarkEnd w:id="4728"/>
      <w:r>
        <w:rPr>
          <w:rFonts w:ascii="Arial" w:eastAsia="Arial" w:hAnsi="Arial" w:cs="Arial"/>
          <w:i/>
          <w:color w:val="000000"/>
          <w:sz w:val="20"/>
        </w:rPr>
        <w:t>Nat'l R.R. Passenger Corp. v. Morgan</w:t>
      </w:r>
      <w:r>
        <w:rPr>
          <w:rFonts w:ascii="Arial" w:eastAsia="Arial" w:hAnsi="Arial" w:cs="Arial"/>
          <w:color w:val="000000"/>
          <w:sz w:val="20"/>
        </w:rPr>
        <w:t>, 536 U.S. 101, 120, 122 S. Ct. 2061, 153 L. Ed. 2d 106 (2002)).</w:t>
      </w:r>
    </w:p>
    <w:p w14:paraId="5B298F68" w14:textId="77777777" w:rsidR="00D041A2" w:rsidRDefault="00000000">
      <w:pPr>
        <w:pStyle w:val="Normal36"/>
        <w:widowControl w:val="0"/>
        <w:spacing w:before="240" w:line="260" w:lineRule="atLeast"/>
      </w:pPr>
      <w:r>
        <w:br/>
      </w:r>
      <w:r>
        <w:rPr>
          <w:rFonts w:ascii="Arial" w:eastAsia="Arial" w:hAnsi="Arial" w:cs="Arial"/>
          <w:b/>
          <w:color w:val="000000"/>
          <w:sz w:val="20"/>
        </w:rPr>
        <w:t>2.</w:t>
      </w:r>
      <w:r>
        <w:rPr>
          <w:rFonts w:ascii="Arial" w:eastAsia="Arial" w:hAnsi="Arial" w:cs="Arial"/>
          <w:b/>
          <w:i/>
          <w:color w:val="000000"/>
          <w:sz w:val="20"/>
        </w:rPr>
        <w:t>Race-Discrimination Claim</w:t>
      </w:r>
    </w:p>
    <w:p w14:paraId="646F67DD" w14:textId="77777777" w:rsidR="00D041A2" w:rsidRDefault="00000000">
      <w:pPr>
        <w:pStyle w:val="Normal36"/>
        <w:widowControl w:val="0"/>
        <w:spacing w:before="200" w:line="260" w:lineRule="atLeast"/>
        <w:jc w:val="both"/>
      </w:pPr>
      <w:bookmarkStart w:id="4729" w:name="Bookmark_para_34_15"/>
      <w:bookmarkStart w:id="4730" w:name="Bookmark_I5282BMJ0N5Y6B0030000400"/>
      <w:bookmarkStart w:id="4731" w:name="Bookmark_LNHNREFclscc8_24"/>
      <w:bookmarkEnd w:id="4729"/>
      <w:bookmarkEnd w:id="4730"/>
      <w:bookmarkEnd w:id="4731"/>
      <w:r>
        <w:rPr>
          <w:rFonts w:ascii="Arial" w:eastAsia="Arial" w:hAnsi="Arial" w:cs="Arial"/>
          <w:color w:val="000000"/>
          <w:sz w:val="20"/>
        </w:rPr>
        <w:t xml:space="preserve">Michigan's ELCRA provides that an employer shall not "[f]ail or refuse to hire or recruit, discharge, or otherwise discriminate against an individual with respect to employment, compensation, or a term, condition, or privilege of employment, because of . . . race . . . ." Mich. Comp. Laws § 37.2202(1)(a). "Michigan courts have recognized that ELCRA claims generally are to be evaluated on summary disposition in the same manner as [federal] Title VII claims, and that both state and federal precedents are relevant." </w:t>
      </w:r>
      <w:bookmarkStart w:id="4732" w:name="Bookmark_I5282BMJ0N5Y6B0020000400"/>
      <w:bookmarkEnd w:id="4732"/>
      <w:r>
        <w:rPr>
          <w:rFonts w:ascii="Arial" w:eastAsia="Arial" w:hAnsi="Arial" w:cs="Arial"/>
          <w:i/>
          <w:color w:val="000000"/>
          <w:sz w:val="20"/>
        </w:rPr>
        <w:t>Conti v. Am. Axle and Mfg., Inc.</w:t>
      </w:r>
      <w:r>
        <w:rPr>
          <w:rFonts w:ascii="Arial" w:eastAsia="Arial" w:hAnsi="Arial" w:cs="Arial"/>
          <w:color w:val="000000"/>
          <w:sz w:val="20"/>
        </w:rPr>
        <w:t xml:space="preserve">, 326 F. App'x 900, 908 (6th Cir. 2009) (citing </w:t>
      </w:r>
      <w:bookmarkStart w:id="4733" w:name="Bookmark_I5282BMJ0N5Y6B0040000400"/>
      <w:bookmarkEnd w:id="4733"/>
      <w:r>
        <w:rPr>
          <w:rFonts w:ascii="Arial" w:eastAsia="Arial" w:hAnsi="Arial" w:cs="Arial"/>
          <w:i/>
          <w:color w:val="000000"/>
          <w:sz w:val="20"/>
        </w:rPr>
        <w:t>Harrison v. Olde Fin. Corp.</w:t>
      </w:r>
      <w:r>
        <w:rPr>
          <w:rFonts w:ascii="Arial" w:eastAsia="Arial" w:hAnsi="Arial" w:cs="Arial"/>
          <w:color w:val="000000"/>
          <w:sz w:val="20"/>
        </w:rPr>
        <w:t xml:space="preserve">, 225 Mich. App. 601, 572 N.W.2d 679, 681 (Mich. Ct. App. 1997)); </w:t>
      </w:r>
      <w:r>
        <w:rPr>
          <w:rFonts w:ascii="Arial" w:eastAsia="Arial" w:hAnsi="Arial" w:cs="Arial"/>
          <w:i/>
          <w:color w:val="000000"/>
          <w:sz w:val="20"/>
        </w:rPr>
        <w:t xml:space="preserve">see also </w:t>
      </w:r>
      <w:bookmarkStart w:id="4734" w:name="Bookmark_I5282BMJ0N5Y6K0010000400"/>
      <w:bookmarkEnd w:id="4734"/>
      <w:r>
        <w:rPr>
          <w:rFonts w:ascii="Arial" w:eastAsia="Arial" w:hAnsi="Arial" w:cs="Arial"/>
          <w:i/>
          <w:color w:val="000000"/>
          <w:sz w:val="20"/>
        </w:rPr>
        <w:t>Ford v. Securitas Sec'y Servs. USA, Inc.</w:t>
      </w:r>
      <w:r>
        <w:rPr>
          <w:rFonts w:ascii="Arial" w:eastAsia="Arial" w:hAnsi="Arial" w:cs="Arial"/>
          <w:color w:val="000000"/>
          <w:sz w:val="20"/>
        </w:rPr>
        <w:t xml:space="preserve">, 338 F. App'x 483, 486 (6th Cir. 2009) ("Cases  [**20] brought pursuant to the ELCRA are analyzed under the same evidentiary framework used in Title VII cases." (quoting </w:t>
      </w:r>
      <w:bookmarkStart w:id="4735" w:name="Bookmark_I5282BMJ0N5Y6K0030000400"/>
      <w:bookmarkEnd w:id="4735"/>
      <w:r>
        <w:rPr>
          <w:rFonts w:ascii="Arial" w:eastAsia="Arial" w:hAnsi="Arial" w:cs="Arial"/>
          <w:i/>
          <w:color w:val="000000"/>
          <w:sz w:val="20"/>
        </w:rPr>
        <w:t>Rodriguez v. FedEx Freight E., Inc.</w:t>
      </w:r>
      <w:r>
        <w:rPr>
          <w:rFonts w:ascii="Arial" w:eastAsia="Arial" w:hAnsi="Arial" w:cs="Arial"/>
          <w:color w:val="000000"/>
          <w:sz w:val="20"/>
        </w:rPr>
        <w:t>, 487 F.3d 1001, 1007 (6th Cir. 2007)).</w:t>
      </w:r>
    </w:p>
    <w:p w14:paraId="20F07662" w14:textId="77777777" w:rsidR="00D041A2" w:rsidRDefault="00000000">
      <w:pPr>
        <w:pStyle w:val="Normal36"/>
        <w:widowControl w:val="0"/>
        <w:spacing w:before="200" w:line="260" w:lineRule="atLeast"/>
        <w:jc w:val="both"/>
      </w:pPr>
      <w:bookmarkStart w:id="4736" w:name="Bookmark_para_35_15"/>
      <w:bookmarkStart w:id="4737" w:name="Bookmark_I5282BMK0N5Y720010000400"/>
      <w:bookmarkStart w:id="4738" w:name="Bookmark_I5282BMM0N5Y7H0020000400"/>
      <w:bookmarkStart w:id="4739" w:name="Bookmark_LNHNREFclscc9_23"/>
      <w:bookmarkEnd w:id="4736"/>
      <w:bookmarkEnd w:id="4737"/>
      <w:bookmarkEnd w:id="4738"/>
      <w:bookmarkEnd w:id="4739"/>
      <w:r>
        <w:rPr>
          <w:rFonts w:ascii="Arial" w:eastAsia="Arial" w:hAnsi="Arial" w:cs="Arial"/>
          <w:color w:val="000000"/>
          <w:sz w:val="20"/>
        </w:rPr>
        <w:t xml:space="preserve">Under Title VII, "two types of actions may be brought: (1) [claims premised on] 'discrete discriminatory acts,' and (2) claims alleging a 'hostile work environment.'" </w:t>
      </w:r>
      <w:bookmarkStart w:id="4740" w:name="Bookmark_I5282BMJ0N5Y6K0050000400"/>
      <w:bookmarkEnd w:id="4740"/>
      <w:r>
        <w:rPr>
          <w:rFonts w:ascii="Arial" w:eastAsia="Arial" w:hAnsi="Arial" w:cs="Arial"/>
          <w:i/>
          <w:color w:val="000000"/>
          <w:sz w:val="20"/>
        </w:rPr>
        <w:t>Hunter v. Sec'y of U.S. Army</w:t>
      </w:r>
      <w:r>
        <w:rPr>
          <w:rFonts w:ascii="Arial" w:eastAsia="Arial" w:hAnsi="Arial" w:cs="Arial"/>
          <w:color w:val="000000"/>
          <w:sz w:val="20"/>
        </w:rPr>
        <w:t xml:space="preserve">, 565 F.3d 986, 993 (6th Cir. 2009) (citing </w:t>
      </w:r>
      <w:bookmarkStart w:id="4741" w:name="Bookmark_I5282BMK0N5Y720020000400"/>
      <w:bookmarkEnd w:id="4741"/>
      <w:r>
        <w:rPr>
          <w:rFonts w:ascii="Arial" w:eastAsia="Arial" w:hAnsi="Arial" w:cs="Arial"/>
          <w:i/>
          <w:color w:val="000000"/>
          <w:sz w:val="20"/>
        </w:rPr>
        <w:t>Morgan</w:t>
      </w:r>
      <w:r>
        <w:rPr>
          <w:rFonts w:ascii="Arial" w:eastAsia="Arial" w:hAnsi="Arial" w:cs="Arial"/>
          <w:color w:val="000000"/>
          <w:sz w:val="20"/>
        </w:rPr>
        <w:t xml:space="preserve">, 536 U.S. at 110); </w:t>
      </w:r>
      <w:r>
        <w:rPr>
          <w:rFonts w:ascii="Arial" w:eastAsia="Arial" w:hAnsi="Arial" w:cs="Arial"/>
          <w:i/>
          <w:color w:val="000000"/>
          <w:sz w:val="20"/>
        </w:rPr>
        <w:t xml:space="preserve">see also </w:t>
      </w:r>
      <w:bookmarkStart w:id="4742" w:name="Bookmark_I5282BMK0N5Y720040000400"/>
      <w:bookmarkEnd w:id="4742"/>
      <w:r>
        <w:rPr>
          <w:rFonts w:ascii="Arial" w:eastAsia="Arial" w:hAnsi="Arial" w:cs="Arial"/>
          <w:i/>
          <w:color w:val="000000"/>
          <w:sz w:val="20"/>
        </w:rPr>
        <w:t>Wu v. Tyson Foods, Inc.</w:t>
      </w:r>
      <w:r>
        <w:rPr>
          <w:rFonts w:ascii="Arial" w:eastAsia="Arial" w:hAnsi="Arial" w:cs="Arial"/>
          <w:color w:val="000000"/>
          <w:sz w:val="20"/>
        </w:rPr>
        <w:t xml:space="preserve">, 189 F. App'x 375, 378 (6th Cir. 2006). Here, Steward has not invoked the hostile-work-environment theory of discrimination; accordingly, any hostile-work-environment claim she might have asserted is not before us. </w:t>
      </w:r>
      <w:r>
        <w:rPr>
          <w:rFonts w:ascii="Arial" w:eastAsia="Arial" w:hAnsi="Arial" w:cs="Arial"/>
          <w:i/>
          <w:color w:val="000000"/>
          <w:sz w:val="20"/>
        </w:rPr>
        <w:t xml:space="preserve">See </w:t>
      </w:r>
      <w:bookmarkStart w:id="4743" w:name="Bookmark_I5282BMM0N5Y7H0010000400"/>
      <w:bookmarkEnd w:id="4743"/>
      <w:r>
        <w:rPr>
          <w:rFonts w:ascii="Arial" w:eastAsia="Arial" w:hAnsi="Arial" w:cs="Arial"/>
          <w:i/>
          <w:color w:val="000000"/>
          <w:sz w:val="20"/>
        </w:rPr>
        <w:t>Schramm v. Slater</w:t>
      </w:r>
      <w:r>
        <w:rPr>
          <w:rFonts w:ascii="Arial" w:eastAsia="Arial" w:hAnsi="Arial" w:cs="Arial"/>
          <w:color w:val="000000"/>
          <w:sz w:val="20"/>
        </w:rPr>
        <w:t xml:space="preserve">, 105 F. App'x 34, 40 (6th Cir. 2004) (holding that "a disparate treatment argument is analytically distinct from a hostile work environment argument," such that raising only one argument "[is] not sufficient to preserve [the other] before this [c]ourt"). </w:t>
      </w:r>
      <w:r>
        <w:rPr>
          <w:rFonts w:ascii="Arial" w:eastAsia="Arial" w:hAnsi="Arial" w:cs="Arial"/>
          <w:vertAlign w:val="superscript"/>
        </w:rPr>
        <w:footnoteReference w:customMarkFollows="1" w:id="227"/>
        <w:t>5</w:t>
      </w:r>
    </w:p>
    <w:p w14:paraId="43FA530F" w14:textId="77777777" w:rsidR="00D041A2" w:rsidRDefault="00000000">
      <w:pPr>
        <w:pStyle w:val="Normal36"/>
        <w:widowControl w:val="0"/>
        <w:spacing w:before="200" w:line="260" w:lineRule="atLeast"/>
        <w:jc w:val="both"/>
      </w:pPr>
      <w:bookmarkStart w:id="4754" w:name="Bookmark_para_36_14"/>
      <w:bookmarkStart w:id="4755" w:name="Bookmark_I0MP4108STX00109S6200582"/>
      <w:bookmarkStart w:id="4756" w:name="Bookmark_I5282BMM0N5Y7Y0050000400"/>
      <w:bookmarkEnd w:id="4754"/>
      <w:bookmarkEnd w:id="4755"/>
      <w:bookmarkEnd w:id="4756"/>
      <w:r>
        <w:rPr>
          <w:rFonts w:ascii="Arial" w:eastAsia="Arial" w:hAnsi="Arial" w:cs="Arial"/>
          <w:color w:val="000000"/>
          <w:sz w:val="20"/>
        </w:rPr>
        <w:t xml:space="preserve">Steward's race-discrimination claim must therefore be analyzed under the discrete-act theory. </w:t>
      </w:r>
      <w:bookmarkStart w:id="4757" w:name="Bookmark_LNHNREFclscc10_21"/>
      <w:bookmarkEnd w:id="4757"/>
      <w:r>
        <w:rPr>
          <w:rFonts w:ascii="Arial" w:eastAsia="Arial" w:hAnsi="Arial" w:cs="Arial"/>
          <w:color w:val="000000"/>
          <w:sz w:val="20"/>
        </w:rPr>
        <w:t xml:space="preserve">To establish a </w:t>
      </w:r>
      <w:r>
        <w:rPr>
          <w:rFonts w:ascii="Arial" w:eastAsia="Arial" w:hAnsi="Arial" w:cs="Arial"/>
          <w:i/>
          <w:color w:val="000000"/>
          <w:sz w:val="20"/>
        </w:rPr>
        <w:t>prima facie</w:t>
      </w:r>
      <w:r>
        <w:rPr>
          <w:rFonts w:ascii="Arial" w:eastAsia="Arial" w:hAnsi="Arial" w:cs="Arial"/>
          <w:color w:val="000000"/>
          <w:sz w:val="20"/>
        </w:rPr>
        <w:t xml:space="preserve"> case of discrimination under this theory,  [*640]  she must demonstrate "(1) that [s]he is a member of a protected class; (2) that [s]he suffered an adverse employment action; (3) that [s]he was qualified for the position; and (4) that a similarly-situated employee outside the protected class or classes was treated more favorably than [s]he." </w:t>
      </w:r>
      <w:bookmarkStart w:id="4758" w:name="Bookmark_I5282BMM0N5Y7Y0040000400"/>
      <w:bookmarkEnd w:id="4758"/>
      <w:r>
        <w:rPr>
          <w:rFonts w:ascii="Arial" w:eastAsia="Arial" w:hAnsi="Arial" w:cs="Arial"/>
          <w:i/>
          <w:color w:val="000000"/>
          <w:sz w:val="20"/>
        </w:rPr>
        <w:t>Younis v. Pinnacle Airlines, Inc.</w:t>
      </w:r>
      <w:r>
        <w:rPr>
          <w:rFonts w:ascii="Arial" w:eastAsia="Arial" w:hAnsi="Arial" w:cs="Arial"/>
          <w:color w:val="000000"/>
          <w:sz w:val="20"/>
        </w:rPr>
        <w:t xml:space="preserve">, 610 F.3d 359, 363 (6th Cir. 2010) (citing </w:t>
      </w:r>
      <w:bookmarkStart w:id="4759" w:name="Bookmark_I5282BMN0N5Y890010000400"/>
      <w:bookmarkEnd w:id="4759"/>
      <w:r>
        <w:rPr>
          <w:rFonts w:ascii="Arial" w:eastAsia="Arial" w:hAnsi="Arial" w:cs="Arial"/>
          <w:i/>
          <w:color w:val="000000"/>
          <w:sz w:val="20"/>
        </w:rPr>
        <w:t>McDonnell Douglas Corp. v. Green</w:t>
      </w:r>
      <w:r>
        <w:rPr>
          <w:rFonts w:ascii="Arial" w:eastAsia="Arial" w:hAnsi="Arial" w:cs="Arial"/>
          <w:color w:val="000000"/>
          <w:sz w:val="20"/>
        </w:rPr>
        <w:t>, 411 U.S. 792, 802, 93 S. Ct. 1817, 36 L. Ed. 2d 668 (1973)).</w:t>
      </w:r>
    </w:p>
    <w:p w14:paraId="75514EE5" w14:textId="77777777" w:rsidR="00D041A2" w:rsidRDefault="00000000">
      <w:pPr>
        <w:pStyle w:val="Normal36"/>
        <w:widowControl w:val="0"/>
        <w:spacing w:before="200" w:line="260" w:lineRule="atLeast"/>
        <w:jc w:val="both"/>
      </w:pPr>
      <w:bookmarkStart w:id="4760" w:name="Bookmark_para_37_13"/>
      <w:bookmarkStart w:id="4761" w:name="Bookmark_I71N19XMWTG00002RKN00314"/>
      <w:bookmarkStart w:id="4762" w:name="Bookmark_I71N19XN4TN00002RKN00316"/>
      <w:bookmarkStart w:id="4763" w:name="Bookmark_I5282BMN0N5Y890040000400"/>
      <w:bookmarkStart w:id="4764" w:name="Bookmark_LNHNREFclscc11_18"/>
      <w:bookmarkEnd w:id="4760"/>
      <w:bookmarkEnd w:id="4761"/>
      <w:bookmarkEnd w:id="4762"/>
      <w:bookmarkEnd w:id="4763"/>
      <w:bookmarkEnd w:id="4764"/>
      <w:r>
        <w:rPr>
          <w:rFonts w:ascii="Arial" w:eastAsia="Arial" w:hAnsi="Arial" w:cs="Arial"/>
          <w:color w:val="000000"/>
          <w:sz w:val="20"/>
        </w:rPr>
        <w:t xml:space="preserve">An "adverse employment action," also known as a "tangible employment action," </w:t>
      </w:r>
      <w:r>
        <w:rPr>
          <w:rFonts w:ascii="Arial" w:eastAsia="Arial" w:hAnsi="Arial" w:cs="Arial"/>
          <w:i/>
          <w:color w:val="000000"/>
          <w:sz w:val="20"/>
        </w:rPr>
        <w:t xml:space="preserve">see </w:t>
      </w:r>
      <w:bookmarkStart w:id="4765" w:name="Bookmark_I5282BMN0N5Y890030000400"/>
      <w:bookmarkEnd w:id="4765"/>
      <w:r>
        <w:rPr>
          <w:rFonts w:ascii="Arial" w:eastAsia="Arial" w:hAnsi="Arial" w:cs="Arial"/>
          <w:i/>
          <w:color w:val="000000"/>
          <w:sz w:val="20"/>
        </w:rPr>
        <w:t>White v. Burlington N. &amp; Santa Fe Ry. Co.</w:t>
      </w:r>
      <w:r>
        <w:rPr>
          <w:rFonts w:ascii="Arial" w:eastAsia="Arial" w:hAnsi="Arial" w:cs="Arial"/>
          <w:color w:val="000000"/>
          <w:sz w:val="20"/>
        </w:rPr>
        <w:t xml:space="preserve">, 364 F.3d 789, 795 n.1 (6th Cir. 2004)  [**22] (en banc), </w:t>
      </w:r>
      <w:r>
        <w:rPr>
          <w:rFonts w:ascii="Arial" w:eastAsia="Arial" w:hAnsi="Arial" w:cs="Arial"/>
          <w:i/>
          <w:color w:val="000000"/>
          <w:sz w:val="20"/>
        </w:rPr>
        <w:t>disagreed with on other grounds</w:t>
      </w:r>
      <w:r>
        <w:rPr>
          <w:rFonts w:ascii="Arial" w:eastAsia="Arial" w:hAnsi="Arial" w:cs="Arial"/>
          <w:color w:val="000000"/>
          <w:sz w:val="20"/>
        </w:rPr>
        <w:t xml:space="preserve">, </w:t>
      </w:r>
      <w:bookmarkStart w:id="4766" w:name="Bookmark_I5282BMN0N5Y890050000400"/>
      <w:bookmarkEnd w:id="4766"/>
      <w:r>
        <w:rPr>
          <w:rFonts w:ascii="Arial" w:eastAsia="Arial" w:hAnsi="Arial" w:cs="Arial"/>
          <w:color w:val="000000"/>
          <w:sz w:val="20"/>
        </w:rPr>
        <w:t xml:space="preserve">548 U.S. 53, 126 S. Ct. 2405, 165 L. Ed. 2d 345 (2006), is a "materially adverse change in the terms or conditions of employment because of the employer's actions." </w:t>
      </w:r>
      <w:bookmarkStart w:id="4767" w:name="Bookmark_I5282BMN0N5Y8K0020000400"/>
      <w:bookmarkEnd w:id="4767"/>
      <w:r>
        <w:rPr>
          <w:rFonts w:ascii="Arial" w:eastAsia="Arial" w:hAnsi="Arial" w:cs="Arial"/>
          <w:i/>
          <w:color w:val="000000"/>
          <w:sz w:val="20"/>
        </w:rPr>
        <w:t>Michael v. Caterpillar Fin. Servs. Corp.</w:t>
      </w:r>
      <w:r>
        <w:rPr>
          <w:rFonts w:ascii="Arial" w:eastAsia="Arial" w:hAnsi="Arial" w:cs="Arial"/>
          <w:color w:val="000000"/>
          <w:sz w:val="20"/>
        </w:rPr>
        <w:t xml:space="preserve">, 496 F.3d 584, 593 (6th Cir. 2007) (quoting </w:t>
      </w:r>
      <w:bookmarkStart w:id="4768" w:name="Bookmark_I5282BMN0N5Y8K0040000400"/>
      <w:bookmarkEnd w:id="4768"/>
      <w:r>
        <w:rPr>
          <w:rFonts w:ascii="Arial" w:eastAsia="Arial" w:hAnsi="Arial" w:cs="Arial"/>
          <w:i/>
          <w:color w:val="000000"/>
          <w:sz w:val="20"/>
        </w:rPr>
        <w:t>Allen v. Mich. Dep't of Corr.</w:t>
      </w:r>
      <w:r>
        <w:rPr>
          <w:rFonts w:ascii="Arial" w:eastAsia="Arial" w:hAnsi="Arial" w:cs="Arial"/>
          <w:color w:val="000000"/>
          <w:sz w:val="20"/>
        </w:rPr>
        <w:t>, 165 F.3d 405, 410 (6th Cir. 1999)). As we have stated,</w:t>
      </w:r>
    </w:p>
    <w:p w14:paraId="4B4CAF56" w14:textId="77777777" w:rsidR="00D041A2" w:rsidRDefault="00000000">
      <w:pPr>
        <w:pStyle w:val="Normal36"/>
        <w:widowControl w:val="0"/>
        <w:spacing w:before="200" w:line="260" w:lineRule="atLeast"/>
        <w:ind w:left="400"/>
        <w:jc w:val="both"/>
      </w:pPr>
      <w:bookmarkStart w:id="4769" w:name="Bookmark_para_38_13"/>
      <w:bookmarkStart w:id="4770" w:name="Bookmark_I5282BMN0N5Y890040000400_2"/>
      <w:bookmarkStart w:id="4771" w:name="Bookmark_I0MP4109H7B00109S6200587"/>
      <w:bookmarkStart w:id="4772" w:name="Bookmark_I0MP4109XPS00109S620058B"/>
      <w:bookmarkStart w:id="4773" w:name="Bookmark_I5282BMN0N5Y8V0020000400"/>
      <w:bookmarkEnd w:id="4769"/>
      <w:bookmarkEnd w:id="4770"/>
      <w:bookmarkEnd w:id="4771"/>
      <w:bookmarkEnd w:id="4772"/>
      <w:bookmarkEnd w:id="4773"/>
      <w:r>
        <w:rPr>
          <w:rFonts w:ascii="Arial" w:eastAsia="Arial" w:hAnsi="Arial" w:cs="Arial"/>
          <w:color w:val="000000"/>
          <w:sz w:val="20"/>
        </w:rPr>
        <w:t xml:space="preserve">[a] materially adverse change in the terms and conditions of employment must be more disruptive than a mere inconvenience or an alteration of job responsibilities. </w:t>
      </w:r>
      <w:bookmarkStart w:id="4774" w:name="Bookmark_I71N19XNCTC00002RKN00318"/>
      <w:bookmarkStart w:id="4775" w:name="Bookmark_I71N19XNS7B00002RKN0031C"/>
      <w:bookmarkStart w:id="4776" w:name="Bookmark_I5282BMN0N5Y8V0020000400_2"/>
      <w:bookmarkEnd w:id="4774"/>
      <w:bookmarkEnd w:id="4775"/>
      <w:bookmarkEnd w:id="4776"/>
      <w:r>
        <w:rPr>
          <w:rFonts w:ascii="Arial" w:eastAsia="Arial" w:hAnsi="Arial" w:cs="Arial"/>
          <w:color w:val="000000"/>
          <w:sz w:val="20"/>
        </w:rPr>
        <w:t>A materially adverse change might be indicated by a termination of employment, a demotion evidenced by a decrease in wage or salary, a less distinguished title, a material loss of benefits, significantly diminished material responsibilities, or other indices that might be unique to a particular situation.</w:t>
      </w:r>
    </w:p>
    <w:p w14:paraId="57EF51BA" w14:textId="77777777" w:rsidR="00D041A2" w:rsidRDefault="00000000">
      <w:pPr>
        <w:pStyle w:val="Normal36"/>
        <w:widowControl w:val="0"/>
        <w:spacing w:before="200" w:line="260" w:lineRule="atLeast"/>
        <w:jc w:val="both"/>
      </w:pPr>
      <w:bookmarkStart w:id="4777" w:name="Bookmark_I5282BMN0N5Y8V0020000400_3"/>
      <w:bookmarkStart w:id="4778" w:name="Bookmark_I5282BMN0N5Y8V0010000400"/>
      <w:bookmarkEnd w:id="4777"/>
      <w:bookmarkEnd w:id="4778"/>
      <w:r>
        <w:rPr>
          <w:rFonts w:ascii="Arial" w:eastAsia="Arial" w:hAnsi="Arial" w:cs="Arial"/>
          <w:i/>
          <w:color w:val="000000"/>
          <w:sz w:val="20"/>
        </w:rPr>
        <w:t>Id.</w:t>
      </w:r>
      <w:r>
        <w:rPr>
          <w:rFonts w:ascii="Arial" w:eastAsia="Arial" w:hAnsi="Arial" w:cs="Arial"/>
          <w:color w:val="000000"/>
          <w:sz w:val="20"/>
        </w:rPr>
        <w:t xml:space="preserve"> at 594 (quoting </w:t>
      </w:r>
      <w:bookmarkStart w:id="4779" w:name="Bookmark_I5282BMN0N5Y8V0030000400"/>
      <w:bookmarkEnd w:id="4779"/>
      <w:r>
        <w:rPr>
          <w:rFonts w:ascii="Arial" w:eastAsia="Arial" w:hAnsi="Arial" w:cs="Arial"/>
          <w:i/>
          <w:color w:val="000000"/>
          <w:sz w:val="20"/>
        </w:rPr>
        <w:t>Ford v. Gen. Motors Corp.</w:t>
      </w:r>
      <w:r>
        <w:rPr>
          <w:rFonts w:ascii="Arial" w:eastAsia="Arial" w:hAnsi="Arial" w:cs="Arial"/>
          <w:color w:val="000000"/>
          <w:sz w:val="20"/>
        </w:rPr>
        <w:t xml:space="preserve">, 305 F.3d 545, 553 (6th Cir. 2002)) (alteration in </w:t>
      </w:r>
      <w:r>
        <w:rPr>
          <w:rFonts w:ascii="Arial" w:eastAsia="Arial" w:hAnsi="Arial" w:cs="Arial"/>
          <w:i/>
          <w:color w:val="000000"/>
          <w:sz w:val="20"/>
        </w:rPr>
        <w:t>Michael</w:t>
      </w:r>
      <w:r>
        <w:rPr>
          <w:rFonts w:ascii="Arial" w:eastAsia="Arial" w:hAnsi="Arial" w:cs="Arial"/>
          <w:color w:val="000000"/>
          <w:sz w:val="20"/>
        </w:rPr>
        <w:t>).</w:t>
      </w:r>
    </w:p>
    <w:p w14:paraId="131F4475" w14:textId="77777777" w:rsidR="00D041A2" w:rsidRDefault="00000000">
      <w:pPr>
        <w:pStyle w:val="Normal36"/>
        <w:widowControl w:val="0"/>
        <w:spacing w:before="200" w:line="260" w:lineRule="atLeast"/>
        <w:jc w:val="both"/>
      </w:pPr>
      <w:bookmarkStart w:id="4780" w:name="Bookmark_para_39_13"/>
      <w:bookmarkEnd w:id="4780"/>
      <w:r>
        <w:rPr>
          <w:rFonts w:ascii="Arial" w:eastAsia="Arial" w:hAnsi="Arial" w:cs="Arial"/>
          <w:color w:val="000000"/>
          <w:sz w:val="20"/>
        </w:rPr>
        <w:t xml:space="preserve">Steward has not shown an adverse employment action. As the Supreme Court has long explained, conclusory allegations must be supported by relevant facts. </w:t>
      </w:r>
      <w:bookmarkStart w:id="4781" w:name="Bookmark_I5282BMP0N5Y910010000400"/>
      <w:bookmarkEnd w:id="4781"/>
      <w:r>
        <w:rPr>
          <w:rFonts w:ascii="Arial" w:eastAsia="Arial" w:hAnsi="Arial" w:cs="Arial"/>
          <w:color w:val="000000"/>
          <w:sz w:val="20"/>
        </w:rPr>
        <w:t xml:space="preserve">A "segregated assembly line," Complaint ¶7, R. 1 at 7, is of course a serious charge. </w:t>
      </w:r>
      <w:bookmarkStart w:id="4782" w:name="Bookmark_I5282BMP0N5Y910030000400"/>
      <w:bookmarkEnd w:id="4782"/>
      <w:r>
        <w:rPr>
          <w:rFonts w:ascii="Arial" w:eastAsia="Arial" w:hAnsi="Arial" w:cs="Arial"/>
          <w:color w:val="000000"/>
          <w:sz w:val="20"/>
        </w:rPr>
        <w:t xml:space="preserve">But at the summary judgment stage, we must  [**23] look to the evidence and the facts, not to labels and allegations. "One of the principal purposes of the summary judgment rule," the Supreme Court has explained, "is to isolate and dispose of factually unsupported claims." </w:t>
      </w:r>
      <w:bookmarkStart w:id="4783" w:name="Bookmark_I5282BMN0N5Y8V0050000400"/>
      <w:bookmarkEnd w:id="4783"/>
      <w:r>
        <w:rPr>
          <w:rFonts w:ascii="Arial" w:eastAsia="Arial" w:hAnsi="Arial" w:cs="Arial"/>
          <w:i/>
          <w:color w:val="000000"/>
          <w:sz w:val="20"/>
        </w:rPr>
        <w:t>Celotex Corp. v. Catrett</w:t>
      </w:r>
      <w:r>
        <w:rPr>
          <w:rFonts w:ascii="Arial" w:eastAsia="Arial" w:hAnsi="Arial" w:cs="Arial"/>
          <w:color w:val="000000"/>
          <w:sz w:val="20"/>
        </w:rPr>
        <w:t xml:space="preserve">, 477 U.S. 317, 323-33, 106 S. Ct. 2548, 91 L. Ed. 2d 265 (1986). </w:t>
      </w:r>
      <w:bookmarkStart w:id="4784" w:name="Bookmark_I5282BMP0N5Y910030000400_2"/>
      <w:bookmarkStart w:id="4785" w:name="Bookmark_I5282BMP0N5Y950020000400"/>
      <w:bookmarkStart w:id="4786" w:name="Bookmark_LNHNREFclscc12_17"/>
      <w:bookmarkEnd w:id="4784"/>
      <w:bookmarkEnd w:id="4785"/>
      <w:bookmarkEnd w:id="4786"/>
      <w:r>
        <w:rPr>
          <w:rFonts w:ascii="Arial" w:eastAsia="Arial" w:hAnsi="Arial" w:cs="Arial"/>
          <w:color w:val="000000"/>
          <w:sz w:val="20"/>
        </w:rPr>
        <w:t xml:space="preserve">At this stage in the litigation, a plaintiff may no longer rely solely on her pleadings, </w:t>
      </w:r>
      <w:bookmarkStart w:id="4787" w:name="Bookmark_I5282BMP0N5Y910020000400"/>
      <w:bookmarkEnd w:id="4787"/>
      <w:r>
        <w:rPr>
          <w:rFonts w:ascii="Arial" w:eastAsia="Arial" w:hAnsi="Arial" w:cs="Arial"/>
          <w:i/>
          <w:color w:val="000000"/>
          <w:sz w:val="20"/>
        </w:rPr>
        <w:t>id.</w:t>
      </w:r>
      <w:r>
        <w:rPr>
          <w:rFonts w:ascii="Arial" w:eastAsia="Arial" w:hAnsi="Arial" w:cs="Arial"/>
          <w:color w:val="000000"/>
          <w:sz w:val="20"/>
        </w:rPr>
        <w:t xml:space="preserve"> at 324-25, but must come forward with "probative evidence tending to support the complaint," </w:t>
      </w:r>
      <w:bookmarkStart w:id="4788" w:name="Bookmark_I5282BMP0N5Y910040000400"/>
      <w:bookmarkEnd w:id="4788"/>
      <w:r>
        <w:rPr>
          <w:rFonts w:ascii="Arial" w:eastAsia="Arial" w:hAnsi="Arial" w:cs="Arial"/>
          <w:i/>
          <w:color w:val="000000"/>
          <w:sz w:val="20"/>
        </w:rPr>
        <w:t>Anderson v. Liberty Lobby, Inc.</w:t>
      </w:r>
      <w:r>
        <w:rPr>
          <w:rFonts w:ascii="Arial" w:eastAsia="Arial" w:hAnsi="Arial" w:cs="Arial"/>
          <w:color w:val="000000"/>
          <w:sz w:val="20"/>
        </w:rPr>
        <w:t xml:space="preserve">, 477 U.S. 242, 256, 106 S. Ct. 2505, 91 L. Ed. 2d 202 (1986). </w:t>
      </w:r>
      <w:bookmarkStart w:id="4789" w:name="Bookmark_I5282BMP0N5Y950020000400_2"/>
      <w:bookmarkEnd w:id="4789"/>
      <w:r>
        <w:rPr>
          <w:rFonts w:ascii="Arial" w:eastAsia="Arial" w:hAnsi="Arial" w:cs="Arial"/>
          <w:color w:val="000000"/>
          <w:sz w:val="20"/>
        </w:rPr>
        <w:t xml:space="preserve">Steward and some of her co-workers apparently share a "subjective[] belie[f]" that they were treated differently based on their race, but she has "produced no facts to establish" race discrimination. </w:t>
      </w:r>
      <w:bookmarkStart w:id="4790" w:name="Bookmark_I5282BMP0N5Y950010000400"/>
      <w:bookmarkEnd w:id="4790"/>
      <w:r>
        <w:rPr>
          <w:rFonts w:ascii="Arial" w:eastAsia="Arial" w:hAnsi="Arial" w:cs="Arial"/>
          <w:i/>
          <w:color w:val="000000"/>
          <w:sz w:val="20"/>
        </w:rPr>
        <w:t>Mitchell v. Toledo Hosp.</w:t>
      </w:r>
      <w:r>
        <w:rPr>
          <w:rFonts w:ascii="Arial" w:eastAsia="Arial" w:hAnsi="Arial" w:cs="Arial"/>
          <w:color w:val="000000"/>
          <w:sz w:val="20"/>
        </w:rPr>
        <w:t>, 964 F.2d 577, 583 (6th Cir. 1992).</w:t>
      </w:r>
    </w:p>
    <w:p w14:paraId="319207F5" w14:textId="77777777" w:rsidR="00D041A2" w:rsidRDefault="00000000">
      <w:pPr>
        <w:pStyle w:val="Normal36"/>
        <w:widowControl w:val="0"/>
        <w:spacing w:before="200" w:line="260" w:lineRule="atLeast"/>
        <w:jc w:val="both"/>
      </w:pPr>
      <w:bookmarkStart w:id="4791" w:name="Bookmark_para_40_13"/>
      <w:bookmarkEnd w:id="4791"/>
      <w:r>
        <w:rPr>
          <w:rFonts w:ascii="Arial" w:eastAsia="Arial" w:hAnsi="Arial" w:cs="Arial"/>
          <w:color w:val="000000"/>
          <w:sz w:val="20"/>
        </w:rPr>
        <w:t>As Steward acknowledges, her end of the Viper line was "</w:t>
      </w:r>
      <w:r>
        <w:rPr>
          <w:rFonts w:ascii="Arial" w:eastAsia="Arial" w:hAnsi="Arial" w:cs="Arial"/>
          <w:i/>
          <w:color w:val="000000"/>
          <w:sz w:val="20"/>
        </w:rPr>
        <w:t>predominantly</w:t>
      </w:r>
      <w:r>
        <w:rPr>
          <w:rFonts w:ascii="Arial" w:eastAsia="Arial" w:hAnsi="Arial" w:cs="Arial"/>
          <w:color w:val="000000"/>
          <w:sz w:val="20"/>
        </w:rPr>
        <w:t xml:space="preserve"> African American," but some white employees also worked there, including most notably the one person who worked directly with her. Appellant's Br. 24-25. </w:t>
      </w:r>
      <w:bookmarkStart w:id="4792" w:name="Bookmark_I5282BMP0N5Y950040000400"/>
      <w:bookmarkEnd w:id="4792"/>
      <w:r>
        <w:rPr>
          <w:rFonts w:ascii="Arial" w:eastAsia="Arial" w:hAnsi="Arial" w:cs="Arial"/>
          <w:color w:val="000000"/>
          <w:sz w:val="20"/>
        </w:rPr>
        <w:t xml:space="preserve">Even more importantly, Steward acknowledges that she chose her own position on the line, "since she had the highest seniority on the line." Appellant's Br. 25. And beyond describing the general rule  [**24] that employees chose their own positions by seniority, Steward disavowed any knowledge of how other employees were placed on the line. </w:t>
      </w:r>
      <w:r>
        <w:rPr>
          <w:rFonts w:ascii="Arial" w:eastAsia="Arial" w:hAnsi="Arial" w:cs="Arial"/>
          <w:i/>
          <w:color w:val="000000"/>
          <w:sz w:val="20"/>
        </w:rPr>
        <w:t>See</w:t>
      </w:r>
      <w:r>
        <w:rPr>
          <w:rFonts w:ascii="Arial" w:eastAsia="Arial" w:hAnsi="Arial" w:cs="Arial"/>
          <w:color w:val="000000"/>
          <w:sz w:val="20"/>
        </w:rPr>
        <w:t xml:space="preserve"> ROA at 124. Her assertion that "McKerley ran a segregated assembly line," Appellant's Br. 25, is therefore devoid of any factual support, </w:t>
      </w:r>
      <w:r>
        <w:rPr>
          <w:rFonts w:ascii="Arial" w:eastAsia="Arial" w:hAnsi="Arial" w:cs="Arial"/>
          <w:i/>
          <w:color w:val="000000"/>
          <w:sz w:val="20"/>
        </w:rPr>
        <w:t xml:space="preserve">see </w:t>
      </w:r>
      <w:bookmarkStart w:id="4793" w:name="Bookmark_I5282BMP0N5Y950030000400"/>
      <w:bookmarkEnd w:id="4793"/>
      <w:r>
        <w:rPr>
          <w:rFonts w:ascii="Arial" w:eastAsia="Arial" w:hAnsi="Arial" w:cs="Arial"/>
          <w:i/>
          <w:color w:val="000000"/>
          <w:sz w:val="20"/>
        </w:rPr>
        <w:t>Celotex</w:t>
      </w:r>
      <w:r>
        <w:rPr>
          <w:rFonts w:ascii="Arial" w:eastAsia="Arial" w:hAnsi="Arial" w:cs="Arial"/>
          <w:color w:val="000000"/>
          <w:sz w:val="20"/>
        </w:rPr>
        <w:t xml:space="preserve">, 477 U.S. at 332-33; </w:t>
      </w:r>
      <w:bookmarkStart w:id="4794" w:name="Bookmark_I5282BMP0N5Y950050000400"/>
      <w:bookmarkEnd w:id="4794"/>
      <w:r>
        <w:rPr>
          <w:rFonts w:ascii="Arial" w:eastAsia="Arial" w:hAnsi="Arial" w:cs="Arial"/>
          <w:i/>
          <w:color w:val="000000"/>
          <w:sz w:val="20"/>
        </w:rPr>
        <w:t>Anderson</w:t>
      </w:r>
      <w:r>
        <w:rPr>
          <w:rFonts w:ascii="Arial" w:eastAsia="Arial" w:hAnsi="Arial" w:cs="Arial"/>
          <w:color w:val="000000"/>
          <w:sz w:val="20"/>
        </w:rPr>
        <w:t>, 477 U.S. at 256. A blanket but unsupported claim of there being "a segregated assembly line" falls short of establishing the requisite facts to survive a motion for summary judgment.</w:t>
      </w:r>
    </w:p>
    <w:p w14:paraId="4A481879" w14:textId="77777777" w:rsidR="00D041A2" w:rsidRDefault="00000000">
      <w:pPr>
        <w:pStyle w:val="Normal36"/>
        <w:widowControl w:val="0"/>
        <w:spacing w:before="200" w:line="260" w:lineRule="atLeast"/>
        <w:jc w:val="both"/>
      </w:pPr>
      <w:bookmarkStart w:id="4795" w:name="Bookmark_para_41_12"/>
      <w:bookmarkEnd w:id="4795"/>
      <w:r>
        <w:rPr>
          <w:rFonts w:ascii="Arial" w:eastAsia="Arial" w:hAnsi="Arial" w:cs="Arial"/>
          <w:color w:val="000000"/>
          <w:sz w:val="20"/>
        </w:rPr>
        <w:t xml:space="preserve"> [*641]  </w:t>
      </w:r>
      <w:bookmarkStart w:id="4796" w:name="Bookmark_I5282BMP0N5Y990050000400"/>
      <w:bookmarkEnd w:id="4796"/>
      <w:r>
        <w:rPr>
          <w:rFonts w:ascii="Arial" w:eastAsia="Arial" w:hAnsi="Arial" w:cs="Arial"/>
          <w:color w:val="000000"/>
          <w:sz w:val="20"/>
        </w:rPr>
        <w:t xml:space="preserve">Steward has nothing else to support this claim, whether as a matter of mere labels or supported facts. </w:t>
      </w:r>
      <w:r>
        <w:rPr>
          <w:rFonts w:ascii="Arial" w:eastAsia="Arial" w:hAnsi="Arial" w:cs="Arial"/>
          <w:vertAlign w:val="superscript"/>
        </w:rPr>
        <w:footnoteReference w:customMarkFollows="1" w:id="228"/>
        <w:t>6</w:t>
      </w:r>
      <w:r>
        <w:rPr>
          <w:rFonts w:ascii="Arial" w:eastAsia="Arial" w:hAnsi="Arial" w:cs="Arial"/>
          <w:color w:val="000000"/>
          <w:sz w:val="20"/>
        </w:rPr>
        <w:t xml:space="preserve"> She does not allege that </w:t>
      </w:r>
      <w:r>
        <w:rPr>
          <w:rFonts w:ascii="Arial" w:eastAsia="Arial" w:hAnsi="Arial" w:cs="Arial"/>
          <w:i/>
          <w:color w:val="000000"/>
          <w:sz w:val="20"/>
        </w:rPr>
        <w:t>she</w:t>
      </w:r>
      <w:r>
        <w:rPr>
          <w:rFonts w:ascii="Arial" w:eastAsia="Arial" w:hAnsi="Arial" w:cs="Arial"/>
          <w:color w:val="000000"/>
          <w:sz w:val="20"/>
        </w:rPr>
        <w:t xml:space="preserve"> was given more difficult work than white employees during this time; indeed, she testified that her physical restrictions sharply limited the range of work that she could perform and that she had a full-time assistant to help her. She does not allege that her salary, title, or benefits were negatively affected during this time—or at any other—on account of her race. She does not allege that any specific racial comments were made, or that any specific incidents of harassment occurred, during this period of time. </w:t>
      </w:r>
      <w:r>
        <w:rPr>
          <w:rFonts w:ascii="Arial" w:eastAsia="Arial" w:hAnsi="Arial" w:cs="Arial"/>
          <w:vertAlign w:val="superscript"/>
        </w:rPr>
        <w:footnoteReference w:customMarkFollows="1" w:id="229"/>
        <w:t>7</w:t>
      </w:r>
    </w:p>
    <w:p w14:paraId="4ADFA4F6" w14:textId="77777777" w:rsidR="00D041A2" w:rsidRDefault="00000000">
      <w:pPr>
        <w:pStyle w:val="Normal36"/>
        <w:widowControl w:val="0"/>
        <w:spacing w:before="200" w:line="260" w:lineRule="atLeast"/>
        <w:jc w:val="both"/>
      </w:pPr>
      <w:bookmarkStart w:id="4805" w:name="Bookmark_para_42_11"/>
      <w:bookmarkEnd w:id="4805"/>
      <w:r>
        <w:rPr>
          <w:rFonts w:ascii="Arial" w:eastAsia="Arial" w:hAnsi="Arial" w:cs="Arial"/>
          <w:color w:val="000000"/>
          <w:sz w:val="20"/>
        </w:rPr>
        <w:t xml:space="preserve">Because Steward cannot demonstrate an adverse employment  [**26] action, she cannot establish a </w:t>
      </w:r>
      <w:r>
        <w:rPr>
          <w:rFonts w:ascii="Arial" w:eastAsia="Arial" w:hAnsi="Arial" w:cs="Arial"/>
          <w:i/>
          <w:color w:val="000000"/>
          <w:sz w:val="20"/>
        </w:rPr>
        <w:t>prima facie</w:t>
      </w:r>
      <w:r>
        <w:rPr>
          <w:rFonts w:ascii="Arial" w:eastAsia="Arial" w:hAnsi="Arial" w:cs="Arial"/>
          <w:color w:val="000000"/>
          <w:sz w:val="20"/>
        </w:rPr>
        <w:t xml:space="preserve"> case of race discrimination, and the district court did not err by granting Chrysler summary judgment with respect to Steward's ELCRA claim.</w:t>
      </w:r>
    </w:p>
    <w:p w14:paraId="00C84464" w14:textId="77777777" w:rsidR="00D041A2" w:rsidRDefault="00000000">
      <w:pPr>
        <w:pStyle w:val="Normal36"/>
        <w:widowControl w:val="0"/>
        <w:spacing w:before="240" w:line="260" w:lineRule="atLeast"/>
      </w:pPr>
      <w:r>
        <w:br/>
      </w:r>
      <w:r>
        <w:rPr>
          <w:rFonts w:ascii="Arial" w:eastAsia="Arial" w:hAnsi="Arial" w:cs="Arial"/>
          <w:b/>
          <w:color w:val="000000"/>
          <w:sz w:val="20"/>
        </w:rPr>
        <w:t>3.</w:t>
      </w:r>
      <w:r>
        <w:rPr>
          <w:rFonts w:ascii="Arial" w:eastAsia="Arial" w:hAnsi="Arial" w:cs="Arial"/>
          <w:b/>
          <w:i/>
          <w:color w:val="000000"/>
          <w:sz w:val="20"/>
        </w:rPr>
        <w:t>Disability-Discrimination Claims</w:t>
      </w:r>
    </w:p>
    <w:p w14:paraId="1DF46DB2" w14:textId="77777777" w:rsidR="00D041A2" w:rsidRDefault="00000000">
      <w:pPr>
        <w:pStyle w:val="Normal36"/>
        <w:widowControl w:val="0"/>
        <w:spacing w:before="200" w:line="260" w:lineRule="atLeast"/>
        <w:jc w:val="both"/>
      </w:pPr>
      <w:bookmarkStart w:id="4806" w:name="Bookmark_para_43_11"/>
      <w:bookmarkStart w:id="4807" w:name="Bookmark_I5282BMP0N5Y9H0030000400"/>
      <w:bookmarkStart w:id="4808" w:name="Bookmark_LNHNREFclscc13_16"/>
      <w:bookmarkEnd w:id="4806"/>
      <w:bookmarkEnd w:id="4807"/>
      <w:bookmarkEnd w:id="4808"/>
      <w:r>
        <w:rPr>
          <w:rFonts w:ascii="Arial" w:eastAsia="Arial" w:hAnsi="Arial" w:cs="Arial"/>
          <w:color w:val="000000"/>
          <w:sz w:val="20"/>
        </w:rPr>
        <w:t xml:space="preserve">The ADA provides that employers may not "discriminate against a qualified individual on the basis of disability" and states that such discrimination includes "not making reasonable accommodations" for a disabled employee. 42 U.S.C. § 12112(a), (b)(5)(A). Michigan's PWDCRA, Mich. Comp. Laws § 37.1102(1)—(2), "substantially mirrors" the ADA, and claims under both statutes are generally analyzed identically, </w:t>
      </w:r>
      <w:bookmarkStart w:id="4809" w:name="Bookmark_I5282BMP0N5Y9H0020000400"/>
      <w:bookmarkEnd w:id="4809"/>
      <w:r>
        <w:rPr>
          <w:rFonts w:ascii="Arial" w:eastAsia="Arial" w:hAnsi="Arial" w:cs="Arial"/>
          <w:i/>
          <w:color w:val="000000"/>
          <w:sz w:val="20"/>
        </w:rPr>
        <w:t>Cotter v. Ajilon Servs., Inc.</w:t>
      </w:r>
      <w:r>
        <w:rPr>
          <w:rFonts w:ascii="Arial" w:eastAsia="Arial" w:hAnsi="Arial" w:cs="Arial"/>
          <w:color w:val="000000"/>
          <w:sz w:val="20"/>
        </w:rPr>
        <w:t xml:space="preserve">, 287 F.3d 593, 597 (6th Cir. 2002). </w:t>
      </w:r>
      <w:r>
        <w:rPr>
          <w:rFonts w:ascii="Arial" w:eastAsia="Arial" w:hAnsi="Arial" w:cs="Arial"/>
          <w:vertAlign w:val="superscript"/>
        </w:rPr>
        <w:footnoteReference w:customMarkFollows="1" w:id="230"/>
        <w:t>8</w:t>
      </w:r>
    </w:p>
    <w:p w14:paraId="45211670" w14:textId="77777777" w:rsidR="00D041A2" w:rsidRDefault="00000000">
      <w:pPr>
        <w:pStyle w:val="Normal36"/>
        <w:widowControl w:val="0"/>
        <w:spacing w:before="200" w:line="260" w:lineRule="atLeast"/>
        <w:jc w:val="both"/>
      </w:pPr>
      <w:bookmarkStart w:id="4813" w:name="Bookmark_para_44_11"/>
      <w:bookmarkStart w:id="4814" w:name="Bookmark_I71N19XP4KN00002RKN0031G"/>
      <w:bookmarkStart w:id="4815" w:name="Bookmark_I71N19XP83100002RKN0031H"/>
      <w:bookmarkStart w:id="4816" w:name="Bookmark_I5282BMP0N5Y9M0020000400"/>
      <w:bookmarkStart w:id="4817" w:name="Bookmark_LNHNREFclscc14_15"/>
      <w:bookmarkEnd w:id="4813"/>
      <w:bookmarkEnd w:id="4814"/>
      <w:bookmarkEnd w:id="4815"/>
      <w:bookmarkEnd w:id="4816"/>
      <w:bookmarkEnd w:id="4817"/>
      <w:r>
        <w:rPr>
          <w:rFonts w:ascii="Arial" w:eastAsia="Arial" w:hAnsi="Arial" w:cs="Arial"/>
          <w:color w:val="000000"/>
          <w:sz w:val="20"/>
        </w:rPr>
        <w:t xml:space="preserve">To make out a </w:t>
      </w:r>
      <w:r>
        <w:rPr>
          <w:rFonts w:ascii="Arial" w:eastAsia="Arial" w:hAnsi="Arial" w:cs="Arial"/>
          <w:i/>
          <w:color w:val="000000"/>
          <w:sz w:val="20"/>
        </w:rPr>
        <w:t>prima facie</w:t>
      </w:r>
      <w:r>
        <w:rPr>
          <w:rFonts w:ascii="Arial" w:eastAsia="Arial" w:hAnsi="Arial" w:cs="Arial"/>
          <w:color w:val="000000"/>
          <w:sz w:val="20"/>
        </w:rPr>
        <w:t xml:space="preserve"> case of disability discrimination, Steward must establish "(1) that she . . . is an individual with a disability[;] (2) who was otherwise qualified to perform [her] job's requirements, with or without reasonable accommodation; and (3) who was discriminated against solely because of the disability." </w:t>
      </w:r>
      <w:bookmarkStart w:id="4818" w:name="Bookmark_I5282BMP0N5Y9M0010000400"/>
      <w:bookmarkEnd w:id="4818"/>
      <w:r>
        <w:rPr>
          <w:rFonts w:ascii="Arial" w:eastAsia="Arial" w:hAnsi="Arial" w:cs="Arial"/>
          <w:i/>
          <w:color w:val="000000"/>
          <w:sz w:val="20"/>
        </w:rPr>
        <w:t>Spees v. James Marine, Inc.</w:t>
      </w:r>
      <w:r>
        <w:rPr>
          <w:rFonts w:ascii="Arial" w:eastAsia="Arial" w:hAnsi="Arial" w:cs="Arial"/>
          <w:color w:val="000000"/>
          <w:sz w:val="20"/>
        </w:rPr>
        <w:t xml:space="preserve">, 617 F.3d 380, 2010 WL 3119969, at * 13 (6th Cir. 2010) (quoting </w:t>
      </w:r>
      <w:bookmarkStart w:id="4819" w:name="Bookmark_I5282BMP0N5Y9M0030000400"/>
      <w:bookmarkEnd w:id="4819"/>
      <w:r>
        <w:rPr>
          <w:rFonts w:ascii="Arial" w:eastAsia="Arial" w:hAnsi="Arial" w:cs="Arial"/>
          <w:i/>
          <w:color w:val="000000"/>
          <w:sz w:val="20"/>
        </w:rPr>
        <w:t>Talley v. Family Dollar Stores of Ohio, Inc.</w:t>
      </w:r>
      <w:r>
        <w:rPr>
          <w:rFonts w:ascii="Arial" w:eastAsia="Arial" w:hAnsi="Arial" w:cs="Arial"/>
          <w:color w:val="000000"/>
          <w:sz w:val="20"/>
        </w:rPr>
        <w:t xml:space="preserve">, 542 F.3d 1099, 1105 (6th Cir. 2008)). We assume </w:t>
      </w:r>
      <w:r>
        <w:rPr>
          <w:rFonts w:ascii="Arial" w:eastAsia="Arial" w:hAnsi="Arial" w:cs="Arial"/>
          <w:i/>
          <w:color w:val="000000"/>
          <w:sz w:val="20"/>
        </w:rPr>
        <w:t>arguendo</w:t>
      </w:r>
      <w:r>
        <w:rPr>
          <w:rFonts w:ascii="Arial" w:eastAsia="Arial" w:hAnsi="Arial" w:cs="Arial"/>
          <w:color w:val="000000"/>
          <w:sz w:val="20"/>
        </w:rPr>
        <w:t xml:space="preserve"> that Steward is "disabled" within the meaning of the ADA and that she was placed on paid layoff solely because of her disability.</w:t>
      </w:r>
    </w:p>
    <w:p w14:paraId="2166A4B0" w14:textId="77777777" w:rsidR="00D041A2" w:rsidRDefault="00000000">
      <w:pPr>
        <w:pStyle w:val="Normal36"/>
        <w:widowControl w:val="0"/>
        <w:spacing w:before="200" w:line="260" w:lineRule="atLeast"/>
        <w:jc w:val="both"/>
      </w:pPr>
      <w:bookmarkStart w:id="4820" w:name="Bookmark_para_45_11"/>
      <w:bookmarkEnd w:id="4820"/>
      <w:r>
        <w:rPr>
          <w:rFonts w:ascii="Arial" w:eastAsia="Arial" w:hAnsi="Arial" w:cs="Arial"/>
          <w:color w:val="000000"/>
          <w:sz w:val="20"/>
        </w:rPr>
        <w:t xml:space="preserve">Steward does not argue that she was capable of performing her job </w:t>
      </w:r>
      <w:r>
        <w:rPr>
          <w:rFonts w:ascii="Arial" w:eastAsia="Arial" w:hAnsi="Arial" w:cs="Arial"/>
          <w:i/>
          <w:color w:val="000000"/>
          <w:sz w:val="20"/>
        </w:rPr>
        <w:t>without</w:t>
      </w:r>
      <w:r>
        <w:rPr>
          <w:rFonts w:ascii="Arial" w:eastAsia="Arial" w:hAnsi="Arial" w:cs="Arial"/>
          <w:color w:val="000000"/>
          <w:sz w:val="20"/>
        </w:rPr>
        <w:t xml:space="preserve"> accommodation. </w:t>
      </w:r>
      <w:bookmarkStart w:id="4821" w:name="Bookmark_I5282BMP0N5Y9R0010000400"/>
      <w:bookmarkEnd w:id="4821"/>
      <w:r>
        <w:rPr>
          <w:rFonts w:ascii="Arial" w:eastAsia="Arial" w:hAnsi="Arial" w:cs="Arial"/>
          <w:color w:val="000000"/>
          <w:sz w:val="20"/>
        </w:rPr>
        <w:t xml:space="preserve">Rather, her complaint is that she could have performed her job  [*642]  with reasonable accommodation and that Chrysler refused to accommodate her. </w:t>
      </w:r>
      <w:r>
        <w:rPr>
          <w:rFonts w:ascii="Arial" w:eastAsia="Arial" w:hAnsi="Arial" w:cs="Arial"/>
          <w:i/>
          <w:color w:val="000000"/>
          <w:sz w:val="20"/>
        </w:rPr>
        <w:t>See</w:t>
      </w:r>
      <w:r>
        <w:rPr>
          <w:rFonts w:ascii="Arial" w:eastAsia="Arial" w:hAnsi="Arial" w:cs="Arial"/>
          <w:color w:val="000000"/>
          <w:sz w:val="20"/>
        </w:rPr>
        <w:t xml:space="preserve"> Appellant's Br. at 17, 29-31. </w:t>
      </w:r>
      <w:bookmarkStart w:id="4822" w:name="Bookmark_I5282BMP0N5Y9R0050000400"/>
      <w:bookmarkStart w:id="4823" w:name="Bookmark_LNHNREFclscc15_14"/>
      <w:bookmarkEnd w:id="4822"/>
      <w:bookmarkEnd w:id="4823"/>
      <w:r>
        <w:rPr>
          <w:rFonts w:ascii="Arial" w:eastAsia="Arial" w:hAnsi="Arial" w:cs="Arial"/>
          <w:color w:val="000000"/>
          <w:sz w:val="20"/>
        </w:rPr>
        <w:t xml:space="preserve">Under the ADA, "[t]he plaintiff . . . </w:t>
      </w:r>
      <w:bookmarkStart w:id="4824" w:name="Bookmark_I5282BMR0N5Y9V0040000400"/>
      <w:bookmarkEnd w:id="4824"/>
      <w:r>
        <w:rPr>
          <w:rFonts w:ascii="Arial" w:eastAsia="Arial" w:hAnsi="Arial" w:cs="Arial"/>
          <w:color w:val="000000"/>
          <w:sz w:val="20"/>
        </w:rPr>
        <w:t xml:space="preserve">'bears the initial burden of proposing an accommodation and showing that </w:t>
      </w:r>
      <w:r>
        <w:rPr>
          <w:rFonts w:ascii="Arial" w:eastAsia="Arial" w:hAnsi="Arial" w:cs="Arial"/>
          <w:i/>
          <w:color w:val="000000"/>
          <w:sz w:val="20"/>
        </w:rPr>
        <w:t>that</w:t>
      </w:r>
      <w:r>
        <w:rPr>
          <w:rFonts w:ascii="Arial" w:eastAsia="Arial" w:hAnsi="Arial" w:cs="Arial"/>
          <w:color w:val="000000"/>
          <w:sz w:val="20"/>
        </w:rPr>
        <w:t xml:space="preserve"> accommodation is objectively reasonable.'" </w:t>
      </w:r>
      <w:bookmarkStart w:id="4825" w:name="Bookmark_I5282BMP0N5Y9M0050000400"/>
      <w:bookmarkEnd w:id="4825"/>
      <w:r>
        <w:rPr>
          <w:rFonts w:ascii="Arial" w:eastAsia="Arial" w:hAnsi="Arial" w:cs="Arial"/>
          <w:i/>
          <w:color w:val="000000"/>
          <w:sz w:val="20"/>
        </w:rPr>
        <w:t>Johnson v. Cleveland City Sch. Dist.</w:t>
      </w:r>
      <w:r>
        <w:rPr>
          <w:rFonts w:ascii="Arial" w:eastAsia="Arial" w:hAnsi="Arial" w:cs="Arial"/>
          <w:color w:val="000000"/>
          <w:sz w:val="20"/>
        </w:rPr>
        <w:t>, 344 F. App'x 104, 111 (6th Cir. 2009) (quoting  [**28] </w:t>
      </w:r>
      <w:bookmarkStart w:id="4826" w:name="Bookmark_I5282BMP0N5Y9R0020000400"/>
      <w:bookmarkEnd w:id="4826"/>
      <w:r>
        <w:rPr>
          <w:rFonts w:ascii="Arial" w:eastAsia="Arial" w:hAnsi="Arial" w:cs="Arial"/>
          <w:i/>
          <w:color w:val="000000"/>
          <w:sz w:val="20"/>
        </w:rPr>
        <w:t>Kleiber v. Honda of Am. Mfg., Inc.</w:t>
      </w:r>
      <w:r>
        <w:rPr>
          <w:rFonts w:ascii="Arial" w:eastAsia="Arial" w:hAnsi="Arial" w:cs="Arial"/>
          <w:color w:val="000000"/>
          <w:sz w:val="20"/>
        </w:rPr>
        <w:t xml:space="preserve">, 485 F.3d 862, 870 (6th Cir. 2007)). </w:t>
      </w:r>
      <w:bookmarkStart w:id="4827" w:name="Bookmark_I5282BMR0N5Y9V0040000400_2"/>
      <w:bookmarkStart w:id="4828" w:name="Bookmark_I5282BMP0N5Y9R0050000400_2"/>
      <w:bookmarkEnd w:id="4827"/>
      <w:bookmarkEnd w:id="4828"/>
      <w:r>
        <w:rPr>
          <w:rFonts w:ascii="Arial" w:eastAsia="Arial" w:hAnsi="Arial" w:cs="Arial"/>
          <w:color w:val="000000"/>
          <w:sz w:val="20"/>
        </w:rPr>
        <w:t xml:space="preserve">As part of this initial burden, the plaintiff must show "that the [proposed] accommodation is reasonable in the sense both of efficacious and of proportional to costs." </w:t>
      </w:r>
      <w:bookmarkStart w:id="4829" w:name="Bookmark_I5282BMP0N5Y9R0040000400"/>
      <w:bookmarkEnd w:id="4829"/>
      <w:r>
        <w:rPr>
          <w:rFonts w:ascii="Arial" w:eastAsia="Arial" w:hAnsi="Arial" w:cs="Arial"/>
          <w:i/>
          <w:color w:val="000000"/>
          <w:sz w:val="20"/>
        </w:rPr>
        <w:t>Monette v. Elec. Data Sys. Corp.</w:t>
      </w:r>
      <w:r>
        <w:rPr>
          <w:rFonts w:ascii="Arial" w:eastAsia="Arial" w:hAnsi="Arial" w:cs="Arial"/>
          <w:color w:val="000000"/>
          <w:sz w:val="20"/>
        </w:rPr>
        <w:t xml:space="preserve">, 90 F.3d 1173, 1183 (6th Cir. 1996) (quoting </w:t>
      </w:r>
      <w:bookmarkStart w:id="4830" w:name="Bookmark_I5282BMR0N5Y9V0010000400"/>
      <w:bookmarkEnd w:id="4830"/>
      <w:r>
        <w:rPr>
          <w:rFonts w:ascii="Arial" w:eastAsia="Arial" w:hAnsi="Arial" w:cs="Arial"/>
          <w:i/>
          <w:color w:val="000000"/>
          <w:sz w:val="20"/>
        </w:rPr>
        <w:t>Vande Zande v. Wisc. Dep't of Admin.</w:t>
      </w:r>
      <w:r>
        <w:rPr>
          <w:rFonts w:ascii="Arial" w:eastAsia="Arial" w:hAnsi="Arial" w:cs="Arial"/>
          <w:color w:val="000000"/>
          <w:sz w:val="20"/>
        </w:rPr>
        <w:t xml:space="preserve">, 44 F.3d 538, 543 (7th Cir. 1995)). The plaintiff must also "show that [s]he requested the specific accommodation; a plaintiff may not rely on accommodations that [s]he did not request." </w:t>
      </w:r>
      <w:bookmarkStart w:id="4831" w:name="Bookmark_I5282BMR0N5Y9V0030000400"/>
      <w:bookmarkEnd w:id="4831"/>
      <w:r>
        <w:rPr>
          <w:rFonts w:ascii="Arial" w:eastAsia="Arial" w:hAnsi="Arial" w:cs="Arial"/>
          <w:i/>
          <w:color w:val="000000"/>
          <w:sz w:val="20"/>
        </w:rPr>
        <w:t>Manigan v. Southwest Ohio Reg'l Transit Auth.</w:t>
      </w:r>
      <w:r>
        <w:rPr>
          <w:rFonts w:ascii="Arial" w:eastAsia="Arial" w:hAnsi="Arial" w:cs="Arial"/>
          <w:color w:val="000000"/>
          <w:sz w:val="20"/>
        </w:rPr>
        <w:t xml:space="preserve">, 385 Fed. Appx. 472, 2010 WL 2776955, at *6 n.5 (6th Cir. 2010) (citing </w:t>
      </w:r>
      <w:bookmarkStart w:id="4832" w:name="Bookmark_I5282BMR0N5Y9V0050000400"/>
      <w:bookmarkEnd w:id="4832"/>
      <w:r>
        <w:rPr>
          <w:rFonts w:ascii="Arial" w:eastAsia="Arial" w:hAnsi="Arial" w:cs="Arial"/>
          <w:i/>
          <w:color w:val="000000"/>
          <w:sz w:val="20"/>
        </w:rPr>
        <w:t>Virts v. Consol. Freightways Corp. of Del.</w:t>
      </w:r>
      <w:r>
        <w:rPr>
          <w:rFonts w:ascii="Arial" w:eastAsia="Arial" w:hAnsi="Arial" w:cs="Arial"/>
          <w:color w:val="000000"/>
          <w:sz w:val="20"/>
        </w:rPr>
        <w:t xml:space="preserve">, 285 F.3d 508, 518 (6th Cir. 2002)); </w:t>
      </w:r>
      <w:r>
        <w:rPr>
          <w:rFonts w:ascii="Arial" w:eastAsia="Arial" w:hAnsi="Arial" w:cs="Arial"/>
          <w:i/>
          <w:color w:val="000000"/>
          <w:sz w:val="20"/>
        </w:rPr>
        <w:t xml:space="preserve">see also </w:t>
      </w:r>
      <w:bookmarkStart w:id="4833" w:name="Bookmark_I5282BMR0N5Y9X0020000400"/>
      <w:bookmarkEnd w:id="4833"/>
      <w:r>
        <w:rPr>
          <w:rFonts w:ascii="Arial" w:eastAsia="Arial" w:hAnsi="Arial" w:cs="Arial"/>
          <w:i/>
          <w:color w:val="000000"/>
          <w:sz w:val="20"/>
        </w:rPr>
        <w:t>Burns v. Coca-Cola Enters., Inc.</w:t>
      </w:r>
      <w:r>
        <w:rPr>
          <w:rFonts w:ascii="Arial" w:eastAsia="Arial" w:hAnsi="Arial" w:cs="Arial"/>
          <w:color w:val="000000"/>
          <w:sz w:val="20"/>
        </w:rPr>
        <w:t>, 222 F.3d 247, 258 (6th Cir. 2000).</w:t>
      </w:r>
    </w:p>
    <w:p w14:paraId="79C8B592" w14:textId="77777777" w:rsidR="00D041A2" w:rsidRDefault="00000000">
      <w:pPr>
        <w:pStyle w:val="Normal36"/>
        <w:widowControl w:val="0"/>
        <w:spacing w:before="200" w:line="260" w:lineRule="atLeast"/>
        <w:jc w:val="both"/>
      </w:pPr>
      <w:bookmarkStart w:id="4834" w:name="Bookmark_para_46_10"/>
      <w:bookmarkStart w:id="4835" w:name="Bookmark_I5282BMR0N5Y9X0050000400"/>
      <w:bookmarkStart w:id="4836" w:name="Bookmark_I5282BMR0N5YB10020000400"/>
      <w:bookmarkStart w:id="4837" w:name="Bookmark_LNHNREFclscc16_11"/>
      <w:bookmarkEnd w:id="4834"/>
      <w:bookmarkEnd w:id="4835"/>
      <w:bookmarkEnd w:id="4836"/>
      <w:bookmarkEnd w:id="4837"/>
      <w:r>
        <w:rPr>
          <w:rFonts w:ascii="Arial" w:eastAsia="Arial" w:hAnsi="Arial" w:cs="Arial"/>
          <w:color w:val="000000"/>
          <w:sz w:val="20"/>
        </w:rPr>
        <w:t>The ADA provides that "reasonable accommodation" may include "job restructuring, part-time or modified work schedules, reassignment to a vacant position, acquisition or modification of equipment or devices . . . and other similar accommodations . . . ." 42 U.S.C. § 12111(9). However, while "job restructuring" is a reasonable accommodation, this term "only pertains to the restructuring of</w:t>
      </w:r>
      <w:r>
        <w:rPr>
          <w:rFonts w:ascii="Arial" w:eastAsia="Arial" w:hAnsi="Arial" w:cs="Arial"/>
          <w:i/>
          <w:color w:val="000000"/>
          <w:sz w:val="20"/>
        </w:rPr>
        <w:t xml:space="preserve"> non-essential</w:t>
      </w:r>
      <w:r>
        <w:rPr>
          <w:rFonts w:ascii="Arial" w:eastAsia="Arial" w:hAnsi="Arial" w:cs="Arial"/>
          <w:color w:val="000000"/>
          <w:sz w:val="20"/>
        </w:rPr>
        <w:t xml:space="preserve">  [**29] duties or marginal functions of a job." </w:t>
      </w:r>
      <w:bookmarkStart w:id="4838" w:name="Bookmark_I5282BMR0N5Y9X0040000400"/>
      <w:bookmarkEnd w:id="4838"/>
      <w:r>
        <w:rPr>
          <w:rFonts w:ascii="Arial" w:eastAsia="Arial" w:hAnsi="Arial" w:cs="Arial"/>
          <w:i/>
          <w:color w:val="000000"/>
          <w:sz w:val="20"/>
        </w:rPr>
        <w:t>Bratten v. SSI Servs., Inc.</w:t>
      </w:r>
      <w:r>
        <w:rPr>
          <w:rFonts w:ascii="Arial" w:eastAsia="Arial" w:hAnsi="Arial" w:cs="Arial"/>
          <w:color w:val="000000"/>
          <w:sz w:val="20"/>
        </w:rPr>
        <w:t xml:space="preserve">, 185 F.3d 625, 632 (6th Cir. 1999) (emphasis added). Moreover, the duty of "reasonable accommodation" does not require an employer to "creat[e] a new job, mov[e] another employee, promot[e] the disabled employee, or violat[e] another employee's rights under a collective bargaining agreement." </w:t>
      </w:r>
      <w:bookmarkStart w:id="4839" w:name="Bookmark_I5282BMR0N5YB10010000400"/>
      <w:bookmarkEnd w:id="4839"/>
      <w:r>
        <w:rPr>
          <w:rFonts w:ascii="Arial" w:eastAsia="Arial" w:hAnsi="Arial" w:cs="Arial"/>
          <w:i/>
          <w:color w:val="000000"/>
          <w:sz w:val="20"/>
        </w:rPr>
        <w:t>Cassidy v. Detroit Edison Co.</w:t>
      </w:r>
      <w:r>
        <w:rPr>
          <w:rFonts w:ascii="Arial" w:eastAsia="Arial" w:hAnsi="Arial" w:cs="Arial"/>
          <w:color w:val="000000"/>
          <w:sz w:val="20"/>
        </w:rPr>
        <w:t xml:space="preserve">, 138 F.3d 629, 634 (6th Cir. 1998); </w:t>
      </w:r>
      <w:r>
        <w:rPr>
          <w:rFonts w:ascii="Arial" w:eastAsia="Arial" w:hAnsi="Arial" w:cs="Arial"/>
          <w:i/>
          <w:color w:val="000000"/>
          <w:sz w:val="20"/>
        </w:rPr>
        <w:t xml:space="preserve">see also </w:t>
      </w:r>
      <w:bookmarkStart w:id="4840" w:name="Bookmark_I5282BMR0N5YB10030000400"/>
      <w:bookmarkEnd w:id="4840"/>
      <w:r>
        <w:rPr>
          <w:rFonts w:ascii="Arial" w:eastAsia="Arial" w:hAnsi="Arial" w:cs="Arial"/>
          <w:i/>
          <w:color w:val="000000"/>
          <w:sz w:val="20"/>
        </w:rPr>
        <w:t>Burns</w:t>
      </w:r>
      <w:r>
        <w:rPr>
          <w:rFonts w:ascii="Arial" w:eastAsia="Arial" w:hAnsi="Arial" w:cs="Arial"/>
          <w:color w:val="000000"/>
          <w:sz w:val="20"/>
        </w:rPr>
        <w:t>, 222 F.3d at 257 ("Employers are not required to create new jobs, displace existing employees from their positions, or violate other employees' rights under a collective bargaining agreement or other non-discriminatory [company] policy.").</w:t>
      </w:r>
    </w:p>
    <w:p w14:paraId="23EAA6BD" w14:textId="77777777" w:rsidR="00D041A2" w:rsidRDefault="00000000">
      <w:pPr>
        <w:pStyle w:val="Normal36"/>
        <w:widowControl w:val="0"/>
        <w:spacing w:before="200" w:line="260" w:lineRule="atLeast"/>
        <w:jc w:val="both"/>
      </w:pPr>
      <w:bookmarkStart w:id="4841" w:name="Bookmark_para_47_9"/>
      <w:bookmarkStart w:id="4842" w:name="Bookmark_I5282BMR0N5YB30010000400"/>
      <w:bookmarkEnd w:id="4841"/>
      <w:bookmarkEnd w:id="4842"/>
      <w:r>
        <w:rPr>
          <w:rFonts w:ascii="Arial" w:eastAsia="Arial" w:hAnsi="Arial" w:cs="Arial"/>
          <w:color w:val="000000"/>
          <w:sz w:val="20"/>
        </w:rPr>
        <w:t xml:space="preserve">Steward argues that she could have been accommodated by the continued assistance of a full-time helper. However, as a matter of law, the duty of reasonable accommodation did not require Chrysler to provide a full-time assistant to help Steward perform essential tasks of her job installing windshield frames. "Courts have continuously found that </w:t>
      </w:r>
      <w:bookmarkStart w:id="4843" w:name="Bookmark_LNHNREFclscc17_10"/>
      <w:bookmarkEnd w:id="4843"/>
      <w:r>
        <w:rPr>
          <w:rFonts w:ascii="Arial" w:eastAsia="Arial" w:hAnsi="Arial" w:cs="Arial"/>
          <w:color w:val="000000"/>
          <w:sz w:val="20"/>
        </w:rPr>
        <w:t xml:space="preserve">employers are not required to assign existing employees or hire new employees to perform [essential] functions or duties of a disabled employee's job which the employee cannot  [**30] perform by virtue of his disability." </w:t>
      </w:r>
      <w:bookmarkStart w:id="4844" w:name="Bookmark_I5282BMR0N5YB10050000400"/>
      <w:bookmarkEnd w:id="4844"/>
      <w:r>
        <w:rPr>
          <w:rFonts w:ascii="Arial" w:eastAsia="Arial" w:hAnsi="Arial" w:cs="Arial"/>
          <w:i/>
          <w:color w:val="000000"/>
          <w:sz w:val="20"/>
        </w:rPr>
        <w:t>Bratten</w:t>
      </w:r>
      <w:r>
        <w:rPr>
          <w:rFonts w:ascii="Arial" w:eastAsia="Arial" w:hAnsi="Arial" w:cs="Arial"/>
          <w:color w:val="000000"/>
          <w:sz w:val="20"/>
        </w:rPr>
        <w:t xml:space="preserve">, 185 F.3d at 632 (holding that "allowing co-workers to perform as much as 20% of the essential automotive mechanic duties" for disabled employee was not reasonable accommodation); </w:t>
      </w:r>
      <w:r>
        <w:rPr>
          <w:rFonts w:ascii="Arial" w:eastAsia="Arial" w:hAnsi="Arial" w:cs="Arial"/>
          <w:i/>
          <w:color w:val="000000"/>
          <w:sz w:val="20"/>
        </w:rPr>
        <w:t xml:space="preserve">see also </w:t>
      </w:r>
      <w:bookmarkStart w:id="4845" w:name="Bookmark_I5282BMR0N5YB30020000400"/>
      <w:bookmarkEnd w:id="4845"/>
      <w:r>
        <w:rPr>
          <w:rFonts w:ascii="Arial" w:eastAsia="Arial" w:hAnsi="Arial" w:cs="Arial"/>
          <w:i/>
          <w:color w:val="000000"/>
          <w:sz w:val="20"/>
        </w:rPr>
        <w:t>Gilbert v. Frank</w:t>
      </w:r>
      <w:r>
        <w:rPr>
          <w:rFonts w:ascii="Arial" w:eastAsia="Arial" w:hAnsi="Arial" w:cs="Arial"/>
          <w:color w:val="000000"/>
          <w:sz w:val="20"/>
        </w:rPr>
        <w:t>, 949 F.2d 637, 644 (2d Cir. 1991) (having co-workers perform essential lifting tasks of disabled employee's job not reasonable accommodation). Steward does not argue that her full-time helper was not performing any essential functions of her job; nor could a reasonable fact-finder conclude as much.</w:t>
      </w:r>
    </w:p>
    <w:p w14:paraId="7C0B6E82" w14:textId="77777777" w:rsidR="00D041A2" w:rsidRDefault="00000000">
      <w:pPr>
        <w:pStyle w:val="Normal36"/>
        <w:widowControl w:val="0"/>
        <w:spacing w:before="200" w:line="260" w:lineRule="atLeast"/>
        <w:jc w:val="both"/>
      </w:pPr>
      <w:bookmarkStart w:id="4846" w:name="Bookmark_para_48_9"/>
      <w:bookmarkStart w:id="4847" w:name="Bookmark_I5282BMR0N5YB30050000400"/>
      <w:bookmarkStart w:id="4848" w:name="Bookmark_I5282BMR0N5YB40020000400"/>
      <w:bookmarkEnd w:id="4846"/>
      <w:bookmarkEnd w:id="4847"/>
      <w:bookmarkEnd w:id="4848"/>
      <w:r>
        <w:rPr>
          <w:rFonts w:ascii="Arial" w:eastAsia="Arial" w:hAnsi="Arial" w:cs="Arial"/>
          <w:color w:val="000000"/>
          <w:sz w:val="20"/>
        </w:rPr>
        <w:t xml:space="preserve">Steward also argues that Chrysler could have accommodated her by giving her a clerical position or other position not involving physical labor. However, she has not come forward with evidence that she contemporaneously requested that Chrysler assign her to any specific position of this sort. </w:t>
      </w:r>
      <w:r>
        <w:rPr>
          <w:rFonts w:ascii="Arial" w:eastAsia="Arial" w:hAnsi="Arial" w:cs="Arial"/>
          <w:i/>
          <w:color w:val="000000"/>
          <w:sz w:val="20"/>
        </w:rPr>
        <w:t xml:space="preserve">See </w:t>
      </w:r>
      <w:bookmarkStart w:id="4849" w:name="Bookmark_I5282BMR0N5YB30040000400"/>
      <w:bookmarkEnd w:id="4849"/>
      <w:r>
        <w:rPr>
          <w:rFonts w:ascii="Arial" w:eastAsia="Arial" w:hAnsi="Arial" w:cs="Arial"/>
          <w:i/>
          <w:color w:val="000000"/>
          <w:sz w:val="20"/>
        </w:rPr>
        <w:t>Manigan</w:t>
      </w:r>
      <w:r>
        <w:rPr>
          <w:rFonts w:ascii="Arial" w:eastAsia="Arial" w:hAnsi="Arial" w:cs="Arial"/>
          <w:color w:val="000000"/>
          <w:sz w:val="20"/>
        </w:rPr>
        <w:t xml:space="preserve">, 385 Fed. Appx. 472, 2010 WL 2776955, at *6 n.5 ("[A] plaintiff may not rely on accommodations that [s]he did not request."). Moreover, the only two </w:t>
      </w:r>
      <w:r>
        <w:rPr>
          <w:rFonts w:ascii="Arial" w:eastAsia="Arial" w:hAnsi="Arial" w:cs="Arial"/>
          <w:i/>
          <w:color w:val="000000"/>
          <w:sz w:val="20"/>
        </w:rPr>
        <w:t>specific</w:t>
      </w:r>
      <w:r>
        <w:rPr>
          <w:rFonts w:ascii="Arial" w:eastAsia="Arial" w:hAnsi="Arial" w:cs="Arial"/>
          <w:color w:val="000000"/>
          <w:sz w:val="20"/>
        </w:rPr>
        <w:t xml:space="preserve"> positions which she identifies in her appellate  [*643]  brief— a position involving "go [ing] out to different dealerships and show[ing] the vehicle" and one involving "answering phones and doing errands" — are both  [**31] positions which Steward acknowledges are held by other employees; at the very least, she has adduced no affirmative evidence that these jobs were available at the time of her layoff or that they are available now. Appellant's Br. at 29-30; </w:t>
      </w:r>
      <w:r>
        <w:rPr>
          <w:rFonts w:ascii="Arial" w:eastAsia="Arial" w:hAnsi="Arial" w:cs="Arial"/>
          <w:i/>
          <w:color w:val="000000"/>
          <w:sz w:val="20"/>
        </w:rPr>
        <w:t xml:space="preserve">see </w:t>
      </w:r>
      <w:bookmarkStart w:id="4850" w:name="Bookmark_I5282BMR0N5YB40010000400"/>
      <w:bookmarkEnd w:id="4850"/>
      <w:r>
        <w:rPr>
          <w:rFonts w:ascii="Arial" w:eastAsia="Arial" w:hAnsi="Arial" w:cs="Arial"/>
          <w:i/>
          <w:color w:val="000000"/>
          <w:sz w:val="20"/>
        </w:rPr>
        <w:t>Cassidy</w:t>
      </w:r>
      <w:r>
        <w:rPr>
          <w:rFonts w:ascii="Arial" w:eastAsia="Arial" w:hAnsi="Arial" w:cs="Arial"/>
          <w:color w:val="000000"/>
          <w:sz w:val="20"/>
        </w:rPr>
        <w:t>, 138 F.3d at 634 (stating that employer is not required to "creat[e] a new job" or "mov[e] another employee").</w:t>
      </w:r>
    </w:p>
    <w:p w14:paraId="5D9B66DD" w14:textId="77777777" w:rsidR="00D041A2" w:rsidRDefault="00000000">
      <w:pPr>
        <w:pStyle w:val="Normal36"/>
        <w:widowControl w:val="0"/>
        <w:spacing w:before="200" w:line="260" w:lineRule="atLeast"/>
        <w:jc w:val="both"/>
      </w:pPr>
      <w:bookmarkStart w:id="4851" w:name="Bookmark_para_49_9"/>
      <w:bookmarkEnd w:id="4851"/>
      <w:r>
        <w:rPr>
          <w:rFonts w:ascii="Arial" w:eastAsia="Arial" w:hAnsi="Arial" w:cs="Arial"/>
          <w:color w:val="000000"/>
          <w:sz w:val="20"/>
        </w:rPr>
        <w:t xml:space="preserve">Steward mentions a number of other employees whom she alleges Chrysler accommodated, but the bare fact that other employees were accommodated does not satisfy her evidentiary burden of pointing to a </w:t>
      </w:r>
      <w:r>
        <w:rPr>
          <w:rFonts w:ascii="Arial" w:eastAsia="Arial" w:hAnsi="Arial" w:cs="Arial"/>
          <w:i/>
          <w:color w:val="000000"/>
          <w:sz w:val="20"/>
        </w:rPr>
        <w:t>specific vacant position</w:t>
      </w:r>
      <w:r>
        <w:rPr>
          <w:rFonts w:ascii="Arial" w:eastAsia="Arial" w:hAnsi="Arial" w:cs="Arial"/>
          <w:color w:val="000000"/>
          <w:sz w:val="20"/>
        </w:rPr>
        <w:t xml:space="preserve"> for which she </w:t>
      </w:r>
      <w:r>
        <w:rPr>
          <w:rFonts w:ascii="Arial" w:eastAsia="Arial" w:hAnsi="Arial" w:cs="Arial"/>
          <w:i/>
          <w:color w:val="000000"/>
          <w:sz w:val="20"/>
        </w:rPr>
        <w:t>was qualified</w:t>
      </w:r>
      <w:r>
        <w:rPr>
          <w:rFonts w:ascii="Arial" w:eastAsia="Arial" w:hAnsi="Arial" w:cs="Arial"/>
          <w:color w:val="000000"/>
          <w:sz w:val="20"/>
        </w:rPr>
        <w:t xml:space="preserve">, which she </w:t>
      </w:r>
      <w:r>
        <w:rPr>
          <w:rFonts w:ascii="Arial" w:eastAsia="Arial" w:hAnsi="Arial" w:cs="Arial"/>
          <w:i/>
          <w:color w:val="000000"/>
          <w:sz w:val="20"/>
        </w:rPr>
        <w:t>actually requested</w:t>
      </w:r>
      <w:r>
        <w:rPr>
          <w:rFonts w:ascii="Arial" w:eastAsia="Arial" w:hAnsi="Arial" w:cs="Arial"/>
          <w:color w:val="000000"/>
          <w:sz w:val="20"/>
        </w:rPr>
        <w:t xml:space="preserve">, and which was not provided to her. Chrysler, meanwhile, has submitted uncontested evidence that no such positions were available at the relevant time. </w:t>
      </w:r>
      <w:r>
        <w:rPr>
          <w:rFonts w:ascii="Arial" w:eastAsia="Arial" w:hAnsi="Arial" w:cs="Arial"/>
          <w:i/>
          <w:color w:val="000000"/>
          <w:sz w:val="20"/>
        </w:rPr>
        <w:t>See</w:t>
      </w:r>
      <w:r>
        <w:rPr>
          <w:rFonts w:ascii="Arial" w:eastAsia="Arial" w:hAnsi="Arial" w:cs="Arial"/>
          <w:color w:val="000000"/>
          <w:sz w:val="20"/>
        </w:rPr>
        <w:t xml:space="preserve"> Aff. of Kief Clark, ROA 179, ¶ 8 ("From March 2005 to date, there has been and continues to be no job available within [Steward's] seniority rights and work restrictions."); </w:t>
      </w:r>
      <w:r>
        <w:rPr>
          <w:rFonts w:ascii="Arial" w:eastAsia="Arial" w:hAnsi="Arial" w:cs="Arial"/>
          <w:i/>
          <w:color w:val="000000"/>
          <w:sz w:val="20"/>
        </w:rPr>
        <w:t>see also</w:t>
      </w:r>
      <w:r>
        <w:rPr>
          <w:rFonts w:ascii="Arial" w:eastAsia="Arial" w:hAnsi="Arial" w:cs="Arial"/>
          <w:color w:val="000000"/>
          <w:sz w:val="20"/>
        </w:rPr>
        <w:t xml:space="preserve"> ROA at 189. </w:t>
      </w:r>
      <w:r>
        <w:rPr>
          <w:rFonts w:ascii="Arial" w:eastAsia="Arial" w:hAnsi="Arial" w:cs="Arial"/>
          <w:vertAlign w:val="superscript"/>
        </w:rPr>
        <w:footnoteReference w:customMarkFollows="1" w:id="231"/>
        <w:t>9</w:t>
      </w:r>
    </w:p>
    <w:p w14:paraId="2DC60D05" w14:textId="77777777" w:rsidR="00D041A2" w:rsidRDefault="00000000">
      <w:pPr>
        <w:pStyle w:val="Normal36"/>
        <w:widowControl w:val="0"/>
        <w:spacing w:before="200" w:line="260" w:lineRule="atLeast"/>
        <w:jc w:val="both"/>
      </w:pPr>
      <w:bookmarkStart w:id="4853" w:name="Bookmark_para_50_9"/>
      <w:bookmarkEnd w:id="4853"/>
      <w:r>
        <w:rPr>
          <w:rFonts w:ascii="Arial" w:eastAsia="Arial" w:hAnsi="Arial" w:cs="Arial"/>
          <w:color w:val="000000"/>
          <w:sz w:val="20"/>
        </w:rPr>
        <w:t xml:space="preserve">Steward relies heavily on the deposition testimony of Moyna Moore, a former Chrysler human resources employee, who wrote an email in October 2004 stating that another position in which Steward could be accommodated was available </w:t>
      </w:r>
      <w:r>
        <w:rPr>
          <w:rFonts w:ascii="Arial" w:eastAsia="Arial" w:hAnsi="Arial" w:cs="Arial"/>
          <w:i/>
          <w:color w:val="000000"/>
          <w:sz w:val="20"/>
        </w:rPr>
        <w:t>at that time</w:t>
      </w:r>
      <w:r>
        <w:rPr>
          <w:rFonts w:ascii="Arial" w:eastAsia="Arial" w:hAnsi="Arial" w:cs="Arial"/>
          <w:color w:val="000000"/>
          <w:sz w:val="20"/>
        </w:rPr>
        <w:t xml:space="preserve">, and who testified in her deposition that she knew of other positions in which Steward could have been be accommodated </w:t>
      </w:r>
      <w:r>
        <w:rPr>
          <w:rFonts w:ascii="Arial" w:eastAsia="Arial" w:hAnsi="Arial" w:cs="Arial"/>
          <w:i/>
          <w:color w:val="000000"/>
          <w:sz w:val="20"/>
        </w:rPr>
        <w:t>as of November 11, 2004</w:t>
      </w:r>
      <w:r>
        <w:rPr>
          <w:rFonts w:ascii="Arial" w:eastAsia="Arial" w:hAnsi="Arial" w:cs="Arial"/>
          <w:color w:val="000000"/>
          <w:sz w:val="20"/>
        </w:rPr>
        <w:t xml:space="preserve">, when Moore left Chrysler's employ. However, the availability of other jobs in October and November 2004 is irrelevant to our analysis. It is undisputed that at that time, instead of moving Steward to another position, Chrysler accommodated Steward in her existing position by means of an assistant. Steward does not argue that this choice  [**33] was impermissible. Nor has she adduced any evidence that any particular position within her medical limitations was still available </w:t>
      </w:r>
      <w:r>
        <w:rPr>
          <w:rFonts w:ascii="Arial" w:eastAsia="Arial" w:hAnsi="Arial" w:cs="Arial"/>
          <w:i/>
          <w:color w:val="000000"/>
          <w:sz w:val="20"/>
        </w:rPr>
        <w:t>in March 2005</w:t>
      </w:r>
      <w:r>
        <w:rPr>
          <w:rFonts w:ascii="Arial" w:eastAsia="Arial" w:hAnsi="Arial" w:cs="Arial"/>
          <w:color w:val="000000"/>
          <w:sz w:val="20"/>
        </w:rPr>
        <w:t>, when Chrysler's preferred accommodation became impracticable, or thereafter.</w:t>
      </w:r>
    </w:p>
    <w:p w14:paraId="21EE3F67" w14:textId="77777777" w:rsidR="00D041A2" w:rsidRDefault="00000000">
      <w:pPr>
        <w:pStyle w:val="Normal36"/>
        <w:widowControl w:val="0"/>
        <w:spacing w:before="200" w:line="260" w:lineRule="atLeast"/>
        <w:jc w:val="both"/>
      </w:pPr>
      <w:bookmarkStart w:id="4854" w:name="Bookmark_para_51_8"/>
      <w:bookmarkEnd w:id="4854"/>
      <w:r>
        <w:rPr>
          <w:rFonts w:ascii="Arial" w:eastAsia="Arial" w:hAnsi="Arial" w:cs="Arial"/>
          <w:color w:val="000000"/>
          <w:sz w:val="20"/>
        </w:rPr>
        <w:t xml:space="preserve">Because Steward cannot make out a </w:t>
      </w:r>
      <w:r>
        <w:rPr>
          <w:rFonts w:ascii="Arial" w:eastAsia="Arial" w:hAnsi="Arial" w:cs="Arial"/>
          <w:i/>
          <w:color w:val="000000"/>
          <w:sz w:val="20"/>
        </w:rPr>
        <w:t>prima facie</w:t>
      </w:r>
      <w:r>
        <w:rPr>
          <w:rFonts w:ascii="Arial" w:eastAsia="Arial" w:hAnsi="Arial" w:cs="Arial"/>
          <w:color w:val="000000"/>
          <w:sz w:val="20"/>
        </w:rPr>
        <w:t xml:space="preserve"> case of discrimination under the ADA or PWDCRA, the district court did not err by granting Chrysler summary judgment with respect to those claims.</w:t>
      </w:r>
    </w:p>
    <w:p w14:paraId="4C0309F0" w14:textId="77777777" w:rsidR="00D041A2" w:rsidRDefault="00000000">
      <w:pPr>
        <w:pStyle w:val="Normal36"/>
        <w:widowControl w:val="0"/>
        <w:spacing w:before="240" w:line="260" w:lineRule="atLeast"/>
      </w:pPr>
      <w:r>
        <w:br/>
      </w:r>
      <w:r>
        <w:rPr>
          <w:rFonts w:ascii="Arial" w:eastAsia="Arial" w:hAnsi="Arial" w:cs="Arial"/>
          <w:b/>
          <w:color w:val="000000"/>
          <w:sz w:val="20"/>
        </w:rPr>
        <w:t>4.</w:t>
      </w:r>
      <w:r>
        <w:rPr>
          <w:rFonts w:ascii="Arial" w:eastAsia="Arial" w:hAnsi="Arial" w:cs="Arial"/>
          <w:b/>
          <w:i/>
          <w:color w:val="000000"/>
          <w:sz w:val="20"/>
        </w:rPr>
        <w:t>Retaliation Claim</w:t>
      </w:r>
    </w:p>
    <w:p w14:paraId="2BA12CE2" w14:textId="77777777" w:rsidR="00D041A2" w:rsidRDefault="00000000">
      <w:pPr>
        <w:pStyle w:val="Normal36"/>
        <w:widowControl w:val="0"/>
        <w:spacing w:before="200" w:line="260" w:lineRule="atLeast"/>
        <w:jc w:val="both"/>
      </w:pPr>
      <w:bookmarkStart w:id="4855" w:name="Bookmark_para_52_8"/>
      <w:bookmarkEnd w:id="4855"/>
      <w:r>
        <w:rPr>
          <w:rFonts w:ascii="Arial" w:eastAsia="Arial" w:hAnsi="Arial" w:cs="Arial"/>
          <w:color w:val="000000"/>
          <w:sz w:val="20"/>
        </w:rPr>
        <w:t xml:space="preserve">Steward alleges that her placement on paid layoff was in retaliation for her filing of a complaint with the EEOC the previous day. </w:t>
      </w:r>
      <w:bookmarkStart w:id="4856" w:name="Bookmark_LNHNREFclscc18_8"/>
      <w:bookmarkEnd w:id="4856"/>
      <w:r>
        <w:rPr>
          <w:rFonts w:ascii="Arial" w:eastAsia="Arial" w:hAnsi="Arial" w:cs="Arial"/>
          <w:color w:val="000000"/>
          <w:sz w:val="20"/>
        </w:rPr>
        <w:t xml:space="preserve">Both the ADA and the Michigan PWDCRA prohibit employers from retaliating against employees for engaging in activity protected under those statutes, such as filing a complaint of discrimination. </w:t>
      </w:r>
      <w:r>
        <w:rPr>
          <w:rFonts w:ascii="Arial" w:eastAsia="Arial" w:hAnsi="Arial" w:cs="Arial"/>
          <w:i/>
          <w:color w:val="000000"/>
          <w:sz w:val="20"/>
        </w:rPr>
        <w:t>See</w:t>
      </w:r>
      <w:r>
        <w:rPr>
          <w:rFonts w:ascii="Arial" w:eastAsia="Arial" w:hAnsi="Arial" w:cs="Arial"/>
          <w:color w:val="000000"/>
          <w:sz w:val="20"/>
        </w:rPr>
        <w:t xml:space="preserve"> 42 U.S.C. § 12203(a); Mich. Comp. Laws § 37.1602(a). </w:t>
      </w:r>
      <w:bookmarkStart w:id="4857" w:name="Bookmark_I0MP410BN4600109S620058H"/>
      <w:bookmarkStart w:id="4858" w:name="Bookmark_I0MP410C3WB00109S620033P"/>
      <w:bookmarkStart w:id="4859" w:name="Bookmark_I5282BMR0N5YB40040000400"/>
      <w:bookmarkEnd w:id="4857"/>
      <w:bookmarkEnd w:id="4858"/>
      <w:bookmarkEnd w:id="4859"/>
      <w:r>
        <w:rPr>
          <w:rFonts w:ascii="Arial" w:eastAsia="Arial" w:hAnsi="Arial" w:cs="Arial"/>
          <w:color w:val="000000"/>
          <w:sz w:val="20"/>
        </w:rPr>
        <w:t xml:space="preserve">To establish a </w:t>
      </w:r>
      <w:r>
        <w:rPr>
          <w:rFonts w:ascii="Arial" w:eastAsia="Arial" w:hAnsi="Arial" w:cs="Arial"/>
          <w:i/>
          <w:color w:val="000000"/>
          <w:sz w:val="20"/>
        </w:rPr>
        <w:t>prima facie</w:t>
      </w:r>
      <w:r>
        <w:rPr>
          <w:rFonts w:ascii="Arial" w:eastAsia="Arial" w:hAnsi="Arial" w:cs="Arial"/>
          <w:color w:val="000000"/>
          <w:sz w:val="20"/>
        </w:rPr>
        <w:t xml:space="preserve"> case of retaliation, Steward must demonstrate that:</w:t>
      </w:r>
    </w:p>
    <w:p w14:paraId="614394C5" w14:textId="77777777" w:rsidR="00D041A2" w:rsidRDefault="00000000">
      <w:pPr>
        <w:pStyle w:val="Normal36"/>
        <w:widowControl w:val="0"/>
        <w:spacing w:before="200" w:line="260" w:lineRule="atLeast"/>
        <w:ind w:left="400"/>
        <w:jc w:val="both"/>
      </w:pPr>
      <w:bookmarkStart w:id="4860" w:name="Bookmark_para_53_7"/>
      <w:bookmarkStart w:id="4861" w:name="Bookmark_I5282BMR0N5YB40040000400_2"/>
      <w:bookmarkEnd w:id="4860"/>
      <w:bookmarkEnd w:id="4861"/>
      <w:r>
        <w:rPr>
          <w:rFonts w:ascii="Arial" w:eastAsia="Arial" w:hAnsi="Arial" w:cs="Arial"/>
          <w:color w:val="000000"/>
          <w:sz w:val="20"/>
        </w:rPr>
        <w:t>(1) she engaged in activity protected by [the ADA]; (2) the defendant knew of her exercise of her protected rights; (3) the defendant subsequently took an adverse employment action against the plaintiff or subjected the plaintiff to severe or pervasive retaliatory harassment;  [*644]  and (4) there was a causal connection  [**34] between the plaintiff's protected activity and the adverse employment action.</w:t>
      </w:r>
    </w:p>
    <w:p w14:paraId="78AF2C05" w14:textId="77777777" w:rsidR="00D041A2" w:rsidRDefault="00000000">
      <w:pPr>
        <w:pStyle w:val="Normal36"/>
        <w:widowControl w:val="0"/>
        <w:spacing w:before="200" w:line="260" w:lineRule="atLeast"/>
        <w:jc w:val="both"/>
      </w:pPr>
      <w:bookmarkStart w:id="4862" w:name="Bookmark_I5282BMR0N5YB40040000400_3"/>
      <w:bookmarkStart w:id="4863" w:name="Bookmark_I5282BMR0N5YB40030000400"/>
      <w:bookmarkEnd w:id="4862"/>
      <w:bookmarkEnd w:id="4863"/>
      <w:r>
        <w:rPr>
          <w:rFonts w:ascii="Arial" w:eastAsia="Arial" w:hAnsi="Arial" w:cs="Arial"/>
          <w:i/>
          <w:color w:val="000000"/>
          <w:sz w:val="20"/>
        </w:rPr>
        <w:t>Johnson</w:t>
      </w:r>
      <w:r>
        <w:rPr>
          <w:rFonts w:ascii="Arial" w:eastAsia="Arial" w:hAnsi="Arial" w:cs="Arial"/>
          <w:color w:val="000000"/>
          <w:sz w:val="20"/>
        </w:rPr>
        <w:t xml:space="preserve">, 344 F. App'x at 113 (quoting </w:t>
      </w:r>
      <w:bookmarkStart w:id="4864" w:name="Bookmark_I5282BMR0N5YB40050000400"/>
      <w:bookmarkEnd w:id="4864"/>
      <w:r>
        <w:rPr>
          <w:rFonts w:ascii="Arial" w:eastAsia="Arial" w:hAnsi="Arial" w:cs="Arial"/>
          <w:i/>
          <w:color w:val="000000"/>
          <w:sz w:val="20"/>
        </w:rPr>
        <w:t>Barrett</w:t>
      </w:r>
      <w:r>
        <w:rPr>
          <w:rFonts w:ascii="Arial" w:eastAsia="Arial" w:hAnsi="Arial" w:cs="Arial"/>
          <w:color w:val="000000"/>
          <w:sz w:val="20"/>
        </w:rPr>
        <w:t xml:space="preserve">, 556 F.3d at 516) (alteration in </w:t>
      </w:r>
      <w:r>
        <w:rPr>
          <w:rFonts w:ascii="Arial" w:eastAsia="Arial" w:hAnsi="Arial" w:cs="Arial"/>
          <w:i/>
          <w:color w:val="000000"/>
          <w:sz w:val="20"/>
        </w:rPr>
        <w:t>Johnson</w:t>
      </w:r>
      <w:r>
        <w:rPr>
          <w:rFonts w:ascii="Arial" w:eastAsia="Arial" w:hAnsi="Arial" w:cs="Arial"/>
          <w:color w:val="000000"/>
          <w:sz w:val="20"/>
        </w:rPr>
        <w:t>).</w:t>
      </w:r>
    </w:p>
    <w:p w14:paraId="7338AF94" w14:textId="77777777" w:rsidR="00D041A2" w:rsidRDefault="00000000">
      <w:pPr>
        <w:pStyle w:val="Normal36"/>
        <w:widowControl w:val="0"/>
        <w:spacing w:before="200" w:line="260" w:lineRule="atLeast"/>
        <w:jc w:val="both"/>
      </w:pPr>
      <w:bookmarkStart w:id="4865" w:name="Bookmark_para_54_7"/>
      <w:bookmarkEnd w:id="4865"/>
      <w:r>
        <w:rPr>
          <w:rFonts w:ascii="Arial" w:eastAsia="Arial" w:hAnsi="Arial" w:cs="Arial"/>
          <w:color w:val="000000"/>
          <w:sz w:val="20"/>
        </w:rPr>
        <w:t xml:space="preserve">Steward's retaliation claim fails because there is no evidence in the record that Chrysler "knew of her exercise of her protected rights" at the time it placed her on layoff. Chrysler adduced evidence that the EEOC did not send Chrysler notice of Steward's complaint until March 21, 2005 — four days after Steward was placed on layoff. Kief Clark, the plant's Quality and Industrial Engineering Manager, averred that he was the individual who made the decision to place Steward on layoff and that he was not aware of her EEOC complaint at the time he made his decision. </w:t>
      </w:r>
      <w:r>
        <w:rPr>
          <w:rFonts w:ascii="Arial" w:eastAsia="Arial" w:hAnsi="Arial" w:cs="Arial"/>
          <w:i/>
          <w:color w:val="000000"/>
          <w:sz w:val="20"/>
        </w:rPr>
        <w:t>See</w:t>
      </w:r>
      <w:r>
        <w:rPr>
          <w:rFonts w:ascii="Arial" w:eastAsia="Arial" w:hAnsi="Arial" w:cs="Arial"/>
          <w:color w:val="000000"/>
          <w:sz w:val="20"/>
        </w:rPr>
        <w:t xml:space="preserve"> Aff. of Kief Clark, ROA 179, ¶ ¶ 6-7. KarenHumes, a plant human resources employee, averred that she was the individual who personally contacted Steward and informed her that she was being placed on layoff and that she, too, was unaware of Steward's EEOC complaint at the time she did so. </w:t>
      </w:r>
      <w:r>
        <w:rPr>
          <w:rFonts w:ascii="Arial" w:eastAsia="Arial" w:hAnsi="Arial" w:cs="Arial"/>
          <w:i/>
          <w:color w:val="000000"/>
          <w:sz w:val="20"/>
        </w:rPr>
        <w:t>See</w:t>
      </w:r>
      <w:r>
        <w:rPr>
          <w:rFonts w:ascii="Arial" w:eastAsia="Arial" w:hAnsi="Arial" w:cs="Arial"/>
          <w:color w:val="000000"/>
          <w:sz w:val="20"/>
        </w:rPr>
        <w:t xml:space="preserve"> Aff. of Karen Humes, ROA 192, ¶ ¶ 6, 9. Steward has not come forward with any evidence to the contrary.</w:t>
      </w:r>
    </w:p>
    <w:p w14:paraId="60B4B308" w14:textId="77777777" w:rsidR="00D041A2" w:rsidRDefault="00000000">
      <w:pPr>
        <w:pStyle w:val="Normal36"/>
        <w:widowControl w:val="0"/>
        <w:spacing w:before="200" w:line="260" w:lineRule="atLeast"/>
        <w:jc w:val="both"/>
      </w:pPr>
      <w:bookmarkStart w:id="4866" w:name="Bookmark_para_55_5"/>
      <w:bookmarkEnd w:id="4866"/>
      <w:r>
        <w:rPr>
          <w:rFonts w:ascii="Arial" w:eastAsia="Arial" w:hAnsi="Arial" w:cs="Arial"/>
          <w:color w:val="000000"/>
          <w:sz w:val="20"/>
        </w:rPr>
        <w:t>Accordingly, the district court did not err by granting Chrysler  [**35] summary judgment with respect to Steward's retaliation claim.</w:t>
      </w:r>
    </w:p>
    <w:p w14:paraId="0F4513E6" w14:textId="77777777" w:rsidR="00D041A2" w:rsidRDefault="00000000">
      <w:pPr>
        <w:pStyle w:val="Normal36"/>
        <w:widowControl w:val="0"/>
        <w:spacing w:before="240" w:line="260" w:lineRule="atLeast"/>
      </w:pPr>
      <w:r>
        <w:br/>
      </w:r>
      <w:r>
        <w:rPr>
          <w:rFonts w:ascii="Arial" w:eastAsia="Arial" w:hAnsi="Arial" w:cs="Arial"/>
          <w:b/>
          <w:color w:val="000000"/>
          <w:sz w:val="20"/>
        </w:rPr>
        <w:t>5.</w:t>
      </w:r>
      <w:r>
        <w:rPr>
          <w:rFonts w:ascii="Arial" w:eastAsia="Arial" w:hAnsi="Arial" w:cs="Arial"/>
          <w:b/>
          <w:i/>
          <w:color w:val="000000"/>
          <w:sz w:val="20"/>
        </w:rPr>
        <w:t>IIED Claim</w:t>
      </w:r>
    </w:p>
    <w:p w14:paraId="681917CC" w14:textId="77777777" w:rsidR="00D041A2" w:rsidRDefault="00000000">
      <w:pPr>
        <w:pStyle w:val="Normal36"/>
        <w:widowControl w:val="0"/>
        <w:spacing w:before="200" w:line="260" w:lineRule="atLeast"/>
        <w:jc w:val="both"/>
      </w:pPr>
      <w:bookmarkStart w:id="4867" w:name="Bookmark_para_56_5"/>
      <w:bookmarkStart w:id="4868" w:name="Bookmark_I5282BMR0N5YB50030000400"/>
      <w:bookmarkStart w:id="4869" w:name="Bookmark_I0MP410CJMG00109S620033T"/>
      <w:bookmarkStart w:id="4870" w:name="Bookmark_I5282BMR0N5YB60040000400"/>
      <w:bookmarkEnd w:id="4867"/>
      <w:bookmarkEnd w:id="4868"/>
      <w:bookmarkEnd w:id="4869"/>
      <w:bookmarkEnd w:id="4870"/>
      <w:r>
        <w:rPr>
          <w:rFonts w:ascii="Arial" w:eastAsia="Arial" w:hAnsi="Arial" w:cs="Arial"/>
          <w:color w:val="000000"/>
          <w:sz w:val="20"/>
        </w:rPr>
        <w:t xml:space="preserve">Finally, Steward argues that McKerley and/or Chrysler intentionally inflicted emotional distress on her by requiring her to work on a segregated assembly line. The Michigan Supreme Court "has never formally recognized IIED as a cause of action," </w:t>
      </w:r>
      <w:bookmarkStart w:id="4871" w:name="Bookmark_I5282BMR0N5YB50020000400"/>
      <w:bookmarkEnd w:id="4871"/>
      <w:r>
        <w:rPr>
          <w:rFonts w:ascii="Arial" w:eastAsia="Arial" w:hAnsi="Arial" w:cs="Arial"/>
          <w:i/>
          <w:color w:val="000000"/>
          <w:sz w:val="20"/>
        </w:rPr>
        <w:t>Moon v. Harrison Piping Supply</w:t>
      </w:r>
      <w:r>
        <w:rPr>
          <w:rFonts w:ascii="Arial" w:eastAsia="Arial" w:hAnsi="Arial" w:cs="Arial"/>
          <w:color w:val="000000"/>
          <w:sz w:val="20"/>
        </w:rPr>
        <w:t xml:space="preserve">, 465 F.3d 719, 728 (6th Cir. 2006) (citing </w:t>
      </w:r>
      <w:bookmarkStart w:id="4872" w:name="Bookmark_I5282BMR0N5YB50040000400"/>
      <w:bookmarkEnd w:id="4872"/>
      <w:r>
        <w:rPr>
          <w:rFonts w:ascii="Arial" w:eastAsia="Arial" w:hAnsi="Arial" w:cs="Arial"/>
          <w:i/>
          <w:color w:val="000000"/>
          <w:sz w:val="20"/>
        </w:rPr>
        <w:t>Roberts v. Auto-Owners Ins. Co.</w:t>
      </w:r>
      <w:r>
        <w:rPr>
          <w:rFonts w:ascii="Arial" w:eastAsia="Arial" w:hAnsi="Arial" w:cs="Arial"/>
          <w:color w:val="000000"/>
          <w:sz w:val="20"/>
        </w:rPr>
        <w:t xml:space="preserve">, 422 Mich. 594, 374 N.W.2d 905, 913 (Mich. 1985)), although "[t]he Court of Appeals of Michigan has . . . consistently recognized the tort," </w:t>
      </w:r>
      <w:bookmarkStart w:id="4873" w:name="Bookmark_I5282BMR0N5YB60010000400"/>
      <w:bookmarkEnd w:id="4873"/>
      <w:r>
        <w:rPr>
          <w:rFonts w:ascii="Arial" w:eastAsia="Arial" w:hAnsi="Arial" w:cs="Arial"/>
          <w:i/>
          <w:color w:val="000000"/>
          <w:sz w:val="20"/>
        </w:rPr>
        <w:t>Mroz v. Lee</w:t>
      </w:r>
      <w:r>
        <w:rPr>
          <w:rFonts w:ascii="Arial" w:eastAsia="Arial" w:hAnsi="Arial" w:cs="Arial"/>
          <w:color w:val="000000"/>
          <w:sz w:val="20"/>
        </w:rPr>
        <w:t xml:space="preserve">, 5 F.3d 1016, 1018 (6th Cir. 1993) (collecting cases). </w:t>
      </w:r>
      <w:bookmarkStart w:id="4874" w:name="Bookmark_LNHNREFclscc19_7"/>
      <w:bookmarkEnd w:id="4874"/>
      <w:r>
        <w:rPr>
          <w:rFonts w:ascii="Arial" w:eastAsia="Arial" w:hAnsi="Arial" w:cs="Arial"/>
          <w:color w:val="000000"/>
          <w:sz w:val="20"/>
        </w:rPr>
        <w:t xml:space="preserve">Assuming such a cause of action exists under Michigan law, the traditional elements of such a claim are "(1) 'extreme and outrageous' conduct; (2) intent or recklessness; (3) causation; and (4) 'severe emotional distress.'" </w:t>
      </w:r>
      <w:bookmarkStart w:id="4875" w:name="Bookmark_I5282BMR0N5YB60030000400"/>
      <w:bookmarkEnd w:id="4875"/>
      <w:r>
        <w:rPr>
          <w:rFonts w:ascii="Arial" w:eastAsia="Arial" w:hAnsi="Arial" w:cs="Arial"/>
          <w:i/>
          <w:color w:val="000000"/>
          <w:sz w:val="20"/>
        </w:rPr>
        <w:t>Roberts</w:t>
      </w:r>
      <w:r>
        <w:rPr>
          <w:rFonts w:ascii="Arial" w:eastAsia="Arial" w:hAnsi="Arial" w:cs="Arial"/>
          <w:color w:val="000000"/>
          <w:sz w:val="20"/>
        </w:rPr>
        <w:t>, 374 N.W.2d at 908 (quoting Restatement (Second) of Torts § 46 (1965)).</w:t>
      </w:r>
    </w:p>
    <w:p w14:paraId="25B2E49F" w14:textId="77777777" w:rsidR="00D041A2" w:rsidRDefault="00000000">
      <w:pPr>
        <w:pStyle w:val="Normal36"/>
        <w:widowControl w:val="0"/>
        <w:spacing w:before="200" w:line="260" w:lineRule="atLeast"/>
        <w:jc w:val="both"/>
      </w:pPr>
      <w:bookmarkStart w:id="4876" w:name="Bookmark_para_57_5"/>
      <w:bookmarkStart w:id="4877" w:name="Bookmark_I5282BMR0N5YB70010000400"/>
      <w:bookmarkStart w:id="4878" w:name="Bookmark_I5282BMR0N5YB70030000400"/>
      <w:bookmarkEnd w:id="4876"/>
      <w:bookmarkEnd w:id="4877"/>
      <w:bookmarkEnd w:id="4878"/>
      <w:r>
        <w:rPr>
          <w:rFonts w:ascii="Arial" w:eastAsia="Arial" w:hAnsi="Arial" w:cs="Arial"/>
          <w:color w:val="000000"/>
          <w:sz w:val="20"/>
        </w:rPr>
        <w:t xml:space="preserve">Again, however, the </w:t>
      </w:r>
      <w:r>
        <w:rPr>
          <w:rFonts w:ascii="Arial" w:eastAsia="Arial" w:hAnsi="Arial" w:cs="Arial"/>
          <w:i/>
          <w:color w:val="000000"/>
          <w:sz w:val="20"/>
        </w:rPr>
        <w:t>facts</w:t>
      </w:r>
      <w:r>
        <w:rPr>
          <w:rFonts w:ascii="Arial" w:eastAsia="Arial" w:hAnsi="Arial" w:cs="Arial"/>
          <w:color w:val="000000"/>
          <w:sz w:val="20"/>
        </w:rPr>
        <w:t xml:space="preserve"> that Steward has alleged and has supported through her deposition and those of her co-workers—as opposed to the </w:t>
      </w:r>
      <w:r>
        <w:rPr>
          <w:rFonts w:ascii="Arial" w:eastAsia="Arial" w:hAnsi="Arial" w:cs="Arial"/>
          <w:i/>
          <w:color w:val="000000"/>
          <w:sz w:val="20"/>
        </w:rPr>
        <w:t>labels</w:t>
      </w:r>
      <w:r>
        <w:rPr>
          <w:rFonts w:ascii="Arial" w:eastAsia="Arial" w:hAnsi="Arial" w:cs="Arial"/>
          <w:color w:val="000000"/>
          <w:sz w:val="20"/>
        </w:rPr>
        <w:t xml:space="preserve"> that she has attached to them—simply do not support her claim that she was required to work on a segregated assembly line and therefore  [**36] do not suffice to make out her IIED claim. </w:t>
      </w:r>
      <w:r>
        <w:rPr>
          <w:rFonts w:ascii="Arial" w:eastAsia="Arial" w:hAnsi="Arial" w:cs="Arial"/>
          <w:i/>
          <w:color w:val="000000"/>
          <w:sz w:val="20"/>
        </w:rPr>
        <w:t xml:space="preserve">See </w:t>
      </w:r>
      <w:bookmarkStart w:id="4879" w:name="Bookmark_I5282BMR0N5YB60050000400"/>
      <w:bookmarkEnd w:id="4879"/>
      <w:r>
        <w:rPr>
          <w:rFonts w:ascii="Arial" w:eastAsia="Arial" w:hAnsi="Arial" w:cs="Arial"/>
          <w:i/>
          <w:color w:val="000000"/>
          <w:sz w:val="20"/>
        </w:rPr>
        <w:t>Mitchell</w:t>
      </w:r>
      <w:r>
        <w:rPr>
          <w:rFonts w:ascii="Arial" w:eastAsia="Arial" w:hAnsi="Arial" w:cs="Arial"/>
          <w:color w:val="000000"/>
          <w:sz w:val="20"/>
        </w:rPr>
        <w:t xml:space="preserve">, 964 F.2d at 583. "[M]ere allegation[s]" unsupported by "specific facts"—even alleged facts—do not have to be taken as true, </w:t>
      </w:r>
      <w:bookmarkStart w:id="4880" w:name="Bookmark_I5282BMR0N5YB70020000400"/>
      <w:bookmarkEnd w:id="4880"/>
      <w:r>
        <w:rPr>
          <w:rFonts w:ascii="Arial" w:eastAsia="Arial" w:hAnsi="Arial" w:cs="Arial"/>
          <w:i/>
          <w:color w:val="000000"/>
          <w:sz w:val="20"/>
        </w:rPr>
        <w:t>Anderson</w:t>
      </w:r>
      <w:r>
        <w:rPr>
          <w:rFonts w:ascii="Arial" w:eastAsia="Arial" w:hAnsi="Arial" w:cs="Arial"/>
          <w:color w:val="000000"/>
          <w:sz w:val="20"/>
        </w:rPr>
        <w:t>, 477 U.S. at 256, and accordingly, the district court did not err by granting Chrysler summary judgment with respect to Steward's IIED claim.</w:t>
      </w:r>
    </w:p>
    <w:p w14:paraId="5AF976BC" w14:textId="77777777" w:rsidR="00D041A2" w:rsidRDefault="00000000">
      <w:pPr>
        <w:pStyle w:val="Normal36"/>
        <w:widowControl w:val="0"/>
        <w:spacing w:before="200" w:line="260" w:lineRule="atLeast"/>
        <w:jc w:val="both"/>
      </w:pPr>
      <w:bookmarkStart w:id="4881" w:name="Bookmark_para_58_5"/>
      <w:bookmarkEnd w:id="4881"/>
      <w:r>
        <w:rPr>
          <w:rFonts w:ascii="Arial" w:eastAsia="Arial" w:hAnsi="Arial" w:cs="Arial"/>
          <w:color w:val="000000"/>
          <w:sz w:val="20"/>
        </w:rPr>
        <w:t>Accordingly, the district court did not err by granting Chrysler summary judgment with respect to Steward's IIED claim.</w:t>
      </w:r>
    </w:p>
    <w:p w14:paraId="2F4CF55F" w14:textId="77777777" w:rsidR="00D041A2" w:rsidRDefault="00000000">
      <w:pPr>
        <w:pStyle w:val="Normal36"/>
        <w:widowControl w:val="0"/>
        <w:spacing w:before="240" w:line="260" w:lineRule="atLeast"/>
      </w:pPr>
      <w:r>
        <w:br/>
      </w:r>
      <w:r>
        <w:rPr>
          <w:rFonts w:ascii="Arial" w:eastAsia="Arial" w:hAnsi="Arial" w:cs="Arial"/>
          <w:b/>
          <w:color w:val="000000"/>
          <w:sz w:val="20"/>
        </w:rPr>
        <w:t>III. CONCLUSION</w:t>
      </w:r>
    </w:p>
    <w:p w14:paraId="366E06A5" w14:textId="77777777" w:rsidR="00D041A2" w:rsidRDefault="00000000">
      <w:pPr>
        <w:pStyle w:val="Normal36"/>
        <w:widowControl w:val="0"/>
        <w:spacing w:before="200" w:line="260" w:lineRule="atLeast"/>
        <w:jc w:val="both"/>
      </w:pPr>
      <w:bookmarkStart w:id="4882" w:name="Bookmark_para_59_5"/>
      <w:bookmarkEnd w:id="4882"/>
      <w:r>
        <w:rPr>
          <w:rFonts w:ascii="Arial" w:eastAsia="Arial" w:hAnsi="Arial" w:cs="Arial"/>
          <w:color w:val="000000"/>
          <w:sz w:val="20"/>
        </w:rPr>
        <w:t xml:space="preserve">For the reasons described above, the judgment of the district court is </w:t>
      </w:r>
      <w:r>
        <w:rPr>
          <w:rFonts w:ascii="Arial" w:eastAsia="Arial" w:hAnsi="Arial" w:cs="Arial"/>
          <w:b/>
          <w:color w:val="000000"/>
          <w:sz w:val="20"/>
        </w:rPr>
        <w:t>AFFIRMED.</w:t>
      </w:r>
    </w:p>
    <w:p w14:paraId="3601A635" w14:textId="77777777" w:rsidR="00D041A2" w:rsidRDefault="00000000">
      <w:pPr>
        <w:pStyle w:val="Normal36"/>
        <w:widowControl w:val="0"/>
        <w:spacing w:before="240" w:line="260" w:lineRule="atLeast"/>
      </w:pPr>
      <w:bookmarkStart w:id="4883" w:name="Concur_by_2"/>
      <w:bookmarkEnd w:id="4883"/>
      <w:r>
        <w:rPr>
          <w:rFonts w:ascii="Arial" w:eastAsia="Arial" w:hAnsi="Arial" w:cs="Arial"/>
          <w:b/>
          <w:color w:val="000000"/>
          <w:sz w:val="20"/>
        </w:rPr>
        <w:t>Concur by:</w:t>
      </w:r>
      <w:r>
        <w:rPr>
          <w:rFonts w:ascii="Arial" w:eastAsia="Arial" w:hAnsi="Arial" w:cs="Arial"/>
          <w:color w:val="000000"/>
          <w:sz w:val="20"/>
        </w:rPr>
        <w:t> KAREN NELSON MOORE (In Part)</w:t>
      </w:r>
    </w:p>
    <w:p w14:paraId="785216EB" w14:textId="77777777" w:rsidR="00D041A2" w:rsidRDefault="00000000">
      <w:pPr>
        <w:pStyle w:val="Normal36"/>
        <w:widowControl w:val="0"/>
        <w:spacing w:before="240" w:line="260" w:lineRule="atLeast"/>
      </w:pPr>
      <w:bookmarkStart w:id="4884" w:name="Dissent_by_3"/>
      <w:bookmarkEnd w:id="4884"/>
      <w:r>
        <w:rPr>
          <w:rFonts w:ascii="Arial" w:eastAsia="Arial" w:hAnsi="Arial" w:cs="Arial"/>
          <w:b/>
          <w:color w:val="000000"/>
          <w:sz w:val="20"/>
        </w:rPr>
        <w:t>Dissent by:</w:t>
      </w:r>
      <w:r>
        <w:rPr>
          <w:rFonts w:ascii="Arial" w:eastAsia="Arial" w:hAnsi="Arial" w:cs="Arial"/>
          <w:color w:val="000000"/>
          <w:sz w:val="20"/>
        </w:rPr>
        <w:t> KAREN NELSON MOORE (In Part)</w:t>
      </w:r>
    </w:p>
    <w:p w14:paraId="00462325" w14:textId="77777777" w:rsidR="00D041A2" w:rsidRDefault="00000000">
      <w:pPr>
        <w:pStyle w:val="Normal36"/>
        <w:keepNext/>
        <w:widowControl w:val="0"/>
        <w:spacing w:before="240" w:line="340" w:lineRule="atLeast"/>
      </w:pPr>
      <w:bookmarkStart w:id="4885" w:name="Dissent_3"/>
      <w:bookmarkEnd w:id="4885"/>
      <w:r>
        <w:rPr>
          <w:rFonts w:ascii="Arial" w:eastAsia="Arial" w:hAnsi="Arial" w:cs="Arial"/>
          <w:b/>
          <w:color w:val="000000"/>
          <w:sz w:val="28"/>
        </w:rPr>
        <w:t>Dissent</w:t>
      </w:r>
    </w:p>
    <w:p w14:paraId="1DBEF9F7" w14:textId="53052862" w:rsidR="00D041A2" w:rsidRDefault="004D4403">
      <w:pPr>
        <w:pStyle w:val="Normal36"/>
        <w:spacing w:line="60" w:lineRule="exact"/>
      </w:pPr>
      <w:r>
        <w:rPr>
          <w:noProof/>
        </w:rPr>
        <mc:AlternateContent>
          <mc:Choice Requires="wps">
            <w:drawing>
              <wp:anchor distT="0" distB="0" distL="114300" distR="114300" simplePos="0" relativeHeight="251739136" behindDoc="0" locked="0" layoutInCell="1" allowOverlap="1" wp14:anchorId="6EB2D457" wp14:editId="26F6541A">
                <wp:simplePos x="0" y="0"/>
                <wp:positionH relativeFrom="column">
                  <wp:posOffset>0</wp:posOffset>
                </wp:positionH>
                <wp:positionV relativeFrom="paragraph">
                  <wp:posOffset>25400</wp:posOffset>
                </wp:positionV>
                <wp:extent cx="3187700" cy="0"/>
                <wp:effectExtent l="19050" t="15875" r="12700" b="12700"/>
                <wp:wrapTopAndBottom/>
                <wp:docPr id="1730935992"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4B37D" id="Line 80"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2884310" w14:textId="77777777" w:rsidR="00D041A2" w:rsidRDefault="00D041A2">
      <w:pPr>
        <w:pStyle w:val="Normal36"/>
      </w:pPr>
    </w:p>
    <w:p w14:paraId="008185DF" w14:textId="77777777" w:rsidR="00D041A2" w:rsidRDefault="00000000">
      <w:pPr>
        <w:pStyle w:val="Normal36"/>
        <w:widowControl w:val="0"/>
        <w:spacing w:before="200" w:line="260" w:lineRule="atLeast"/>
        <w:jc w:val="both"/>
      </w:pPr>
      <w:bookmarkStart w:id="4886" w:name="Bookmark_para_60_4"/>
      <w:bookmarkEnd w:id="4886"/>
      <w:r>
        <w:rPr>
          <w:rFonts w:ascii="Arial" w:eastAsia="Arial" w:hAnsi="Arial" w:cs="Arial"/>
          <w:b/>
          <w:color w:val="000000"/>
          <w:sz w:val="20"/>
        </w:rPr>
        <w:t>KAREN NELSON MOORE, Circuit Judge, concurring in part and dissenting in part.</w:t>
      </w:r>
      <w:r>
        <w:rPr>
          <w:rFonts w:ascii="Arial" w:eastAsia="Arial" w:hAnsi="Arial" w:cs="Arial"/>
          <w:color w:val="000000"/>
          <w:sz w:val="20"/>
        </w:rPr>
        <w:t xml:space="preserve"> I dissent from Parts II.B.2 and II.B.3 of the majority's opinion because I believe that the facts viewed in the light most favorable to Steward demonstrate that genuine issues of material fact exist regarding  [*645]  whether Chrysler discriminated against her on the basis of race and disability. I concur in the judgment of Part II.B.5 but write separately to explain the grounds on which I would uphold the district court's grant of summary judgment to Chrysler on Steward's claim of intentional infliction of emotional distress.  [**37] I concur in Part II.A of the opinion and agree that the district court did not abuse its discretion in denying Steward's motion to dismiss her ADA claim and to remand the remainder of the case to state court. I also concur in Part II.B.1 of the opinion regarding the effect of Steward's contractual waiver, and in Part II.B.4 upholding the district court's grant of summary judgment to Chrysler on Steward's retaliation claim.</w:t>
      </w:r>
    </w:p>
    <w:p w14:paraId="03F97350" w14:textId="77777777" w:rsidR="00D041A2" w:rsidRDefault="00000000">
      <w:pPr>
        <w:pStyle w:val="Normal36"/>
        <w:widowControl w:val="0"/>
        <w:spacing w:before="240" w:line="260" w:lineRule="atLeast"/>
      </w:pPr>
      <w:r>
        <w:br/>
      </w:r>
      <w:r>
        <w:rPr>
          <w:rFonts w:ascii="Arial" w:eastAsia="Arial" w:hAnsi="Arial" w:cs="Arial"/>
          <w:b/>
          <w:color w:val="000000"/>
          <w:sz w:val="20"/>
        </w:rPr>
        <w:t>I. RACE-BASED CLAIMS</w:t>
      </w:r>
    </w:p>
    <w:p w14:paraId="13C9797E" w14:textId="77777777" w:rsidR="00D041A2" w:rsidRDefault="00000000">
      <w:pPr>
        <w:pStyle w:val="Normal36"/>
        <w:widowControl w:val="0"/>
        <w:spacing w:before="200" w:line="260" w:lineRule="atLeast"/>
        <w:jc w:val="both"/>
      </w:pPr>
      <w:bookmarkStart w:id="4887" w:name="Bookmark_para_61_4"/>
      <w:bookmarkEnd w:id="4887"/>
      <w:r>
        <w:rPr>
          <w:rFonts w:ascii="Arial" w:eastAsia="Arial" w:hAnsi="Arial" w:cs="Arial"/>
          <w:color w:val="000000"/>
          <w:sz w:val="20"/>
        </w:rPr>
        <w:t>Viewing the facts in the light most favorable to Steward, I believe that Steward has established a prima facie case of race discrimination. The majority concludes that Steward's claim fails on the second prong of her prima facie case—that she was subject to an adverse employment action. I cannot agree with the majority's conclusion that Steward's allegations are insufficient to demonstrate an adverse employment action.</w:t>
      </w:r>
    </w:p>
    <w:p w14:paraId="334682F1" w14:textId="77777777" w:rsidR="00D041A2" w:rsidRDefault="00000000">
      <w:pPr>
        <w:pStyle w:val="Normal36"/>
        <w:widowControl w:val="0"/>
        <w:spacing w:before="200" w:line="260" w:lineRule="atLeast"/>
        <w:jc w:val="both"/>
      </w:pPr>
      <w:bookmarkStart w:id="4888" w:name="Bookmark_para_62_3"/>
      <w:bookmarkEnd w:id="4888"/>
      <w:r>
        <w:rPr>
          <w:rFonts w:ascii="Arial" w:eastAsia="Arial" w:hAnsi="Arial" w:cs="Arial"/>
          <w:color w:val="000000"/>
          <w:sz w:val="20"/>
        </w:rPr>
        <w:t xml:space="preserve">To start, I disagree with the majority's conclusion that Steward's allegation of a racially segregated assembly line is "devoid of any factual support." Majority Op. at 16. Steward presented deposition testimony to support her allegation that the assembly line was racially segregated—i.e., that, factually, African American employees  [**38] worked at one end of the assembly line and white employees worked at the other. </w:t>
      </w:r>
      <w:r>
        <w:rPr>
          <w:rFonts w:ascii="Arial" w:eastAsia="Arial" w:hAnsi="Arial" w:cs="Arial"/>
          <w:i/>
          <w:color w:val="000000"/>
          <w:sz w:val="20"/>
        </w:rPr>
        <w:t>See, e.g.</w:t>
      </w:r>
      <w:r>
        <w:rPr>
          <w:rFonts w:ascii="Arial" w:eastAsia="Arial" w:hAnsi="Arial" w:cs="Arial"/>
          <w:color w:val="000000"/>
          <w:sz w:val="20"/>
        </w:rPr>
        <w:t xml:space="preserve">, ROA at 139 (Steward Dep. at 244); </w:t>
      </w:r>
      <w:r>
        <w:rPr>
          <w:rFonts w:ascii="Arial" w:eastAsia="Arial" w:hAnsi="Arial" w:cs="Arial"/>
          <w:i/>
          <w:color w:val="000000"/>
          <w:sz w:val="20"/>
        </w:rPr>
        <w:t>id.</w:t>
      </w:r>
      <w:r>
        <w:rPr>
          <w:rFonts w:ascii="Arial" w:eastAsia="Arial" w:hAnsi="Arial" w:cs="Arial"/>
          <w:color w:val="000000"/>
          <w:sz w:val="20"/>
        </w:rPr>
        <w:t xml:space="preserve"> at 260 (Thomas Dep. at 6); </w:t>
      </w:r>
      <w:r>
        <w:rPr>
          <w:rFonts w:ascii="Arial" w:eastAsia="Arial" w:hAnsi="Arial" w:cs="Arial"/>
          <w:i/>
          <w:color w:val="000000"/>
          <w:sz w:val="20"/>
        </w:rPr>
        <w:t>id.</w:t>
      </w:r>
      <w:r>
        <w:rPr>
          <w:rFonts w:ascii="Arial" w:eastAsia="Arial" w:hAnsi="Arial" w:cs="Arial"/>
          <w:color w:val="000000"/>
          <w:sz w:val="20"/>
        </w:rPr>
        <w:t xml:space="preserve"> at 327 (Dunlap Dep. at 43-44). The majority first discounts Steward's allegations because some white employees worked on the part of the line with the African American employees and Steward had a white assistant to accommodate her disability. But the fact that the line was not </w:t>
      </w:r>
      <w:r>
        <w:rPr>
          <w:rFonts w:ascii="Arial" w:eastAsia="Arial" w:hAnsi="Arial" w:cs="Arial"/>
          <w:i/>
          <w:color w:val="000000"/>
          <w:sz w:val="20"/>
        </w:rPr>
        <w:t>completely</w:t>
      </w:r>
      <w:r>
        <w:rPr>
          <w:rFonts w:ascii="Arial" w:eastAsia="Arial" w:hAnsi="Arial" w:cs="Arial"/>
          <w:color w:val="000000"/>
          <w:sz w:val="20"/>
        </w:rPr>
        <w:t xml:space="preserve"> segregated by race cannot be conclusive. Otherwise, an employer could simply place one white worker with the African American workers, and vice-versa, to avoid an allegation of a segregated workforce or race-based work assignments.</w:t>
      </w:r>
    </w:p>
    <w:p w14:paraId="331A198C" w14:textId="77777777" w:rsidR="00D041A2" w:rsidRDefault="00000000">
      <w:pPr>
        <w:pStyle w:val="Normal36"/>
        <w:widowControl w:val="0"/>
        <w:spacing w:before="200" w:line="260" w:lineRule="atLeast"/>
        <w:jc w:val="both"/>
      </w:pPr>
      <w:bookmarkStart w:id="4889" w:name="Bookmark_para_63_3"/>
      <w:bookmarkStart w:id="4890" w:name="Bookmark_I0MP410CPFM00109S620033V"/>
      <w:bookmarkStart w:id="4891" w:name="Bookmark_I5282BMR0N5YB70050000400"/>
      <w:bookmarkEnd w:id="4889"/>
      <w:bookmarkEnd w:id="4890"/>
      <w:bookmarkEnd w:id="4891"/>
      <w:r>
        <w:rPr>
          <w:rFonts w:ascii="Arial" w:eastAsia="Arial" w:hAnsi="Arial" w:cs="Arial"/>
          <w:color w:val="000000"/>
          <w:sz w:val="20"/>
        </w:rPr>
        <w:t xml:space="preserve">The majority's primary issue with the factual support for Steward's allegation, however, appears to be not with respect to whether the assembly line was segregated but rather with respect to whether the segregation was at the direction of McKerley. </w:t>
      </w:r>
      <w:r>
        <w:rPr>
          <w:rFonts w:ascii="Arial" w:eastAsia="Arial" w:hAnsi="Arial" w:cs="Arial"/>
          <w:i/>
          <w:color w:val="000000"/>
          <w:sz w:val="20"/>
        </w:rPr>
        <w:t xml:space="preserve">See </w:t>
      </w:r>
      <w:bookmarkStart w:id="4892" w:name="Bookmark_I5282BMR0N5YB70040000400"/>
      <w:bookmarkEnd w:id="4892"/>
      <w:r>
        <w:rPr>
          <w:rFonts w:ascii="Arial" w:eastAsia="Arial" w:hAnsi="Arial" w:cs="Arial"/>
          <w:i/>
          <w:color w:val="000000"/>
          <w:sz w:val="20"/>
        </w:rPr>
        <w:t>Michael v. Caterpillar Fin. Servs. Corp.</w:t>
      </w:r>
      <w:r>
        <w:rPr>
          <w:rFonts w:ascii="Arial" w:eastAsia="Arial" w:hAnsi="Arial" w:cs="Arial"/>
          <w:color w:val="000000"/>
          <w:sz w:val="20"/>
        </w:rPr>
        <w:t xml:space="preserve">, 496 F.3d 584, 593 (6th Cir. 2007) ("An adverse employment action in the context of a Title VII discrimination claim is a materially adverse change in the terms or conditions of employment </w:t>
      </w:r>
      <w:r>
        <w:rPr>
          <w:rFonts w:ascii="Arial" w:eastAsia="Arial" w:hAnsi="Arial" w:cs="Arial"/>
          <w:i/>
          <w:color w:val="000000"/>
          <w:sz w:val="20"/>
        </w:rPr>
        <w:t>because of the employer's actions.</w:t>
      </w:r>
      <w:r>
        <w:rPr>
          <w:rFonts w:ascii="Arial" w:eastAsia="Arial" w:hAnsi="Arial" w:cs="Arial"/>
          <w:color w:val="000000"/>
          <w:sz w:val="20"/>
        </w:rPr>
        <w:t xml:space="preserve">" (emphasis  [**39] added) (internal quotation marks omitted)). Thus, the majority relies on Steward's statements that she chose her own position on the line because of her seniority to conclude that Steward's "assertion that </w:t>
      </w:r>
      <w:r>
        <w:rPr>
          <w:rFonts w:ascii="Arial" w:eastAsia="Arial" w:hAnsi="Arial" w:cs="Arial"/>
          <w:i/>
          <w:color w:val="000000"/>
          <w:sz w:val="20"/>
        </w:rPr>
        <w:t>McKerley ran</w:t>
      </w:r>
      <w:r>
        <w:rPr>
          <w:rFonts w:ascii="Arial" w:eastAsia="Arial" w:hAnsi="Arial" w:cs="Arial"/>
          <w:color w:val="000000"/>
          <w:sz w:val="20"/>
        </w:rPr>
        <w:t xml:space="preserve"> a segregated assembly line" is unsupported. Majority Op. at 16 (emphasis added) (internal quotation marks omitted).</w:t>
      </w:r>
    </w:p>
    <w:p w14:paraId="0B52CC2E" w14:textId="77777777" w:rsidR="00D041A2" w:rsidRDefault="00000000">
      <w:pPr>
        <w:pStyle w:val="Normal36"/>
        <w:widowControl w:val="0"/>
        <w:spacing w:before="200" w:line="260" w:lineRule="atLeast"/>
        <w:jc w:val="both"/>
      </w:pPr>
      <w:bookmarkStart w:id="4893" w:name="Bookmark_para_64_3"/>
      <w:bookmarkEnd w:id="4893"/>
      <w:r>
        <w:rPr>
          <w:rFonts w:ascii="Arial" w:eastAsia="Arial" w:hAnsi="Arial" w:cs="Arial"/>
          <w:color w:val="000000"/>
          <w:sz w:val="20"/>
        </w:rPr>
        <w:t xml:space="preserve">But Steward's discussion of choosing her position related to particular instances when there were "open jobs on the line." ROA at 122 (Steward Dep. at 43-44); </w:t>
      </w:r>
      <w:r>
        <w:rPr>
          <w:rFonts w:ascii="Arial" w:eastAsia="Arial" w:hAnsi="Arial" w:cs="Arial"/>
          <w:i/>
          <w:color w:val="000000"/>
          <w:sz w:val="20"/>
        </w:rPr>
        <w:t>see also id.</w:t>
      </w:r>
      <w:r>
        <w:rPr>
          <w:rFonts w:ascii="Arial" w:eastAsia="Arial" w:hAnsi="Arial" w:cs="Arial"/>
          <w:color w:val="000000"/>
          <w:sz w:val="20"/>
        </w:rPr>
        <w:t xml:space="preserve"> at 366 (Steward Dep. at 279-80) (describing time around 2000-2001 when she was able to pick her job after the line was revamped). Steward recounted those instances when explaining her allegation that McKerley would change the job description of a position after she had picked it. ROA at 122, 366 (Steward Dep. at 43-44, 279-80). The majority seems to assume from Steward's reference to those particular instances that Steward always  [*646]  chose her position on the line without McKerley having any influence on her placement. </w:t>
      </w:r>
      <w:r>
        <w:rPr>
          <w:rFonts w:ascii="Arial" w:eastAsia="Arial" w:hAnsi="Arial" w:cs="Arial"/>
          <w:vertAlign w:val="superscript"/>
        </w:rPr>
        <w:footnoteReference w:customMarkFollows="1" w:id="232"/>
        <w:t>1</w:t>
      </w:r>
      <w:r>
        <w:rPr>
          <w:rFonts w:ascii="Arial" w:eastAsia="Arial" w:hAnsi="Arial" w:cs="Arial"/>
          <w:color w:val="000000"/>
          <w:sz w:val="20"/>
        </w:rPr>
        <w:t xml:space="preserve"> But Steward also stated in her deposition that seniority is a consideration for assignments on the line only "[i]f there is an open job, if it's a position that calls for  [**40] seniority." </w:t>
      </w:r>
      <w:r>
        <w:rPr>
          <w:rFonts w:ascii="Arial" w:eastAsia="Arial" w:hAnsi="Arial" w:cs="Arial"/>
          <w:i/>
          <w:color w:val="000000"/>
          <w:sz w:val="20"/>
        </w:rPr>
        <w:t>Id.</w:t>
      </w:r>
      <w:r>
        <w:rPr>
          <w:rFonts w:ascii="Arial" w:eastAsia="Arial" w:hAnsi="Arial" w:cs="Arial"/>
          <w:color w:val="000000"/>
          <w:sz w:val="20"/>
        </w:rPr>
        <w:t xml:space="preserve"> at 386 (Steward Dep. at 358); </w:t>
      </w:r>
      <w:r>
        <w:rPr>
          <w:rFonts w:ascii="Arial" w:eastAsia="Arial" w:hAnsi="Arial" w:cs="Arial"/>
          <w:i/>
          <w:color w:val="000000"/>
          <w:sz w:val="20"/>
        </w:rPr>
        <w:t>see also id.</w:t>
      </w:r>
      <w:r>
        <w:rPr>
          <w:rFonts w:ascii="Arial" w:eastAsia="Arial" w:hAnsi="Arial" w:cs="Arial"/>
          <w:color w:val="000000"/>
          <w:sz w:val="20"/>
        </w:rPr>
        <w:t xml:space="preserve"> at 124 (Steward Dep. at 66) (responding "No," to the question, "[W]ere these jobs at the end of the line that you are testifying about now, were they open jobs for which you bid based on seniority?").</w:t>
      </w:r>
    </w:p>
    <w:p w14:paraId="026FBCA8" w14:textId="77777777" w:rsidR="00D041A2" w:rsidRDefault="00000000">
      <w:pPr>
        <w:pStyle w:val="Normal36"/>
        <w:widowControl w:val="0"/>
        <w:spacing w:before="200" w:line="260" w:lineRule="atLeast"/>
        <w:jc w:val="both"/>
      </w:pPr>
      <w:bookmarkStart w:id="4895" w:name="Bookmark_para_65_3"/>
      <w:bookmarkEnd w:id="4895"/>
      <w:r>
        <w:rPr>
          <w:rFonts w:ascii="Arial" w:eastAsia="Arial" w:hAnsi="Arial" w:cs="Arial"/>
          <w:color w:val="000000"/>
          <w:sz w:val="20"/>
        </w:rPr>
        <w:t xml:space="preserve">Steward presents other evidence that McKerley made, or at least influenced, the job assignments and that he allowed favored white employees to express preferences for jobs even when the assignments were supposed to be based on seniority. </w:t>
      </w:r>
      <w:r>
        <w:rPr>
          <w:rFonts w:ascii="Arial" w:eastAsia="Arial" w:hAnsi="Arial" w:cs="Arial"/>
          <w:vertAlign w:val="superscript"/>
        </w:rPr>
        <w:footnoteReference w:customMarkFollows="1" w:id="233"/>
        <w:t>2</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at 263 (Thomas Dep. at 19-21); </w:t>
      </w:r>
      <w:r>
        <w:rPr>
          <w:rFonts w:ascii="Arial" w:eastAsia="Arial" w:hAnsi="Arial" w:cs="Arial"/>
          <w:i/>
          <w:color w:val="000000"/>
          <w:sz w:val="20"/>
        </w:rPr>
        <w:t>see also id.</w:t>
      </w:r>
      <w:r>
        <w:rPr>
          <w:rFonts w:ascii="Arial" w:eastAsia="Arial" w:hAnsi="Arial" w:cs="Arial"/>
          <w:color w:val="000000"/>
          <w:sz w:val="20"/>
        </w:rPr>
        <w:t xml:space="preserve"> at 328-29 (Dunlap Dep. at 48-51) ("[Steward] might be on a job for a couple of months and then [McKerley] would decide to move her somewhere else. But some of the other guys that was  [**41] on the line he put them on a job and they would be stationary."); </w:t>
      </w:r>
      <w:r>
        <w:rPr>
          <w:rFonts w:ascii="Arial" w:eastAsia="Arial" w:hAnsi="Arial" w:cs="Arial"/>
          <w:i/>
          <w:color w:val="000000"/>
          <w:sz w:val="20"/>
        </w:rPr>
        <w:t>id.</w:t>
      </w:r>
      <w:r>
        <w:rPr>
          <w:rFonts w:ascii="Arial" w:eastAsia="Arial" w:hAnsi="Arial" w:cs="Arial"/>
          <w:color w:val="000000"/>
          <w:sz w:val="20"/>
        </w:rPr>
        <w:t xml:space="preserve"> at 401 (McKerley Dep. at 113-15) (discussing how people are placed on jobs). In response to the question in her deposition, "With respect to the segregated assembly line, being given more work, . . . are you attributing all of that to McKerley?," Steward responded, "[Y]es. He's the supervisor. </w:t>
      </w:r>
      <w:bookmarkStart w:id="4897" w:name="Bookmark_I0MP410CV8S00109S620058S"/>
      <w:bookmarkStart w:id="4898" w:name="Bookmark_I5282BMW0N5YBG0020000400"/>
      <w:bookmarkEnd w:id="4897"/>
      <w:bookmarkEnd w:id="4898"/>
      <w:r>
        <w:rPr>
          <w:rFonts w:ascii="Arial" w:eastAsia="Arial" w:hAnsi="Arial" w:cs="Arial"/>
          <w:color w:val="000000"/>
          <w:sz w:val="20"/>
        </w:rPr>
        <w:t xml:space="preserve">He has the say." </w:t>
      </w:r>
      <w:r>
        <w:rPr>
          <w:rFonts w:ascii="Arial" w:eastAsia="Arial" w:hAnsi="Arial" w:cs="Arial"/>
          <w:i/>
          <w:color w:val="000000"/>
          <w:sz w:val="20"/>
        </w:rPr>
        <w:t>Id.</w:t>
      </w:r>
      <w:r>
        <w:rPr>
          <w:rFonts w:ascii="Arial" w:eastAsia="Arial" w:hAnsi="Arial" w:cs="Arial"/>
          <w:color w:val="000000"/>
          <w:sz w:val="20"/>
        </w:rPr>
        <w:t xml:space="preserve"> at 366 (Steward Dep. at 278). Therefore, although I agree with the majority that Steward must show that McKerley had, at least in part, some decision-making authority with respect to the assignment of positions on the assembly line, I believe that a material question of fact remains regarding McKerley's influence on Steward's position on the line during the relevant time period. </w:t>
      </w:r>
      <w:r>
        <w:rPr>
          <w:rFonts w:ascii="Arial" w:eastAsia="Arial" w:hAnsi="Arial" w:cs="Arial"/>
          <w:vertAlign w:val="superscript"/>
        </w:rPr>
        <w:footnoteReference w:customMarkFollows="1" w:id="234"/>
        <w:t>3</w:t>
      </w:r>
    </w:p>
    <w:p w14:paraId="13A53880" w14:textId="77777777" w:rsidR="00D041A2" w:rsidRDefault="00000000">
      <w:pPr>
        <w:pStyle w:val="Normal36"/>
        <w:widowControl w:val="0"/>
        <w:spacing w:before="200" w:line="260" w:lineRule="atLeast"/>
        <w:jc w:val="both"/>
      </w:pPr>
      <w:bookmarkStart w:id="4901" w:name="Bookmark_para_66_3"/>
      <w:bookmarkEnd w:id="4901"/>
      <w:r>
        <w:rPr>
          <w:rFonts w:ascii="Arial" w:eastAsia="Arial" w:hAnsi="Arial" w:cs="Arial"/>
          <w:color w:val="000000"/>
          <w:sz w:val="20"/>
        </w:rPr>
        <w:t xml:space="preserve"> [*647]  Additionally, I believe that Steward alleges that she was assigned additional work during the relevant time period. </w:t>
      </w:r>
      <w:r>
        <w:rPr>
          <w:rFonts w:ascii="Arial" w:eastAsia="Arial" w:hAnsi="Arial" w:cs="Arial"/>
          <w:i/>
          <w:color w:val="000000"/>
          <w:sz w:val="20"/>
        </w:rPr>
        <w:t>See, e.g.</w:t>
      </w:r>
      <w:r>
        <w:rPr>
          <w:rFonts w:ascii="Arial" w:eastAsia="Arial" w:hAnsi="Arial" w:cs="Arial"/>
          <w:color w:val="000000"/>
          <w:sz w:val="20"/>
        </w:rPr>
        <w:t xml:space="preserve">, ROA at 140 (Steward Dep. at 245-46) ("Any extra work needed to be done  [**44] you can have five white guys down here sitting down reading a paper and we down there working [on the African American part of the line], [McKerley] would still come down there and tell us, well, this needs to be done or that needs to be done." (emphasis added)); </w:t>
      </w:r>
      <w:r>
        <w:rPr>
          <w:rFonts w:ascii="Arial" w:eastAsia="Arial" w:hAnsi="Arial" w:cs="Arial"/>
          <w:i/>
          <w:color w:val="000000"/>
          <w:sz w:val="20"/>
        </w:rPr>
        <w:t>id.</w:t>
      </w:r>
      <w:r>
        <w:rPr>
          <w:rFonts w:ascii="Arial" w:eastAsia="Arial" w:hAnsi="Arial" w:cs="Arial"/>
          <w:color w:val="000000"/>
          <w:sz w:val="20"/>
        </w:rPr>
        <w:t xml:space="preserve"> at 367-68 (Steward Dep. at 283-85) (discussing how "</w:t>
      </w:r>
      <w:r>
        <w:rPr>
          <w:rFonts w:ascii="Arial" w:eastAsia="Arial" w:hAnsi="Arial" w:cs="Arial"/>
          <w:i/>
          <w:color w:val="000000"/>
          <w:sz w:val="20"/>
        </w:rPr>
        <w:t>every day</w:t>
      </w:r>
      <w:r>
        <w:rPr>
          <w:rFonts w:ascii="Arial" w:eastAsia="Arial" w:hAnsi="Arial" w:cs="Arial"/>
          <w:color w:val="000000"/>
          <w:sz w:val="20"/>
        </w:rPr>
        <w:t xml:space="preserve">" McKerley would assign her additional assignments "just to give [her] some more work to do" while his white "buddies" were reading newspapers and drinking coffee (emphasis added)). </w:t>
      </w:r>
      <w:r>
        <w:rPr>
          <w:rFonts w:ascii="Arial" w:eastAsia="Arial" w:hAnsi="Arial" w:cs="Arial"/>
          <w:vertAlign w:val="superscript"/>
        </w:rPr>
        <w:footnoteReference w:customMarkFollows="1" w:id="235"/>
        <w:t>4</w:t>
      </w:r>
      <w:r>
        <w:rPr>
          <w:rFonts w:ascii="Arial" w:eastAsia="Arial" w:hAnsi="Arial" w:cs="Arial"/>
          <w:color w:val="000000"/>
          <w:sz w:val="20"/>
        </w:rPr>
        <w:t xml:space="preserve"> Therefore, I believe that Steward has demonstrated that she was subject to an adverse employment action when McKerley constantly assigned her extra work.</w:t>
      </w:r>
    </w:p>
    <w:p w14:paraId="44753435" w14:textId="77777777" w:rsidR="00D041A2" w:rsidRDefault="00000000">
      <w:pPr>
        <w:pStyle w:val="Normal36"/>
        <w:widowControl w:val="0"/>
        <w:spacing w:before="200" w:line="260" w:lineRule="atLeast"/>
        <w:jc w:val="both"/>
      </w:pPr>
      <w:bookmarkStart w:id="4903" w:name="Bookmark_para_67_2"/>
      <w:bookmarkStart w:id="4904" w:name="Bookmark_I0MP410D03X00109S620058T"/>
      <w:bookmarkStart w:id="4905" w:name="Bookmark_I5282BMW0N5YBG0040000400"/>
      <w:bookmarkEnd w:id="4903"/>
      <w:bookmarkEnd w:id="4904"/>
      <w:bookmarkEnd w:id="4905"/>
      <w:r>
        <w:rPr>
          <w:rFonts w:ascii="Arial" w:eastAsia="Arial" w:hAnsi="Arial" w:cs="Arial"/>
          <w:color w:val="000000"/>
          <w:sz w:val="20"/>
        </w:rPr>
        <w:t xml:space="preserve">For the reasons stated above, I would conclude that Steward has alleged  [**45] sufficient facts to demonstrate an adverse employment action and, therefore, has alleged sufficient facts to establish a prima facie case of race discrimination. </w:t>
      </w:r>
      <w:r>
        <w:rPr>
          <w:rFonts w:ascii="Arial" w:eastAsia="Arial" w:hAnsi="Arial" w:cs="Arial"/>
          <w:vertAlign w:val="superscript"/>
        </w:rPr>
        <w:footnoteReference w:customMarkFollows="1" w:id="236"/>
        <w:t>5</w:t>
      </w:r>
      <w:r>
        <w:rPr>
          <w:rFonts w:ascii="Arial" w:eastAsia="Arial" w:hAnsi="Arial" w:cs="Arial"/>
          <w:color w:val="000000"/>
          <w:sz w:val="20"/>
        </w:rPr>
        <w:t xml:space="preserve"> Because I believe that Steward has alleged a prima facie case of race discrimination, the burden would shift to Chrysler "to put forth a legitimate, nondiscriminatory reason for the complained of adverse treatment." </w:t>
      </w:r>
      <w:bookmarkStart w:id="4907" w:name="Bookmark_I5282BMW0N5YBG0030000400"/>
      <w:bookmarkEnd w:id="4907"/>
      <w:r>
        <w:rPr>
          <w:rFonts w:ascii="Arial" w:eastAsia="Arial" w:hAnsi="Arial" w:cs="Arial"/>
          <w:i/>
          <w:color w:val="000000"/>
          <w:sz w:val="20"/>
        </w:rPr>
        <w:t>Wright v. Murray Guard, Inc.</w:t>
      </w:r>
      <w:r>
        <w:rPr>
          <w:rFonts w:ascii="Arial" w:eastAsia="Arial" w:hAnsi="Arial" w:cs="Arial"/>
          <w:color w:val="000000"/>
          <w:sz w:val="20"/>
        </w:rPr>
        <w:t xml:space="preserve">, 455 F.3d 702, 706 (6th Cir. 2006) (internal quotation marks omitted). Chrysler has failed to present evidence of a legitimate, nondiscriminatory reason for Steward's alleged segregation in job assignments and assignments of additional work. </w:t>
      </w:r>
      <w:r>
        <w:rPr>
          <w:rFonts w:ascii="Arial" w:eastAsia="Arial" w:hAnsi="Arial" w:cs="Arial"/>
          <w:vertAlign w:val="superscript"/>
        </w:rPr>
        <w:footnoteReference w:customMarkFollows="1" w:id="237"/>
        <w:t>6</w:t>
      </w:r>
      <w:r>
        <w:rPr>
          <w:rFonts w:ascii="Arial" w:eastAsia="Arial" w:hAnsi="Arial" w:cs="Arial"/>
          <w:color w:val="000000"/>
          <w:sz w:val="20"/>
        </w:rPr>
        <w:t xml:space="preserve"> Instead, Chrysler simply asserts that Steward has not established a prima facie case of discrimination because no adverse employment action was taken against her, because her complaints were not causally  [*648]  connected to race, and because her conclusory opinions are not evidence of discrimination. In concluding that Steward has established a prima facie case, I have rejected Chrysler's arguments.</w:t>
      </w:r>
    </w:p>
    <w:p w14:paraId="5F60BE74" w14:textId="77777777" w:rsidR="00D041A2" w:rsidRDefault="00000000">
      <w:pPr>
        <w:pStyle w:val="Normal36"/>
        <w:widowControl w:val="0"/>
        <w:spacing w:before="200" w:line="260" w:lineRule="atLeast"/>
        <w:jc w:val="both"/>
      </w:pPr>
      <w:bookmarkStart w:id="4909" w:name="Bookmark_para_68_2"/>
      <w:bookmarkStart w:id="4910" w:name="Bookmark_I0MP410D3Y200109S620058V"/>
      <w:bookmarkStart w:id="4911" w:name="Bookmark_I0MP410D91X00109S620058W"/>
      <w:bookmarkStart w:id="4912" w:name="Bookmark_I5282BMW0N5YBH0010000400"/>
      <w:bookmarkEnd w:id="4909"/>
      <w:bookmarkEnd w:id="4910"/>
      <w:bookmarkEnd w:id="4911"/>
      <w:bookmarkEnd w:id="4912"/>
      <w:r>
        <w:rPr>
          <w:rFonts w:ascii="Arial" w:eastAsia="Arial" w:hAnsi="Arial" w:cs="Arial"/>
          <w:color w:val="000000"/>
          <w:sz w:val="20"/>
        </w:rPr>
        <w:t xml:space="preserve">Because Steward has alleged a prima facie case of discrimination and Chrysler has not met its burden of producing a nondiscriminatory explanation,  [**47] a presumption of discrimination remains, and Steward should be able to proceed with her race-discrimination claim. </w:t>
      </w:r>
      <w:bookmarkStart w:id="4913" w:name="Bookmark_I5282BMW0N5YBG0050000400"/>
      <w:bookmarkEnd w:id="4913"/>
      <w:r>
        <w:rPr>
          <w:rFonts w:ascii="Arial" w:eastAsia="Arial" w:hAnsi="Arial" w:cs="Arial"/>
          <w:i/>
          <w:color w:val="000000"/>
          <w:sz w:val="20"/>
        </w:rPr>
        <w:t>Id.</w:t>
      </w:r>
      <w:r>
        <w:rPr>
          <w:rFonts w:ascii="Arial" w:eastAsia="Arial" w:hAnsi="Arial" w:cs="Arial"/>
          <w:color w:val="000000"/>
          <w:sz w:val="20"/>
        </w:rPr>
        <w:t xml:space="preserve"> at 706-07; </w:t>
      </w:r>
      <w:r>
        <w:rPr>
          <w:rFonts w:ascii="Arial" w:eastAsia="Arial" w:hAnsi="Arial" w:cs="Arial"/>
          <w:i/>
          <w:color w:val="000000"/>
          <w:sz w:val="20"/>
        </w:rPr>
        <w:t xml:space="preserve">see also </w:t>
      </w:r>
      <w:bookmarkStart w:id="4914" w:name="Bookmark_I5282BMW0N5YBH0020000400"/>
      <w:bookmarkEnd w:id="4914"/>
      <w:r>
        <w:rPr>
          <w:rFonts w:ascii="Arial" w:eastAsia="Arial" w:hAnsi="Arial" w:cs="Arial"/>
          <w:i/>
          <w:color w:val="000000"/>
          <w:sz w:val="20"/>
        </w:rPr>
        <w:t>Sniecinski v. Blue Cross &amp; Blue Shield of Mich.</w:t>
      </w:r>
      <w:r>
        <w:rPr>
          <w:rFonts w:ascii="Arial" w:eastAsia="Arial" w:hAnsi="Arial" w:cs="Arial"/>
          <w:color w:val="000000"/>
          <w:sz w:val="20"/>
        </w:rPr>
        <w:t>, 469 Mich. 124, 666 N.W.2d 186, 193-94 (Mich. 2003). Accordingly, I would reverse the district court's dismissal of Steward's race-based claim.</w:t>
      </w:r>
    </w:p>
    <w:p w14:paraId="1D7742E2" w14:textId="77777777" w:rsidR="00D041A2" w:rsidRDefault="00000000">
      <w:pPr>
        <w:pStyle w:val="Normal36"/>
        <w:widowControl w:val="0"/>
        <w:spacing w:before="240" w:line="260" w:lineRule="atLeast"/>
      </w:pPr>
      <w:r>
        <w:br/>
      </w:r>
      <w:r>
        <w:rPr>
          <w:rFonts w:ascii="Arial" w:eastAsia="Arial" w:hAnsi="Arial" w:cs="Arial"/>
          <w:b/>
          <w:color w:val="000000"/>
          <w:sz w:val="20"/>
        </w:rPr>
        <w:t>II. DISABILITY-BASED CLAIMS</w:t>
      </w:r>
    </w:p>
    <w:p w14:paraId="034D8A4F" w14:textId="77777777" w:rsidR="00D041A2" w:rsidRDefault="00000000">
      <w:pPr>
        <w:pStyle w:val="Normal36"/>
        <w:widowControl w:val="0"/>
        <w:spacing w:before="200" w:line="260" w:lineRule="atLeast"/>
        <w:jc w:val="both"/>
      </w:pPr>
      <w:bookmarkStart w:id="4915" w:name="Bookmark_para_69_2"/>
      <w:bookmarkEnd w:id="4915"/>
      <w:r>
        <w:rPr>
          <w:rFonts w:ascii="Arial" w:eastAsia="Arial" w:hAnsi="Arial" w:cs="Arial"/>
          <w:color w:val="000000"/>
          <w:sz w:val="20"/>
        </w:rPr>
        <w:t xml:space="preserve">I also believe that Steward has established a prima facie case of disability discrimination when viewing the facts in a light most favorable to her. Steward has identified a number of employees with less seniority than herself who have similar job restrictions and who have been accommodated in a variety of jobs at Chrysler that she would be able to perform. </w:t>
      </w:r>
      <w:r>
        <w:rPr>
          <w:rFonts w:ascii="Arial" w:eastAsia="Arial" w:hAnsi="Arial" w:cs="Arial"/>
          <w:vertAlign w:val="superscript"/>
        </w:rPr>
        <w:footnoteReference w:customMarkFollows="1" w:id="238"/>
        <w:t>7</w:t>
      </w:r>
      <w:r>
        <w:rPr>
          <w:rFonts w:ascii="Arial" w:eastAsia="Arial" w:hAnsi="Arial" w:cs="Arial"/>
          <w:color w:val="000000"/>
          <w:sz w:val="20"/>
        </w:rPr>
        <w:t xml:space="preserve"> She also asserts that she could continue to perform her old job with an assistant as she did for a few months before her layoff. In response, Chrysler argues that it can no longer provide Steward with an assistant because its budget will not allow it to pay two people to do a single job and that it has reviewed its job openings since Steward's layoff and it has not found a vacancy that fits her work restrictions and seniority rights. ROA at 179 (Clark Aff. at 2).</w:t>
      </w:r>
    </w:p>
    <w:p w14:paraId="50BFA0A3" w14:textId="77777777" w:rsidR="00D041A2" w:rsidRDefault="00000000">
      <w:pPr>
        <w:pStyle w:val="Normal36"/>
        <w:widowControl w:val="0"/>
        <w:spacing w:before="200" w:line="260" w:lineRule="atLeast"/>
        <w:jc w:val="both"/>
      </w:pPr>
      <w:bookmarkStart w:id="4917" w:name="Bookmark_para_70_2"/>
      <w:bookmarkEnd w:id="4917"/>
      <w:r>
        <w:rPr>
          <w:rFonts w:ascii="Arial" w:eastAsia="Arial" w:hAnsi="Arial" w:cs="Arial"/>
          <w:color w:val="000000"/>
          <w:sz w:val="20"/>
        </w:rPr>
        <w:t xml:space="preserve">However, Chrysler also responds that it prioritizes the accommodation of workers with work-related disabilities. Chrysler Br. at 11, 37, 43; </w:t>
      </w:r>
      <w:r>
        <w:rPr>
          <w:rFonts w:ascii="Arial" w:eastAsia="Arial" w:hAnsi="Arial" w:cs="Arial"/>
          <w:i/>
          <w:color w:val="000000"/>
          <w:sz w:val="20"/>
        </w:rPr>
        <w:t>see also</w:t>
      </w:r>
      <w:r>
        <w:rPr>
          <w:rFonts w:ascii="Arial" w:eastAsia="Arial" w:hAnsi="Arial" w:cs="Arial"/>
          <w:color w:val="000000"/>
          <w:sz w:val="20"/>
        </w:rPr>
        <w:t xml:space="preserve"> ROA at 182 (Gupte Dep. at 33-34) ("The primary consideration was that we gave priority to individuals who had work related [restrictions] only.");  [**49] ROA at 190 (Clark Dep. at 44) ("HR Policy, if it's [] workman's comp[ensation], then we are to try to accommodate that person if possible. If it's not workman's comp[ensation], then the corporation is not responsible to accommodate the extra cost [of an additional person to help]."). Chrysler further explains that it has determined that Steward's disability is not work related and that she is therefore not entitled to jobs similar to those that it has created or found for occupationally injured employees. Even assuming that Chrysler is correct in its argument that it may prioritize the accommodation of occupationally injured employees, an issue on which I express no opinion at this time, I conclude that questions of material fact remain. First, the record reveals conflicting evidence regarding whether Steward was injured on the job. Although Chrysler asserts, without explanation, that it has determined that Steward's injuries are not occupationally related, Steward has presented evidence that her injuries are job related. Steward's deposition testimony outlines her injuries, and she clearly argues that all of her injuries happened on  [*649]  the job. ROA at 133, 372-73, 376-78 (Steward Dep.  [**50] at 169, 304, 306, 317-27). Steward's doctor also testified that her job likely caused and/or contributed to her injuries. </w:t>
      </w:r>
      <w:r>
        <w:rPr>
          <w:rFonts w:ascii="Arial" w:eastAsia="Arial" w:hAnsi="Arial" w:cs="Arial"/>
          <w:i/>
          <w:color w:val="000000"/>
          <w:sz w:val="20"/>
        </w:rPr>
        <w:t>Id.</w:t>
      </w:r>
      <w:r>
        <w:rPr>
          <w:rFonts w:ascii="Arial" w:eastAsia="Arial" w:hAnsi="Arial" w:cs="Arial"/>
          <w:color w:val="000000"/>
          <w:sz w:val="20"/>
        </w:rPr>
        <w:t xml:space="preserve"> at 169-70 (Obayan Dep. at 14-19). Although the parties have not focused on the issues, the source of Steward's injury is a material fact. Additionally, the record does not reveal, for example, how Chrysler makes its determination that employees have been injured on or off the job or whether there is any review process. If Steward can show that her injury is job related, then Chrysler's argument that she has not been accommodated at the plant because her injury is not job related must fail.</w:t>
      </w:r>
    </w:p>
    <w:p w14:paraId="62825FF0" w14:textId="77777777" w:rsidR="00D041A2" w:rsidRDefault="00000000">
      <w:pPr>
        <w:pStyle w:val="Normal36"/>
        <w:widowControl w:val="0"/>
        <w:spacing w:before="200" w:line="260" w:lineRule="atLeast"/>
        <w:jc w:val="both"/>
      </w:pPr>
      <w:bookmarkStart w:id="4918" w:name="Bookmark_para_71_2"/>
      <w:bookmarkEnd w:id="4918"/>
      <w:r>
        <w:rPr>
          <w:rFonts w:ascii="Arial" w:eastAsia="Arial" w:hAnsi="Arial" w:cs="Arial"/>
          <w:color w:val="000000"/>
          <w:sz w:val="20"/>
        </w:rPr>
        <w:t>Finally, Chrysler asserts that laying off Steward and providing her with sub-pay is a reasonable accommodation. I decline to adopt this position. Steward is not receiving full pay or benefits, nor is she working. Accordingly, Chrysler has not accommodated Steward by providing her with a job that she can perform, and Steward's disability claims should not have been dismissed on summary judgment.</w:t>
      </w:r>
    </w:p>
    <w:p w14:paraId="3EA7590C" w14:textId="77777777" w:rsidR="00D041A2" w:rsidRDefault="00000000">
      <w:pPr>
        <w:pStyle w:val="Normal36"/>
        <w:widowControl w:val="0"/>
        <w:spacing w:before="240" w:line="260" w:lineRule="atLeast"/>
      </w:pPr>
      <w:r>
        <w:br/>
      </w:r>
      <w:r>
        <w:rPr>
          <w:rFonts w:ascii="Arial" w:eastAsia="Arial" w:hAnsi="Arial" w:cs="Arial"/>
          <w:b/>
          <w:color w:val="000000"/>
          <w:sz w:val="20"/>
        </w:rPr>
        <w:t>III. CLAIM OF INTENTIONAL INFLICTION OF EMOTIONAL DISTRESS</w:t>
      </w:r>
    </w:p>
    <w:p w14:paraId="350FF98D" w14:textId="77777777" w:rsidR="00D041A2" w:rsidRDefault="00000000">
      <w:pPr>
        <w:pStyle w:val="Normal36"/>
        <w:widowControl w:val="0"/>
        <w:spacing w:before="200" w:line="260" w:lineRule="atLeast"/>
        <w:jc w:val="both"/>
      </w:pPr>
      <w:bookmarkStart w:id="4919" w:name="Bookmark_para_72_2"/>
      <w:bookmarkStart w:id="4920" w:name="Bookmark_I0MP410DDW200109S620058X"/>
      <w:bookmarkStart w:id="4921" w:name="Bookmark_I0MP410DKYX00109S620058Y"/>
      <w:bookmarkStart w:id="4922" w:name="Bookmark_I5282BMW0N5YBH0050000400"/>
      <w:bookmarkEnd w:id="4919"/>
      <w:bookmarkEnd w:id="4920"/>
      <w:bookmarkEnd w:id="4921"/>
      <w:bookmarkEnd w:id="4922"/>
      <w:r>
        <w:rPr>
          <w:rFonts w:ascii="Arial" w:eastAsia="Arial" w:hAnsi="Arial" w:cs="Arial"/>
          <w:color w:val="000000"/>
          <w:sz w:val="20"/>
        </w:rPr>
        <w:t xml:space="preserve">For the reasons stated below, I agree with the majority's conclusion that the district court did not err in granting Chrysler  [**51] summary judgment with respect to Steward's claim of intentional infliction of emotional distress. </w:t>
      </w:r>
      <w:bookmarkStart w:id="4923" w:name="Bookmark_I0MP410DRT200109S6200590"/>
      <w:bookmarkStart w:id="4924" w:name="Bookmark_I0MP410F2R200109S6200592"/>
      <w:bookmarkStart w:id="4925" w:name="Bookmark_I5282BMW0N5YBJ0040000400"/>
      <w:bookmarkEnd w:id="4923"/>
      <w:bookmarkEnd w:id="4924"/>
      <w:bookmarkEnd w:id="4925"/>
      <w:r>
        <w:rPr>
          <w:rFonts w:ascii="Arial" w:eastAsia="Arial" w:hAnsi="Arial" w:cs="Arial"/>
          <w:color w:val="000000"/>
          <w:sz w:val="20"/>
        </w:rPr>
        <w:t xml:space="preserve">As the majority states, the Michigan Supreme Court has not formally recognized the tort of intentional infliction of emotional distress. </w:t>
      </w:r>
      <w:r>
        <w:rPr>
          <w:rFonts w:ascii="Arial" w:eastAsia="Arial" w:hAnsi="Arial" w:cs="Arial"/>
          <w:i/>
          <w:color w:val="000000"/>
          <w:sz w:val="20"/>
        </w:rPr>
        <w:t xml:space="preserve">See </w:t>
      </w:r>
      <w:bookmarkStart w:id="4926" w:name="Bookmark_I5282BMW0N5YBH0040000400"/>
      <w:bookmarkEnd w:id="4926"/>
      <w:r>
        <w:rPr>
          <w:rFonts w:ascii="Arial" w:eastAsia="Arial" w:hAnsi="Arial" w:cs="Arial"/>
          <w:i/>
          <w:color w:val="000000"/>
          <w:sz w:val="20"/>
        </w:rPr>
        <w:t>Brown v. Cassens Transp. Co.</w:t>
      </w:r>
      <w:r>
        <w:rPr>
          <w:rFonts w:ascii="Arial" w:eastAsia="Arial" w:hAnsi="Arial" w:cs="Arial"/>
          <w:color w:val="000000"/>
          <w:sz w:val="20"/>
        </w:rPr>
        <w:t xml:space="preserve">, 546 F.3d 347, 363-64 (6th Cir. 2008), </w:t>
      </w:r>
      <w:r>
        <w:rPr>
          <w:rFonts w:ascii="Arial" w:eastAsia="Arial" w:hAnsi="Arial" w:cs="Arial"/>
          <w:i/>
          <w:color w:val="000000"/>
          <w:sz w:val="20"/>
        </w:rPr>
        <w:t>cert. denied</w:t>
      </w:r>
      <w:r>
        <w:rPr>
          <w:rFonts w:ascii="Arial" w:eastAsia="Arial" w:hAnsi="Arial" w:cs="Arial"/>
          <w:color w:val="000000"/>
          <w:sz w:val="20"/>
        </w:rPr>
        <w:t xml:space="preserve">, 130 S. Ct. 795, 175 L. Ed. 2d 575 (2009); </w:t>
      </w:r>
      <w:bookmarkStart w:id="4927" w:name="Bookmark_I5282BMW0N5YBJ0010000400"/>
      <w:bookmarkEnd w:id="4927"/>
      <w:r>
        <w:rPr>
          <w:rFonts w:ascii="Arial" w:eastAsia="Arial" w:hAnsi="Arial" w:cs="Arial"/>
          <w:i/>
          <w:color w:val="000000"/>
          <w:sz w:val="20"/>
        </w:rPr>
        <w:t>Smith v. Calvary Christian Church</w:t>
      </w:r>
      <w:r>
        <w:rPr>
          <w:rFonts w:ascii="Arial" w:eastAsia="Arial" w:hAnsi="Arial" w:cs="Arial"/>
          <w:color w:val="000000"/>
          <w:sz w:val="20"/>
        </w:rPr>
        <w:t xml:space="preserve">, 462 Mich. 679, 614 N.W.2d 590, 595 (Mich. 2000) (Weaver, C.J., concurring). </w:t>
      </w:r>
      <w:bookmarkStart w:id="4928" w:name="Bookmark_I5282BMW0N5YBJ0040000400_2"/>
      <w:bookmarkEnd w:id="4928"/>
      <w:r>
        <w:rPr>
          <w:rFonts w:ascii="Arial" w:eastAsia="Arial" w:hAnsi="Arial" w:cs="Arial"/>
          <w:color w:val="000000"/>
          <w:sz w:val="20"/>
        </w:rPr>
        <w:t xml:space="preserve">Michigan appellate courts that have recognized the tort have identified the following elements: "(1) extreme and outrageous conduct; (2) intent or recklessness; (3) causation; and (4) severe emotional distress." </w:t>
      </w:r>
      <w:bookmarkStart w:id="4929" w:name="Bookmark_I5282BMW0N5YBJ0030000400"/>
      <w:bookmarkEnd w:id="4929"/>
      <w:r>
        <w:rPr>
          <w:rFonts w:ascii="Arial" w:eastAsia="Arial" w:hAnsi="Arial" w:cs="Arial"/>
          <w:i/>
          <w:color w:val="000000"/>
          <w:sz w:val="20"/>
        </w:rPr>
        <w:t>Linebaugh v. Sheraton Mich. Corp.</w:t>
      </w:r>
      <w:r>
        <w:rPr>
          <w:rFonts w:ascii="Arial" w:eastAsia="Arial" w:hAnsi="Arial" w:cs="Arial"/>
          <w:color w:val="000000"/>
          <w:sz w:val="20"/>
        </w:rPr>
        <w:t xml:space="preserve">, 198 Mich. App. 335, 497 N.W.2d 585, 588 (Mich. Ct. App. 1993); </w:t>
      </w:r>
      <w:r>
        <w:rPr>
          <w:rFonts w:ascii="Arial" w:eastAsia="Arial" w:hAnsi="Arial" w:cs="Arial"/>
          <w:i/>
          <w:color w:val="000000"/>
          <w:sz w:val="20"/>
        </w:rPr>
        <w:t xml:space="preserve">see also </w:t>
      </w:r>
      <w:bookmarkStart w:id="4930" w:name="Bookmark_I5282BMW0N5YBJ0050000400"/>
      <w:bookmarkEnd w:id="4930"/>
      <w:r>
        <w:rPr>
          <w:rFonts w:ascii="Arial" w:eastAsia="Arial" w:hAnsi="Arial" w:cs="Arial"/>
          <w:i/>
          <w:color w:val="000000"/>
          <w:sz w:val="20"/>
        </w:rPr>
        <w:t>Brown</w:t>
      </w:r>
      <w:r>
        <w:rPr>
          <w:rFonts w:ascii="Arial" w:eastAsia="Arial" w:hAnsi="Arial" w:cs="Arial"/>
          <w:color w:val="000000"/>
          <w:sz w:val="20"/>
        </w:rPr>
        <w:t>, 546 F.3d at 363-64. The district court found that Steward had not sufficiently alleged these elements in part because she did not allege that Chrysler knew about or permitted McKerley to continue the alleged conduct. In light of the body of Michigan cases, I conclude that Steward has failed to bring forth sufficient evidence to support this claim. I would affirm the district court's dismissal of Steward's claim of intentional infliction of emotional  [**52] distress on that ground. For the reasons stated above in Part I, I do not agree that Steward failed to support factually her allegation that McKerley ran a racially segregated assembly line, and therefore I do not agree with the majority's dismissal of Steward's IIED claim on that ground.</w:t>
      </w:r>
    </w:p>
    <w:p w14:paraId="40E5680B" w14:textId="77777777" w:rsidR="00D041A2" w:rsidRDefault="00000000">
      <w:pPr>
        <w:pStyle w:val="Normal36"/>
        <w:widowControl w:val="0"/>
        <w:spacing w:before="240" w:line="260" w:lineRule="atLeast"/>
      </w:pPr>
      <w:r>
        <w:br/>
      </w:r>
      <w:r>
        <w:rPr>
          <w:rFonts w:ascii="Arial" w:eastAsia="Arial" w:hAnsi="Arial" w:cs="Arial"/>
          <w:b/>
          <w:color w:val="000000"/>
          <w:sz w:val="20"/>
        </w:rPr>
        <w:t>IV. CONCLUSION</w:t>
      </w:r>
    </w:p>
    <w:p w14:paraId="3BD55553" w14:textId="77777777" w:rsidR="00D041A2" w:rsidRDefault="00000000">
      <w:pPr>
        <w:pStyle w:val="Normal36"/>
        <w:widowControl w:val="0"/>
        <w:spacing w:before="200" w:line="260" w:lineRule="atLeast"/>
        <w:jc w:val="both"/>
      </w:pPr>
      <w:bookmarkStart w:id="4931" w:name="Bookmark_para_73_2"/>
      <w:bookmarkEnd w:id="4931"/>
      <w:r>
        <w:rPr>
          <w:rFonts w:ascii="Arial" w:eastAsia="Arial" w:hAnsi="Arial" w:cs="Arial"/>
          <w:color w:val="000000"/>
          <w:sz w:val="20"/>
        </w:rPr>
        <w:t>Viewing the facts in the light most favorable to Steward, I believe that Steward has established a prima facie case of both race and disability discrimination. With respect to her race-discrimination claim, I believe that Steward has demonstrated that she was subject to an adverse employment action when McKerley assigned her additional work and that a question of material fact remains regarding whether McKerley influenced her placement on the segregated assembly line. With respect to her disability-discrimination claim, I believe that a question of material fact remains regarding whether Steward's injury is job related. Therefore, I respectfully dissent from the dismissal of Steward's race- and disability-discrimination claims.</w:t>
      </w:r>
    </w:p>
    <w:p w14:paraId="02371724" w14:textId="77777777" w:rsidR="00D041A2" w:rsidRDefault="00D041A2">
      <w:pPr>
        <w:pStyle w:val="Normal36"/>
      </w:pPr>
    </w:p>
    <w:p w14:paraId="167F6638" w14:textId="7A419D40" w:rsidR="00D041A2" w:rsidRDefault="00000000">
      <w:pPr>
        <w:pStyle w:val="Normal36"/>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40160" behindDoc="0" locked="0" layoutInCell="1" allowOverlap="1" wp14:anchorId="5D88F8C0" wp14:editId="411FC126">
                <wp:simplePos x="0" y="0"/>
                <wp:positionH relativeFrom="column">
                  <wp:posOffset>0</wp:posOffset>
                </wp:positionH>
                <wp:positionV relativeFrom="paragraph">
                  <wp:posOffset>127000</wp:posOffset>
                </wp:positionV>
                <wp:extent cx="6502400" cy="0"/>
                <wp:effectExtent l="9525" t="12700" r="12700" b="6350"/>
                <wp:wrapNone/>
                <wp:docPr id="320347768"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41BAF" id="Line 8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0813748" w14:textId="77777777" w:rsidR="00D041A2" w:rsidRDefault="00D041A2">
      <w:pPr>
        <w:pStyle w:val="Normal37"/>
        <w:sectPr w:rsidR="00D041A2">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gutter="0"/>
          <w:cols w:space="720"/>
          <w:titlePg/>
        </w:sectPr>
      </w:pPr>
    </w:p>
    <w:p w14:paraId="683293D4" w14:textId="77777777" w:rsidR="00D041A2" w:rsidRDefault="00D041A2">
      <w:pPr>
        <w:pStyle w:val="Normal37"/>
      </w:pPr>
    </w:p>
    <w:p w14:paraId="775E2193" w14:textId="77777777" w:rsidR="00D041A2" w:rsidRDefault="00000000">
      <w:pPr>
        <w:pStyle w:val="Heading136"/>
        <w:keepNext w:val="0"/>
        <w:widowControl w:val="0"/>
        <w:spacing w:after="200" w:line="340" w:lineRule="atLeast"/>
        <w:jc w:val="center"/>
      </w:pPr>
      <w:r>
        <w:rPr>
          <w:rFonts w:eastAsia="Arial"/>
          <w:color w:val="000000"/>
          <w:sz w:val="28"/>
        </w:rPr>
        <w:t>Chapman v. Pier 1 Imps. (U.S.), Inc.</w:t>
      </w:r>
    </w:p>
    <w:p w14:paraId="713B0461" w14:textId="77777777" w:rsidR="00D041A2" w:rsidRDefault="00000000">
      <w:pPr>
        <w:pStyle w:val="Normal37"/>
        <w:widowControl w:val="0"/>
        <w:spacing w:before="120" w:line="260" w:lineRule="atLeast"/>
        <w:jc w:val="center"/>
      </w:pPr>
      <w:r>
        <w:rPr>
          <w:rFonts w:ascii="Arial" w:eastAsia="Arial" w:hAnsi="Arial" w:cs="Arial"/>
          <w:color w:val="000000"/>
          <w:sz w:val="20"/>
        </w:rPr>
        <w:t>United States Court of Appeals for the Ninth Circuit</w:t>
      </w:r>
    </w:p>
    <w:p w14:paraId="0023E05F" w14:textId="77777777" w:rsidR="00D041A2" w:rsidRDefault="00000000">
      <w:pPr>
        <w:pStyle w:val="Normal37"/>
        <w:widowControl w:val="0"/>
        <w:spacing w:before="120" w:line="260" w:lineRule="atLeast"/>
        <w:jc w:val="center"/>
      </w:pPr>
      <w:r>
        <w:rPr>
          <w:rFonts w:ascii="Arial" w:eastAsia="Arial" w:hAnsi="Arial" w:cs="Arial"/>
          <w:color w:val="000000"/>
          <w:sz w:val="20"/>
        </w:rPr>
        <w:t>March 23, 2010, Argued and Submitted, San Francisco, California; January 7, 2011, Filed</w:t>
      </w:r>
    </w:p>
    <w:p w14:paraId="7B635BF9" w14:textId="77777777" w:rsidR="00D041A2" w:rsidRDefault="00000000">
      <w:pPr>
        <w:pStyle w:val="Normal37"/>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07-16326</w:t>
      </w:r>
    </w:p>
    <w:p w14:paraId="2DCC59E5" w14:textId="77777777" w:rsidR="00D041A2" w:rsidRDefault="00D041A2">
      <w:pPr>
        <w:pStyle w:val="Normal37"/>
        <w:widowControl w:val="0"/>
        <w:spacing w:line="240" w:lineRule="atLeast"/>
        <w:jc w:val="both"/>
      </w:pPr>
      <w:bookmarkStart w:id="4932" w:name="Bookmark_38"/>
      <w:bookmarkEnd w:id="4932"/>
    </w:p>
    <w:p w14:paraId="13A1606A" w14:textId="77777777" w:rsidR="00D041A2" w:rsidRDefault="00000000">
      <w:pPr>
        <w:pStyle w:val="Normal37"/>
        <w:widowControl w:val="0"/>
        <w:spacing w:before="200" w:line="240" w:lineRule="atLeast"/>
      </w:pPr>
      <w:bookmarkStart w:id="4933" w:name="Reporter_36"/>
      <w:bookmarkEnd w:id="4933"/>
      <w:r>
        <w:rPr>
          <w:rFonts w:ascii="Arial" w:eastAsia="Arial" w:hAnsi="Arial" w:cs="Arial"/>
          <w:b/>
          <w:color w:val="000000"/>
          <w:sz w:val="18"/>
        </w:rPr>
        <w:t>Reporter</w:t>
      </w:r>
    </w:p>
    <w:p w14:paraId="30FC7B28" w14:textId="77777777" w:rsidR="00D041A2" w:rsidRDefault="00000000">
      <w:pPr>
        <w:pStyle w:val="Normal37"/>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631 F.3d 939 *; 2011 U.S. App. LEXIS 453 **; 78 Fed. R. Serv. 3d (Callaghan) 946; 24 Am. Disabilities Dec. 284</w:t>
      </w:r>
    </w:p>
    <w:p w14:paraId="610D6D4B" w14:textId="77777777" w:rsidR="00D041A2" w:rsidRDefault="00000000">
      <w:pPr>
        <w:pStyle w:val="Normal37"/>
        <w:widowControl w:val="0"/>
        <w:spacing w:before="120" w:line="260" w:lineRule="atLeast"/>
      </w:pPr>
      <w:r>
        <w:rPr>
          <w:rFonts w:ascii="Arial" w:eastAsia="Arial" w:hAnsi="Arial" w:cs="Arial"/>
          <w:color w:val="000000"/>
          <w:sz w:val="20"/>
        </w:rPr>
        <w:t>BYRON CHAPMAN, Plaintiff-Appellee, v. PIER 1 IMPORTS (U.S.) INC., dba PIER 1 IMPORTS #1132, Defendant-Appellant.</w:t>
      </w:r>
    </w:p>
    <w:p w14:paraId="5B26C630" w14:textId="77777777" w:rsidR="00D041A2" w:rsidRDefault="00000000">
      <w:pPr>
        <w:pStyle w:val="Normal37"/>
        <w:widowControl w:val="0"/>
        <w:spacing w:before="240" w:line="260" w:lineRule="atLeast"/>
        <w:jc w:val="both"/>
      </w:pPr>
      <w:bookmarkStart w:id="4934" w:name="Prior_History_36"/>
      <w:bookmarkEnd w:id="4934"/>
      <w:r>
        <w:rPr>
          <w:rFonts w:ascii="Arial" w:eastAsia="Arial" w:hAnsi="Arial" w:cs="Arial"/>
          <w:b/>
          <w:color w:val="000000"/>
          <w:sz w:val="20"/>
        </w:rPr>
        <w:t>Prior History:</w:t>
      </w:r>
      <w:r>
        <w:rPr>
          <w:rFonts w:ascii="Arial" w:eastAsia="Arial" w:hAnsi="Arial" w:cs="Arial"/>
          <w:color w:val="000000"/>
          <w:sz w:val="20"/>
        </w:rPr>
        <w:t>  [**1] </w:t>
      </w:r>
      <w:bookmarkStart w:id="4935" w:name="Bookmark_para_1_36"/>
      <w:bookmarkEnd w:id="4935"/>
      <w:r>
        <w:rPr>
          <w:rFonts w:ascii="Arial" w:eastAsia="Arial" w:hAnsi="Arial" w:cs="Arial"/>
          <w:color w:val="000000"/>
          <w:sz w:val="20"/>
        </w:rPr>
        <w:t>Appeal from the United States District Court for the Eastern District of California. D.C. No. CV-04-01339-LKK. Lawrence K. Karlton, District Judge, Presiding.</w:t>
      </w:r>
    </w:p>
    <w:p w14:paraId="798E0782" w14:textId="77777777" w:rsidR="00D041A2" w:rsidRDefault="00000000">
      <w:pPr>
        <w:pStyle w:val="Normal37"/>
        <w:widowControl w:val="0"/>
        <w:spacing w:before="120" w:line="260" w:lineRule="atLeast"/>
      </w:pPr>
      <w:r>
        <w:rPr>
          <w:rFonts w:ascii="Arial" w:eastAsia="Arial" w:hAnsi="Arial" w:cs="Arial"/>
          <w:color w:val="000000"/>
          <w:sz w:val="20"/>
        </w:rPr>
        <w:t>Chapman v. Pier 1 Imps., 2006 U.S. Dist. LEXIS 43740 (E.D. Cal., June 16, 2006)</w:t>
      </w:r>
    </w:p>
    <w:p w14:paraId="58C311E4" w14:textId="77777777" w:rsidR="00D041A2" w:rsidRDefault="00000000">
      <w:pPr>
        <w:pStyle w:val="Normal37"/>
        <w:widowControl w:val="0"/>
        <w:spacing w:before="240" w:line="260" w:lineRule="atLeast"/>
        <w:jc w:val="both"/>
      </w:pPr>
      <w:bookmarkStart w:id="4936" w:name="Disposition_10"/>
      <w:bookmarkEnd w:id="4936"/>
      <w:r>
        <w:rPr>
          <w:rFonts w:ascii="Arial" w:eastAsia="Arial" w:hAnsi="Arial" w:cs="Arial"/>
          <w:b/>
          <w:color w:val="000000"/>
          <w:sz w:val="20"/>
        </w:rPr>
        <w:t>Disposition:</w:t>
      </w:r>
      <w:r>
        <w:rPr>
          <w:rFonts w:ascii="Arial" w:eastAsia="Arial" w:hAnsi="Arial" w:cs="Arial"/>
          <w:color w:val="000000"/>
          <w:sz w:val="20"/>
        </w:rPr>
        <w:t> </w:t>
      </w:r>
      <w:bookmarkStart w:id="4937" w:name="Bookmark_clspara_5_5"/>
      <w:bookmarkEnd w:id="4937"/>
      <w:r>
        <w:rPr>
          <w:rFonts w:ascii="Arial" w:eastAsia="Arial" w:hAnsi="Arial" w:cs="Arial"/>
          <w:color w:val="000000"/>
          <w:sz w:val="20"/>
        </w:rPr>
        <w:t>VACATED, DISMISSED and REMANDED.</w:t>
      </w:r>
    </w:p>
    <w:p w14:paraId="4E9247D8" w14:textId="77777777" w:rsidR="00D041A2" w:rsidRDefault="00000000">
      <w:pPr>
        <w:pStyle w:val="Normal37"/>
        <w:widowControl w:val="0"/>
        <w:spacing w:before="240" w:line="260" w:lineRule="atLeast"/>
      </w:pPr>
      <w:bookmarkStart w:id="4938" w:name="Counsel_36"/>
      <w:bookmarkEnd w:id="4938"/>
      <w:r>
        <w:rPr>
          <w:rFonts w:ascii="Arial" w:eastAsia="Arial" w:hAnsi="Arial" w:cs="Arial"/>
          <w:b/>
          <w:color w:val="000000"/>
          <w:sz w:val="20"/>
        </w:rPr>
        <w:t>Counsel:</w:t>
      </w:r>
      <w:r>
        <w:rPr>
          <w:rFonts w:ascii="Arial" w:eastAsia="Arial" w:hAnsi="Arial" w:cs="Arial"/>
          <w:color w:val="000000"/>
          <w:sz w:val="20"/>
        </w:rPr>
        <w:t> Laura M. Franze (argued) and Richard Cortez, Jr., Hunton &amp; Williams LLP, Dallas, Texas, and Roland M. Juarez, Hunton &amp; Williams LLP, Los Angeles, California, for the appellant.</w:t>
      </w:r>
    </w:p>
    <w:p w14:paraId="5CDB1883" w14:textId="77777777" w:rsidR="00D041A2" w:rsidRDefault="00000000">
      <w:pPr>
        <w:pStyle w:val="Normal37"/>
        <w:widowControl w:val="0"/>
        <w:spacing w:before="120" w:line="260" w:lineRule="atLeast"/>
      </w:pPr>
      <w:r>
        <w:rPr>
          <w:rFonts w:ascii="Arial" w:eastAsia="Arial" w:hAnsi="Arial" w:cs="Arial"/>
          <w:color w:val="000000"/>
          <w:sz w:val="20"/>
        </w:rPr>
        <w:t>Lynn Hubbard III (argued) and Scottlynn J. Hubbard IV (argued) of the Law Offices of Lynn Hubbard (Chico, California) for the appellee.</w:t>
      </w:r>
    </w:p>
    <w:p w14:paraId="5C483AC5" w14:textId="77777777" w:rsidR="00D041A2" w:rsidRDefault="00000000">
      <w:pPr>
        <w:pStyle w:val="Normal37"/>
        <w:widowControl w:val="0"/>
        <w:spacing w:before="120" w:line="260" w:lineRule="atLeast"/>
      </w:pPr>
      <w:r>
        <w:rPr>
          <w:rFonts w:ascii="Arial" w:eastAsia="Arial" w:hAnsi="Arial" w:cs="Arial"/>
          <w:color w:val="000000"/>
          <w:sz w:val="20"/>
        </w:rPr>
        <w:t>Thomas E. Perez, Samuel Bagenstos (argued), Jessica Dunsay Silver, and Marie K. McElderry of the United States Department of Justice (Washington, D.C.) for amicus the United States.</w:t>
      </w:r>
    </w:p>
    <w:p w14:paraId="5A0387F5" w14:textId="77777777" w:rsidR="00D041A2" w:rsidRDefault="00000000">
      <w:pPr>
        <w:pStyle w:val="Normal37"/>
        <w:widowControl w:val="0"/>
        <w:spacing w:before="240" w:line="260" w:lineRule="atLeast"/>
      </w:pPr>
      <w:bookmarkStart w:id="4939" w:name="Judges_36"/>
      <w:bookmarkEnd w:id="4939"/>
      <w:r>
        <w:rPr>
          <w:rFonts w:ascii="Arial" w:eastAsia="Arial" w:hAnsi="Arial" w:cs="Arial"/>
          <w:b/>
          <w:color w:val="000000"/>
          <w:sz w:val="20"/>
        </w:rPr>
        <w:t>Judges:</w:t>
      </w:r>
      <w:r>
        <w:rPr>
          <w:rFonts w:ascii="Arial" w:eastAsia="Arial" w:hAnsi="Arial" w:cs="Arial"/>
          <w:color w:val="000000"/>
          <w:sz w:val="20"/>
        </w:rPr>
        <w:t> Before: Alex Kozinski, Chief Judge, Mary M. Schroeder, Andrew J. Kleinfeld, Barry G. Silverman, Kim McLane Wardlaw, Richard A. Paez, Marsha S. Berzon, Johnnie B. Rawlinson, Richard R. Clifton, Milan D. Smith, Jr. and N. Randy Smith, Circuit Judges. Opinion by Judge Wardlaw; Concurrence by Judge N.R. Smith.</w:t>
      </w:r>
    </w:p>
    <w:p w14:paraId="5483AD86" w14:textId="77777777" w:rsidR="00D041A2" w:rsidRDefault="00000000">
      <w:pPr>
        <w:pStyle w:val="Normal37"/>
        <w:widowControl w:val="0"/>
        <w:spacing w:before="240" w:line="260" w:lineRule="atLeast"/>
      </w:pPr>
      <w:bookmarkStart w:id="4940" w:name="Opinion_by_21"/>
      <w:bookmarkEnd w:id="4940"/>
      <w:r>
        <w:rPr>
          <w:rFonts w:ascii="Arial" w:eastAsia="Arial" w:hAnsi="Arial" w:cs="Arial"/>
          <w:b/>
          <w:color w:val="000000"/>
          <w:sz w:val="20"/>
        </w:rPr>
        <w:t>Opinion by:</w:t>
      </w:r>
      <w:r>
        <w:rPr>
          <w:rFonts w:ascii="Arial" w:eastAsia="Arial" w:hAnsi="Arial" w:cs="Arial"/>
          <w:color w:val="000000"/>
          <w:sz w:val="20"/>
        </w:rPr>
        <w:t> Kim McLane Wardlaw</w:t>
      </w:r>
    </w:p>
    <w:p w14:paraId="5AA4E09E" w14:textId="77777777" w:rsidR="00D041A2" w:rsidRDefault="00000000">
      <w:pPr>
        <w:pStyle w:val="Normal37"/>
        <w:keepNext/>
        <w:widowControl w:val="0"/>
        <w:spacing w:before="240" w:line="340" w:lineRule="atLeast"/>
      </w:pPr>
      <w:bookmarkStart w:id="4941" w:name="Opinion_36"/>
      <w:bookmarkEnd w:id="4941"/>
      <w:r>
        <w:rPr>
          <w:rFonts w:ascii="Arial" w:eastAsia="Arial" w:hAnsi="Arial" w:cs="Arial"/>
          <w:b/>
          <w:color w:val="000000"/>
          <w:sz w:val="28"/>
        </w:rPr>
        <w:t>Opinion</w:t>
      </w:r>
    </w:p>
    <w:p w14:paraId="0249FFAB" w14:textId="6348E380" w:rsidR="00D041A2" w:rsidRDefault="004D4403">
      <w:pPr>
        <w:pStyle w:val="Normal37"/>
        <w:spacing w:line="60" w:lineRule="exact"/>
      </w:pPr>
      <w:r>
        <w:rPr>
          <w:noProof/>
        </w:rPr>
        <mc:AlternateContent>
          <mc:Choice Requires="wps">
            <w:drawing>
              <wp:anchor distT="0" distB="0" distL="114300" distR="114300" simplePos="0" relativeHeight="251741184" behindDoc="0" locked="0" layoutInCell="1" allowOverlap="1" wp14:anchorId="6ABBD45C" wp14:editId="28B92EE6">
                <wp:simplePos x="0" y="0"/>
                <wp:positionH relativeFrom="column">
                  <wp:posOffset>0</wp:posOffset>
                </wp:positionH>
                <wp:positionV relativeFrom="paragraph">
                  <wp:posOffset>25400</wp:posOffset>
                </wp:positionV>
                <wp:extent cx="3187700" cy="0"/>
                <wp:effectExtent l="19050" t="15875" r="12700" b="12700"/>
                <wp:wrapTopAndBottom/>
                <wp:docPr id="817519088"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0AE38"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BE1F6AB" w14:textId="77777777" w:rsidR="00D041A2" w:rsidRDefault="00D041A2">
      <w:pPr>
        <w:pStyle w:val="Normal37"/>
      </w:pPr>
    </w:p>
    <w:p w14:paraId="56C0FD20" w14:textId="77777777" w:rsidR="00D041A2" w:rsidRDefault="00000000">
      <w:pPr>
        <w:pStyle w:val="Normal37"/>
        <w:widowControl w:val="0"/>
        <w:spacing w:before="200" w:line="260" w:lineRule="atLeast"/>
        <w:jc w:val="both"/>
      </w:pPr>
      <w:bookmarkStart w:id="4942" w:name="Bookmark_para_2_36"/>
      <w:bookmarkEnd w:id="4942"/>
      <w:r>
        <w:rPr>
          <w:rFonts w:ascii="Arial" w:eastAsia="Arial" w:hAnsi="Arial" w:cs="Arial"/>
          <w:color w:val="000000"/>
          <w:sz w:val="20"/>
        </w:rPr>
        <w:t> [*943]  WARDLAW, Circuit Judge:</w:t>
      </w:r>
    </w:p>
    <w:p w14:paraId="44BBA0E5" w14:textId="77777777" w:rsidR="00D041A2" w:rsidRDefault="00000000">
      <w:pPr>
        <w:pStyle w:val="Normal37"/>
        <w:widowControl w:val="0"/>
        <w:spacing w:before="200" w:line="260" w:lineRule="atLeast"/>
        <w:jc w:val="both"/>
      </w:pPr>
      <w:bookmarkStart w:id="4943" w:name="Bookmark_para_3_36"/>
      <w:bookmarkEnd w:id="4943"/>
      <w:r>
        <w:rPr>
          <w:rFonts w:ascii="Arial" w:eastAsia="Arial" w:hAnsi="Arial" w:cs="Arial"/>
          <w:color w:val="000000"/>
          <w:sz w:val="20"/>
        </w:rPr>
        <w:t>Byron Chapman is unable to walk unassisted, and he requires the use of a motorized wheelchair when traveling in public. In July 2004, Chapman sued a Pier 1 Imports store  [**2] ("Pier One" or "Store") in Vacaville, California, alleging that some of the Store's architectural features denied him full and equal enjoyment of the premises in violation of the Americans with Disabilities Act ("ADA"). Chapman requested an injunction requiring the Store to remove the barriers he personally encountered during his visits to the Store that deprived him of full and equal enjoyment because of his wheelchair confinement, as well as barriers that he did not personally encounter but that might impede his access during future visits due to his disability. Chapman also requested monetary damages pursuant to provisions of California law. During discovery, Chapman testified that he was not deterred by the alleged ADA violations; rather, Chapman freely acknowledged that he actually intends to return to the Store, which is located near his home and offers products he finds desirable.</w:t>
      </w:r>
    </w:p>
    <w:p w14:paraId="6D185D16" w14:textId="77777777" w:rsidR="00D041A2" w:rsidRDefault="00000000">
      <w:pPr>
        <w:pStyle w:val="Normal37"/>
        <w:widowControl w:val="0"/>
        <w:spacing w:before="200" w:line="260" w:lineRule="atLeast"/>
        <w:jc w:val="both"/>
      </w:pPr>
      <w:bookmarkStart w:id="4944" w:name="Bookmark_para_4_36"/>
      <w:bookmarkEnd w:id="4944"/>
      <w:r>
        <w:rPr>
          <w:rFonts w:ascii="Arial" w:eastAsia="Arial" w:hAnsi="Arial" w:cs="Arial"/>
          <w:color w:val="000000"/>
          <w:sz w:val="20"/>
        </w:rPr>
        <w:t xml:space="preserve">Chapman's complaint provided a list of the architectural barriers existing at the Store, "to the extent known" to him, some of which he alleged that he had personally encountered. </w:t>
      </w:r>
      <w:r>
        <w:rPr>
          <w:rFonts w:ascii="Arial" w:eastAsia="Arial" w:hAnsi="Arial" w:cs="Arial"/>
          <w:vertAlign w:val="superscript"/>
        </w:rPr>
        <w:footnoteReference w:customMarkFollows="1" w:id="239"/>
        <w:t>1</w:t>
      </w:r>
      <w:r>
        <w:rPr>
          <w:rFonts w:ascii="Arial" w:eastAsia="Arial" w:hAnsi="Arial" w:cs="Arial"/>
          <w:color w:val="000000"/>
          <w:sz w:val="20"/>
        </w:rPr>
        <w:t xml:space="preserve"> More than one year after the complaint was filed, and two months before the close of discovery, Chapman submitted an additional  [**3] report compiled by his expert, Joe Card. The Card Report identified thirty alleged ADA and CBC violations at the Store, some of which were listed in the complaint, others of which  [*944]  were new. The parties cross-moved for summary judgment. Chapman's motion papers sought judgment as to only eleven of the alleged barriers, some of which had been listed in his complaint and some of which were identified only in the Card Report. The Store moved for summary judgment on the grounds that Chapman lacks standing and that the asserted barriers were not barriers as a matter of law or had been remedied.</w:t>
      </w:r>
    </w:p>
    <w:p w14:paraId="5AB80469" w14:textId="77777777" w:rsidR="00D041A2" w:rsidRDefault="00000000">
      <w:pPr>
        <w:pStyle w:val="Normal37"/>
        <w:widowControl w:val="0"/>
        <w:spacing w:before="200" w:line="260" w:lineRule="atLeast"/>
        <w:jc w:val="both"/>
      </w:pPr>
      <w:bookmarkStart w:id="4946" w:name="Bookmark_para_5_36"/>
      <w:bookmarkEnd w:id="4946"/>
      <w:r>
        <w:rPr>
          <w:rFonts w:ascii="Arial" w:eastAsia="Arial" w:hAnsi="Arial" w:cs="Arial"/>
          <w:color w:val="000000"/>
          <w:sz w:val="20"/>
        </w:rPr>
        <w:t>The district court granted Pier One's motion as to numerous challenged barriers, concluding either that Chapman had failed to cite any applicable ADA regulation or that the barrier Chapman identified no longer existed. The court considered each of Chapman's eleven claims, including some that were raised only in the Card Report, finding that Chapman disclosed the violations in sufficient time to permit Pier One to address them in the context of  [**4] its summary judgment motion. The court granted summary judgment to Chapman as to seven of the barriers listed solely in the Card Report. The parties later jointly stipulated to entry of final judgment, subject to Pier One's reservation of the right to appeal the grant of summary judgment to Chapman and the denial of its motion to strike the Card Report.</w:t>
      </w:r>
    </w:p>
    <w:p w14:paraId="608E0DE1" w14:textId="77777777" w:rsidR="00D041A2" w:rsidRDefault="00000000">
      <w:pPr>
        <w:pStyle w:val="Normal37"/>
        <w:widowControl w:val="0"/>
        <w:spacing w:before="200" w:line="260" w:lineRule="atLeast"/>
        <w:jc w:val="both"/>
      </w:pPr>
      <w:bookmarkStart w:id="4947" w:name="Bookmark_para_6_36"/>
      <w:bookmarkStart w:id="4948" w:name="Bookmark_I7M82NTM9860000426D00001"/>
      <w:bookmarkStart w:id="4949" w:name="Bookmark_I522R2K60TVR0P0020000400"/>
      <w:bookmarkEnd w:id="4947"/>
      <w:bookmarkEnd w:id="4948"/>
      <w:bookmarkEnd w:id="4949"/>
      <w:r>
        <w:rPr>
          <w:rFonts w:ascii="Arial" w:eastAsia="Arial" w:hAnsi="Arial" w:cs="Arial"/>
          <w:color w:val="000000"/>
          <w:sz w:val="20"/>
        </w:rPr>
        <w:t xml:space="preserve">Pier One timely appealed, challenging, among other things, the district court's conclusion that Chapman had standing to seek an injunction as to barriers he did not personally encounter. A three-judge panel of our court agreed with Pier One, concluding that Chapman lacked Article III standing as to barriers he had not personally encountered, because they did not deter him from returning to the Store. </w:t>
      </w:r>
      <w:r>
        <w:rPr>
          <w:rFonts w:ascii="Arial" w:eastAsia="Arial" w:hAnsi="Arial" w:cs="Arial"/>
          <w:i/>
          <w:color w:val="000000"/>
          <w:sz w:val="20"/>
        </w:rPr>
        <w:t xml:space="preserve">See </w:t>
      </w:r>
      <w:bookmarkStart w:id="4950" w:name="Bookmark_I522R2K60TVR0P0010000400"/>
      <w:bookmarkEnd w:id="4950"/>
      <w:r>
        <w:rPr>
          <w:rFonts w:ascii="Arial" w:eastAsia="Arial" w:hAnsi="Arial" w:cs="Arial"/>
          <w:i/>
          <w:color w:val="000000"/>
          <w:sz w:val="20"/>
        </w:rPr>
        <w:t>Chapman v. Pier 1 Imports (U.S.), Inc</w:t>
      </w:r>
      <w:r>
        <w:rPr>
          <w:rFonts w:ascii="Arial" w:eastAsia="Arial" w:hAnsi="Arial" w:cs="Arial"/>
          <w:color w:val="000000"/>
          <w:sz w:val="20"/>
        </w:rPr>
        <w:t>., 571 F.3d 853 (9th Cir. 2009) (withdrawn). We vacated the panel's decision after a majority of our court's non-recused active judges voted to rehear the appeal en banc to examine the Article III standing doctrine in the context of actions for injunctive relief under the ADA.</w:t>
      </w:r>
    </w:p>
    <w:p w14:paraId="44B7537E" w14:textId="77777777" w:rsidR="00D041A2" w:rsidRDefault="00000000">
      <w:pPr>
        <w:pStyle w:val="Normal37"/>
        <w:widowControl w:val="0"/>
        <w:spacing w:before="200" w:line="260" w:lineRule="atLeast"/>
        <w:jc w:val="both"/>
      </w:pPr>
      <w:bookmarkStart w:id="4951" w:name="Bookmark_para_7_36"/>
      <w:bookmarkEnd w:id="4951"/>
      <w:r>
        <w:rPr>
          <w:rFonts w:ascii="Arial" w:eastAsia="Arial" w:hAnsi="Arial" w:cs="Arial"/>
          <w:color w:val="000000"/>
          <w:sz w:val="20"/>
        </w:rPr>
        <w:t xml:space="preserve">We now clarify that </w:t>
      </w:r>
      <w:bookmarkStart w:id="4952" w:name="Bookmark_LNHNREFclscc1_28"/>
      <w:bookmarkEnd w:id="4952"/>
      <w:r>
        <w:rPr>
          <w:rFonts w:ascii="Arial" w:eastAsia="Arial" w:hAnsi="Arial" w:cs="Arial"/>
          <w:color w:val="000000"/>
          <w:sz w:val="20"/>
        </w:rPr>
        <w:t xml:space="preserve">when an ADA plaintiff has suffered an injury-in-fact by encountering a barrier that deprives him of full  [**5] and equal enjoyment of the facility due to his particular disability, he has standing to sue for injunctive relief as to that barrier and other barriers related to his disability, even if he is not deterred from returning to the public accommodation at issue. First, we hold that </w:t>
      </w:r>
      <w:bookmarkStart w:id="4953" w:name="Bookmark_LNHNREFclscc2_28"/>
      <w:bookmarkEnd w:id="4953"/>
      <w:r>
        <w:rPr>
          <w:rFonts w:ascii="Arial" w:eastAsia="Arial" w:hAnsi="Arial" w:cs="Arial"/>
          <w:color w:val="000000"/>
          <w:sz w:val="20"/>
        </w:rPr>
        <w:t>an ADA plaintiff can establish standing to sue for injunctive relief either by demonstrating deterrence, or by demonstrating injury-in-fact coupled with an intent to return to a noncompliant facility. Second, we hold that an ADA plaintiff who establishes standing as to encountered barriers may also sue for injunctive relief as to unencountered barriers related to his disability. Here, however, Chapman has failed to allege and prove the required elements of Article III standing to support his claim for injunctive relief under the ADA. Specifically, he has not alleged or proven that he personally suffered discrimination as defined by the ADA as to encountered barriers on account of his disability. We therefore vacate the district court's grant of summary judgment, and remand with instructions to dismiss Chapman's ADA claim for lack of jurisdiction and for further proceedings consistent with this opinion.</w:t>
      </w:r>
    </w:p>
    <w:p w14:paraId="480AF20C" w14:textId="77777777" w:rsidR="00D041A2" w:rsidRDefault="00000000">
      <w:pPr>
        <w:pStyle w:val="Normal37"/>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66F49810" w14:textId="77777777" w:rsidR="00D041A2" w:rsidRDefault="00000000">
      <w:pPr>
        <w:pStyle w:val="Normal37"/>
        <w:widowControl w:val="0"/>
        <w:spacing w:before="200" w:line="260" w:lineRule="atLeast"/>
        <w:jc w:val="both"/>
      </w:pPr>
      <w:bookmarkStart w:id="4954" w:name="Bookmark_para_8_35"/>
      <w:bookmarkStart w:id="4955" w:name="Bookmark_I522R2K60TVR0P0040000400"/>
      <w:bookmarkStart w:id="4956" w:name="Bookmark_I522R2K60TVR0X0050000400"/>
      <w:bookmarkStart w:id="4957" w:name="Bookmark_LNHNREFclscc3_26"/>
      <w:bookmarkEnd w:id="4954"/>
      <w:bookmarkEnd w:id="4955"/>
      <w:bookmarkEnd w:id="4956"/>
      <w:bookmarkEnd w:id="4957"/>
      <w:r>
        <w:rPr>
          <w:rFonts w:ascii="Arial" w:eastAsia="Arial" w:hAnsi="Arial" w:cs="Arial"/>
          <w:color w:val="000000"/>
          <w:sz w:val="20"/>
        </w:rPr>
        <w:t xml:space="preserve">The  [**6] ADA was enacted "to provide clear, strong, consistent, enforceable standards addressing discrimination against individuals with disabilities." 42 U.S.C. § 12101(b)(2). </w:t>
      </w:r>
      <w:bookmarkStart w:id="4958" w:name="Bookmark_I522R2K60TVR0X0010000400"/>
      <w:bookmarkEnd w:id="4958"/>
      <w:r>
        <w:rPr>
          <w:rFonts w:ascii="Arial" w:eastAsia="Arial" w:hAnsi="Arial" w:cs="Arial"/>
          <w:color w:val="000000"/>
          <w:sz w:val="20"/>
        </w:rPr>
        <w:t xml:space="preserve">Its passage was premised on Congress's finding that discrimination against the disabled is "most often the product, not of invidious animus, but rather of thoughtlessness and indifference,"  [*945]  of "benign neglect," and of "apathetic attitudes rather than affirmative animus." </w:t>
      </w:r>
      <w:r>
        <w:rPr>
          <w:rFonts w:ascii="Arial" w:eastAsia="Arial" w:hAnsi="Arial" w:cs="Arial"/>
          <w:vertAlign w:val="superscript"/>
        </w:rPr>
        <w:footnoteReference w:customMarkFollows="1" w:id="240"/>
        <w:t>2</w:t>
      </w:r>
      <w:r>
        <w:rPr>
          <w:rFonts w:ascii="Arial" w:eastAsia="Arial" w:hAnsi="Arial" w:cs="Arial"/>
          <w:color w:val="000000"/>
          <w:sz w:val="20"/>
        </w:rPr>
        <w:t xml:space="preserve"> </w:t>
      </w:r>
      <w:bookmarkStart w:id="4962" w:name="Bookmark_I522R2K60TVR0P0030000400"/>
      <w:bookmarkEnd w:id="4962"/>
      <w:r>
        <w:rPr>
          <w:rFonts w:ascii="Arial" w:eastAsia="Arial" w:hAnsi="Arial" w:cs="Arial"/>
          <w:i/>
          <w:color w:val="000000"/>
          <w:sz w:val="20"/>
        </w:rPr>
        <w:t>Alexander v. Choate</w:t>
      </w:r>
      <w:r>
        <w:rPr>
          <w:rFonts w:ascii="Arial" w:eastAsia="Arial" w:hAnsi="Arial" w:cs="Arial"/>
          <w:color w:val="000000"/>
          <w:sz w:val="20"/>
        </w:rPr>
        <w:t xml:space="preserve">, 469 U.S. 287, 295-96, 105 S. Ct. 712, 83 L. Ed. 2d 661 (1985). The concept of "discrimination" under the ADA does not extend only to obviously exclusionary conduct — such as a sign stating that persons with disabilities are unwelcome or an obstacle course leading to a store's entrance. </w:t>
      </w:r>
      <w:bookmarkStart w:id="4963" w:name="Bookmark_I522R2K60TVR0X0010000400_2"/>
      <w:bookmarkEnd w:id="4963"/>
      <w:r>
        <w:rPr>
          <w:rFonts w:ascii="Arial" w:eastAsia="Arial" w:hAnsi="Arial" w:cs="Arial"/>
          <w:color w:val="000000"/>
          <w:sz w:val="20"/>
        </w:rPr>
        <w:t xml:space="preserve">Rather, the ADA proscribes more subtle forms of discrimination — such as difficult-to-navigate restrooms and hard-to-open doors — that interfere with disabled individuals' "full and equal enjoyment" of places of public accommodation. 42 U.S.C. § 12182(a); </w:t>
      </w:r>
      <w:r>
        <w:rPr>
          <w:rFonts w:ascii="Arial" w:eastAsia="Arial" w:hAnsi="Arial" w:cs="Arial"/>
          <w:i/>
          <w:color w:val="000000"/>
          <w:sz w:val="20"/>
        </w:rPr>
        <w:t xml:space="preserve">see also </w:t>
      </w:r>
      <w:bookmarkStart w:id="4964" w:name="Bookmark_I522R2K60TVR0P0050000400"/>
      <w:bookmarkEnd w:id="4964"/>
      <w:r>
        <w:rPr>
          <w:rFonts w:ascii="Arial" w:eastAsia="Arial" w:hAnsi="Arial" w:cs="Arial"/>
          <w:i/>
          <w:color w:val="000000"/>
          <w:sz w:val="20"/>
        </w:rPr>
        <w:t>PGA Tour, Inc. v. Martin</w:t>
      </w:r>
      <w:r>
        <w:rPr>
          <w:rFonts w:ascii="Arial" w:eastAsia="Arial" w:hAnsi="Arial" w:cs="Arial"/>
          <w:color w:val="000000"/>
          <w:sz w:val="20"/>
        </w:rPr>
        <w:t xml:space="preserve">, 532 U.S. 661, 674-75, 121 S. Ct. 1879, 149 L. Ed. 2d 904 (2001); </w:t>
      </w:r>
      <w:bookmarkStart w:id="4965" w:name="Bookmark_I522R2K60TVR0X0020000400"/>
      <w:bookmarkEnd w:id="4965"/>
      <w:r>
        <w:rPr>
          <w:rFonts w:ascii="Arial" w:eastAsia="Arial" w:hAnsi="Arial" w:cs="Arial"/>
          <w:i/>
          <w:color w:val="000000"/>
          <w:sz w:val="20"/>
        </w:rPr>
        <w:t>Alexander</w:t>
      </w:r>
      <w:r>
        <w:rPr>
          <w:rFonts w:ascii="Arial" w:eastAsia="Arial" w:hAnsi="Arial" w:cs="Arial"/>
          <w:color w:val="000000"/>
          <w:sz w:val="20"/>
        </w:rPr>
        <w:t>, 469 U.S. at 295 (noting Congress's conclusion that "we can no longer tolerate the invisibility of the handicapped in America" (quoting 118 Cong. Rec. 525-26  [**7] (1972))).</w:t>
      </w:r>
    </w:p>
    <w:p w14:paraId="507A989F" w14:textId="77777777" w:rsidR="00D041A2" w:rsidRDefault="00000000">
      <w:pPr>
        <w:pStyle w:val="Normal37"/>
        <w:widowControl w:val="0"/>
        <w:spacing w:before="200" w:line="260" w:lineRule="atLeast"/>
        <w:jc w:val="both"/>
      </w:pPr>
      <w:bookmarkStart w:id="4966" w:name="Bookmark_para_9_34"/>
      <w:bookmarkStart w:id="4967" w:name="Bookmark_LNHNREFclscc5_25"/>
      <w:bookmarkEnd w:id="4966"/>
      <w:bookmarkEnd w:id="4967"/>
      <w:r>
        <w:rPr>
          <w:rFonts w:ascii="Arial" w:eastAsia="Arial" w:hAnsi="Arial" w:cs="Arial"/>
          <w:color w:val="000000"/>
          <w:sz w:val="20"/>
        </w:rPr>
        <w:t>As defined by the ADA, unlawful "discrimination" occurs when features of an accommodation</w:t>
      </w:r>
    </w:p>
    <w:p w14:paraId="0A3DDA71" w14:textId="77777777" w:rsidR="00D041A2" w:rsidRDefault="00000000">
      <w:pPr>
        <w:pStyle w:val="Normal37"/>
        <w:widowControl w:val="0"/>
        <w:spacing w:line="260" w:lineRule="atLeast"/>
        <w:ind w:left="400"/>
        <w:jc w:val="both"/>
      </w:pPr>
      <w:bookmarkStart w:id="4968" w:name="Bookmark_para_10_34"/>
      <w:bookmarkEnd w:id="4968"/>
      <w:r>
        <w:rPr>
          <w:rFonts w:ascii="Arial" w:eastAsia="Arial" w:hAnsi="Arial" w:cs="Arial"/>
          <w:color w:val="000000"/>
          <w:sz w:val="20"/>
        </w:rPr>
        <w:t>subject an individual or class of individuals on the basis of a disability or disabilities of such individual or class, directly, or through contractual, licensing, or other arrangements, to a denial of the opportunity of the individual or class to participate in or benefit from the goods, services, facilities, privileges, advantages, or accommodations of an entity.</w:t>
      </w:r>
    </w:p>
    <w:p w14:paraId="01F1C9E4" w14:textId="77777777" w:rsidR="00D041A2" w:rsidRDefault="00000000">
      <w:pPr>
        <w:pStyle w:val="Normal37"/>
        <w:widowControl w:val="0"/>
        <w:spacing w:before="200" w:line="260" w:lineRule="atLeast"/>
        <w:jc w:val="both"/>
      </w:pPr>
      <w:r>
        <w:rPr>
          <w:rFonts w:ascii="Arial" w:eastAsia="Arial" w:hAnsi="Arial" w:cs="Arial"/>
          <w:color w:val="000000"/>
          <w:sz w:val="20"/>
        </w:rPr>
        <w:t xml:space="preserve">42 U.S.C. § 12182(b)(1)(A)(i). In the context of existing facilities, discrimination includes "a failure to remove architectural barriers . . . where such removal is readily achievable." </w:t>
      </w:r>
      <w:r>
        <w:rPr>
          <w:rFonts w:ascii="Arial" w:eastAsia="Arial" w:hAnsi="Arial" w:cs="Arial"/>
          <w:i/>
          <w:color w:val="000000"/>
          <w:sz w:val="20"/>
        </w:rPr>
        <w:t>Id</w:t>
      </w:r>
      <w:r>
        <w:rPr>
          <w:rFonts w:ascii="Arial" w:eastAsia="Arial" w:hAnsi="Arial" w:cs="Arial"/>
          <w:color w:val="000000"/>
          <w:sz w:val="20"/>
        </w:rPr>
        <w:t xml:space="preserve">. § 12182(b)(2)(A)(iv). In the case of newly constructed facilities, compliance with the ADA's antidiscrimination mandate requires that facilities be "readily accessible to and usable by individuals  [**8] with disabilities." </w:t>
      </w:r>
      <w:r>
        <w:rPr>
          <w:rFonts w:ascii="Arial" w:eastAsia="Arial" w:hAnsi="Arial" w:cs="Arial"/>
          <w:i/>
          <w:color w:val="000000"/>
          <w:sz w:val="20"/>
        </w:rPr>
        <w:t>Id</w:t>
      </w:r>
      <w:r>
        <w:rPr>
          <w:rFonts w:ascii="Arial" w:eastAsia="Arial" w:hAnsi="Arial" w:cs="Arial"/>
          <w:color w:val="000000"/>
          <w:sz w:val="20"/>
        </w:rPr>
        <w:t>. § 12183(a)(1).</w:t>
      </w:r>
    </w:p>
    <w:p w14:paraId="33DAE315" w14:textId="77777777" w:rsidR="00D041A2" w:rsidRDefault="00000000">
      <w:pPr>
        <w:pStyle w:val="Normal37"/>
        <w:widowControl w:val="0"/>
        <w:spacing w:before="200" w:line="260" w:lineRule="atLeast"/>
        <w:jc w:val="both"/>
      </w:pPr>
      <w:bookmarkStart w:id="4969" w:name="Bookmark_para_11_33"/>
      <w:bookmarkStart w:id="4970" w:name="Bookmark_I522R2K70TVR130020000400"/>
      <w:bookmarkStart w:id="4971" w:name="Bookmark_I522R2K70TVR130040000400"/>
      <w:bookmarkStart w:id="4972" w:name="Bookmark_LNHNREFclscc6_25"/>
      <w:bookmarkEnd w:id="4969"/>
      <w:bookmarkEnd w:id="4970"/>
      <w:bookmarkEnd w:id="4971"/>
      <w:bookmarkEnd w:id="4972"/>
      <w:r>
        <w:rPr>
          <w:rFonts w:ascii="Arial" w:eastAsia="Arial" w:hAnsi="Arial" w:cs="Arial"/>
          <w:color w:val="000000"/>
          <w:sz w:val="20"/>
        </w:rPr>
        <w:t xml:space="preserve">Whether a facility is "readily accessible" is defined, in part, by the ADA Accessibility Guidelines ("ADAAG"). </w:t>
      </w:r>
      <w:r>
        <w:rPr>
          <w:rFonts w:ascii="Arial" w:eastAsia="Arial" w:hAnsi="Arial" w:cs="Arial"/>
          <w:i/>
          <w:color w:val="000000"/>
          <w:sz w:val="20"/>
        </w:rPr>
        <w:t>See</w:t>
      </w:r>
      <w:r>
        <w:rPr>
          <w:rFonts w:ascii="Arial" w:eastAsia="Arial" w:hAnsi="Arial" w:cs="Arial"/>
          <w:color w:val="000000"/>
          <w:sz w:val="20"/>
        </w:rPr>
        <w:t xml:space="preserve"> 28 C.F.R. § 36.406(a); 28 C.F.R. pt. 36, app. A; </w:t>
      </w:r>
      <w:bookmarkStart w:id="4973" w:name="Bookmark_I522R2K70TVR130010000400"/>
      <w:bookmarkEnd w:id="4973"/>
      <w:r>
        <w:rPr>
          <w:rFonts w:ascii="Arial" w:eastAsia="Arial" w:hAnsi="Arial" w:cs="Arial"/>
          <w:i/>
          <w:color w:val="000000"/>
          <w:sz w:val="20"/>
        </w:rPr>
        <w:t>Miller v. Cal. Speedway Corp</w:t>
      </w:r>
      <w:r>
        <w:rPr>
          <w:rFonts w:ascii="Arial" w:eastAsia="Arial" w:hAnsi="Arial" w:cs="Arial"/>
          <w:color w:val="000000"/>
          <w:sz w:val="20"/>
        </w:rPr>
        <w:t xml:space="preserve">., 536 F.3d 1020, 1024-25 (9th Cir. 2008) (describing the ADA's regulatory framework), </w:t>
      </w:r>
      <w:r>
        <w:rPr>
          <w:rFonts w:ascii="Arial" w:eastAsia="Arial" w:hAnsi="Arial" w:cs="Arial"/>
          <w:i/>
          <w:color w:val="000000"/>
          <w:sz w:val="20"/>
        </w:rPr>
        <w:t>cert. denied</w:t>
      </w:r>
      <w:r>
        <w:rPr>
          <w:rFonts w:ascii="Arial" w:eastAsia="Arial" w:hAnsi="Arial" w:cs="Arial"/>
          <w:color w:val="000000"/>
          <w:sz w:val="20"/>
        </w:rPr>
        <w:t xml:space="preserve">, 555 U.S. 1208, 129 S. Ct. 1349, 173 L. Ed. 2d 648 (2009). </w:t>
      </w:r>
      <w:bookmarkStart w:id="4974" w:name="Bookmark_I522R2K70TVR190030000400"/>
      <w:bookmarkEnd w:id="4974"/>
      <w:r>
        <w:rPr>
          <w:rFonts w:ascii="Arial" w:eastAsia="Arial" w:hAnsi="Arial" w:cs="Arial"/>
          <w:color w:val="000000"/>
          <w:sz w:val="20"/>
        </w:rPr>
        <w:t xml:space="preserve">Promulgated by the Attorney General to "carry out the provisions" of the ADA, 42 U.S.C. § 12186(b), these guidelines "lay out the technical structural requirements of places of public accommodation." </w:t>
      </w:r>
      <w:bookmarkStart w:id="4975" w:name="Bookmark_I522R2K70TVR130030000400"/>
      <w:bookmarkEnd w:id="4975"/>
      <w:r>
        <w:rPr>
          <w:rFonts w:ascii="Arial" w:eastAsia="Arial" w:hAnsi="Arial" w:cs="Arial"/>
          <w:i/>
          <w:color w:val="000000"/>
          <w:sz w:val="20"/>
        </w:rPr>
        <w:t>Fortyune v. Am. Multi-Cinema, Inc</w:t>
      </w:r>
      <w:r>
        <w:rPr>
          <w:rFonts w:ascii="Arial" w:eastAsia="Arial" w:hAnsi="Arial" w:cs="Arial"/>
          <w:color w:val="000000"/>
          <w:sz w:val="20"/>
        </w:rPr>
        <w:t xml:space="preserve">., 364 F.3d 1075, 1080-81 (9th Cir. 2004); </w:t>
      </w:r>
      <w:r>
        <w:rPr>
          <w:rFonts w:ascii="Arial" w:eastAsia="Arial" w:hAnsi="Arial" w:cs="Arial"/>
          <w:i/>
          <w:color w:val="000000"/>
          <w:sz w:val="20"/>
        </w:rPr>
        <w:t xml:space="preserve">see also </w:t>
      </w:r>
      <w:bookmarkStart w:id="4976" w:name="Bookmark_I522R2K70TVR130050000400"/>
      <w:bookmarkEnd w:id="4976"/>
      <w:r>
        <w:rPr>
          <w:rFonts w:ascii="Arial" w:eastAsia="Arial" w:hAnsi="Arial" w:cs="Arial"/>
          <w:i/>
          <w:color w:val="000000"/>
          <w:sz w:val="20"/>
        </w:rPr>
        <w:t>Indep. Living Res. v. Or. Arena Corp</w:t>
      </w:r>
      <w:r>
        <w:rPr>
          <w:rFonts w:ascii="Arial" w:eastAsia="Arial" w:hAnsi="Arial" w:cs="Arial"/>
          <w:color w:val="000000"/>
          <w:sz w:val="20"/>
        </w:rPr>
        <w:t xml:space="preserve">., 982 F. Supp. 698, 714 (D. Or. 1997) ("The regulations establish a national standard for minimum levels of accessibility in all new facilities."). </w:t>
      </w:r>
      <w:bookmarkStart w:id="4977" w:name="Bookmark_I522R2K70TVR190030000400_2"/>
      <w:bookmarkEnd w:id="4977"/>
      <w:r>
        <w:rPr>
          <w:rFonts w:ascii="Arial" w:eastAsia="Arial" w:hAnsi="Arial" w:cs="Arial"/>
          <w:color w:val="000000"/>
          <w:sz w:val="20"/>
        </w:rPr>
        <w:t xml:space="preserve">The ADAAG provides the objective contours of the standard that architectural features must not impede disabled individuals' full and equal enjoyment of accommodations. </w:t>
      </w:r>
      <w:bookmarkStart w:id="4978" w:name="Bookmark_I522R2K70TVR190050000400"/>
      <w:bookmarkEnd w:id="4978"/>
      <w:r>
        <w:rPr>
          <w:rFonts w:ascii="Arial" w:eastAsia="Arial" w:hAnsi="Arial" w:cs="Arial"/>
          <w:i/>
          <w:color w:val="000000"/>
          <w:sz w:val="20"/>
        </w:rPr>
        <w:t xml:space="preserve">See </w:t>
      </w:r>
      <w:bookmarkStart w:id="4979" w:name="Bookmark_I522R2K70TVR190020000400"/>
      <w:bookmarkEnd w:id="4979"/>
      <w:r>
        <w:rPr>
          <w:rFonts w:ascii="Arial" w:eastAsia="Arial" w:hAnsi="Arial" w:cs="Arial"/>
          <w:i/>
          <w:color w:val="000000"/>
          <w:sz w:val="20"/>
        </w:rPr>
        <w:t>Pascuiti v. N.Y. Yankees</w:t>
      </w:r>
      <w:r>
        <w:rPr>
          <w:rFonts w:ascii="Arial" w:eastAsia="Arial" w:hAnsi="Arial" w:cs="Arial"/>
          <w:color w:val="000000"/>
          <w:sz w:val="20"/>
        </w:rPr>
        <w:t xml:space="preserve">, 87 F. Supp. 2d 221, 225 (S.D.N.Y. 1999) (quoting a letter in which the Department of Justice stated that it "consider[ed] any element in a facility that does not meet or exceed  [**9] the requirements set forth in the [ADAAG] to be a barrier to access"). </w:t>
      </w:r>
      <w:bookmarkStart w:id="4980" w:name="Bookmark_I522R2K70TVR190050000400_2"/>
      <w:bookmarkEnd w:id="4980"/>
      <w:r>
        <w:rPr>
          <w:rFonts w:ascii="Arial" w:eastAsia="Arial" w:hAnsi="Arial" w:cs="Arial"/>
          <w:color w:val="000000"/>
          <w:sz w:val="20"/>
        </w:rPr>
        <w:t xml:space="preserve">We have held that "obedience to the spirit of the ADA" does not excuse noncompliance with the ADAAG's requirements. </w:t>
      </w:r>
      <w:r>
        <w:rPr>
          <w:rFonts w:ascii="Arial" w:eastAsia="Arial" w:hAnsi="Arial" w:cs="Arial"/>
          <w:i/>
          <w:color w:val="000000"/>
          <w:sz w:val="20"/>
        </w:rPr>
        <w:t xml:space="preserve">See </w:t>
      </w:r>
      <w:bookmarkStart w:id="4981" w:name="Bookmark_I522R2K70TVR190040000400"/>
      <w:bookmarkEnd w:id="4981"/>
      <w:r>
        <w:rPr>
          <w:rFonts w:ascii="Arial" w:eastAsia="Arial" w:hAnsi="Arial" w:cs="Arial"/>
          <w:i/>
          <w:color w:val="000000"/>
          <w:sz w:val="20"/>
        </w:rPr>
        <w:t>Long v. Coast Resorts, Inc</w:t>
      </w:r>
      <w:r>
        <w:rPr>
          <w:rFonts w:ascii="Arial" w:eastAsia="Arial" w:hAnsi="Arial" w:cs="Arial"/>
          <w:color w:val="000000"/>
          <w:sz w:val="20"/>
        </w:rPr>
        <w:t xml:space="preserve">., 267 F.3d 918, 923 (9th Cir. 2001). The ADAAG's requirements are as precise as they are thorough,  [*946]  and the difference between compliance and noncompliance with the standard of full and equal enjoyment established by the ADA is often a matter of inches. </w:t>
      </w:r>
      <w:r>
        <w:rPr>
          <w:rFonts w:ascii="Arial" w:eastAsia="Arial" w:hAnsi="Arial" w:cs="Arial"/>
          <w:i/>
          <w:color w:val="000000"/>
          <w:sz w:val="20"/>
        </w:rPr>
        <w:t>E.g</w:t>
      </w:r>
      <w:r>
        <w:rPr>
          <w:rFonts w:ascii="Arial" w:eastAsia="Arial" w:hAnsi="Arial" w:cs="Arial"/>
          <w:color w:val="000000"/>
          <w:sz w:val="20"/>
        </w:rPr>
        <w:t xml:space="preserve">., ADAAG § 4.16.4 (requiring grab bar behind water closets to be at least thirty-six inches long); </w:t>
      </w:r>
      <w:r>
        <w:rPr>
          <w:rFonts w:ascii="Arial" w:eastAsia="Arial" w:hAnsi="Arial" w:cs="Arial"/>
          <w:i/>
          <w:color w:val="000000"/>
          <w:sz w:val="20"/>
        </w:rPr>
        <w:t>id</w:t>
      </w:r>
      <w:r>
        <w:rPr>
          <w:rFonts w:ascii="Arial" w:eastAsia="Arial" w:hAnsi="Arial" w:cs="Arial"/>
          <w:color w:val="000000"/>
          <w:sz w:val="20"/>
        </w:rPr>
        <w:t>. § 4.19.6 ("Mirrors shall be mounted with the bottom edge of the reflecting surface no higher than 40 in (1015 mm) above the finish floor . . . .").</w:t>
      </w:r>
    </w:p>
    <w:p w14:paraId="6F465965" w14:textId="77777777" w:rsidR="00D041A2" w:rsidRDefault="00000000">
      <w:pPr>
        <w:pStyle w:val="Normal37"/>
        <w:widowControl w:val="0"/>
        <w:spacing w:before="200" w:line="260" w:lineRule="atLeast"/>
        <w:jc w:val="both"/>
      </w:pPr>
      <w:bookmarkStart w:id="4982" w:name="Bookmark_para_12_32"/>
      <w:bookmarkStart w:id="4983" w:name="Bookmark_I522R2K70TVR1H0020000400"/>
      <w:bookmarkStart w:id="4984" w:name="Bookmark_I522R2K70TVR1H0040000400"/>
      <w:bookmarkStart w:id="4985" w:name="Bookmark_LNHNREFclscc7_25"/>
      <w:bookmarkEnd w:id="4982"/>
      <w:bookmarkEnd w:id="4983"/>
      <w:bookmarkEnd w:id="4984"/>
      <w:bookmarkEnd w:id="4985"/>
      <w:r>
        <w:rPr>
          <w:rFonts w:ascii="Arial" w:eastAsia="Arial" w:hAnsi="Arial" w:cs="Arial"/>
          <w:color w:val="000000"/>
          <w:sz w:val="20"/>
        </w:rPr>
        <w:t xml:space="preserve">Though its purpose is "sweeping," </w:t>
      </w:r>
      <w:bookmarkStart w:id="4986" w:name="Bookmark_I522R2K70TVR1H0010000400"/>
      <w:bookmarkEnd w:id="4986"/>
      <w:r>
        <w:rPr>
          <w:rFonts w:ascii="Arial" w:eastAsia="Arial" w:hAnsi="Arial" w:cs="Arial"/>
          <w:i/>
          <w:color w:val="000000"/>
          <w:sz w:val="20"/>
        </w:rPr>
        <w:t>PGA Tour</w:t>
      </w:r>
      <w:r>
        <w:rPr>
          <w:rFonts w:ascii="Arial" w:eastAsia="Arial" w:hAnsi="Arial" w:cs="Arial"/>
          <w:color w:val="000000"/>
          <w:sz w:val="20"/>
        </w:rPr>
        <w:t xml:space="preserve">, 532 U.S. at 675, and its mandate "comprehensive," 42 U.S.C. § 12101(b)(1), the ADA's reach is not unlimited. </w:t>
      </w:r>
      <w:bookmarkStart w:id="4987" w:name="Bookmark_I522R2K80TVR1P0050000400"/>
      <w:bookmarkEnd w:id="4987"/>
      <w:r>
        <w:rPr>
          <w:rFonts w:ascii="Arial" w:eastAsia="Arial" w:hAnsi="Arial" w:cs="Arial"/>
          <w:color w:val="000000"/>
          <w:sz w:val="20"/>
        </w:rPr>
        <w:t xml:space="preserve">Rather, as with other civil rights statutes, to invoke the jurisdiction of the federal courts, a disabled individual claiming discrimination must satisfy the case or controversy requirement of Article III by demonstrating his standing to sue at each stage of the litigation. </w:t>
      </w:r>
      <w:bookmarkStart w:id="4988" w:name="Bookmark_I522R2K80TVR220010000400"/>
      <w:bookmarkEnd w:id="4988"/>
      <w:r>
        <w:rPr>
          <w:rFonts w:ascii="Arial" w:eastAsia="Arial" w:hAnsi="Arial" w:cs="Arial"/>
          <w:i/>
          <w:color w:val="000000"/>
          <w:sz w:val="20"/>
        </w:rPr>
        <w:t>See</w:t>
      </w:r>
      <w:r>
        <w:rPr>
          <w:rFonts w:ascii="Arial" w:eastAsia="Arial" w:hAnsi="Arial" w:cs="Arial"/>
          <w:color w:val="000000"/>
          <w:sz w:val="20"/>
        </w:rPr>
        <w:t xml:space="preserve"> U.S. Const. art. III, § 2; </w:t>
      </w:r>
      <w:bookmarkStart w:id="4989" w:name="Bookmark_I522R2K70TVR1H0030000400"/>
      <w:bookmarkEnd w:id="4989"/>
      <w:r>
        <w:rPr>
          <w:rFonts w:ascii="Arial" w:eastAsia="Arial" w:hAnsi="Arial" w:cs="Arial"/>
          <w:i/>
          <w:color w:val="000000"/>
          <w:sz w:val="20"/>
        </w:rPr>
        <w:t>Lujan v. Defenders of Wildlife</w:t>
      </w:r>
      <w:r>
        <w:rPr>
          <w:rFonts w:ascii="Arial" w:eastAsia="Arial" w:hAnsi="Arial" w:cs="Arial"/>
          <w:color w:val="000000"/>
          <w:sz w:val="20"/>
        </w:rPr>
        <w:t>, 504 U.S. 555, 560, 112 S. Ct. 2130, 119 L. Ed. 2d 351 (1992);  [**10] </w:t>
      </w:r>
      <w:bookmarkStart w:id="4990" w:name="Bookmark_I522R2K70TVR1H0050000400"/>
      <w:bookmarkEnd w:id="4990"/>
      <w:r>
        <w:rPr>
          <w:rFonts w:ascii="Arial" w:eastAsia="Arial" w:hAnsi="Arial" w:cs="Arial"/>
          <w:i/>
          <w:color w:val="000000"/>
          <w:sz w:val="20"/>
        </w:rPr>
        <w:t>Fortyune</w:t>
      </w:r>
      <w:r>
        <w:rPr>
          <w:rFonts w:ascii="Arial" w:eastAsia="Arial" w:hAnsi="Arial" w:cs="Arial"/>
          <w:color w:val="000000"/>
          <w:sz w:val="20"/>
        </w:rPr>
        <w:t xml:space="preserve">, 364 F.3d at 1081 (citing </w:t>
      </w:r>
      <w:bookmarkStart w:id="4991" w:name="Bookmark_I522R2K80TVR1P0020000400"/>
      <w:bookmarkEnd w:id="4991"/>
      <w:r>
        <w:rPr>
          <w:rFonts w:ascii="Arial" w:eastAsia="Arial" w:hAnsi="Arial" w:cs="Arial"/>
          <w:i/>
          <w:color w:val="000000"/>
          <w:sz w:val="20"/>
        </w:rPr>
        <w:t>City of Los Angeles v. Lyons</w:t>
      </w:r>
      <w:r>
        <w:rPr>
          <w:rFonts w:ascii="Arial" w:eastAsia="Arial" w:hAnsi="Arial" w:cs="Arial"/>
          <w:color w:val="000000"/>
          <w:sz w:val="20"/>
        </w:rPr>
        <w:t xml:space="preserve">, 461 U.S. 95, 101, 103 S. Ct. 1660, 75 L. Ed. 2d 675 (1983)). </w:t>
      </w:r>
      <w:bookmarkStart w:id="4992" w:name="Bookmark_I522R2K80TVR220010000400_2"/>
      <w:bookmarkStart w:id="4993" w:name="Bookmark_I522R2K80TVR1P0050000400_2"/>
      <w:bookmarkEnd w:id="4992"/>
      <w:bookmarkEnd w:id="4993"/>
      <w:r>
        <w:rPr>
          <w:rFonts w:ascii="Arial" w:eastAsia="Arial" w:hAnsi="Arial" w:cs="Arial"/>
          <w:color w:val="000000"/>
          <w:sz w:val="20"/>
        </w:rPr>
        <w:t xml:space="preserve">As the Supreme Court has stated, </w:t>
      </w:r>
      <w:bookmarkStart w:id="4994" w:name="Bookmark_LNHNREFclscc8_25"/>
      <w:bookmarkEnd w:id="4994"/>
      <w:r>
        <w:rPr>
          <w:rFonts w:ascii="Arial" w:eastAsia="Arial" w:hAnsi="Arial" w:cs="Arial"/>
          <w:color w:val="000000"/>
          <w:sz w:val="20"/>
        </w:rPr>
        <w:t xml:space="preserve">"It goes without saying that those who seek to invoke the jurisdiction of the federal courts must satisfy the threshold requirements imposed by Article III of the Constitution by alleging an actual case or controversy." </w:t>
      </w:r>
      <w:bookmarkStart w:id="4995" w:name="Bookmark_I522R2K80TVR1P0040000400"/>
      <w:bookmarkEnd w:id="4995"/>
      <w:r>
        <w:rPr>
          <w:rFonts w:ascii="Arial" w:eastAsia="Arial" w:hAnsi="Arial" w:cs="Arial"/>
          <w:i/>
          <w:color w:val="000000"/>
          <w:sz w:val="20"/>
        </w:rPr>
        <w:t>Lyons</w:t>
      </w:r>
      <w:r>
        <w:rPr>
          <w:rFonts w:ascii="Arial" w:eastAsia="Arial" w:hAnsi="Arial" w:cs="Arial"/>
          <w:color w:val="000000"/>
          <w:sz w:val="20"/>
        </w:rPr>
        <w:t xml:space="preserve">, 461 U.S. at 101; </w:t>
      </w:r>
      <w:r>
        <w:rPr>
          <w:rFonts w:ascii="Arial" w:eastAsia="Arial" w:hAnsi="Arial" w:cs="Arial"/>
          <w:i/>
          <w:color w:val="000000"/>
          <w:sz w:val="20"/>
        </w:rPr>
        <w:t xml:space="preserve">see also </w:t>
      </w:r>
      <w:bookmarkStart w:id="4996" w:name="Bookmark_I522R2K80TVR1W0010000400"/>
      <w:bookmarkEnd w:id="4996"/>
      <w:r>
        <w:rPr>
          <w:rFonts w:ascii="Arial" w:eastAsia="Arial" w:hAnsi="Arial" w:cs="Arial"/>
          <w:i/>
          <w:color w:val="000000"/>
          <w:sz w:val="20"/>
        </w:rPr>
        <w:t>D'Lil v. Best Western Encina Lodge &amp; Suites</w:t>
      </w:r>
      <w:r>
        <w:rPr>
          <w:rFonts w:ascii="Arial" w:eastAsia="Arial" w:hAnsi="Arial" w:cs="Arial"/>
          <w:color w:val="000000"/>
          <w:sz w:val="20"/>
        </w:rPr>
        <w:t xml:space="preserve">, 538 F.3d 1031, 1036 (9th Cir. 2008) ("A party invoking federal jurisdiction has the burden of establishing that it has satisfied the 'case-or-controversy' requirement of Article III of the Constitution; standing is a 'core component' of that requirement." (quoting </w:t>
      </w:r>
      <w:bookmarkStart w:id="4997" w:name="Bookmark_I522R2K80TVR1W0030000400"/>
      <w:bookmarkEnd w:id="4997"/>
      <w:r>
        <w:rPr>
          <w:rFonts w:ascii="Arial" w:eastAsia="Arial" w:hAnsi="Arial" w:cs="Arial"/>
          <w:i/>
          <w:color w:val="000000"/>
          <w:sz w:val="20"/>
        </w:rPr>
        <w:t>Lujan</w:t>
      </w:r>
      <w:r>
        <w:rPr>
          <w:rFonts w:ascii="Arial" w:eastAsia="Arial" w:hAnsi="Arial" w:cs="Arial"/>
          <w:color w:val="000000"/>
          <w:sz w:val="20"/>
        </w:rPr>
        <w:t xml:space="preserve">, 504 U.S. at 560)). Given these principles, we are also mindful that </w:t>
      </w:r>
      <w:bookmarkStart w:id="4998" w:name="Bookmark_LNHNREFclscc9_24"/>
      <w:bookmarkEnd w:id="4998"/>
      <w:r>
        <w:rPr>
          <w:rFonts w:ascii="Arial" w:eastAsia="Arial" w:hAnsi="Arial" w:cs="Arial"/>
          <w:color w:val="000000"/>
          <w:sz w:val="20"/>
        </w:rPr>
        <w:t xml:space="preserve">the "Supreme Court has instructed us to take a broad view of constitutional standing in civil rights cases, especially where, as under the ADA, private enforcement suits 'are the primary method of obtaining compliance with the Act.'" </w:t>
      </w:r>
      <w:bookmarkStart w:id="4999" w:name="Bookmark_I522R2K80TVR1W0050000400"/>
      <w:bookmarkEnd w:id="4999"/>
      <w:r>
        <w:rPr>
          <w:rFonts w:ascii="Arial" w:eastAsia="Arial" w:hAnsi="Arial" w:cs="Arial"/>
          <w:i/>
          <w:color w:val="000000"/>
          <w:sz w:val="20"/>
        </w:rPr>
        <w:t>Doran v. 7-Eleven, Inc.</w:t>
      </w:r>
      <w:r>
        <w:rPr>
          <w:rFonts w:ascii="Arial" w:eastAsia="Arial" w:hAnsi="Arial" w:cs="Arial"/>
          <w:color w:val="000000"/>
          <w:sz w:val="20"/>
        </w:rPr>
        <w:t xml:space="preserve">, 524 F.3d 1034, 1039 (9th Cir. 2008) (quoting </w:t>
      </w:r>
      <w:bookmarkStart w:id="5000" w:name="Bookmark_I522R2K80TVR220020000400"/>
      <w:bookmarkEnd w:id="5000"/>
      <w:r>
        <w:rPr>
          <w:rFonts w:ascii="Arial" w:eastAsia="Arial" w:hAnsi="Arial" w:cs="Arial"/>
          <w:i/>
          <w:color w:val="000000"/>
          <w:sz w:val="20"/>
        </w:rPr>
        <w:t>Trafficante v. Metro. Life Ins. Co.</w:t>
      </w:r>
      <w:r>
        <w:rPr>
          <w:rFonts w:ascii="Arial" w:eastAsia="Arial" w:hAnsi="Arial" w:cs="Arial"/>
          <w:color w:val="000000"/>
          <w:sz w:val="20"/>
        </w:rPr>
        <w:t>, 409 U.S. 205, 209, 93 S. Ct. 364, 34 L. Ed. 2d 415 (1972)).</w:t>
      </w:r>
    </w:p>
    <w:p w14:paraId="78E07472" w14:textId="77777777" w:rsidR="00D041A2" w:rsidRDefault="00000000">
      <w:pPr>
        <w:pStyle w:val="Normal37"/>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55E023E3" w14:textId="77777777" w:rsidR="00D041A2" w:rsidRDefault="00000000">
      <w:pPr>
        <w:pStyle w:val="Normal37"/>
        <w:widowControl w:val="0"/>
        <w:spacing w:before="200" w:line="260" w:lineRule="atLeast"/>
        <w:jc w:val="both"/>
      </w:pPr>
      <w:bookmarkStart w:id="5001" w:name="Bookmark_para_13_30"/>
      <w:bookmarkStart w:id="5002" w:name="Bookmark_I7M82NTMGB60000426D00002"/>
      <w:bookmarkStart w:id="5003" w:name="Bookmark_I522R2K80TVR220050000400"/>
      <w:bookmarkStart w:id="5004" w:name="Bookmark_LNHNREFclscc10_22"/>
      <w:bookmarkEnd w:id="5001"/>
      <w:bookmarkEnd w:id="5002"/>
      <w:bookmarkEnd w:id="5003"/>
      <w:bookmarkEnd w:id="5004"/>
      <w:r>
        <w:rPr>
          <w:rFonts w:ascii="Arial" w:eastAsia="Arial" w:hAnsi="Arial" w:cs="Arial"/>
          <w:color w:val="000000"/>
          <w:sz w:val="20"/>
        </w:rPr>
        <w:t xml:space="preserve">Under the oft-repeated standing formulation, Chapman must demonstrate  [**11] that he has suffered an injury-in-fact, that the injury is traceable to the Store's actions, and that the injury can be redressed by a favorable decision. </w:t>
      </w:r>
      <w:bookmarkStart w:id="5005" w:name="Bookmark_I7M82NTMN280000426D00003"/>
      <w:bookmarkStart w:id="5006" w:name="Bookmark_I522R2K80TVR280020000400"/>
      <w:bookmarkEnd w:id="5005"/>
      <w:bookmarkEnd w:id="5006"/>
      <w:r>
        <w:rPr>
          <w:rFonts w:ascii="Arial" w:eastAsia="Arial" w:hAnsi="Arial" w:cs="Arial"/>
          <w:i/>
          <w:color w:val="000000"/>
          <w:sz w:val="20"/>
        </w:rPr>
        <w:t xml:space="preserve">See </w:t>
      </w:r>
      <w:bookmarkStart w:id="5007" w:name="Bookmark_I522R2K80TVR220040000400"/>
      <w:bookmarkEnd w:id="5007"/>
      <w:r>
        <w:rPr>
          <w:rFonts w:ascii="Arial" w:eastAsia="Arial" w:hAnsi="Arial" w:cs="Arial"/>
          <w:i/>
          <w:color w:val="000000"/>
          <w:sz w:val="20"/>
        </w:rPr>
        <w:t>Fortyune</w:t>
      </w:r>
      <w:r>
        <w:rPr>
          <w:rFonts w:ascii="Arial" w:eastAsia="Arial" w:hAnsi="Arial" w:cs="Arial"/>
          <w:color w:val="000000"/>
          <w:sz w:val="20"/>
        </w:rPr>
        <w:t xml:space="preserve">, 364 F.3d at 1081. In addition, to establish standing to pursue injunctive relief, which is the only relief available to private plaintiffs under the ADA, </w:t>
      </w:r>
      <w:r>
        <w:rPr>
          <w:rFonts w:ascii="Arial" w:eastAsia="Arial" w:hAnsi="Arial" w:cs="Arial"/>
          <w:vertAlign w:val="superscript"/>
        </w:rPr>
        <w:footnoteReference w:customMarkFollows="1" w:id="241"/>
        <w:t>3</w:t>
      </w:r>
      <w:r>
        <w:rPr>
          <w:rFonts w:ascii="Arial" w:eastAsia="Arial" w:hAnsi="Arial" w:cs="Arial"/>
          <w:color w:val="000000"/>
          <w:sz w:val="20"/>
        </w:rPr>
        <w:t xml:space="preserve"> he must demonstrate a "real and immediate threat of repeated injury" in the future. </w:t>
      </w:r>
      <w:bookmarkStart w:id="5010" w:name="Bookmark_I522R2K80TVR280020000400_2"/>
      <w:bookmarkStart w:id="5011" w:name="Bookmark_I522R2K80TVR280040000400"/>
      <w:bookmarkEnd w:id="5010"/>
      <w:bookmarkEnd w:id="5011"/>
      <w:r>
        <w:rPr>
          <w:rFonts w:ascii="Arial" w:eastAsia="Arial" w:hAnsi="Arial" w:cs="Arial"/>
          <w:i/>
          <w:color w:val="000000"/>
          <w:sz w:val="20"/>
        </w:rPr>
        <w:t>Id</w:t>
      </w:r>
      <w:r>
        <w:rPr>
          <w:rFonts w:ascii="Arial" w:eastAsia="Arial" w:hAnsi="Arial" w:cs="Arial"/>
          <w:color w:val="000000"/>
          <w:sz w:val="20"/>
        </w:rPr>
        <w:t xml:space="preserve">. (quoting </w:t>
      </w:r>
      <w:bookmarkStart w:id="5012" w:name="Bookmark_I522R2K80TVR280010000400"/>
      <w:bookmarkEnd w:id="5012"/>
      <w:r>
        <w:rPr>
          <w:rFonts w:ascii="Arial" w:eastAsia="Arial" w:hAnsi="Arial" w:cs="Arial"/>
          <w:i/>
          <w:color w:val="000000"/>
          <w:sz w:val="20"/>
        </w:rPr>
        <w:t>O'Shea v. Littleton</w:t>
      </w:r>
      <w:r>
        <w:rPr>
          <w:rFonts w:ascii="Arial" w:eastAsia="Arial" w:hAnsi="Arial" w:cs="Arial"/>
          <w:color w:val="000000"/>
          <w:sz w:val="20"/>
        </w:rPr>
        <w:t xml:space="preserve">, 414 U.S. 488, 496, 94 S. Ct. 669, 38 L. Ed. 2d 674 (1974)). </w:t>
      </w:r>
      <w:bookmarkStart w:id="5013" w:name="Bookmark_I522R2K80TVR280040000400_2"/>
      <w:bookmarkEnd w:id="5013"/>
      <w:r>
        <w:rPr>
          <w:rFonts w:ascii="Arial" w:eastAsia="Arial" w:hAnsi="Arial" w:cs="Arial"/>
          <w:color w:val="000000"/>
          <w:sz w:val="20"/>
        </w:rPr>
        <w:t xml:space="preserve">As the three-judge panel observed, the causation and redressability elements of standing are not at issue in this appeal. </w:t>
      </w:r>
      <w:bookmarkStart w:id="5014" w:name="Bookmark_I522R2K80TVR280030000400"/>
      <w:bookmarkEnd w:id="5014"/>
      <w:r>
        <w:rPr>
          <w:rFonts w:ascii="Arial" w:eastAsia="Arial" w:hAnsi="Arial" w:cs="Arial"/>
          <w:i/>
          <w:color w:val="000000"/>
          <w:sz w:val="20"/>
        </w:rPr>
        <w:t>Chapman</w:t>
      </w:r>
      <w:r>
        <w:rPr>
          <w:rFonts w:ascii="Arial" w:eastAsia="Arial" w:hAnsi="Arial" w:cs="Arial"/>
          <w:color w:val="000000"/>
          <w:sz w:val="20"/>
        </w:rPr>
        <w:t xml:space="preserve">, 571 F.3d at 857. </w:t>
      </w:r>
      <w:bookmarkStart w:id="5015" w:name="Bookmark_I522R2K90TVR2D0010000400"/>
      <w:bookmarkEnd w:id="5015"/>
      <w:r>
        <w:rPr>
          <w:rFonts w:ascii="Arial" w:eastAsia="Arial" w:hAnsi="Arial" w:cs="Arial"/>
          <w:color w:val="000000"/>
          <w:sz w:val="20"/>
        </w:rPr>
        <w:t xml:space="preserve">Therefore, our standing inquiry focuses on the legal standards governing whether Chapman has suffered an injury-in-fact and whether he has demonstrated a likelihood of future injury sufficient to support injunctive relief. The original panel concluded that Chapman did not suffer an injury-in-fact as to unencountered accessibility barriers because the barriers he did encounter did not deter him from returning to the Store. </w:t>
      </w:r>
      <w:bookmarkStart w:id="5016" w:name="Bookmark_I522R2K80TVR280050000400"/>
      <w:bookmarkEnd w:id="5016"/>
      <w:r>
        <w:rPr>
          <w:rFonts w:ascii="Arial" w:eastAsia="Arial" w:hAnsi="Arial" w:cs="Arial"/>
          <w:i/>
          <w:color w:val="000000"/>
          <w:sz w:val="20"/>
        </w:rPr>
        <w:t>Id</w:t>
      </w:r>
      <w:r>
        <w:rPr>
          <w:rFonts w:ascii="Arial" w:eastAsia="Arial" w:hAnsi="Arial" w:cs="Arial"/>
          <w:color w:val="000000"/>
          <w:sz w:val="20"/>
        </w:rPr>
        <w:t>. at 854. This conclusion was a misapplication  [*947]  of the deterrent effect doctrine and reflected a misapprehension of its relationship to fundamental standing  [**12] principles.</w:t>
      </w:r>
    </w:p>
    <w:p w14:paraId="12CD99A7" w14:textId="77777777" w:rsidR="00D041A2" w:rsidRDefault="00000000">
      <w:pPr>
        <w:pStyle w:val="Normal37"/>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14:paraId="748C5B81" w14:textId="77777777" w:rsidR="00D041A2" w:rsidRDefault="00000000">
      <w:pPr>
        <w:pStyle w:val="Normal37"/>
        <w:widowControl w:val="0"/>
        <w:spacing w:before="200" w:line="260" w:lineRule="atLeast"/>
        <w:jc w:val="both"/>
      </w:pPr>
      <w:bookmarkStart w:id="5017" w:name="Bookmark_para_14_26"/>
      <w:bookmarkStart w:id="5018" w:name="Bookmark_I522R2K90TVR2D0030000400"/>
      <w:bookmarkStart w:id="5019" w:name="Bookmark_I522R2K90TVR2D0050000400"/>
      <w:bookmarkStart w:id="5020" w:name="Bookmark_LNHNREFclscc12_18"/>
      <w:bookmarkEnd w:id="5017"/>
      <w:bookmarkEnd w:id="5018"/>
      <w:bookmarkEnd w:id="5019"/>
      <w:bookmarkEnd w:id="5020"/>
      <w:r>
        <w:rPr>
          <w:rFonts w:ascii="Arial" w:eastAsia="Arial" w:hAnsi="Arial" w:cs="Arial"/>
          <w:color w:val="000000"/>
          <w:sz w:val="20"/>
        </w:rPr>
        <w:t xml:space="preserve">The existence of federal standing "often turns on the nature and source of the claim asserted." </w:t>
      </w:r>
      <w:bookmarkStart w:id="5021" w:name="Bookmark_I522R2K90TVR2D0020000400"/>
      <w:bookmarkEnd w:id="5021"/>
      <w:r>
        <w:rPr>
          <w:rFonts w:ascii="Arial" w:eastAsia="Arial" w:hAnsi="Arial" w:cs="Arial"/>
          <w:i/>
          <w:color w:val="000000"/>
          <w:sz w:val="20"/>
        </w:rPr>
        <w:t>Warth v. Seldin</w:t>
      </w:r>
      <w:r>
        <w:rPr>
          <w:rFonts w:ascii="Arial" w:eastAsia="Arial" w:hAnsi="Arial" w:cs="Arial"/>
          <w:color w:val="000000"/>
          <w:sz w:val="20"/>
        </w:rPr>
        <w:t xml:space="preserve">, 422 U.S. 490, 500, 95 S. Ct. 2197, 45 L. Ed. 2d 343 (1975). Accordingly, our standing analysis must focus on the nature and source of Chapman's claim — discrimination as defined by the ADA. </w:t>
      </w:r>
      <w:bookmarkStart w:id="5022" w:name="Bookmark_LNHNREFclscc13_17"/>
      <w:bookmarkEnd w:id="5022"/>
      <w:r>
        <w:rPr>
          <w:rFonts w:ascii="Arial" w:eastAsia="Arial" w:hAnsi="Arial" w:cs="Arial"/>
          <w:color w:val="000000"/>
          <w:sz w:val="20"/>
        </w:rPr>
        <w:t xml:space="preserve">Under the ADA, when a disabled person encounters an accessibility barrier violating its provisions, it is not necessary for standing purposes that the barrier completely preclude the plaintiff from entering or from using a facility in any way. </w:t>
      </w:r>
      <w:r>
        <w:rPr>
          <w:rFonts w:ascii="Arial" w:eastAsia="Arial" w:hAnsi="Arial" w:cs="Arial"/>
          <w:i/>
          <w:color w:val="000000"/>
          <w:sz w:val="20"/>
        </w:rPr>
        <w:t xml:space="preserve">See </w:t>
      </w:r>
      <w:bookmarkStart w:id="5023" w:name="Bookmark_I522R2K90TVR2D0040000400"/>
      <w:bookmarkEnd w:id="5023"/>
      <w:r>
        <w:rPr>
          <w:rFonts w:ascii="Arial" w:eastAsia="Arial" w:hAnsi="Arial" w:cs="Arial"/>
          <w:i/>
          <w:color w:val="000000"/>
          <w:sz w:val="20"/>
        </w:rPr>
        <w:t>Doran</w:t>
      </w:r>
      <w:r>
        <w:rPr>
          <w:rFonts w:ascii="Arial" w:eastAsia="Arial" w:hAnsi="Arial" w:cs="Arial"/>
          <w:color w:val="000000"/>
          <w:sz w:val="20"/>
        </w:rPr>
        <w:t xml:space="preserve">, 524 F.3d at 1041 n.4 (stating that the ADA "does not limit its antidiscrimination mandate to barriers that completely prohibit access"). Rather, the barrier need only interfere with the plaintiff's "full and equal enjoyment" of the facility. 42 U.S.C. § 12182(a). </w:t>
      </w:r>
      <w:bookmarkStart w:id="5024" w:name="Bookmark_I522R2K90TVR2J0020000400"/>
      <w:bookmarkEnd w:id="5024"/>
      <w:r>
        <w:rPr>
          <w:rFonts w:ascii="Arial" w:eastAsia="Arial" w:hAnsi="Arial" w:cs="Arial"/>
          <w:color w:val="000000"/>
          <w:sz w:val="20"/>
        </w:rPr>
        <w:t xml:space="preserve">As we stated in </w:t>
      </w:r>
      <w:r>
        <w:rPr>
          <w:rFonts w:ascii="Arial" w:eastAsia="Arial" w:hAnsi="Arial" w:cs="Arial"/>
          <w:i/>
          <w:color w:val="000000"/>
          <w:sz w:val="20"/>
        </w:rPr>
        <w:t>Doran</w:t>
      </w:r>
      <w:r>
        <w:rPr>
          <w:rFonts w:ascii="Arial" w:eastAsia="Arial" w:hAnsi="Arial" w:cs="Arial"/>
          <w:color w:val="000000"/>
          <w:sz w:val="20"/>
        </w:rPr>
        <w:t>,</w:t>
      </w:r>
    </w:p>
    <w:p w14:paraId="479F5AC6" w14:textId="77777777" w:rsidR="00D041A2" w:rsidRDefault="00000000">
      <w:pPr>
        <w:pStyle w:val="Normal37"/>
        <w:widowControl w:val="0"/>
        <w:spacing w:before="200" w:line="260" w:lineRule="atLeast"/>
        <w:ind w:left="400"/>
        <w:jc w:val="both"/>
      </w:pPr>
      <w:bookmarkStart w:id="5025" w:name="Bookmark_para_15_25"/>
      <w:bookmarkStart w:id="5026" w:name="Bookmark_I522R2K90TVR2J0020000400_2"/>
      <w:bookmarkStart w:id="5027" w:name="Bookmark_LNHNREFclscc14_16"/>
      <w:bookmarkEnd w:id="5025"/>
      <w:bookmarkEnd w:id="5026"/>
      <w:bookmarkEnd w:id="5027"/>
      <w:r>
        <w:rPr>
          <w:rFonts w:ascii="Arial" w:eastAsia="Arial" w:hAnsi="Arial" w:cs="Arial"/>
          <w:color w:val="000000"/>
          <w:sz w:val="20"/>
        </w:rPr>
        <w:t>Once a disabled individual has encountered or become aware of alleged ADA violations that deter his patronage of  [**13] or otherwise interfere with his access to a place of public accommodation, he has already suffered an injury in fact traceable to the defendant's conduct and capable of being redressed by the courts, and so he possesses standing under Article III . . . .</w:t>
      </w:r>
    </w:p>
    <w:p w14:paraId="476A41F5" w14:textId="77777777" w:rsidR="00D041A2" w:rsidRDefault="00000000">
      <w:pPr>
        <w:pStyle w:val="Normal37"/>
        <w:widowControl w:val="0"/>
        <w:spacing w:before="200" w:line="260" w:lineRule="atLeast"/>
        <w:jc w:val="both"/>
      </w:pPr>
      <w:bookmarkStart w:id="5028" w:name="Bookmark_I522R2K90TVR2J0020000400_3"/>
      <w:bookmarkStart w:id="5029" w:name="Bookmark_I522R2K90TVR2J0010000400"/>
      <w:bookmarkEnd w:id="5028"/>
      <w:bookmarkEnd w:id="5029"/>
      <w:r>
        <w:rPr>
          <w:rFonts w:ascii="Arial" w:eastAsia="Arial" w:hAnsi="Arial" w:cs="Arial"/>
          <w:i/>
          <w:color w:val="000000"/>
          <w:sz w:val="20"/>
        </w:rPr>
        <w:t>Doran</w:t>
      </w:r>
      <w:r>
        <w:rPr>
          <w:rFonts w:ascii="Arial" w:eastAsia="Arial" w:hAnsi="Arial" w:cs="Arial"/>
          <w:color w:val="000000"/>
          <w:sz w:val="20"/>
        </w:rPr>
        <w:t>, 524 F.3d at 1042 n.5.</w:t>
      </w:r>
    </w:p>
    <w:p w14:paraId="527140A6" w14:textId="77777777" w:rsidR="00D041A2" w:rsidRDefault="00000000">
      <w:pPr>
        <w:pStyle w:val="Normal37"/>
        <w:widowControl w:val="0"/>
        <w:spacing w:before="200" w:line="260" w:lineRule="atLeast"/>
        <w:jc w:val="both"/>
      </w:pPr>
      <w:bookmarkStart w:id="5030" w:name="Bookmark_para_16_25"/>
      <w:bookmarkStart w:id="5031" w:name="Bookmark_I522R2K90TVR2J0040000400"/>
      <w:bookmarkEnd w:id="5030"/>
      <w:bookmarkEnd w:id="5031"/>
      <w:r>
        <w:rPr>
          <w:rFonts w:ascii="Arial" w:eastAsia="Arial" w:hAnsi="Arial" w:cs="Arial"/>
          <w:color w:val="000000"/>
          <w:sz w:val="20"/>
        </w:rPr>
        <w:t xml:space="preserve">Of course, a "barrier" will only amount to such interference if it affects the plaintiff's full and equal enjoyment of the facility on account of his particular disability. Because the ADAAG establishes the technical standards required for "full and equal enjoyment," if a barrier violating these standards relates to a plaintiff's disability, it will impair the plaintiff's full and equal access, which constitutes "discrimination" under the ADA. That discrimination satisfies the "injury-in-fact" element of </w:t>
      </w:r>
      <w:r>
        <w:rPr>
          <w:rFonts w:ascii="Arial" w:eastAsia="Arial" w:hAnsi="Arial" w:cs="Arial"/>
          <w:i/>
          <w:color w:val="000000"/>
          <w:sz w:val="20"/>
        </w:rPr>
        <w:t>Lujan</w:t>
      </w:r>
      <w:r>
        <w:rPr>
          <w:rFonts w:ascii="Arial" w:eastAsia="Arial" w:hAnsi="Arial" w:cs="Arial"/>
          <w:color w:val="000000"/>
          <w:sz w:val="20"/>
        </w:rPr>
        <w:t xml:space="preserve">. As we have held, once a disabled plaintiff has encountered a barrier violating the ADA, "that plaintiff will have a 'personal stake in the outcome of the controversy' so long as his or her suit is limited to barriers related to that person's particular disability." </w:t>
      </w:r>
      <w:r>
        <w:rPr>
          <w:rFonts w:ascii="Arial" w:eastAsia="Arial" w:hAnsi="Arial" w:cs="Arial"/>
          <w:vertAlign w:val="superscript"/>
        </w:rPr>
        <w:footnoteReference w:customMarkFollows="1" w:id="242"/>
        <w:t>4</w:t>
      </w:r>
      <w:r>
        <w:rPr>
          <w:rFonts w:ascii="Arial" w:eastAsia="Arial" w:hAnsi="Arial" w:cs="Arial"/>
          <w:color w:val="000000"/>
          <w:sz w:val="20"/>
        </w:rPr>
        <w:t xml:space="preserve"> </w:t>
      </w:r>
      <w:bookmarkStart w:id="5037" w:name="Bookmark_I522R2K90TVR2J0030000400"/>
      <w:bookmarkEnd w:id="5037"/>
      <w:r>
        <w:rPr>
          <w:rFonts w:ascii="Arial" w:eastAsia="Arial" w:hAnsi="Arial" w:cs="Arial"/>
          <w:i/>
          <w:color w:val="000000"/>
          <w:sz w:val="20"/>
        </w:rPr>
        <w:t>Id</w:t>
      </w:r>
      <w:r>
        <w:rPr>
          <w:rFonts w:ascii="Arial" w:eastAsia="Arial" w:hAnsi="Arial" w:cs="Arial"/>
          <w:color w:val="000000"/>
          <w:sz w:val="20"/>
        </w:rPr>
        <w:t>. at 1044.</w:t>
      </w:r>
    </w:p>
    <w:p w14:paraId="5DCA08AE" w14:textId="77777777" w:rsidR="00D041A2" w:rsidRDefault="00000000">
      <w:pPr>
        <w:pStyle w:val="Normal37"/>
        <w:widowControl w:val="0"/>
        <w:spacing w:before="200" w:line="260" w:lineRule="atLeast"/>
        <w:jc w:val="both"/>
      </w:pPr>
      <w:bookmarkStart w:id="5038" w:name="Bookmark_para_17_24"/>
      <w:bookmarkStart w:id="5039" w:name="Bookmark_I522R2K90TVR2P0050000400"/>
      <w:bookmarkStart w:id="5040" w:name="Bookmark_I522R2K90TVR2T0020000400"/>
      <w:bookmarkEnd w:id="5038"/>
      <w:bookmarkEnd w:id="5039"/>
      <w:bookmarkEnd w:id="5040"/>
      <w:r>
        <w:rPr>
          <w:rFonts w:ascii="Arial" w:eastAsia="Arial" w:hAnsi="Arial" w:cs="Arial"/>
          <w:color w:val="000000"/>
          <w:sz w:val="20"/>
        </w:rPr>
        <w:t xml:space="preserve">Following this principle, the original three-judge panel recognized that Chapman's initial encounter with accessibility barriers at the Store constituted an injury-in-fact. </w:t>
      </w:r>
      <w:bookmarkStart w:id="5041" w:name="Bookmark_I7M82NTMY2G0000426D00005"/>
      <w:bookmarkStart w:id="5042" w:name="Bookmark_I7M82NTN7B40000426D00007"/>
      <w:bookmarkStart w:id="5043" w:name="Bookmark_I522R2K90TVR2T0040000400"/>
      <w:bookmarkEnd w:id="5041"/>
      <w:bookmarkEnd w:id="5042"/>
      <w:bookmarkEnd w:id="5043"/>
      <w:r>
        <w:rPr>
          <w:rFonts w:ascii="Arial" w:eastAsia="Arial" w:hAnsi="Arial" w:cs="Arial"/>
          <w:vertAlign w:val="superscript"/>
        </w:rPr>
        <w:footnoteReference w:customMarkFollows="1" w:id="243"/>
        <w:t>5</w:t>
      </w:r>
      <w:r>
        <w:rPr>
          <w:rFonts w:ascii="Arial" w:eastAsia="Arial" w:hAnsi="Arial" w:cs="Arial"/>
          <w:color w:val="000000"/>
          <w:sz w:val="20"/>
        </w:rPr>
        <w:t xml:space="preserve">  [*948]  The now withdrawn panel opinion stated, "It is clear that Chapman had standing to sue Pier 1 Imports for not complying with the ADA with respect to the . . . barriers he claimed to have encountered." </w:t>
      </w:r>
      <w:bookmarkStart w:id="5048" w:name="Bookmark_I522R2K90TVR2P0040000400"/>
      <w:bookmarkEnd w:id="5048"/>
      <w:r>
        <w:rPr>
          <w:rFonts w:ascii="Arial" w:eastAsia="Arial" w:hAnsi="Arial" w:cs="Arial"/>
          <w:i/>
          <w:color w:val="000000"/>
          <w:sz w:val="20"/>
        </w:rPr>
        <w:t>Chapman</w:t>
      </w:r>
      <w:r>
        <w:rPr>
          <w:rFonts w:ascii="Arial" w:eastAsia="Arial" w:hAnsi="Arial" w:cs="Arial"/>
          <w:color w:val="000000"/>
          <w:sz w:val="20"/>
        </w:rPr>
        <w:t xml:space="preserve">, 571 F.3d at 857. </w:t>
      </w:r>
      <w:bookmarkStart w:id="5049" w:name="Bookmark_LNHNREFclscc16_12"/>
      <w:bookmarkEnd w:id="5049"/>
      <w:r>
        <w:rPr>
          <w:rFonts w:ascii="Arial" w:eastAsia="Arial" w:hAnsi="Arial" w:cs="Arial"/>
          <w:color w:val="000000"/>
          <w:sz w:val="20"/>
        </w:rPr>
        <w:t xml:space="preserve">Although encounters with the noncompliant barriers related to one's disability are sufficient to demonstrate an injury-in-fact for standing purposes, a plaintiff seeking injunctive relief must additionally demonstrate "a sufficient likelihood that he will again be wronged in a similar way." </w:t>
      </w:r>
      <w:bookmarkStart w:id="5050" w:name="Bookmark_I522R2K90TVR2T0010000400"/>
      <w:bookmarkEnd w:id="5050"/>
      <w:r>
        <w:rPr>
          <w:rFonts w:ascii="Arial" w:eastAsia="Arial" w:hAnsi="Arial" w:cs="Arial"/>
          <w:i/>
          <w:color w:val="000000"/>
          <w:sz w:val="20"/>
        </w:rPr>
        <w:t>Lyons</w:t>
      </w:r>
      <w:r>
        <w:rPr>
          <w:rFonts w:ascii="Arial" w:eastAsia="Arial" w:hAnsi="Arial" w:cs="Arial"/>
          <w:color w:val="000000"/>
          <w:sz w:val="20"/>
        </w:rPr>
        <w:t xml:space="preserve">, 461 U.S. at 111. </w:t>
      </w:r>
      <w:bookmarkStart w:id="5051" w:name="Bookmark_I522R2K90TVR2T0040000400_2"/>
      <w:bookmarkStart w:id="5052" w:name="Bookmark_I522R2K90TVR2Y0030000400"/>
      <w:bookmarkEnd w:id="5051"/>
      <w:bookmarkEnd w:id="5052"/>
      <w:r>
        <w:rPr>
          <w:rFonts w:ascii="Arial" w:eastAsia="Arial" w:hAnsi="Arial" w:cs="Arial"/>
          <w:color w:val="000000"/>
          <w:sz w:val="20"/>
        </w:rPr>
        <w:t xml:space="preserve">That is, he must establish a "real and immediate threat of repeated injury." </w:t>
      </w:r>
      <w:bookmarkStart w:id="5053" w:name="Bookmark_I522R2K90TVR2T0030000400"/>
      <w:bookmarkEnd w:id="5053"/>
      <w:r>
        <w:rPr>
          <w:rFonts w:ascii="Arial" w:eastAsia="Arial" w:hAnsi="Arial" w:cs="Arial"/>
          <w:i/>
          <w:color w:val="000000"/>
          <w:sz w:val="20"/>
        </w:rPr>
        <w:t>Id</w:t>
      </w:r>
      <w:r>
        <w:rPr>
          <w:rFonts w:ascii="Arial" w:eastAsia="Arial" w:hAnsi="Arial" w:cs="Arial"/>
          <w:color w:val="000000"/>
          <w:sz w:val="20"/>
        </w:rPr>
        <w:t xml:space="preserve">. at 102 (quoting </w:t>
      </w:r>
      <w:bookmarkStart w:id="5054" w:name="Bookmark_I522R2K90TVR2T0050000400"/>
      <w:bookmarkEnd w:id="5054"/>
      <w:r>
        <w:rPr>
          <w:rFonts w:ascii="Arial" w:eastAsia="Arial" w:hAnsi="Arial" w:cs="Arial"/>
          <w:i/>
          <w:color w:val="000000"/>
          <w:sz w:val="20"/>
        </w:rPr>
        <w:t>O'Shea</w:t>
      </w:r>
      <w:r>
        <w:rPr>
          <w:rFonts w:ascii="Arial" w:eastAsia="Arial" w:hAnsi="Arial" w:cs="Arial"/>
          <w:color w:val="000000"/>
          <w:sz w:val="20"/>
        </w:rPr>
        <w:t xml:space="preserve">, 414 U.S. at 496). </w:t>
      </w:r>
      <w:bookmarkStart w:id="5055" w:name="Bookmark_I522R2K90TVR2Y0030000400_2"/>
      <w:bookmarkEnd w:id="5055"/>
      <w:r>
        <w:rPr>
          <w:rFonts w:ascii="Arial" w:eastAsia="Arial" w:hAnsi="Arial" w:cs="Arial"/>
          <w:color w:val="000000"/>
          <w:sz w:val="20"/>
        </w:rPr>
        <w:t xml:space="preserve">For instance, in </w:t>
      </w:r>
      <w:r>
        <w:rPr>
          <w:rFonts w:ascii="Arial" w:eastAsia="Arial" w:hAnsi="Arial" w:cs="Arial"/>
          <w:i/>
          <w:color w:val="000000"/>
          <w:sz w:val="20"/>
        </w:rPr>
        <w:t>Fortyune</w:t>
      </w:r>
      <w:r>
        <w:rPr>
          <w:rFonts w:ascii="Arial" w:eastAsia="Arial" w:hAnsi="Arial" w:cs="Arial"/>
          <w:color w:val="000000"/>
          <w:sz w:val="20"/>
        </w:rPr>
        <w:t xml:space="preserve">, a quadriplegic plaintiff sued to enjoin a movie theater's ongoing seating policy that failed to ensure that  [**16] wheelchair-bound patrons could sit next to their companions or aides during sold-out shows. </w:t>
      </w:r>
      <w:bookmarkStart w:id="5056" w:name="Bookmark_I522R2K90TVR2Y0020000400"/>
      <w:bookmarkEnd w:id="5056"/>
      <w:r>
        <w:rPr>
          <w:rFonts w:ascii="Arial" w:eastAsia="Arial" w:hAnsi="Arial" w:cs="Arial"/>
          <w:i/>
          <w:color w:val="000000"/>
          <w:sz w:val="20"/>
        </w:rPr>
        <w:t>Fortyune</w:t>
      </w:r>
      <w:r>
        <w:rPr>
          <w:rFonts w:ascii="Arial" w:eastAsia="Arial" w:hAnsi="Arial" w:cs="Arial"/>
          <w:color w:val="000000"/>
          <w:sz w:val="20"/>
        </w:rPr>
        <w:t>, 364 F.3d at 1078-79.</w:t>
      </w:r>
    </w:p>
    <w:p w14:paraId="2ABBD607" w14:textId="77777777" w:rsidR="00D041A2" w:rsidRDefault="00000000">
      <w:pPr>
        <w:pStyle w:val="Normal37"/>
        <w:widowControl w:val="0"/>
        <w:spacing w:before="200" w:line="260" w:lineRule="atLeast"/>
        <w:jc w:val="both"/>
      </w:pPr>
      <w:bookmarkStart w:id="5057" w:name="Bookmark_para_18_22"/>
      <w:bookmarkEnd w:id="5057"/>
      <w:r>
        <w:rPr>
          <w:rFonts w:ascii="Arial" w:eastAsia="Arial" w:hAnsi="Arial" w:cs="Arial"/>
          <w:color w:val="000000"/>
          <w:sz w:val="20"/>
        </w:rPr>
        <w:t xml:space="preserve">Fortyune required both a wheelchair and an aide to attend movies at the theater. </w:t>
      </w:r>
      <w:bookmarkStart w:id="5058" w:name="Bookmark_I522R2K90TVR330020000400"/>
      <w:bookmarkEnd w:id="5058"/>
      <w:r>
        <w:rPr>
          <w:rFonts w:ascii="Arial" w:eastAsia="Arial" w:hAnsi="Arial" w:cs="Arial"/>
          <w:color w:val="000000"/>
          <w:sz w:val="20"/>
        </w:rPr>
        <w:t xml:space="preserve">Thus, to have full and equal access to the movie theater he needed to have available a "companion seat" for his aide  [**17] (in his case, his wife) next to which he could situate his wheelchair. </w:t>
      </w:r>
      <w:bookmarkStart w:id="5059" w:name="Bookmark_I522R2K90TVR330040000400"/>
      <w:bookmarkEnd w:id="5059"/>
      <w:r>
        <w:rPr>
          <w:rFonts w:ascii="Arial" w:eastAsia="Arial" w:hAnsi="Arial" w:cs="Arial"/>
          <w:color w:val="000000"/>
          <w:sz w:val="20"/>
        </w:rPr>
        <w:t xml:space="preserve">He suffered an injury-in-fact when he and his wife attempted to see an AMC movie, but were prevented from doing so, because the companion seats were occupied by nondisabled patrons whom the manager refused to move on the basis of a company-wide policy governing the use of wheelchair companion seats at sold-out screenings. </w:t>
      </w:r>
      <w:bookmarkStart w:id="5060" w:name="Bookmark_I522R2KB0TVR370010000400"/>
      <w:bookmarkEnd w:id="5060"/>
      <w:r>
        <w:rPr>
          <w:rFonts w:ascii="Arial" w:eastAsia="Arial" w:hAnsi="Arial" w:cs="Arial"/>
          <w:color w:val="000000"/>
          <w:sz w:val="20"/>
        </w:rPr>
        <w:t xml:space="preserve">We noted that, </w:t>
      </w:r>
      <w:bookmarkStart w:id="5061" w:name="Bookmark_LNHNREFclscc18_9"/>
      <w:bookmarkEnd w:id="5061"/>
      <w:r>
        <w:rPr>
          <w:rFonts w:ascii="Arial" w:eastAsia="Arial" w:hAnsi="Arial" w:cs="Arial"/>
          <w:color w:val="000000"/>
          <w:sz w:val="20"/>
        </w:rPr>
        <w:t xml:space="preserve">while "past wrongs do not in themselves amount to [a] real and immediate threat of injury necessary to make out a case or controversy, past wrongs are evidence bearing on whether there is a real and immediate threat of repeated injury." </w:t>
      </w:r>
      <w:bookmarkStart w:id="5062" w:name="Bookmark_I522R2K90TVR330010000400"/>
      <w:bookmarkEnd w:id="5062"/>
      <w:r>
        <w:rPr>
          <w:rFonts w:ascii="Arial" w:eastAsia="Arial" w:hAnsi="Arial" w:cs="Arial"/>
          <w:i/>
          <w:color w:val="000000"/>
          <w:sz w:val="20"/>
        </w:rPr>
        <w:t>Id</w:t>
      </w:r>
      <w:r>
        <w:rPr>
          <w:rFonts w:ascii="Arial" w:eastAsia="Arial" w:hAnsi="Arial" w:cs="Arial"/>
          <w:color w:val="000000"/>
          <w:sz w:val="20"/>
        </w:rPr>
        <w:t xml:space="preserve">. at 1081 (internal quotation marks and citation omitted) (alteration in original). </w:t>
      </w:r>
      <w:bookmarkStart w:id="5063" w:name="Bookmark_I522R2KB0TVR370010000400_2"/>
      <w:bookmarkStart w:id="5064" w:name="Bookmark_I522R2K90TVR330040000400_2"/>
      <w:bookmarkEnd w:id="5063"/>
      <w:bookmarkEnd w:id="5064"/>
      <w:r>
        <w:rPr>
          <w:rFonts w:ascii="Arial" w:eastAsia="Arial" w:hAnsi="Arial" w:cs="Arial"/>
          <w:color w:val="000000"/>
          <w:sz w:val="20"/>
        </w:rPr>
        <w:t xml:space="preserve">Because Fortyune attended three or four movies per week with a companion, </w:t>
      </w:r>
      <w:bookmarkStart w:id="5065" w:name="Bookmark_I522R2K90TVR330030000400"/>
      <w:bookmarkEnd w:id="5065"/>
      <w:r>
        <w:rPr>
          <w:rFonts w:ascii="Arial" w:eastAsia="Arial" w:hAnsi="Arial" w:cs="Arial"/>
          <w:i/>
          <w:color w:val="000000"/>
          <w:sz w:val="20"/>
        </w:rPr>
        <w:t>id</w:t>
      </w:r>
      <w:r>
        <w:rPr>
          <w:rFonts w:ascii="Arial" w:eastAsia="Arial" w:hAnsi="Arial" w:cs="Arial"/>
          <w:color w:val="000000"/>
          <w:sz w:val="20"/>
        </w:rPr>
        <w:t xml:space="preserve">. at 1079, and the theater's discriminatory seating policy was ongoing, we concluded that Fortyune established "a 'real and immediate threat' that the injury will be repeated" sufficient to permit him to pursue injunctive relief. </w:t>
      </w:r>
      <w:bookmarkStart w:id="5066" w:name="Bookmark_I522R2K90TVR330050000400"/>
      <w:bookmarkEnd w:id="5066"/>
      <w:r>
        <w:rPr>
          <w:rFonts w:ascii="Arial" w:eastAsia="Arial" w:hAnsi="Arial" w:cs="Arial"/>
          <w:i/>
          <w:color w:val="000000"/>
          <w:sz w:val="20"/>
        </w:rPr>
        <w:t>Id</w:t>
      </w:r>
      <w:r>
        <w:rPr>
          <w:rFonts w:ascii="Arial" w:eastAsia="Arial" w:hAnsi="Arial" w:cs="Arial"/>
          <w:color w:val="000000"/>
          <w:sz w:val="20"/>
        </w:rPr>
        <w:t xml:space="preserve">. at 1081; </w:t>
      </w:r>
      <w:r>
        <w:rPr>
          <w:rFonts w:ascii="Arial" w:eastAsia="Arial" w:hAnsi="Arial" w:cs="Arial"/>
          <w:i/>
          <w:color w:val="000000"/>
          <w:sz w:val="20"/>
        </w:rPr>
        <w:t xml:space="preserve">see also </w:t>
      </w:r>
      <w:bookmarkStart w:id="5067" w:name="Bookmark_I522R2KB0TVR370020000400"/>
      <w:bookmarkEnd w:id="5067"/>
      <w:r>
        <w:rPr>
          <w:rFonts w:ascii="Arial" w:eastAsia="Arial" w:hAnsi="Arial" w:cs="Arial"/>
          <w:i/>
          <w:color w:val="000000"/>
          <w:sz w:val="20"/>
        </w:rPr>
        <w:t>id</w:t>
      </w:r>
      <w:r>
        <w:rPr>
          <w:rFonts w:ascii="Arial" w:eastAsia="Arial" w:hAnsi="Arial" w:cs="Arial"/>
          <w:color w:val="000000"/>
          <w:sz w:val="20"/>
        </w:rPr>
        <w:t xml:space="preserve">. at 1082 ("[T]he possibility of his injury recurring cannot be said to be so remote as to preclude standing."); </w:t>
      </w:r>
      <w:bookmarkStart w:id="5068" w:name="Bookmark_I522R2KB0TVR370040000400"/>
      <w:bookmarkEnd w:id="5068"/>
      <w:r>
        <w:rPr>
          <w:rFonts w:ascii="Arial" w:eastAsia="Arial" w:hAnsi="Arial" w:cs="Arial"/>
          <w:i/>
          <w:color w:val="000000"/>
          <w:sz w:val="20"/>
        </w:rPr>
        <w:t>Pickern v. Holiday Quality Foods, Inc</w:t>
      </w:r>
      <w:r>
        <w:rPr>
          <w:rFonts w:ascii="Arial" w:eastAsia="Arial" w:hAnsi="Arial" w:cs="Arial"/>
          <w:color w:val="000000"/>
          <w:sz w:val="20"/>
        </w:rPr>
        <w:t>., 293 F.3d 1133, 1138 (9th Cir. 2002)  [**18] ("[A] plaintiff who is threatened with harm in the future because of existing . . . noncompliance with the ADA suffers 'imminent injury.'").</w:t>
      </w:r>
    </w:p>
    <w:p w14:paraId="030E83B8" w14:textId="77777777" w:rsidR="00D041A2" w:rsidRDefault="00000000">
      <w:pPr>
        <w:pStyle w:val="Normal37"/>
        <w:widowControl w:val="0"/>
        <w:spacing w:before="200" w:line="260" w:lineRule="atLeast"/>
        <w:jc w:val="both"/>
      </w:pPr>
      <w:bookmarkStart w:id="5069" w:name="Bookmark_para_19_22"/>
      <w:bookmarkStart w:id="5070" w:name="Bookmark_I522R2KB0TVR3C0020000400"/>
      <w:bookmarkStart w:id="5071" w:name="Bookmark_I522R2KB0TVR3C0040000400"/>
      <w:bookmarkEnd w:id="5069"/>
      <w:bookmarkEnd w:id="5070"/>
      <w:bookmarkEnd w:id="5071"/>
      <w:r>
        <w:rPr>
          <w:rFonts w:ascii="Arial" w:eastAsia="Arial" w:hAnsi="Arial" w:cs="Arial"/>
          <w:color w:val="000000"/>
          <w:sz w:val="20"/>
        </w:rPr>
        <w:t xml:space="preserve">Other circuits also recognize that </w:t>
      </w:r>
      <w:bookmarkStart w:id="5072" w:name="Bookmark_LNHNREFclscc19_8"/>
      <w:bookmarkEnd w:id="5072"/>
      <w:r>
        <w:rPr>
          <w:rFonts w:ascii="Arial" w:eastAsia="Arial" w:hAnsi="Arial" w:cs="Arial"/>
          <w:color w:val="000000"/>
          <w:sz w:val="20"/>
        </w:rPr>
        <w:t xml:space="preserve">an ADA plaintiff demonstrates a sufficient likelihood of future harm to establish standing to sue for an injunction when he intends to return to a noncompliant place of public accommodation where he will likely suffer repeated injury. In </w:t>
      </w:r>
      <w:bookmarkStart w:id="5073" w:name="Bookmark_I522R2KB0TVR3C0010000400"/>
      <w:bookmarkEnd w:id="5073"/>
      <w:r>
        <w:rPr>
          <w:rFonts w:ascii="Arial" w:eastAsia="Arial" w:hAnsi="Arial" w:cs="Arial"/>
          <w:i/>
          <w:color w:val="000000"/>
          <w:sz w:val="20"/>
        </w:rPr>
        <w:t>Disabled Americans for Equal Access, Inc. v. Ferries Del Caribe, Inc</w:t>
      </w:r>
      <w:r>
        <w:rPr>
          <w:rFonts w:ascii="Arial" w:eastAsia="Arial" w:hAnsi="Arial" w:cs="Arial"/>
          <w:color w:val="000000"/>
          <w:sz w:val="20"/>
        </w:rPr>
        <w:t xml:space="preserve">., 405 F.3d 60 (1st Cir. 2005), a wheelchair-bound individual  [*949]  sued the operator of a cruise ship, alleging that he was subjected to discrimination and was likely to suffer discrimination in the future because accessibility barriers on the defendant's vessel denied him full and equal enjoyment of its goods, services, and other privileges. </w:t>
      </w:r>
      <w:bookmarkStart w:id="5074" w:name="Bookmark_I522R2KB0TVR3G0010000400"/>
      <w:bookmarkStart w:id="5075" w:name="Bookmark_I522R2KB0TVR3C0030000400"/>
      <w:bookmarkEnd w:id="5074"/>
      <w:bookmarkEnd w:id="5075"/>
      <w:r>
        <w:rPr>
          <w:rFonts w:ascii="Arial" w:eastAsia="Arial" w:hAnsi="Arial" w:cs="Arial"/>
          <w:i/>
          <w:color w:val="000000"/>
          <w:sz w:val="20"/>
        </w:rPr>
        <w:t>Id</w:t>
      </w:r>
      <w:r>
        <w:rPr>
          <w:rFonts w:ascii="Arial" w:eastAsia="Arial" w:hAnsi="Arial" w:cs="Arial"/>
          <w:color w:val="000000"/>
          <w:sz w:val="20"/>
        </w:rPr>
        <w:t xml:space="preserve">. at 62-63. </w:t>
      </w:r>
      <w:bookmarkStart w:id="5076" w:name="Bookmark_I522R2KB0TVR3G0010000400_2"/>
      <w:bookmarkEnd w:id="5076"/>
      <w:r>
        <w:rPr>
          <w:rFonts w:ascii="Arial" w:eastAsia="Arial" w:hAnsi="Arial" w:cs="Arial"/>
          <w:color w:val="000000"/>
          <w:sz w:val="20"/>
        </w:rPr>
        <w:t xml:space="preserve">The First Circuit concluded that the plaintiff had standing to pursue injunctive relief, noting that the plaintiff alleged an intent to return to the vessel notwithstanding its noncompliance with the ADA, and that unless the barriers were removed, his ability to use the accommodations would be compromised and his safety would be endangered. </w:t>
      </w:r>
      <w:bookmarkStart w:id="5077" w:name="Bookmark_I522R2KB0TVR3C0050000400"/>
      <w:bookmarkEnd w:id="5077"/>
      <w:r>
        <w:rPr>
          <w:rFonts w:ascii="Arial" w:eastAsia="Arial" w:hAnsi="Arial" w:cs="Arial"/>
          <w:i/>
          <w:color w:val="000000"/>
          <w:sz w:val="20"/>
        </w:rPr>
        <w:t>Id</w:t>
      </w:r>
      <w:r>
        <w:rPr>
          <w:rFonts w:ascii="Arial" w:eastAsia="Arial" w:hAnsi="Arial" w:cs="Arial"/>
          <w:color w:val="000000"/>
          <w:sz w:val="20"/>
        </w:rPr>
        <w:t>. at 64-65.</w:t>
      </w:r>
    </w:p>
    <w:p w14:paraId="5EDFCDA8" w14:textId="77777777" w:rsidR="00D041A2" w:rsidRDefault="00000000">
      <w:pPr>
        <w:pStyle w:val="Normal37"/>
        <w:widowControl w:val="0"/>
        <w:spacing w:before="200" w:line="260" w:lineRule="atLeast"/>
        <w:jc w:val="both"/>
      </w:pPr>
      <w:bookmarkStart w:id="5078" w:name="Bookmark_para_20_22"/>
      <w:bookmarkStart w:id="5079" w:name="Bookmark_I522R2KB0TVR3G0030000400"/>
      <w:bookmarkStart w:id="5080" w:name="Bookmark_I522R2KB0TVR3G0050000400"/>
      <w:bookmarkStart w:id="5081" w:name="Bookmark_I522R2KB0TVR3K0020000400"/>
      <w:bookmarkEnd w:id="5078"/>
      <w:bookmarkEnd w:id="5079"/>
      <w:bookmarkEnd w:id="5080"/>
      <w:bookmarkEnd w:id="5081"/>
      <w:r>
        <w:rPr>
          <w:rFonts w:ascii="Arial" w:eastAsia="Arial" w:hAnsi="Arial" w:cs="Arial"/>
          <w:color w:val="000000"/>
          <w:sz w:val="20"/>
        </w:rPr>
        <w:t xml:space="preserve">Similarly,  [**19] in </w:t>
      </w:r>
      <w:bookmarkStart w:id="5082" w:name="Bookmark_I522R2KB0TVR3G0020000400"/>
      <w:bookmarkEnd w:id="5082"/>
      <w:r>
        <w:rPr>
          <w:rFonts w:ascii="Arial" w:eastAsia="Arial" w:hAnsi="Arial" w:cs="Arial"/>
          <w:i/>
          <w:color w:val="000000"/>
          <w:sz w:val="20"/>
        </w:rPr>
        <w:t>Camarillo v. Carrols Corp</w:t>
      </w:r>
      <w:r>
        <w:rPr>
          <w:rFonts w:ascii="Arial" w:eastAsia="Arial" w:hAnsi="Arial" w:cs="Arial"/>
          <w:color w:val="000000"/>
          <w:sz w:val="20"/>
        </w:rPr>
        <w:t xml:space="preserve">., 518 F.3d 153 (2d Cir. 2008), a blind woman sued the owner of several fast-food restaurants, alleging that she was subjected to unlawful discrimination under the ADA when the restaurants failed to communicate their menu items to her effectively. </w:t>
      </w:r>
      <w:bookmarkStart w:id="5083" w:name="Bookmark_I522R2KB0TVR3G0040000400"/>
      <w:bookmarkEnd w:id="5083"/>
      <w:r>
        <w:rPr>
          <w:rFonts w:ascii="Arial" w:eastAsia="Arial" w:hAnsi="Arial" w:cs="Arial"/>
          <w:i/>
          <w:color w:val="000000"/>
          <w:sz w:val="20"/>
        </w:rPr>
        <w:t>Id</w:t>
      </w:r>
      <w:r>
        <w:rPr>
          <w:rFonts w:ascii="Arial" w:eastAsia="Arial" w:hAnsi="Arial" w:cs="Arial"/>
          <w:color w:val="000000"/>
          <w:sz w:val="20"/>
        </w:rPr>
        <w:t xml:space="preserve">. at 154, 156. The Second Circuit held that Camarillo had standing to sue for injunctive relief because "(1) she has alleged past injury under the ADA (namely, defendants' discriminatory failure to ensure effective communication of their menu items); (2) it is reasonable to infer from her complaint that this discriminatory treatment will continue; and (3) it is also reasonable to infer, based on the past frequency of her visits and the proximity of defendants' restaurants to her home, that Camarillo intends to return to these restaurants in the future." </w:t>
      </w:r>
      <w:bookmarkStart w:id="5084" w:name="Bookmark_I522R2KB0TVR3K0010000400"/>
      <w:bookmarkEnd w:id="5084"/>
      <w:r>
        <w:rPr>
          <w:rFonts w:ascii="Arial" w:eastAsia="Arial" w:hAnsi="Arial" w:cs="Arial"/>
          <w:i/>
          <w:color w:val="000000"/>
          <w:sz w:val="20"/>
        </w:rPr>
        <w:t>Id</w:t>
      </w:r>
      <w:r>
        <w:rPr>
          <w:rFonts w:ascii="Arial" w:eastAsia="Arial" w:hAnsi="Arial" w:cs="Arial"/>
          <w:color w:val="000000"/>
          <w:sz w:val="20"/>
        </w:rPr>
        <w:t>. at 158.</w:t>
      </w:r>
    </w:p>
    <w:p w14:paraId="4AE19F7E" w14:textId="77777777" w:rsidR="00D041A2" w:rsidRDefault="00000000">
      <w:pPr>
        <w:pStyle w:val="Normal37"/>
        <w:widowControl w:val="0"/>
        <w:spacing w:before="200" w:line="260" w:lineRule="atLeast"/>
        <w:jc w:val="both"/>
      </w:pPr>
      <w:bookmarkStart w:id="5085" w:name="Bookmark_para_21_22"/>
      <w:bookmarkStart w:id="5086" w:name="Bookmark_I522R2KB0TVR3K0040000400"/>
      <w:bookmarkEnd w:id="5085"/>
      <w:bookmarkEnd w:id="5086"/>
      <w:r>
        <w:rPr>
          <w:rFonts w:ascii="Arial" w:eastAsia="Arial" w:hAnsi="Arial" w:cs="Arial"/>
          <w:color w:val="000000"/>
          <w:sz w:val="20"/>
        </w:rPr>
        <w:t xml:space="preserve">These opinions reflect first principles: It is well settled that </w:t>
      </w:r>
      <w:bookmarkStart w:id="5087" w:name="Bookmark_LNHNREFclscc20_6"/>
      <w:bookmarkEnd w:id="5087"/>
      <w:r>
        <w:rPr>
          <w:rFonts w:ascii="Arial" w:eastAsia="Arial" w:hAnsi="Arial" w:cs="Arial"/>
          <w:color w:val="000000"/>
          <w:sz w:val="20"/>
        </w:rPr>
        <w:t xml:space="preserve">a plaintiff need not "await the consummation of threatened injury to obtain prospective relief." </w:t>
      </w:r>
      <w:bookmarkStart w:id="5088" w:name="Bookmark_I522R2KB0TVR3K0030000400"/>
      <w:bookmarkEnd w:id="5088"/>
      <w:r>
        <w:rPr>
          <w:rFonts w:ascii="Arial" w:eastAsia="Arial" w:hAnsi="Arial" w:cs="Arial"/>
          <w:i/>
          <w:color w:val="000000"/>
          <w:sz w:val="20"/>
        </w:rPr>
        <w:t>Farmer v. Brennan</w:t>
      </w:r>
      <w:r>
        <w:rPr>
          <w:rFonts w:ascii="Arial" w:eastAsia="Arial" w:hAnsi="Arial" w:cs="Arial"/>
          <w:color w:val="000000"/>
          <w:sz w:val="20"/>
        </w:rPr>
        <w:t xml:space="preserve">, 511 U.S. 825, 845, 114 S. Ct. 1970, 128 L. Ed. 2d 811 (1994) (quoting </w:t>
      </w:r>
      <w:bookmarkStart w:id="5089" w:name="Bookmark_I522R2KB0TVR3K0050000400"/>
      <w:bookmarkEnd w:id="5089"/>
      <w:r>
        <w:rPr>
          <w:rFonts w:ascii="Arial" w:eastAsia="Arial" w:hAnsi="Arial" w:cs="Arial"/>
          <w:i/>
          <w:color w:val="000000"/>
          <w:sz w:val="20"/>
        </w:rPr>
        <w:t>Pennsylvania v. West Virginia</w:t>
      </w:r>
      <w:r>
        <w:rPr>
          <w:rFonts w:ascii="Arial" w:eastAsia="Arial" w:hAnsi="Arial" w:cs="Arial"/>
          <w:color w:val="000000"/>
          <w:sz w:val="20"/>
        </w:rPr>
        <w:t xml:space="preserve">, 262 U.S. 553, 593, 43 S. Ct. 658, 67 L. Ed. 1117, 1 Ohio Law Abs. 627 (1923)); </w:t>
      </w:r>
      <w:r>
        <w:rPr>
          <w:rFonts w:ascii="Arial" w:eastAsia="Arial" w:hAnsi="Arial" w:cs="Arial"/>
          <w:i/>
          <w:color w:val="000000"/>
          <w:sz w:val="20"/>
        </w:rPr>
        <w:t xml:space="preserve">see also </w:t>
      </w:r>
      <w:bookmarkStart w:id="5090" w:name="Bookmark_I522R2KB0TVR3P0020000400"/>
      <w:bookmarkEnd w:id="5090"/>
      <w:r>
        <w:rPr>
          <w:rFonts w:ascii="Arial" w:eastAsia="Arial" w:hAnsi="Arial" w:cs="Arial"/>
          <w:i/>
          <w:color w:val="000000"/>
          <w:sz w:val="20"/>
        </w:rPr>
        <w:t>Lewis v. Casey</w:t>
      </w:r>
      <w:r>
        <w:rPr>
          <w:rFonts w:ascii="Arial" w:eastAsia="Arial" w:hAnsi="Arial" w:cs="Arial"/>
          <w:color w:val="000000"/>
          <w:sz w:val="20"/>
        </w:rPr>
        <w:t xml:space="preserve">, 518 U.S. 343, 349, 116 S. Ct. 2174, 135 L. Ed. 2d 606 (1996) ("It is the role of courts to  [**20] provide relief to claimants . . . who have suffered, or will imminently suffer, actual harm . . . ."). </w:t>
      </w:r>
      <w:bookmarkStart w:id="5091" w:name="Bookmark_I522R2KB0TVR3P0050000400"/>
      <w:bookmarkEnd w:id="5091"/>
      <w:r>
        <w:rPr>
          <w:rFonts w:ascii="Arial" w:eastAsia="Arial" w:hAnsi="Arial" w:cs="Arial"/>
          <w:color w:val="000000"/>
          <w:sz w:val="20"/>
        </w:rPr>
        <w:t xml:space="preserve">Rather than contending with discriminatory barriers due to his related disability when he returns to a public accommodation, a plaintiff may seek a judicial order requiring their removal. Article III, however, requires a sufficient showing of likely injury in the future related to the plaintiff's disability to ensure that injunctive relief will vindicate the rights of the particular plaintiff rather than the rights of third parties. </w:t>
      </w:r>
      <w:bookmarkStart w:id="5092" w:name="Bookmark_I522R2KB0TVR3P0050000400_2"/>
      <w:bookmarkEnd w:id="5092"/>
      <w:r>
        <w:rPr>
          <w:rFonts w:ascii="Arial" w:eastAsia="Arial" w:hAnsi="Arial" w:cs="Arial"/>
          <w:vertAlign w:val="superscript"/>
        </w:rPr>
        <w:footnoteReference w:customMarkFollows="1" w:id="244"/>
        <w:t>6</w:t>
      </w:r>
    </w:p>
    <w:p w14:paraId="4CB0801C" w14:textId="77777777" w:rsidR="00D041A2" w:rsidRDefault="00000000">
      <w:pPr>
        <w:pStyle w:val="Normal37"/>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14:paraId="2A2F9C1F" w14:textId="77777777" w:rsidR="00D041A2" w:rsidRDefault="00000000">
      <w:pPr>
        <w:pStyle w:val="Normal37"/>
        <w:widowControl w:val="0"/>
        <w:spacing w:before="200" w:line="260" w:lineRule="atLeast"/>
        <w:jc w:val="both"/>
      </w:pPr>
      <w:bookmarkStart w:id="5096" w:name="Bookmark_para_22_22"/>
      <w:bookmarkStart w:id="5097" w:name="Bookmark_LNHNREFclscc21_4"/>
      <w:bookmarkEnd w:id="5096"/>
      <w:bookmarkEnd w:id="5097"/>
      <w:r>
        <w:rPr>
          <w:rFonts w:ascii="Arial" w:eastAsia="Arial" w:hAnsi="Arial" w:cs="Arial"/>
          <w:color w:val="000000"/>
          <w:sz w:val="20"/>
        </w:rPr>
        <w:t>Demonstrating an intent to return to a noncompliant accommodation is but one way for an injured plaintiff to  [**21] establish Article III standing to pursue injunctive relief. A disabled individual also suffers a cognizable injury if he is deterred from visiting a noncompliant public accommodation because he has encountered barriers related to his disability there.</w:t>
      </w:r>
    </w:p>
    <w:p w14:paraId="7F8524F4" w14:textId="77777777" w:rsidR="00D041A2" w:rsidRDefault="00000000">
      <w:pPr>
        <w:pStyle w:val="Normal37"/>
        <w:widowControl w:val="0"/>
        <w:spacing w:before="200" w:line="260" w:lineRule="atLeast"/>
        <w:jc w:val="both"/>
      </w:pPr>
      <w:bookmarkStart w:id="5098" w:name="Bookmark_para_23_21"/>
      <w:bookmarkStart w:id="5099" w:name="Bookmark_I522R2KB0TVR3V0040000400"/>
      <w:bookmarkEnd w:id="5098"/>
      <w:bookmarkEnd w:id="5099"/>
      <w:r>
        <w:rPr>
          <w:rFonts w:ascii="Arial" w:eastAsia="Arial" w:hAnsi="Arial" w:cs="Arial"/>
          <w:color w:val="000000"/>
          <w:sz w:val="20"/>
        </w:rPr>
        <w:t xml:space="preserve">We first recognized that the "deterrent effect doctrine" may confer standing in </w:t>
      </w:r>
      <w:r>
        <w:rPr>
          <w:rFonts w:ascii="Arial" w:eastAsia="Arial" w:hAnsi="Arial" w:cs="Arial"/>
          <w:i/>
          <w:color w:val="000000"/>
          <w:sz w:val="20"/>
        </w:rPr>
        <w:t>Pickern</w:t>
      </w:r>
      <w:r>
        <w:rPr>
          <w:rFonts w:ascii="Arial" w:eastAsia="Arial" w:hAnsi="Arial" w:cs="Arial"/>
          <w:color w:val="000000"/>
          <w:sz w:val="20"/>
        </w:rPr>
        <w:t xml:space="preserve">. There, the plaintiff had encountered accessibility barriers on past visits to the Paradise market, which deterred him from returning to the market even though he preferred to shop there. </w:t>
      </w:r>
      <w:bookmarkStart w:id="5100" w:name="Bookmark_I522R2KB0TVR3Y0010000400"/>
      <w:bookmarkStart w:id="5101" w:name="Bookmark_I522R2KB0TVR3V0030000400"/>
      <w:bookmarkEnd w:id="5100"/>
      <w:bookmarkEnd w:id="5101"/>
      <w:r>
        <w:rPr>
          <w:rFonts w:ascii="Arial" w:eastAsia="Arial" w:hAnsi="Arial" w:cs="Arial"/>
          <w:i/>
          <w:color w:val="000000"/>
          <w:sz w:val="20"/>
        </w:rPr>
        <w:t>Pickern</w:t>
      </w:r>
      <w:r>
        <w:rPr>
          <w:rFonts w:ascii="Arial" w:eastAsia="Arial" w:hAnsi="Arial" w:cs="Arial"/>
          <w:color w:val="000000"/>
          <w:sz w:val="20"/>
        </w:rPr>
        <w:t xml:space="preserve">, 293  [*950]  F.3d at 1135. </w:t>
      </w:r>
      <w:bookmarkStart w:id="5102" w:name="Bookmark_I522R2KB0TVR3Y0010000400_2"/>
      <w:bookmarkEnd w:id="5102"/>
      <w:r>
        <w:rPr>
          <w:rFonts w:ascii="Arial" w:eastAsia="Arial" w:hAnsi="Arial" w:cs="Arial"/>
          <w:color w:val="000000"/>
          <w:sz w:val="20"/>
        </w:rPr>
        <w:t xml:space="preserve">Because the plaintiff's initial encounter with the barriers had occurred outside the relevant statute of limitations, the injury inflicted by that encounter did not confer standing to sue. We nevertheless concluded that the plaintiff had Article III standing because </w:t>
      </w:r>
      <w:bookmarkStart w:id="5103" w:name="Bookmark_LNHNREFclscc22_3"/>
      <w:bookmarkEnd w:id="5103"/>
      <w:r>
        <w:rPr>
          <w:rFonts w:ascii="Arial" w:eastAsia="Arial" w:hAnsi="Arial" w:cs="Arial"/>
          <w:color w:val="000000"/>
          <w:sz w:val="20"/>
        </w:rPr>
        <w:t xml:space="preserve">"a disabled individual who is currently deterred from patronizing a public accommodation due to a defendant's failure to comply with the ADA has suffered 'actual injury'" for standing purposes. </w:t>
      </w:r>
      <w:bookmarkStart w:id="5104" w:name="Bookmark_I522R2KB0TVR3V0050000400"/>
      <w:bookmarkEnd w:id="5104"/>
      <w:r>
        <w:rPr>
          <w:rFonts w:ascii="Arial" w:eastAsia="Arial" w:hAnsi="Arial" w:cs="Arial"/>
          <w:i/>
          <w:color w:val="000000"/>
          <w:sz w:val="20"/>
        </w:rPr>
        <w:t>Id</w:t>
      </w:r>
      <w:r>
        <w:rPr>
          <w:rFonts w:ascii="Arial" w:eastAsia="Arial" w:hAnsi="Arial" w:cs="Arial"/>
          <w:color w:val="000000"/>
          <w:sz w:val="20"/>
        </w:rPr>
        <w:t xml:space="preserve">. at 1138. Although the plaintiff was unlikely to return to the market while the barriers remained, given that he "would shop at the Paradise market if it were accessible," the threat  [**22] of injury was sufficiently "imminent" to permit him to sue for injunctive relief. </w:t>
      </w:r>
      <w:r>
        <w:rPr>
          <w:rFonts w:ascii="Arial" w:eastAsia="Arial" w:hAnsi="Arial" w:cs="Arial"/>
          <w:i/>
          <w:color w:val="000000"/>
          <w:sz w:val="20"/>
        </w:rPr>
        <w:t>Id</w:t>
      </w:r>
      <w:r>
        <w:rPr>
          <w:rFonts w:ascii="Arial" w:eastAsia="Arial" w:hAnsi="Arial" w:cs="Arial"/>
          <w:color w:val="000000"/>
          <w:sz w:val="20"/>
        </w:rPr>
        <w:t>.</w:t>
      </w:r>
    </w:p>
    <w:p w14:paraId="31E7A0B9" w14:textId="77777777" w:rsidR="00D041A2" w:rsidRDefault="00000000">
      <w:pPr>
        <w:pStyle w:val="Normal37"/>
        <w:widowControl w:val="0"/>
        <w:spacing w:before="200" w:line="260" w:lineRule="atLeast"/>
        <w:jc w:val="both"/>
      </w:pPr>
      <w:bookmarkStart w:id="5105" w:name="Bookmark_para_24_20"/>
      <w:bookmarkEnd w:id="5105"/>
      <w:r>
        <w:rPr>
          <w:rFonts w:ascii="Arial" w:eastAsia="Arial" w:hAnsi="Arial" w:cs="Arial"/>
          <w:color w:val="000000"/>
          <w:sz w:val="20"/>
        </w:rPr>
        <w:t xml:space="preserve">We reaffirmed the deterrent effect doctrine in </w:t>
      </w:r>
      <w:r>
        <w:rPr>
          <w:rFonts w:ascii="Arial" w:eastAsia="Arial" w:hAnsi="Arial" w:cs="Arial"/>
          <w:i/>
          <w:color w:val="000000"/>
          <w:sz w:val="20"/>
        </w:rPr>
        <w:t>Doran</w:t>
      </w:r>
      <w:r>
        <w:rPr>
          <w:rFonts w:ascii="Arial" w:eastAsia="Arial" w:hAnsi="Arial" w:cs="Arial"/>
          <w:color w:val="000000"/>
          <w:sz w:val="20"/>
        </w:rPr>
        <w:t xml:space="preserve">. </w:t>
      </w:r>
      <w:bookmarkStart w:id="5106" w:name="Bookmark_I522R2KB0TVR3Y0030000400"/>
      <w:bookmarkEnd w:id="5106"/>
      <w:r>
        <w:rPr>
          <w:rFonts w:ascii="Arial" w:eastAsia="Arial" w:hAnsi="Arial" w:cs="Arial"/>
          <w:color w:val="000000"/>
          <w:sz w:val="20"/>
        </w:rPr>
        <w:t xml:space="preserve">In </w:t>
      </w:r>
      <w:r>
        <w:rPr>
          <w:rFonts w:ascii="Arial" w:eastAsia="Arial" w:hAnsi="Arial" w:cs="Arial"/>
          <w:i/>
          <w:color w:val="000000"/>
          <w:sz w:val="20"/>
        </w:rPr>
        <w:t>Doran</w:t>
      </w:r>
      <w:r>
        <w:rPr>
          <w:rFonts w:ascii="Arial" w:eastAsia="Arial" w:hAnsi="Arial" w:cs="Arial"/>
          <w:color w:val="000000"/>
          <w:sz w:val="20"/>
        </w:rPr>
        <w:t>, the plaintiff</w:t>
      </w:r>
    </w:p>
    <w:p w14:paraId="1E0DAB42" w14:textId="77777777" w:rsidR="00D041A2" w:rsidRDefault="00000000">
      <w:pPr>
        <w:pStyle w:val="Normal37"/>
        <w:widowControl w:val="0"/>
        <w:spacing w:line="260" w:lineRule="atLeast"/>
        <w:ind w:left="400"/>
        <w:jc w:val="both"/>
      </w:pPr>
      <w:bookmarkStart w:id="5107" w:name="Bookmark_para_25_20"/>
      <w:bookmarkStart w:id="5108" w:name="Bookmark_I522R2KB0TVR3Y0030000400_2"/>
      <w:bookmarkEnd w:id="5107"/>
      <w:bookmarkEnd w:id="5108"/>
      <w:r>
        <w:rPr>
          <w:rFonts w:ascii="Arial" w:eastAsia="Arial" w:hAnsi="Arial" w:cs="Arial"/>
          <w:color w:val="000000"/>
          <w:sz w:val="20"/>
        </w:rPr>
        <w:t>alleged that he had visited the 7-Eleven store on ten to twenty prior occasions, that he is currently deterred from visiting the store because of its accessibility barriers, that the store is conveniently located near his favorite fast food restaurant in Anaheim, and that he plan[ned] to visit Anaheim at least once a year on his annual trips to Disneyland.</w:t>
      </w:r>
    </w:p>
    <w:p w14:paraId="0D6FB27C" w14:textId="77777777" w:rsidR="00D041A2" w:rsidRDefault="00000000">
      <w:pPr>
        <w:pStyle w:val="Normal37"/>
        <w:widowControl w:val="0"/>
        <w:spacing w:before="200" w:line="260" w:lineRule="atLeast"/>
        <w:jc w:val="both"/>
      </w:pPr>
      <w:bookmarkStart w:id="5109" w:name="Bookmark_I522R2KB0TVR3Y0030000400_3"/>
      <w:bookmarkStart w:id="5110" w:name="Bookmark_I522R2KB0TVR3Y0050000400"/>
      <w:bookmarkStart w:id="5111" w:name="Bookmark_I522R2KB0TVR3Y0020000400"/>
      <w:bookmarkEnd w:id="5109"/>
      <w:bookmarkEnd w:id="5110"/>
      <w:bookmarkEnd w:id="5111"/>
      <w:r>
        <w:rPr>
          <w:rFonts w:ascii="Arial" w:eastAsia="Arial" w:hAnsi="Arial" w:cs="Arial"/>
          <w:i/>
          <w:color w:val="000000"/>
          <w:sz w:val="20"/>
        </w:rPr>
        <w:t>Doran</w:t>
      </w:r>
      <w:r>
        <w:rPr>
          <w:rFonts w:ascii="Arial" w:eastAsia="Arial" w:hAnsi="Arial" w:cs="Arial"/>
          <w:color w:val="000000"/>
          <w:sz w:val="20"/>
        </w:rPr>
        <w:t xml:space="preserve">, 524 F.3d at 1040. </w:t>
      </w:r>
      <w:bookmarkStart w:id="5112" w:name="Bookmark_I522R2KB0TVR3Y0050000400_2"/>
      <w:bookmarkEnd w:id="5112"/>
      <w:r>
        <w:rPr>
          <w:rFonts w:ascii="Arial" w:eastAsia="Arial" w:hAnsi="Arial" w:cs="Arial"/>
          <w:color w:val="000000"/>
          <w:sz w:val="20"/>
        </w:rPr>
        <w:t xml:space="preserve">Because the plaintiff was deterred from visiting the store, we concluded that there was "an actual or imminent threat that, during his planned future visits to Anaheim, [he] will suffer harm as a result of the alleged barriers," and we found standing to pursue injunctive relief. </w:t>
      </w:r>
      <w:bookmarkStart w:id="5113" w:name="Bookmark_I522R2KB0TVR3Y0040000400"/>
      <w:bookmarkEnd w:id="5113"/>
      <w:r>
        <w:rPr>
          <w:rFonts w:ascii="Arial" w:eastAsia="Arial" w:hAnsi="Arial" w:cs="Arial"/>
          <w:i/>
          <w:color w:val="000000"/>
          <w:sz w:val="20"/>
        </w:rPr>
        <w:t>Id</w:t>
      </w:r>
      <w:r>
        <w:rPr>
          <w:rFonts w:ascii="Arial" w:eastAsia="Arial" w:hAnsi="Arial" w:cs="Arial"/>
          <w:color w:val="000000"/>
          <w:sz w:val="20"/>
        </w:rPr>
        <w:t>. at 1041.</w:t>
      </w:r>
    </w:p>
    <w:p w14:paraId="111EF8AC" w14:textId="77777777" w:rsidR="00D041A2" w:rsidRDefault="00000000">
      <w:pPr>
        <w:pStyle w:val="Normal37"/>
        <w:widowControl w:val="0"/>
        <w:spacing w:before="200" w:line="260" w:lineRule="atLeast"/>
        <w:jc w:val="both"/>
      </w:pPr>
      <w:bookmarkStart w:id="5114" w:name="Bookmark_para_26_19"/>
      <w:bookmarkEnd w:id="5114"/>
      <w:r>
        <w:rPr>
          <w:rFonts w:ascii="Arial" w:eastAsia="Arial" w:hAnsi="Arial" w:cs="Arial"/>
          <w:color w:val="000000"/>
          <w:sz w:val="20"/>
        </w:rPr>
        <w:t xml:space="preserve">Thus, </w:t>
      </w:r>
      <w:bookmarkStart w:id="5115" w:name="Bookmark_LNHNREFclscc23_2"/>
      <w:bookmarkEnd w:id="5115"/>
      <w:r>
        <w:rPr>
          <w:rFonts w:ascii="Arial" w:eastAsia="Arial" w:hAnsi="Arial" w:cs="Arial"/>
          <w:color w:val="000000"/>
          <w:sz w:val="20"/>
        </w:rPr>
        <w:t xml:space="preserve">an ADA plaintiff can show a likelihood of future injury when he intends to return to a noncompliant accommodation and is therefore likely to reencounter a discriminatory architectural barrier. </w:t>
      </w:r>
      <w:bookmarkStart w:id="5116" w:name="Bookmark_I522R2KC0TVR440020000400"/>
      <w:bookmarkEnd w:id="5116"/>
      <w:r>
        <w:rPr>
          <w:rFonts w:ascii="Arial" w:eastAsia="Arial" w:hAnsi="Arial" w:cs="Arial"/>
          <w:color w:val="000000"/>
          <w:sz w:val="20"/>
        </w:rPr>
        <w:t xml:space="preserve">Alternatively, a plaintiff can demonstrate sufficient injury to pursue injunctive relief when discriminatory architectural barriers deter him from returning to a noncompliant  [**23] accommodation. Just as a disabled individual who intends to return to a noncompliant facility suffers an imminent injury from the facility's "existing or imminently threatened non-compliance with the ADA," a plaintiff who is deterred from patronizing a store suffers the ongoing "actual injury" of lack of access to the store. </w:t>
      </w:r>
      <w:bookmarkStart w:id="5117" w:name="Bookmark_I7M82NTNHJ50000426D00009"/>
      <w:bookmarkStart w:id="5118" w:name="Bookmark_I522R2KC0TVR440040000400"/>
      <w:bookmarkStart w:id="5119" w:name="Bookmark_I522R2KC0TVR440010000400"/>
      <w:bookmarkEnd w:id="5117"/>
      <w:bookmarkEnd w:id="5118"/>
      <w:bookmarkEnd w:id="5119"/>
      <w:r>
        <w:rPr>
          <w:rFonts w:ascii="Arial" w:eastAsia="Arial" w:hAnsi="Arial" w:cs="Arial"/>
          <w:i/>
          <w:color w:val="000000"/>
          <w:sz w:val="20"/>
        </w:rPr>
        <w:t>Pickern</w:t>
      </w:r>
      <w:r>
        <w:rPr>
          <w:rFonts w:ascii="Arial" w:eastAsia="Arial" w:hAnsi="Arial" w:cs="Arial"/>
          <w:color w:val="000000"/>
          <w:sz w:val="20"/>
        </w:rPr>
        <w:t xml:space="preserve">, 293 F.3d at 1138. </w:t>
      </w:r>
      <w:bookmarkStart w:id="5120" w:name="Bookmark_I522R2KC0TVR440040000400_2"/>
      <w:bookmarkEnd w:id="5120"/>
      <w:r>
        <w:rPr>
          <w:rFonts w:ascii="Arial" w:eastAsia="Arial" w:hAnsi="Arial" w:cs="Arial"/>
          <w:color w:val="000000"/>
          <w:sz w:val="20"/>
        </w:rPr>
        <w:t xml:space="preserve">That is, an ADA plaintiff suffers an injury-in-fact either because discriminatory architectural barriers deter him from returning to a facility or because they "otherwise interfere with his access to" the facility. </w:t>
      </w:r>
      <w:bookmarkStart w:id="5121" w:name="Bookmark_I522R2KC0TVR440030000400"/>
      <w:bookmarkEnd w:id="5121"/>
      <w:r>
        <w:rPr>
          <w:rFonts w:ascii="Arial" w:eastAsia="Arial" w:hAnsi="Arial" w:cs="Arial"/>
          <w:i/>
          <w:color w:val="000000"/>
          <w:sz w:val="20"/>
        </w:rPr>
        <w:t>Doran</w:t>
      </w:r>
      <w:r>
        <w:rPr>
          <w:rFonts w:ascii="Arial" w:eastAsia="Arial" w:hAnsi="Arial" w:cs="Arial"/>
          <w:color w:val="000000"/>
          <w:sz w:val="20"/>
        </w:rPr>
        <w:t>, 524 F.3d at 1042 n.5. Thus, we have Article III jurisdiction to entertain requests for injunctive relief both to halt the deterrent effect of a noncompliant accommodation and to prevent imminent "discrimination," as defined by the ADA, against a disabled individual who plans to visit a noncompliant accommodation in the future.</w:t>
      </w:r>
    </w:p>
    <w:p w14:paraId="6C3685BF" w14:textId="77777777" w:rsidR="00D041A2" w:rsidRDefault="00000000">
      <w:pPr>
        <w:pStyle w:val="Normal37"/>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02B5D120" w14:textId="77777777" w:rsidR="00D041A2" w:rsidRDefault="00000000">
      <w:pPr>
        <w:pStyle w:val="Normal37"/>
        <w:widowControl w:val="0"/>
        <w:spacing w:before="200" w:line="260" w:lineRule="atLeast"/>
        <w:jc w:val="both"/>
      </w:pPr>
      <w:bookmarkStart w:id="5122" w:name="Bookmark_para_27_19"/>
      <w:bookmarkStart w:id="5123" w:name="Bookmark_I522R2KC0TVR490010000400"/>
      <w:bookmarkStart w:id="5124" w:name="Bookmark_LNHNREFclscc24_1"/>
      <w:bookmarkEnd w:id="5122"/>
      <w:bookmarkEnd w:id="5123"/>
      <w:bookmarkEnd w:id="5124"/>
      <w:r>
        <w:rPr>
          <w:rFonts w:ascii="Arial" w:eastAsia="Arial" w:hAnsi="Arial" w:cs="Arial"/>
          <w:color w:val="000000"/>
          <w:sz w:val="20"/>
        </w:rPr>
        <w:t xml:space="preserve">Once a plaintiff establishes Article III standing, there remains the question of the scope of his standing. </w:t>
      </w:r>
      <w:r>
        <w:rPr>
          <w:rFonts w:ascii="Arial" w:eastAsia="Arial" w:hAnsi="Arial" w:cs="Arial"/>
          <w:i/>
          <w:color w:val="000000"/>
          <w:sz w:val="20"/>
        </w:rPr>
        <w:t xml:space="preserve">See </w:t>
      </w:r>
      <w:bookmarkStart w:id="5125" w:name="Bookmark_I522R2KC0TVR440050000400"/>
      <w:bookmarkEnd w:id="5125"/>
      <w:r>
        <w:rPr>
          <w:rFonts w:ascii="Arial" w:eastAsia="Arial" w:hAnsi="Arial" w:cs="Arial"/>
          <w:i/>
          <w:color w:val="000000"/>
          <w:sz w:val="20"/>
        </w:rPr>
        <w:t>Doran</w:t>
      </w:r>
      <w:r>
        <w:rPr>
          <w:rFonts w:ascii="Arial" w:eastAsia="Arial" w:hAnsi="Arial" w:cs="Arial"/>
          <w:color w:val="000000"/>
          <w:sz w:val="20"/>
        </w:rPr>
        <w:t xml:space="preserve">, 524 F.3d at 1042. As we have explained, "This question requires us to consider the precise nature and scope of the injury that [Chapman] and similarly situated plaintiffs have  [**24] suffered when they encounter . . . architectural barriers violative of the ADA." </w:t>
      </w:r>
      <w:r>
        <w:rPr>
          <w:rFonts w:ascii="Arial" w:eastAsia="Arial" w:hAnsi="Arial" w:cs="Arial"/>
          <w:i/>
          <w:color w:val="000000"/>
          <w:sz w:val="20"/>
        </w:rPr>
        <w:t>Id</w:t>
      </w:r>
      <w:r>
        <w:rPr>
          <w:rFonts w:ascii="Arial" w:eastAsia="Arial" w:hAnsi="Arial" w:cs="Arial"/>
          <w:color w:val="000000"/>
          <w:sz w:val="20"/>
        </w:rPr>
        <w:t>. Because the parties dispute the legal rule governing this question, we address it here.</w:t>
      </w:r>
    </w:p>
    <w:p w14:paraId="142458EC" w14:textId="77777777" w:rsidR="00D041A2" w:rsidRDefault="00000000">
      <w:pPr>
        <w:pStyle w:val="Normal37"/>
        <w:widowControl w:val="0"/>
        <w:spacing w:before="200" w:line="260" w:lineRule="atLeast"/>
        <w:jc w:val="both"/>
      </w:pPr>
      <w:bookmarkStart w:id="5126" w:name="Bookmark_para_28_18"/>
      <w:bookmarkStart w:id="5127" w:name="Bookmark_I522R2KC0TVR490030000400"/>
      <w:bookmarkStart w:id="5128" w:name="Bookmark_I7M82NTX3D50000426D0002T"/>
      <w:bookmarkStart w:id="5129" w:name="Bookmark_I522R2KC0TVR490050000400"/>
      <w:bookmarkStart w:id="5130" w:name="Bookmark_I522R2KC0TVR4W0010000400"/>
      <w:bookmarkEnd w:id="5126"/>
      <w:bookmarkEnd w:id="5127"/>
      <w:bookmarkEnd w:id="5128"/>
      <w:bookmarkEnd w:id="5129"/>
      <w:bookmarkEnd w:id="5130"/>
      <w:r>
        <w:rPr>
          <w:rFonts w:ascii="Arial" w:eastAsia="Arial" w:hAnsi="Arial" w:cs="Arial"/>
          <w:color w:val="000000"/>
          <w:sz w:val="20"/>
        </w:rPr>
        <w:t xml:space="preserve">We have held that </w:t>
      </w:r>
      <w:bookmarkStart w:id="5131" w:name="Bookmark_LNHNREFclscc25_0"/>
      <w:bookmarkEnd w:id="5131"/>
      <w:r>
        <w:rPr>
          <w:rFonts w:ascii="Arial" w:eastAsia="Arial" w:hAnsi="Arial" w:cs="Arial"/>
          <w:color w:val="000000"/>
          <w:sz w:val="20"/>
        </w:rPr>
        <w:t xml:space="preserve">"[a]n ADA plaintiff who has Article III standing as a result of at least one barrier at a place of public accommodation may, in one suit, permissibly challenge all barriers in that public accommodation that are related to  [*951]  his or her specific disability." </w:t>
      </w:r>
      <w:bookmarkStart w:id="5132" w:name="Bookmark_I522R2KC0TVR490020000400"/>
      <w:bookmarkEnd w:id="5132"/>
      <w:r>
        <w:rPr>
          <w:rFonts w:ascii="Arial" w:eastAsia="Arial" w:hAnsi="Arial" w:cs="Arial"/>
          <w:i/>
          <w:color w:val="000000"/>
          <w:sz w:val="20"/>
        </w:rPr>
        <w:t>Id</w:t>
      </w:r>
      <w:r>
        <w:rPr>
          <w:rFonts w:ascii="Arial" w:eastAsia="Arial" w:hAnsi="Arial" w:cs="Arial"/>
          <w:color w:val="000000"/>
          <w:sz w:val="20"/>
        </w:rPr>
        <w:t xml:space="preserve">. at 1047. </w:t>
      </w:r>
      <w:bookmarkStart w:id="5133" w:name="Bookmark_I7M82NTNTJ80000426D0000C"/>
      <w:bookmarkStart w:id="5134" w:name="Bookmark_I522R2KC0TVR4H0020000400"/>
      <w:bookmarkEnd w:id="5133"/>
      <w:bookmarkEnd w:id="5134"/>
      <w:r>
        <w:rPr>
          <w:rFonts w:ascii="Arial" w:eastAsia="Arial" w:hAnsi="Arial" w:cs="Arial"/>
          <w:vertAlign w:val="superscript"/>
        </w:rPr>
        <w:footnoteReference w:customMarkFollows="1" w:id="245"/>
        <w:t>7</w:t>
      </w:r>
      <w:r>
        <w:rPr>
          <w:rFonts w:ascii="Arial" w:eastAsia="Arial" w:hAnsi="Arial" w:cs="Arial"/>
          <w:color w:val="000000"/>
          <w:sz w:val="20"/>
        </w:rPr>
        <w:t xml:space="preserve"> Under </w:t>
      </w:r>
      <w:bookmarkStart w:id="5138" w:name="Bookmark_I522R2KC0TVR490040000400"/>
      <w:bookmarkEnd w:id="5138"/>
      <w:r>
        <w:rPr>
          <w:rFonts w:ascii="Arial" w:eastAsia="Arial" w:hAnsi="Arial" w:cs="Arial"/>
          <w:i/>
          <w:color w:val="000000"/>
          <w:sz w:val="20"/>
        </w:rPr>
        <w:t>Doran</w:t>
      </w:r>
      <w:r>
        <w:rPr>
          <w:rFonts w:ascii="Arial" w:eastAsia="Arial" w:hAnsi="Arial" w:cs="Arial"/>
          <w:color w:val="000000"/>
          <w:sz w:val="20"/>
        </w:rPr>
        <w:t xml:space="preserve">, Chapman need not have personally encountered all the barriers that impede his access to the Store in order to seek an injunction to remove those barriers. </w:t>
      </w:r>
      <w:bookmarkStart w:id="5139" w:name="Bookmark_I522R2KC0TVR4H0020000400_2"/>
      <w:bookmarkStart w:id="5140" w:name="Bookmark_I522R2KC0TVR4H0040000400"/>
      <w:bookmarkEnd w:id="5139"/>
      <w:bookmarkEnd w:id="5140"/>
      <w:r>
        <w:rPr>
          <w:rFonts w:ascii="Arial" w:eastAsia="Arial" w:hAnsi="Arial" w:cs="Arial"/>
          <w:i/>
          <w:color w:val="000000"/>
          <w:sz w:val="20"/>
        </w:rPr>
        <w:t xml:space="preserve">See </w:t>
      </w:r>
      <w:bookmarkStart w:id="5141" w:name="Bookmark_I522R2KC0TVR4H0010000400"/>
      <w:bookmarkEnd w:id="5141"/>
      <w:r>
        <w:rPr>
          <w:rFonts w:ascii="Arial" w:eastAsia="Arial" w:hAnsi="Arial" w:cs="Arial"/>
          <w:i/>
          <w:color w:val="000000"/>
          <w:sz w:val="20"/>
        </w:rPr>
        <w:t>Pickern</w:t>
      </w:r>
      <w:r>
        <w:rPr>
          <w:rFonts w:ascii="Arial" w:eastAsia="Arial" w:hAnsi="Arial" w:cs="Arial"/>
          <w:color w:val="000000"/>
          <w:sz w:val="20"/>
        </w:rPr>
        <w:t xml:space="preserve">, 293 F.3d at 1138. </w:t>
      </w:r>
      <w:bookmarkStart w:id="5142" w:name="Bookmark_I522R2KC0TVR4H0040000400_2"/>
      <w:bookmarkEnd w:id="5142"/>
      <w:r>
        <w:rPr>
          <w:rFonts w:ascii="Arial" w:eastAsia="Arial" w:hAnsi="Arial" w:cs="Arial"/>
          <w:color w:val="000000"/>
          <w:sz w:val="20"/>
        </w:rPr>
        <w:t xml:space="preserve">If Chapman has standing to pursue injunctive relief as to some of the barriers that he actually encountered, then he has standing to seek an order requiring the removal of all barriers at the Store that are related to his disability and that he is likely to encounter on future visits. </w:t>
      </w:r>
      <w:bookmarkStart w:id="5143" w:name="Bookmark_I522R2KC0TVR4H0030000400"/>
      <w:bookmarkEnd w:id="5143"/>
      <w:r>
        <w:rPr>
          <w:rFonts w:ascii="Arial" w:eastAsia="Arial" w:hAnsi="Arial" w:cs="Arial"/>
          <w:i/>
          <w:color w:val="000000"/>
          <w:sz w:val="20"/>
        </w:rPr>
        <w:t>Doran</w:t>
      </w:r>
      <w:r>
        <w:rPr>
          <w:rFonts w:ascii="Arial" w:eastAsia="Arial" w:hAnsi="Arial" w:cs="Arial"/>
          <w:color w:val="000000"/>
          <w:sz w:val="20"/>
        </w:rPr>
        <w:t>, 524 F.3d at 1047.</w:t>
      </w:r>
    </w:p>
    <w:p w14:paraId="5174143A" w14:textId="77777777" w:rsidR="00D041A2" w:rsidRDefault="00000000">
      <w:pPr>
        <w:pStyle w:val="Normal37"/>
        <w:widowControl w:val="0"/>
        <w:spacing w:before="200" w:line="260" w:lineRule="atLeast"/>
        <w:jc w:val="both"/>
      </w:pPr>
      <w:bookmarkStart w:id="5144" w:name="Bookmark_para_29_17"/>
      <w:bookmarkStart w:id="5145" w:name="Bookmark_I522R2KC0TVR4W0030000400"/>
      <w:bookmarkEnd w:id="5144"/>
      <w:bookmarkEnd w:id="5145"/>
      <w:r>
        <w:rPr>
          <w:rFonts w:ascii="Arial" w:eastAsia="Arial" w:hAnsi="Arial" w:cs="Arial"/>
          <w:color w:val="000000"/>
          <w:sz w:val="20"/>
        </w:rPr>
        <w:t xml:space="preserve">The rule in </w:t>
      </w:r>
      <w:r>
        <w:rPr>
          <w:rFonts w:ascii="Arial" w:eastAsia="Arial" w:hAnsi="Arial" w:cs="Arial"/>
          <w:i/>
          <w:color w:val="000000"/>
          <w:sz w:val="20"/>
        </w:rPr>
        <w:t>Doran</w:t>
      </w:r>
      <w:r>
        <w:rPr>
          <w:rFonts w:ascii="Arial" w:eastAsia="Arial" w:hAnsi="Arial" w:cs="Arial"/>
          <w:color w:val="000000"/>
          <w:sz w:val="20"/>
        </w:rPr>
        <w:t xml:space="preserve"> is a direct application of the statute. </w:t>
      </w:r>
      <w:bookmarkStart w:id="5146" w:name="Bookmark_LNHNREFclscc27_0"/>
      <w:bookmarkEnd w:id="5146"/>
      <w:r>
        <w:rPr>
          <w:rFonts w:ascii="Arial" w:eastAsia="Arial" w:hAnsi="Arial" w:cs="Arial"/>
          <w:color w:val="000000"/>
          <w:sz w:val="20"/>
        </w:rPr>
        <w:t xml:space="preserve">The ADA's remedial scheme is not limited to orders for the removal of encountered barriers, but instead dictates that "injunctive relief shall include an order to alter facilities to make such facilities readily accessible to and usable by individuals with disabilities." 42 U.S.C. § 12188(a)(2); </w:t>
      </w:r>
      <w:r>
        <w:rPr>
          <w:rFonts w:ascii="Arial" w:eastAsia="Arial" w:hAnsi="Arial" w:cs="Arial"/>
          <w:i/>
          <w:color w:val="000000"/>
          <w:sz w:val="20"/>
        </w:rPr>
        <w:t xml:space="preserve">see also </w:t>
      </w:r>
      <w:bookmarkStart w:id="5147" w:name="Bookmark_I522R2KC0TVR4W0020000400"/>
      <w:bookmarkEnd w:id="5147"/>
      <w:r>
        <w:rPr>
          <w:rFonts w:ascii="Arial" w:eastAsia="Arial" w:hAnsi="Arial" w:cs="Arial"/>
          <w:i/>
          <w:color w:val="000000"/>
          <w:sz w:val="20"/>
        </w:rPr>
        <w:t>Doran</w:t>
      </w:r>
      <w:r>
        <w:rPr>
          <w:rFonts w:ascii="Arial" w:eastAsia="Arial" w:hAnsi="Arial" w:cs="Arial"/>
          <w:color w:val="000000"/>
          <w:sz w:val="20"/>
        </w:rPr>
        <w:t xml:space="preserve">, 524 F.3d at 1043. The ability to pursue this relief extends to "any person who is being subjected to discrimination on the basis of disability in violation of this subchapter or who has reasonable grounds for believing that such person is about to be subjected to discrimination." 42 U.S.C. § 12188(a)(1). The statute provides that "[n]othing in this section shall require a person with a disability to engage in a futile gesture if such person has actual notice that a person or organization covered by this subchapter does not intend to comply with its provisions." </w:t>
      </w:r>
      <w:r>
        <w:rPr>
          <w:rFonts w:ascii="Arial" w:eastAsia="Arial" w:hAnsi="Arial" w:cs="Arial"/>
          <w:i/>
          <w:color w:val="000000"/>
          <w:sz w:val="20"/>
        </w:rPr>
        <w:t>Id</w:t>
      </w:r>
      <w:r>
        <w:rPr>
          <w:rFonts w:ascii="Arial" w:eastAsia="Arial" w:hAnsi="Arial" w:cs="Arial"/>
          <w:color w:val="000000"/>
          <w:sz w:val="20"/>
        </w:rPr>
        <w:t>. Thus, the ADA  [**26] specifically does not require that the disabled individual personally encounter each architectural barrier as a predicate to seeking its removal.</w:t>
      </w:r>
    </w:p>
    <w:p w14:paraId="6D38D247" w14:textId="77777777" w:rsidR="00D041A2" w:rsidRDefault="00000000">
      <w:pPr>
        <w:pStyle w:val="Normal37"/>
        <w:widowControl w:val="0"/>
        <w:spacing w:before="200" w:line="260" w:lineRule="atLeast"/>
        <w:jc w:val="both"/>
      </w:pPr>
      <w:bookmarkStart w:id="5148" w:name="Bookmark_para_30_17"/>
      <w:bookmarkStart w:id="5149" w:name="Bookmark_I522R2KC0TVR4W0050000400"/>
      <w:bookmarkEnd w:id="5148"/>
      <w:bookmarkEnd w:id="5149"/>
      <w:r>
        <w:rPr>
          <w:rFonts w:ascii="Arial" w:eastAsia="Arial" w:hAnsi="Arial" w:cs="Arial"/>
          <w:color w:val="000000"/>
          <w:sz w:val="20"/>
        </w:rPr>
        <w:t xml:space="preserve">We explained in </w:t>
      </w:r>
      <w:r>
        <w:rPr>
          <w:rFonts w:ascii="Arial" w:eastAsia="Arial" w:hAnsi="Arial" w:cs="Arial"/>
          <w:i/>
          <w:color w:val="000000"/>
          <w:sz w:val="20"/>
        </w:rPr>
        <w:t>Doran</w:t>
      </w:r>
      <w:r>
        <w:rPr>
          <w:rFonts w:ascii="Arial" w:eastAsia="Arial" w:hAnsi="Arial" w:cs="Arial"/>
          <w:color w:val="000000"/>
          <w:sz w:val="20"/>
        </w:rPr>
        <w:t xml:space="preserve"> that our holding was "fully consistent with the Supreme Court's Article III standing discourse." </w:t>
      </w:r>
      <w:bookmarkStart w:id="5150" w:name="Bookmark_I522R2KC0TVR4W0040000400"/>
      <w:bookmarkEnd w:id="5150"/>
      <w:r>
        <w:rPr>
          <w:rFonts w:ascii="Arial" w:eastAsia="Arial" w:hAnsi="Arial" w:cs="Arial"/>
          <w:i/>
          <w:color w:val="000000"/>
          <w:sz w:val="20"/>
        </w:rPr>
        <w:t>Doran</w:t>
      </w:r>
      <w:r>
        <w:rPr>
          <w:rFonts w:ascii="Arial" w:eastAsia="Arial" w:hAnsi="Arial" w:cs="Arial"/>
          <w:color w:val="000000"/>
          <w:sz w:val="20"/>
        </w:rPr>
        <w:t xml:space="preserve">, 524 F.3d at 1044. Indeed, our analysis simply applied the standing framework established in </w:t>
      </w:r>
      <w:r>
        <w:rPr>
          <w:rFonts w:ascii="Arial" w:eastAsia="Arial" w:hAnsi="Arial" w:cs="Arial"/>
          <w:i/>
          <w:color w:val="000000"/>
          <w:sz w:val="20"/>
        </w:rPr>
        <w:t>Lujan</w:t>
      </w:r>
      <w:r>
        <w:rPr>
          <w:rFonts w:ascii="Arial" w:eastAsia="Arial" w:hAnsi="Arial" w:cs="Arial"/>
          <w:color w:val="000000"/>
          <w:sz w:val="20"/>
        </w:rPr>
        <w:t xml:space="preserve">. </w:t>
      </w:r>
      <w:bookmarkStart w:id="5151" w:name="Bookmark_I522R2KD0TVR580020000400"/>
      <w:bookmarkEnd w:id="5151"/>
      <w:r>
        <w:rPr>
          <w:rFonts w:ascii="Arial" w:eastAsia="Arial" w:hAnsi="Arial" w:cs="Arial"/>
          <w:color w:val="000000"/>
          <w:sz w:val="20"/>
        </w:rPr>
        <w:t xml:space="preserve">In </w:t>
      </w:r>
      <w:r>
        <w:rPr>
          <w:rFonts w:ascii="Arial" w:eastAsia="Arial" w:hAnsi="Arial" w:cs="Arial"/>
          <w:i/>
          <w:color w:val="000000"/>
          <w:sz w:val="20"/>
        </w:rPr>
        <w:t>Lujan</w:t>
      </w:r>
      <w:r>
        <w:rPr>
          <w:rFonts w:ascii="Arial" w:eastAsia="Arial" w:hAnsi="Arial" w:cs="Arial"/>
          <w:color w:val="000000"/>
          <w:sz w:val="20"/>
        </w:rPr>
        <w:t xml:space="preserve">, there was no dispute that the plaintiffs had not suffered a past injury from the administrative rule they challenged. </w:t>
      </w:r>
      <w:bookmarkStart w:id="5152" w:name="Bookmark_I522R2KD0TVR580020000400_2"/>
      <w:bookmarkEnd w:id="5152"/>
      <w:r>
        <w:rPr>
          <w:rFonts w:ascii="Arial" w:eastAsia="Arial" w:hAnsi="Arial" w:cs="Arial"/>
          <w:color w:val="000000"/>
          <w:sz w:val="20"/>
        </w:rPr>
        <w:t xml:space="preserve">The Court concluded the plaintiffs lacked Article III standing only because the threat of future harm was too remote to constitute an imminent injury. </w:t>
      </w:r>
      <w:bookmarkStart w:id="5153" w:name="Bookmark_I522R2KD0TVR580040000400"/>
      <w:bookmarkStart w:id="5154" w:name="Bookmark_I522R2KD0TVR580010000400"/>
      <w:bookmarkEnd w:id="5153"/>
      <w:bookmarkEnd w:id="5154"/>
      <w:r>
        <w:rPr>
          <w:rFonts w:ascii="Arial" w:eastAsia="Arial" w:hAnsi="Arial" w:cs="Arial"/>
          <w:i/>
          <w:color w:val="000000"/>
          <w:sz w:val="20"/>
        </w:rPr>
        <w:t>Lujan</w:t>
      </w:r>
      <w:r>
        <w:rPr>
          <w:rFonts w:ascii="Arial" w:eastAsia="Arial" w:hAnsi="Arial" w:cs="Arial"/>
          <w:color w:val="000000"/>
          <w:sz w:val="20"/>
        </w:rPr>
        <w:t xml:space="preserve">, 504 U.S. at 564. </w:t>
      </w:r>
      <w:bookmarkStart w:id="5155" w:name="Bookmark_I522R2KD0TVR580040000400_2"/>
      <w:bookmarkEnd w:id="5155"/>
      <w:r>
        <w:rPr>
          <w:rFonts w:ascii="Arial" w:eastAsia="Arial" w:hAnsi="Arial" w:cs="Arial"/>
          <w:color w:val="000000"/>
          <w:sz w:val="20"/>
        </w:rPr>
        <w:t xml:space="preserve">Had the prospect of future injury been more concrete, the absence of a past injury resulting from the rule's application would not have precluded Article III standing. </w:t>
      </w:r>
      <w:bookmarkStart w:id="5156" w:name="Bookmark_I522R2KD0TVR580030000400"/>
      <w:bookmarkEnd w:id="5156"/>
      <w:r>
        <w:rPr>
          <w:rFonts w:ascii="Arial" w:eastAsia="Arial" w:hAnsi="Arial" w:cs="Arial"/>
          <w:i/>
          <w:color w:val="000000"/>
          <w:sz w:val="20"/>
        </w:rPr>
        <w:t>Id</w:t>
      </w:r>
      <w:r>
        <w:rPr>
          <w:rFonts w:ascii="Arial" w:eastAsia="Arial" w:hAnsi="Arial" w:cs="Arial"/>
          <w:color w:val="000000"/>
          <w:sz w:val="20"/>
        </w:rPr>
        <w:t xml:space="preserve">. at 564 n.2; </w:t>
      </w:r>
      <w:r>
        <w:rPr>
          <w:rFonts w:ascii="Arial" w:eastAsia="Arial" w:hAnsi="Arial" w:cs="Arial"/>
          <w:i/>
          <w:color w:val="000000"/>
          <w:sz w:val="20"/>
        </w:rPr>
        <w:t xml:space="preserve">see also </w:t>
      </w:r>
      <w:bookmarkStart w:id="5157" w:name="Bookmark_I522R2KD0TVR580050000400"/>
      <w:bookmarkEnd w:id="5157"/>
      <w:r>
        <w:rPr>
          <w:rFonts w:ascii="Arial" w:eastAsia="Arial" w:hAnsi="Arial" w:cs="Arial"/>
          <w:i/>
          <w:color w:val="000000"/>
          <w:sz w:val="20"/>
        </w:rPr>
        <w:t>Pickern</w:t>
      </w:r>
      <w:r>
        <w:rPr>
          <w:rFonts w:ascii="Arial" w:eastAsia="Arial" w:hAnsi="Arial" w:cs="Arial"/>
          <w:color w:val="000000"/>
          <w:sz w:val="20"/>
        </w:rPr>
        <w:t>, 293 F.3d at 1138 ("[A] plaintiff who is threatened with harm in the future because of existing or imminently threatened noncompliance with the ADA suffers 'imminent injury.'").</w:t>
      </w:r>
    </w:p>
    <w:p w14:paraId="37E7EC7F" w14:textId="77777777" w:rsidR="00D041A2" w:rsidRDefault="00000000">
      <w:pPr>
        <w:pStyle w:val="Normal37"/>
        <w:widowControl w:val="0"/>
        <w:spacing w:before="200" w:line="260" w:lineRule="atLeast"/>
        <w:jc w:val="both"/>
      </w:pPr>
      <w:bookmarkStart w:id="5158" w:name="Bookmark_para_31_16"/>
      <w:bookmarkStart w:id="5159" w:name="Bookmark_I522R2KF0TVR5Y0030000400"/>
      <w:bookmarkStart w:id="5160" w:name="Bookmark_I522R2KF0TVR5Y0050000400"/>
      <w:bookmarkStart w:id="5161" w:name="Bookmark_LNHNREFclscc28_0"/>
      <w:bookmarkEnd w:id="5158"/>
      <w:bookmarkEnd w:id="5159"/>
      <w:bookmarkEnd w:id="5160"/>
      <w:bookmarkEnd w:id="5161"/>
      <w:r>
        <w:rPr>
          <w:rFonts w:ascii="Arial" w:eastAsia="Arial" w:hAnsi="Arial" w:cs="Arial"/>
          <w:color w:val="000000"/>
          <w:sz w:val="20"/>
        </w:rPr>
        <w:t xml:space="preserve">An ADA challenge to unencountered barriers does not implicate the prohibition on generalized grievances, or violate prudential standing principles, by  [**27] raising the rights of third parties rather than the rights of the individual plaintiff. </w:t>
      </w:r>
      <w:bookmarkStart w:id="5162" w:name="Bookmark_I522R2KF0TVR6F0020000400"/>
      <w:bookmarkEnd w:id="5162"/>
      <w:r>
        <w:rPr>
          <w:rFonts w:ascii="Arial" w:eastAsia="Arial" w:hAnsi="Arial" w:cs="Arial"/>
          <w:color w:val="000000"/>
          <w:sz w:val="20"/>
        </w:rPr>
        <w:t xml:space="preserve">We stated in </w:t>
      </w:r>
      <w:r>
        <w:rPr>
          <w:rFonts w:ascii="Arial" w:eastAsia="Arial" w:hAnsi="Arial" w:cs="Arial"/>
          <w:i/>
          <w:color w:val="000000"/>
          <w:sz w:val="20"/>
        </w:rPr>
        <w:t>Doran</w:t>
      </w:r>
      <w:r>
        <w:rPr>
          <w:rFonts w:ascii="Arial" w:eastAsia="Arial" w:hAnsi="Arial" w:cs="Arial"/>
          <w:color w:val="000000"/>
          <w:sz w:val="20"/>
        </w:rPr>
        <w:t xml:space="preserve"> that "[e]ven if a disabled plaintiff did not know about certain barriers when the plaintiff first filed suit, that plaintiff will have a 'personal stake in the outcome of the controversy' so long as his or her suit is limited to barriers related to that person's particular disability." </w:t>
      </w:r>
      <w:bookmarkStart w:id="5163" w:name="Bookmark_I522R2KF0TVR5Y0020000400"/>
      <w:bookmarkEnd w:id="5163"/>
      <w:r>
        <w:rPr>
          <w:rFonts w:ascii="Arial" w:eastAsia="Arial" w:hAnsi="Arial" w:cs="Arial"/>
          <w:i/>
          <w:color w:val="000000"/>
          <w:sz w:val="20"/>
        </w:rPr>
        <w:t>Doran</w:t>
      </w:r>
      <w:r>
        <w:rPr>
          <w:rFonts w:ascii="Arial" w:eastAsia="Arial" w:hAnsi="Arial" w:cs="Arial"/>
          <w:color w:val="000000"/>
          <w:sz w:val="20"/>
        </w:rPr>
        <w:t xml:space="preserve">, 524 F.3d at 1044. </w:t>
      </w:r>
      <w:bookmarkStart w:id="5164" w:name="Bookmark_I522R2KF0TVR6F0040000400"/>
      <w:bookmarkEnd w:id="5164"/>
      <w:r>
        <w:rPr>
          <w:rFonts w:ascii="Arial" w:eastAsia="Arial" w:hAnsi="Arial" w:cs="Arial"/>
          <w:color w:val="000000"/>
          <w:sz w:val="20"/>
        </w:rPr>
        <w:t xml:space="preserve">We recognized that "it is ultimately misleading to conceptualize each separate architectural barrier inhibiting  [*952]  a disabled person's access to a public accommodation as a separate injury that must satisfy the requirements of Article III." </w:t>
      </w:r>
      <w:bookmarkStart w:id="5165" w:name="Bookmark_I522R2KF0TVR5Y0040000400"/>
      <w:bookmarkEnd w:id="5165"/>
      <w:r>
        <w:rPr>
          <w:rFonts w:ascii="Arial" w:eastAsia="Arial" w:hAnsi="Arial" w:cs="Arial"/>
          <w:i/>
          <w:color w:val="000000"/>
          <w:sz w:val="20"/>
        </w:rPr>
        <w:t>Id</w:t>
      </w:r>
      <w:r>
        <w:rPr>
          <w:rFonts w:ascii="Arial" w:eastAsia="Arial" w:hAnsi="Arial" w:cs="Arial"/>
          <w:color w:val="000000"/>
          <w:sz w:val="20"/>
        </w:rPr>
        <w:t xml:space="preserve">. at 1042. </w:t>
      </w:r>
      <w:bookmarkStart w:id="5166" w:name="Bookmark_I522R2KF0TVR6F0040000400_2"/>
      <w:bookmarkStart w:id="5167" w:name="Bookmark_I522R2KF0TVR6F0020000400_2"/>
      <w:bookmarkStart w:id="5168" w:name="Bookmark_I522R2KG0TVR6Y0010000400"/>
      <w:bookmarkEnd w:id="5166"/>
      <w:bookmarkEnd w:id="5167"/>
      <w:bookmarkEnd w:id="5168"/>
      <w:r>
        <w:rPr>
          <w:rFonts w:ascii="Arial" w:eastAsia="Arial" w:hAnsi="Arial" w:cs="Arial"/>
          <w:color w:val="000000"/>
          <w:sz w:val="20"/>
        </w:rPr>
        <w:t xml:space="preserve">Rather, the injury suffered by disabled plaintiffs is the "discrimination" under the ADA that results from an accommodation's "failure to remove architectural barriers." </w:t>
      </w:r>
      <w:bookmarkStart w:id="5169" w:name="Bookmark_I522R2KF0TVR6F0010000400"/>
      <w:bookmarkEnd w:id="5169"/>
      <w:r>
        <w:rPr>
          <w:rFonts w:ascii="Arial" w:eastAsia="Arial" w:hAnsi="Arial" w:cs="Arial"/>
          <w:i/>
          <w:color w:val="000000"/>
          <w:sz w:val="20"/>
        </w:rPr>
        <w:t>Id</w:t>
      </w:r>
      <w:r>
        <w:rPr>
          <w:rFonts w:ascii="Arial" w:eastAsia="Arial" w:hAnsi="Arial" w:cs="Arial"/>
          <w:color w:val="000000"/>
          <w:sz w:val="20"/>
        </w:rPr>
        <w:t xml:space="preserve">. at 1043 (quoting 42 U.S.C. § 12182(b)(2)(A)(iv)). </w:t>
      </w:r>
      <w:bookmarkStart w:id="5170" w:name="Bookmark_I522R2KG0TVR6Y0010000400_2"/>
      <w:bookmarkEnd w:id="5170"/>
      <w:r>
        <w:rPr>
          <w:rFonts w:ascii="Arial" w:eastAsia="Arial" w:hAnsi="Arial" w:cs="Arial"/>
          <w:color w:val="000000"/>
          <w:sz w:val="20"/>
        </w:rPr>
        <w:t xml:space="preserve">In </w:t>
      </w:r>
      <w:r>
        <w:rPr>
          <w:rFonts w:ascii="Arial" w:eastAsia="Arial" w:hAnsi="Arial" w:cs="Arial"/>
          <w:i/>
          <w:color w:val="000000"/>
          <w:sz w:val="20"/>
        </w:rPr>
        <w:t>Doran</w:t>
      </w:r>
      <w:r>
        <w:rPr>
          <w:rFonts w:ascii="Arial" w:eastAsia="Arial" w:hAnsi="Arial" w:cs="Arial"/>
          <w:color w:val="000000"/>
          <w:sz w:val="20"/>
        </w:rPr>
        <w:t xml:space="preserve">, this injury was suffered "the first time [the plaintiff] encountered architectural barriers," and it continued even after some of the barriers were corrected because "others remained in place that would have interfered with his access as a wheelchair user." </w:t>
      </w:r>
      <w:bookmarkStart w:id="5171" w:name="Bookmark_I522R2KF0TVR6F0030000400"/>
      <w:bookmarkEnd w:id="5171"/>
      <w:r>
        <w:rPr>
          <w:rFonts w:ascii="Arial" w:eastAsia="Arial" w:hAnsi="Arial" w:cs="Arial"/>
          <w:i/>
          <w:color w:val="000000"/>
          <w:sz w:val="20"/>
        </w:rPr>
        <w:t>Id</w:t>
      </w:r>
      <w:r>
        <w:rPr>
          <w:rFonts w:ascii="Arial" w:eastAsia="Arial" w:hAnsi="Arial" w:cs="Arial"/>
          <w:color w:val="000000"/>
          <w:sz w:val="20"/>
        </w:rPr>
        <w:t xml:space="preserve">. at 1042-43. </w:t>
      </w:r>
      <w:bookmarkStart w:id="5172" w:name="Bookmark_I522R2KG0TVR6Y0010000400_3"/>
      <w:bookmarkEnd w:id="5172"/>
      <w:r>
        <w:rPr>
          <w:rFonts w:ascii="Arial" w:eastAsia="Arial" w:hAnsi="Arial" w:cs="Arial"/>
          <w:color w:val="000000"/>
          <w:sz w:val="20"/>
        </w:rPr>
        <w:t xml:space="preserve">We held that "a constricted  [**28] reading of the ADA," such as requiring an encounter with each alleged barrier, "could render the benefits [the ADA] promises largely illusory." </w:t>
      </w:r>
      <w:bookmarkStart w:id="5173" w:name="Bookmark_I522R2KF0TVR6F0050000400"/>
      <w:bookmarkEnd w:id="5173"/>
      <w:r>
        <w:rPr>
          <w:rFonts w:ascii="Arial" w:eastAsia="Arial" w:hAnsi="Arial" w:cs="Arial"/>
          <w:i/>
          <w:color w:val="000000"/>
          <w:sz w:val="20"/>
        </w:rPr>
        <w:t>Id</w:t>
      </w:r>
      <w:r>
        <w:rPr>
          <w:rFonts w:ascii="Arial" w:eastAsia="Arial" w:hAnsi="Arial" w:cs="Arial"/>
          <w:color w:val="000000"/>
          <w:sz w:val="20"/>
        </w:rPr>
        <w:t>. at 1047.</w:t>
      </w:r>
    </w:p>
    <w:p w14:paraId="5768A3F8" w14:textId="77777777" w:rsidR="00D041A2" w:rsidRDefault="00000000">
      <w:pPr>
        <w:pStyle w:val="Normal37"/>
        <w:widowControl w:val="0"/>
        <w:spacing w:before="200" w:line="260" w:lineRule="atLeast"/>
        <w:jc w:val="both"/>
      </w:pPr>
      <w:bookmarkStart w:id="5174" w:name="Bookmark_para_32_16"/>
      <w:bookmarkStart w:id="5175" w:name="Bookmark_I522R2KG0TVR6Y0030000400"/>
      <w:bookmarkEnd w:id="5174"/>
      <w:bookmarkEnd w:id="5175"/>
      <w:r>
        <w:rPr>
          <w:rFonts w:ascii="Arial" w:eastAsia="Arial" w:hAnsi="Arial" w:cs="Arial"/>
          <w:color w:val="000000"/>
          <w:sz w:val="20"/>
        </w:rPr>
        <w:t xml:space="preserve">Moreover, "a rule limiting a plaintiff to challenging the barriers he or she had encountered . . . would burden businesses and other places of public accommodation with more ADA litigation, encourage piecemeal compliance with the ADA, and ultimately thwart the ADA's remedial goals of eliminating widespread discrimination against the disabled and integrating the disabled into the mainstream of American life." </w:t>
      </w:r>
      <w:r>
        <w:rPr>
          <w:rFonts w:ascii="Arial" w:eastAsia="Arial" w:hAnsi="Arial" w:cs="Arial"/>
          <w:i/>
          <w:color w:val="000000"/>
          <w:sz w:val="20"/>
        </w:rPr>
        <w:t>Id</w:t>
      </w:r>
      <w:r>
        <w:rPr>
          <w:rFonts w:ascii="Arial" w:eastAsia="Arial" w:hAnsi="Arial" w:cs="Arial"/>
          <w:color w:val="000000"/>
          <w:sz w:val="20"/>
        </w:rPr>
        <w:t xml:space="preserve">. </w:t>
      </w:r>
      <w:bookmarkStart w:id="5176" w:name="Bookmark_LNHNREFclscc29_0"/>
      <w:bookmarkEnd w:id="5176"/>
      <w:r>
        <w:rPr>
          <w:rFonts w:ascii="Arial" w:eastAsia="Arial" w:hAnsi="Arial" w:cs="Arial"/>
          <w:color w:val="000000"/>
          <w:sz w:val="20"/>
        </w:rPr>
        <w:t xml:space="preserve">Noting the "broad view" of standing that applies in the context of remedial civil rights legislation, as well as the scope of injunctive relief provided by the ADA, </w:t>
      </w:r>
      <w:bookmarkStart w:id="5177" w:name="Bookmark_I522R2KG0TVR6Y0020000400"/>
      <w:bookmarkEnd w:id="5177"/>
      <w:r>
        <w:rPr>
          <w:rFonts w:ascii="Arial" w:eastAsia="Arial" w:hAnsi="Arial" w:cs="Arial"/>
          <w:i/>
          <w:color w:val="000000"/>
          <w:sz w:val="20"/>
        </w:rPr>
        <w:t>id</w:t>
      </w:r>
      <w:r>
        <w:rPr>
          <w:rFonts w:ascii="Arial" w:eastAsia="Arial" w:hAnsi="Arial" w:cs="Arial"/>
          <w:color w:val="000000"/>
          <w:sz w:val="20"/>
        </w:rPr>
        <w:t xml:space="preserve">. at 1043-44, we held that an ADA plaintiff who has standing to sue because he has been discriminated against in one aspect of a public accommodation may, in one lawsuit, obtain an injunction to prevent impending discrimination throughout the accommodation, </w:t>
      </w:r>
      <w:bookmarkStart w:id="5178" w:name="Bookmark_I522R2KG0TVR6Y0040000400"/>
      <w:bookmarkEnd w:id="5178"/>
      <w:r>
        <w:rPr>
          <w:rFonts w:ascii="Arial" w:eastAsia="Arial" w:hAnsi="Arial" w:cs="Arial"/>
          <w:i/>
          <w:color w:val="000000"/>
          <w:sz w:val="20"/>
        </w:rPr>
        <w:t>id</w:t>
      </w:r>
      <w:r>
        <w:rPr>
          <w:rFonts w:ascii="Arial" w:eastAsia="Arial" w:hAnsi="Arial" w:cs="Arial"/>
          <w:color w:val="000000"/>
          <w:sz w:val="20"/>
        </w:rPr>
        <w:t>. at 1047.</w:t>
      </w:r>
    </w:p>
    <w:p w14:paraId="64674725" w14:textId="77777777" w:rsidR="00D041A2" w:rsidRDefault="00000000">
      <w:pPr>
        <w:pStyle w:val="Normal37"/>
        <w:widowControl w:val="0"/>
        <w:spacing w:before="200" w:line="260" w:lineRule="atLeast"/>
        <w:jc w:val="both"/>
      </w:pPr>
      <w:bookmarkStart w:id="5179" w:name="Bookmark_para_33_16"/>
      <w:bookmarkEnd w:id="5179"/>
      <w:r>
        <w:rPr>
          <w:rFonts w:ascii="Arial" w:eastAsia="Arial" w:hAnsi="Arial" w:cs="Arial"/>
          <w:color w:val="000000"/>
          <w:sz w:val="20"/>
        </w:rPr>
        <w:t xml:space="preserve">The Store asks us to overturn our precedent on this point, arguing that each architectural barrier in a public accommodation be treated as a separate injury in the standing inquiry. We decline  [**29] to do so. The Store's conception of a cognizable "injury" under the ADA mistakes the statute's forest for its trees by focusing on individual barriers instead of access to places of public accommodation. </w:t>
      </w:r>
      <w:bookmarkStart w:id="5180" w:name="Bookmark_LNHNREFclscc30_0"/>
      <w:bookmarkEnd w:id="5180"/>
      <w:r>
        <w:rPr>
          <w:rFonts w:ascii="Arial" w:eastAsia="Arial" w:hAnsi="Arial" w:cs="Arial"/>
          <w:color w:val="000000"/>
          <w:sz w:val="20"/>
        </w:rPr>
        <w:t>An ADA plaintiff suffers a legally cognizable injury under the ADA if he is "discriminated against on the basis of disability in the full and equal enjoyment of the goods, services, [or] facilities . . . of any place of public accommodation." 42 U.S.C. § 12182(a). This experience of discrimination confers standing to seek the remedy provided by the ADA — an injunction to correct the other, albeit unencountered, barriers that will subject a wheelchair-bound individual like Chapman to future discrimination, provided that the threat of such discrimination is real and immediate.</w:t>
      </w:r>
    </w:p>
    <w:p w14:paraId="69213F6A" w14:textId="77777777" w:rsidR="00D041A2" w:rsidRDefault="00000000">
      <w:pPr>
        <w:pStyle w:val="Normal37"/>
        <w:widowControl w:val="0"/>
        <w:spacing w:before="200" w:line="260" w:lineRule="atLeast"/>
        <w:jc w:val="both"/>
      </w:pPr>
      <w:bookmarkStart w:id="5181" w:name="Bookmark_para_34_16"/>
      <w:bookmarkStart w:id="5182" w:name="Bookmark_I522R2KG0TVR7F0020000400"/>
      <w:bookmarkEnd w:id="5181"/>
      <w:bookmarkEnd w:id="5182"/>
      <w:r>
        <w:rPr>
          <w:rFonts w:ascii="Arial" w:eastAsia="Arial" w:hAnsi="Arial" w:cs="Arial"/>
          <w:color w:val="000000"/>
          <w:sz w:val="20"/>
        </w:rPr>
        <w:t xml:space="preserve">The only other circuit to have considered the question agrees with our conclusion that </w:t>
      </w:r>
      <w:bookmarkStart w:id="5183" w:name="Bookmark_LNHNREFclscc31_0"/>
      <w:bookmarkEnd w:id="5183"/>
      <w:r>
        <w:rPr>
          <w:rFonts w:ascii="Arial" w:eastAsia="Arial" w:hAnsi="Arial" w:cs="Arial"/>
          <w:color w:val="000000"/>
          <w:sz w:val="20"/>
        </w:rPr>
        <w:t xml:space="preserve">an ADA plaintiff may, in one lawsuit, pursue an injunction to remove all accessibility barriers related to his disability that he is likely to encounter at a place of public accommodation to which he intends to return. </w:t>
      </w:r>
      <w:bookmarkStart w:id="5184" w:name="Bookmark_I522R2KG0TVR7F0040000400"/>
      <w:bookmarkEnd w:id="5184"/>
      <w:r>
        <w:rPr>
          <w:rFonts w:ascii="Arial" w:eastAsia="Arial" w:hAnsi="Arial" w:cs="Arial"/>
          <w:i/>
          <w:color w:val="000000"/>
          <w:sz w:val="20"/>
        </w:rPr>
        <w:t xml:space="preserve">See </w:t>
      </w:r>
      <w:bookmarkStart w:id="5185" w:name="Bookmark_I522R2KG0TVR7F0010000400"/>
      <w:bookmarkEnd w:id="5185"/>
      <w:r>
        <w:rPr>
          <w:rFonts w:ascii="Arial" w:eastAsia="Arial" w:hAnsi="Arial" w:cs="Arial"/>
          <w:i/>
          <w:color w:val="000000"/>
          <w:sz w:val="20"/>
        </w:rPr>
        <w:t>Steger</w:t>
      </w:r>
      <w:r>
        <w:rPr>
          <w:rFonts w:ascii="Arial" w:eastAsia="Arial" w:hAnsi="Arial" w:cs="Arial"/>
          <w:color w:val="000000"/>
          <w:sz w:val="20"/>
        </w:rPr>
        <w:t xml:space="preserve">, 228 F.3d at 894. In </w:t>
      </w:r>
      <w:r>
        <w:rPr>
          <w:rFonts w:ascii="Arial" w:eastAsia="Arial" w:hAnsi="Arial" w:cs="Arial"/>
          <w:i/>
          <w:color w:val="000000"/>
          <w:sz w:val="20"/>
        </w:rPr>
        <w:t>Steger</w:t>
      </w:r>
      <w:r>
        <w:rPr>
          <w:rFonts w:ascii="Arial" w:eastAsia="Arial" w:hAnsi="Arial" w:cs="Arial"/>
          <w:color w:val="000000"/>
          <w:sz w:val="20"/>
        </w:rPr>
        <w:t xml:space="preserve">, a blind individual was unable to locate the men's restroom on the first  [**30] floor of an office building because it lacked signage with raised lettering. </w:t>
      </w:r>
      <w:bookmarkStart w:id="5186" w:name="Bookmark_I522R2KG0TVR7F0040000400_2"/>
      <w:bookmarkStart w:id="5187" w:name="Bookmark_I522R2KH0TVR800010000400"/>
      <w:bookmarkStart w:id="5188" w:name="Bookmark_I522R2KG0TVR7F0030000400"/>
      <w:bookmarkEnd w:id="5186"/>
      <w:bookmarkEnd w:id="5187"/>
      <w:bookmarkEnd w:id="5188"/>
      <w:r>
        <w:rPr>
          <w:rFonts w:ascii="Arial" w:eastAsia="Arial" w:hAnsi="Arial" w:cs="Arial"/>
          <w:i/>
          <w:color w:val="000000"/>
          <w:sz w:val="20"/>
        </w:rPr>
        <w:t>Id</w:t>
      </w:r>
      <w:r>
        <w:rPr>
          <w:rFonts w:ascii="Arial" w:eastAsia="Arial" w:hAnsi="Arial" w:cs="Arial"/>
          <w:color w:val="000000"/>
          <w:sz w:val="20"/>
        </w:rPr>
        <w:t xml:space="preserve">. at 891-92. </w:t>
      </w:r>
      <w:bookmarkStart w:id="5189" w:name="Bookmark_I522R2KH0TVR800010000400_2"/>
      <w:bookmarkEnd w:id="5189"/>
      <w:r>
        <w:rPr>
          <w:rFonts w:ascii="Arial" w:eastAsia="Arial" w:hAnsi="Arial" w:cs="Arial"/>
          <w:color w:val="000000"/>
          <w:sz w:val="20"/>
        </w:rPr>
        <w:t xml:space="preserve">The plaintiff sought an injunction to address barriers related to his disability that existed throughout the building, including not only the inadequate signage for the men's restroom on the first floor, but also for unencountered barriers, including an elevator that lacked audible signals and numerous other doors that lacked raised-letter signs. </w:t>
      </w:r>
      <w:bookmarkStart w:id="5190" w:name="Bookmark_I522R2KH0TVR800030000400"/>
      <w:bookmarkStart w:id="5191" w:name="Bookmark_I522R2KG0TVR7F0050000400"/>
      <w:bookmarkEnd w:id="5190"/>
      <w:bookmarkEnd w:id="5191"/>
      <w:r>
        <w:rPr>
          <w:rFonts w:ascii="Arial" w:eastAsia="Arial" w:hAnsi="Arial" w:cs="Arial"/>
          <w:i/>
          <w:color w:val="000000"/>
          <w:sz w:val="20"/>
        </w:rPr>
        <w:t>Id</w:t>
      </w:r>
      <w:r>
        <w:rPr>
          <w:rFonts w:ascii="Arial" w:eastAsia="Arial" w:hAnsi="Arial" w:cs="Arial"/>
          <w:color w:val="000000"/>
          <w:sz w:val="20"/>
        </w:rPr>
        <w:t xml:space="preserve">. at 893. </w:t>
      </w:r>
      <w:bookmarkStart w:id="5192" w:name="Bookmark_I522R2KH0TVR800030000400_2"/>
      <w:bookmarkEnd w:id="5192"/>
      <w:r>
        <w:rPr>
          <w:rFonts w:ascii="Arial" w:eastAsia="Arial" w:hAnsi="Arial" w:cs="Arial"/>
          <w:color w:val="000000"/>
          <w:sz w:val="20"/>
        </w:rPr>
        <w:t xml:space="preserve">The building's owner argued that the plaintiff's injury was limited to the first floor restroom and he lacked standing as to any other barriers. </w:t>
      </w:r>
      <w:bookmarkStart w:id="5193" w:name="Bookmark_I7M82NTX5HM0000426D0002V"/>
      <w:bookmarkStart w:id="5194" w:name="Bookmark_I522R2KH0TVR800050000400"/>
      <w:bookmarkEnd w:id="5193"/>
      <w:bookmarkEnd w:id="5194"/>
      <w:r>
        <w:rPr>
          <w:rFonts w:ascii="Arial" w:eastAsia="Arial" w:hAnsi="Arial" w:cs="Arial"/>
          <w:color w:val="000000"/>
          <w:sz w:val="20"/>
        </w:rPr>
        <w:t xml:space="preserve">The Eighth Circuit rejected the defendant's narrow construction of the plaintiff's injury, concluding  [*953]  that the plaintiff "need not encounter all of these barriers to obtain effective relief." </w:t>
      </w:r>
      <w:bookmarkStart w:id="5195" w:name="Bookmark_I522R2KH0TVR800020000400"/>
      <w:bookmarkEnd w:id="5195"/>
      <w:r>
        <w:rPr>
          <w:rFonts w:ascii="Arial" w:eastAsia="Arial" w:hAnsi="Arial" w:cs="Arial"/>
          <w:i/>
          <w:color w:val="000000"/>
          <w:sz w:val="20"/>
        </w:rPr>
        <w:t>Id</w:t>
      </w:r>
      <w:r>
        <w:rPr>
          <w:rFonts w:ascii="Arial" w:eastAsia="Arial" w:hAnsi="Arial" w:cs="Arial"/>
          <w:color w:val="000000"/>
          <w:sz w:val="20"/>
        </w:rPr>
        <w:t xml:space="preserve">. at 894. </w:t>
      </w:r>
      <w:bookmarkStart w:id="5196" w:name="Bookmark_I522R2KH0TVR800050000400_2"/>
      <w:bookmarkStart w:id="5197" w:name="Bookmark_LNHNREFclscc32_0"/>
      <w:bookmarkEnd w:id="5196"/>
      <w:bookmarkEnd w:id="5197"/>
      <w:r>
        <w:rPr>
          <w:rFonts w:ascii="Arial" w:eastAsia="Arial" w:hAnsi="Arial" w:cs="Arial"/>
          <w:color w:val="000000"/>
          <w:sz w:val="20"/>
        </w:rPr>
        <w:t xml:space="preserve">Recognizing that, under the ADA, "injunctive relief is mandated to 'make such facilities readily accessible to and usable by individuals with disabilities,'" the Eighth Circuit concluded that Steger had standing to seek relief for any ADA violations in the building that affected his specific disability. </w:t>
      </w:r>
      <w:bookmarkStart w:id="5198" w:name="Bookmark_I522R2KH0TVR800040000400"/>
      <w:bookmarkEnd w:id="5198"/>
      <w:r>
        <w:rPr>
          <w:rFonts w:ascii="Arial" w:eastAsia="Arial" w:hAnsi="Arial" w:cs="Arial"/>
          <w:i/>
          <w:color w:val="000000"/>
          <w:sz w:val="20"/>
        </w:rPr>
        <w:t>Id</w:t>
      </w:r>
      <w:r>
        <w:rPr>
          <w:rFonts w:ascii="Arial" w:eastAsia="Arial" w:hAnsi="Arial" w:cs="Arial"/>
          <w:color w:val="000000"/>
          <w:sz w:val="20"/>
        </w:rPr>
        <w:t xml:space="preserve">. (quoting 42 U.S.C. § 12188(a)(2)). We share the Eighth Circuit's view that </w:t>
      </w:r>
      <w:bookmarkStart w:id="5199" w:name="Bookmark_LNHNREFclscc33"/>
      <w:bookmarkEnd w:id="5199"/>
      <w:r>
        <w:rPr>
          <w:rFonts w:ascii="Arial" w:eastAsia="Arial" w:hAnsi="Arial" w:cs="Arial"/>
          <w:color w:val="000000"/>
          <w:sz w:val="20"/>
        </w:rPr>
        <w:t>an ADA plaintiff  [**31] who has been discriminated against in one aspect of a public accommodation may, in a single lawsuit, obtain an injunction to prevent impending discrimination on account of his specific disability throughout the accommodation.</w:t>
      </w:r>
    </w:p>
    <w:p w14:paraId="3B8AB1B4" w14:textId="77777777" w:rsidR="00D041A2" w:rsidRDefault="00000000">
      <w:pPr>
        <w:pStyle w:val="Normal37"/>
        <w:widowControl w:val="0"/>
        <w:spacing w:before="200" w:line="260" w:lineRule="atLeast"/>
        <w:jc w:val="both"/>
      </w:pPr>
      <w:bookmarkStart w:id="5200" w:name="Bookmark_para_35_16"/>
      <w:bookmarkEnd w:id="5200"/>
      <w:r>
        <w:rPr>
          <w:rFonts w:ascii="Arial" w:eastAsia="Arial" w:hAnsi="Arial" w:cs="Arial"/>
          <w:color w:val="000000"/>
          <w:sz w:val="20"/>
        </w:rPr>
        <w:t xml:space="preserve">This conclusion does not transform the ADA into an open-ended private attorney general statute, because the scope of such an injunction is limited. </w:t>
      </w:r>
      <w:bookmarkStart w:id="5201" w:name="Bookmark_I522R2KJ0TVR8C0020000400"/>
      <w:bookmarkEnd w:id="5201"/>
      <w:r>
        <w:rPr>
          <w:rFonts w:ascii="Arial" w:eastAsia="Arial" w:hAnsi="Arial" w:cs="Arial"/>
          <w:color w:val="000000"/>
          <w:sz w:val="20"/>
        </w:rPr>
        <w:t xml:space="preserve">First, our holding in no way relieves plaintiffs from the constitutionally imposed burden of demonstrating an injury-in-fact and a sufficient likelihood of repeated harm. An ADA plaintiff must show at each stage of the proceedings either that he is deterred from returning to the facility or that he intends to return to the facility and is therefore likely to suffer repeated injury. He lacks standing if he is indifferent to returning to the store or if his alleged intent to return is not genuine, or if the barriers he seeks to enjoin do not pose a real and immediate threat to him due to his particular disability. Injunctions do not extend to barriers not affecting persons with the plaintiff's particular disability, </w:t>
      </w:r>
      <w:r>
        <w:rPr>
          <w:rFonts w:ascii="Arial" w:eastAsia="Arial" w:hAnsi="Arial" w:cs="Arial"/>
          <w:i/>
          <w:color w:val="000000"/>
          <w:sz w:val="20"/>
        </w:rPr>
        <w:t xml:space="preserve">see </w:t>
      </w:r>
      <w:bookmarkStart w:id="5202" w:name="Bookmark_I522R2KJ0TVR8C0010000400"/>
      <w:bookmarkEnd w:id="5202"/>
      <w:r>
        <w:rPr>
          <w:rFonts w:ascii="Arial" w:eastAsia="Arial" w:hAnsi="Arial" w:cs="Arial"/>
          <w:i/>
          <w:color w:val="000000"/>
          <w:sz w:val="20"/>
        </w:rPr>
        <w:t>Steger</w:t>
      </w:r>
      <w:r>
        <w:rPr>
          <w:rFonts w:ascii="Arial" w:eastAsia="Arial" w:hAnsi="Arial" w:cs="Arial"/>
          <w:color w:val="000000"/>
          <w:sz w:val="20"/>
        </w:rPr>
        <w:t xml:space="preserve">, 228 F.3d at 893-94; barriers that the plaintiff is not reasonably likely to encounter, such  [**32] as those in areas off limits to customers, </w:t>
      </w:r>
      <w:r>
        <w:rPr>
          <w:rFonts w:ascii="Arial" w:eastAsia="Arial" w:hAnsi="Arial" w:cs="Arial"/>
          <w:i/>
          <w:color w:val="000000"/>
          <w:sz w:val="20"/>
        </w:rPr>
        <w:t xml:space="preserve">see </w:t>
      </w:r>
      <w:bookmarkStart w:id="5203" w:name="Bookmark_I522R2KJ0TVR8C0030000400"/>
      <w:bookmarkEnd w:id="5203"/>
      <w:r>
        <w:rPr>
          <w:rFonts w:ascii="Arial" w:eastAsia="Arial" w:hAnsi="Arial" w:cs="Arial"/>
          <w:i/>
          <w:color w:val="000000"/>
          <w:sz w:val="20"/>
        </w:rPr>
        <w:t>Long</w:t>
      </w:r>
      <w:r>
        <w:rPr>
          <w:rFonts w:ascii="Arial" w:eastAsia="Arial" w:hAnsi="Arial" w:cs="Arial"/>
          <w:color w:val="000000"/>
          <w:sz w:val="20"/>
        </w:rPr>
        <w:t>, 267 F.3d at 924; or barriers in areas he is unlikely to enter, such as ladies' restrooms or employee work areas.</w:t>
      </w:r>
    </w:p>
    <w:p w14:paraId="52D02B51" w14:textId="77777777" w:rsidR="00D041A2" w:rsidRDefault="00000000">
      <w:pPr>
        <w:pStyle w:val="Normal37"/>
        <w:widowControl w:val="0"/>
        <w:spacing w:before="200" w:line="260" w:lineRule="atLeast"/>
        <w:jc w:val="both"/>
      </w:pPr>
      <w:bookmarkStart w:id="5204" w:name="Bookmark_para_36_15"/>
      <w:bookmarkStart w:id="5205" w:name="Bookmark_I7M82NTX9RV0000426D0002X"/>
      <w:bookmarkStart w:id="5206" w:name="Bookmark_I522R2KJ0TVR8T0010000400"/>
      <w:bookmarkEnd w:id="5204"/>
      <w:bookmarkEnd w:id="5205"/>
      <w:bookmarkEnd w:id="5206"/>
      <w:r>
        <w:rPr>
          <w:rFonts w:ascii="Arial" w:eastAsia="Arial" w:hAnsi="Arial" w:cs="Arial"/>
          <w:color w:val="000000"/>
          <w:sz w:val="20"/>
        </w:rPr>
        <w:t xml:space="preserve">Second, in declining to overturn </w:t>
      </w:r>
      <w:bookmarkStart w:id="5207" w:name="Bookmark_I522R2KJ0TVR8C0050000400"/>
      <w:bookmarkEnd w:id="5207"/>
      <w:r>
        <w:rPr>
          <w:rFonts w:ascii="Arial" w:eastAsia="Arial" w:hAnsi="Arial" w:cs="Arial"/>
          <w:i/>
          <w:color w:val="000000"/>
          <w:sz w:val="20"/>
        </w:rPr>
        <w:t>Doran</w:t>
      </w:r>
      <w:r>
        <w:rPr>
          <w:rFonts w:ascii="Arial" w:eastAsia="Arial" w:hAnsi="Arial" w:cs="Arial"/>
          <w:color w:val="000000"/>
          <w:sz w:val="20"/>
        </w:rPr>
        <w:t xml:space="preserve">, we do not expand or otherwise modify Congress's considered choice as to the rights or remedies available to the disabled. As noted above, our precedent is anchored in </w:t>
      </w:r>
      <w:bookmarkStart w:id="5208" w:name="Bookmark_LNHNREFclscc34"/>
      <w:bookmarkEnd w:id="5208"/>
      <w:r>
        <w:rPr>
          <w:rFonts w:ascii="Arial" w:eastAsia="Arial" w:hAnsi="Arial" w:cs="Arial"/>
          <w:color w:val="000000"/>
          <w:sz w:val="20"/>
        </w:rPr>
        <w:t>Congress's decision to authorize courts to issue "order[s] to alter facilities to make such facilities readily accessible to and usable by individuals with disabilities." 42 U.S.C. § 12188(a)(2).</w:t>
      </w:r>
    </w:p>
    <w:p w14:paraId="171AB5F8" w14:textId="77777777" w:rsidR="00D041A2" w:rsidRDefault="00000000">
      <w:pPr>
        <w:pStyle w:val="Normal37"/>
        <w:widowControl w:val="0"/>
        <w:spacing w:before="200" w:line="260" w:lineRule="atLeast"/>
        <w:jc w:val="both"/>
      </w:pPr>
      <w:bookmarkStart w:id="5209" w:name="Bookmark_para_37_14"/>
      <w:bookmarkStart w:id="5210" w:name="Bookmark_I522R2KJ0TVR8T0030000400"/>
      <w:bookmarkEnd w:id="5209"/>
      <w:bookmarkEnd w:id="5210"/>
      <w:r>
        <w:rPr>
          <w:rFonts w:ascii="Arial" w:eastAsia="Arial" w:hAnsi="Arial" w:cs="Arial"/>
          <w:color w:val="000000"/>
          <w:sz w:val="20"/>
        </w:rPr>
        <w:t xml:space="preserve">Finally, we are not persuaded by Pier One's warning that </w:t>
      </w:r>
      <w:r>
        <w:rPr>
          <w:rFonts w:ascii="Arial" w:eastAsia="Arial" w:hAnsi="Arial" w:cs="Arial"/>
          <w:i/>
          <w:color w:val="000000"/>
          <w:sz w:val="20"/>
        </w:rPr>
        <w:t>Doran</w:t>
      </w:r>
      <w:r>
        <w:rPr>
          <w:rFonts w:ascii="Arial" w:eastAsia="Arial" w:hAnsi="Arial" w:cs="Arial"/>
          <w:color w:val="000000"/>
          <w:sz w:val="20"/>
        </w:rPr>
        <w:t xml:space="preserve"> opens the floodgates to "potentially vexatious lawsuits." Instead, our precedent facilitates ADA compliance by eliminating the piecemeal litigation that would result from the contrary rule Pier One urges. As we have previously observed, "It makes no sense to require a disabled plaintiff to challenge, in separate cases, multiple barriers in the same facility, controlled by the same entity, all related to the plaintiff's specific disability." </w:t>
      </w:r>
      <w:bookmarkStart w:id="5211" w:name="Bookmark_I522R2KJ0TVR8T0020000400"/>
      <w:bookmarkEnd w:id="5211"/>
      <w:r>
        <w:rPr>
          <w:rFonts w:ascii="Arial" w:eastAsia="Arial" w:hAnsi="Arial" w:cs="Arial"/>
          <w:i/>
          <w:color w:val="000000"/>
          <w:sz w:val="20"/>
        </w:rPr>
        <w:t>Doran</w:t>
      </w:r>
      <w:r>
        <w:rPr>
          <w:rFonts w:ascii="Arial" w:eastAsia="Arial" w:hAnsi="Arial" w:cs="Arial"/>
          <w:color w:val="000000"/>
          <w:sz w:val="20"/>
        </w:rPr>
        <w:t>, 524 F.3d at 1047.</w:t>
      </w:r>
    </w:p>
    <w:p w14:paraId="76C3A203" w14:textId="77777777" w:rsidR="00D041A2" w:rsidRDefault="00000000">
      <w:pPr>
        <w:pStyle w:val="Normal37"/>
        <w:widowControl w:val="0"/>
        <w:spacing w:before="200" w:line="260" w:lineRule="atLeast"/>
        <w:jc w:val="both"/>
      </w:pPr>
      <w:bookmarkStart w:id="5212" w:name="Bookmark_para_38_14"/>
      <w:bookmarkStart w:id="5213" w:name="Bookmark_I7M82NTXCYG0000426D0002Y"/>
      <w:bookmarkStart w:id="5214" w:name="Bookmark_I522R2KJ0TVR8T0050000400"/>
      <w:bookmarkStart w:id="5215" w:name="Bookmark_I522R2KK0TVR950020000400"/>
      <w:bookmarkEnd w:id="5212"/>
      <w:bookmarkEnd w:id="5213"/>
      <w:bookmarkEnd w:id="5214"/>
      <w:bookmarkEnd w:id="5215"/>
      <w:r>
        <w:rPr>
          <w:rFonts w:ascii="Arial" w:eastAsia="Arial" w:hAnsi="Arial" w:cs="Arial"/>
          <w:color w:val="000000"/>
          <w:sz w:val="20"/>
        </w:rPr>
        <w:t xml:space="preserve">Our reaffirmance of </w:t>
      </w:r>
      <w:bookmarkStart w:id="5216" w:name="Bookmark_I522R2KJ0TVR8T0040000400"/>
      <w:bookmarkEnd w:id="5216"/>
      <w:r>
        <w:rPr>
          <w:rFonts w:ascii="Arial" w:eastAsia="Arial" w:hAnsi="Arial" w:cs="Arial"/>
          <w:i/>
          <w:color w:val="000000"/>
          <w:sz w:val="20"/>
        </w:rPr>
        <w:t>Doran</w:t>
      </w:r>
      <w:r>
        <w:rPr>
          <w:rFonts w:ascii="Arial" w:eastAsia="Arial" w:hAnsi="Arial" w:cs="Arial"/>
          <w:color w:val="000000"/>
          <w:sz w:val="20"/>
        </w:rPr>
        <w:t xml:space="preserve"> is entirely consistent with our standing discourse. </w:t>
      </w:r>
      <w:bookmarkStart w:id="5217" w:name="Bookmark_LNHNREFclscc35"/>
      <w:bookmarkEnd w:id="5217"/>
      <w:r>
        <w:rPr>
          <w:rFonts w:ascii="Arial" w:eastAsia="Arial" w:hAnsi="Arial" w:cs="Arial"/>
          <w:color w:val="000000"/>
          <w:sz w:val="20"/>
        </w:rPr>
        <w:t xml:space="preserve">When a plaintiff "has encountered  [**33] or become aware of alleged ADA violations that deter his patronage of or otherwise interfere with his access to a place of public accommodation, he has . . . suffered an injury in fact." </w:t>
      </w:r>
      <w:bookmarkStart w:id="5218" w:name="Bookmark_I522R2KK0TVR950010000400"/>
      <w:bookmarkEnd w:id="5218"/>
      <w:r>
        <w:rPr>
          <w:rFonts w:ascii="Arial" w:eastAsia="Arial" w:hAnsi="Arial" w:cs="Arial"/>
          <w:i/>
          <w:color w:val="000000"/>
          <w:sz w:val="20"/>
        </w:rPr>
        <w:t>Id</w:t>
      </w:r>
      <w:r>
        <w:rPr>
          <w:rFonts w:ascii="Arial" w:eastAsia="Arial" w:hAnsi="Arial" w:cs="Arial"/>
          <w:color w:val="000000"/>
          <w:sz w:val="20"/>
        </w:rPr>
        <w:t>. at 1042 n.5. The threat of repeated injury in the future is "real and immediate" so long as the encountered barriers either deter him from returning or continue to exist at a place of public accommodation to which he intends to return. When discrimination under the ADA subjects the plaintiff to an injury-in-fact, injunctive relief addressing only the barriers that the plaintiff encountered, but ignoring other existing barriers that he is reasonably likely to encounter, fails to dissipate the real and immediate threat of future discrimination.</w:t>
      </w:r>
    </w:p>
    <w:p w14:paraId="4A2B52C3" w14:textId="77777777" w:rsidR="00D041A2" w:rsidRDefault="00000000">
      <w:pPr>
        <w:pStyle w:val="Normal37"/>
        <w:widowControl w:val="0"/>
        <w:spacing w:before="240" w:line="260" w:lineRule="atLeast"/>
      </w:pPr>
      <w:r>
        <w:br/>
      </w:r>
      <w:r>
        <w:rPr>
          <w:rFonts w:ascii="Arial" w:eastAsia="Arial" w:hAnsi="Arial" w:cs="Arial"/>
          <w:color w:val="000000"/>
          <w:sz w:val="20"/>
        </w:rPr>
        <w:t xml:space="preserve"> [*954]  </w:t>
      </w:r>
      <w:r>
        <w:rPr>
          <w:rFonts w:ascii="Arial" w:eastAsia="Arial" w:hAnsi="Arial" w:cs="Arial"/>
          <w:b/>
          <w:color w:val="000000"/>
          <w:sz w:val="20"/>
        </w:rPr>
        <w:t>IV</w:t>
      </w:r>
      <w:r>
        <w:rPr>
          <w:rFonts w:ascii="Arial" w:eastAsia="Arial" w:hAnsi="Arial" w:cs="Arial"/>
          <w:color w:val="000000"/>
          <w:sz w:val="20"/>
        </w:rPr>
        <w:t>.</w:t>
      </w:r>
    </w:p>
    <w:p w14:paraId="7B12DE79" w14:textId="77777777" w:rsidR="00D041A2" w:rsidRDefault="00000000">
      <w:pPr>
        <w:pStyle w:val="Normal37"/>
        <w:widowControl w:val="0"/>
        <w:spacing w:before="200" w:line="260" w:lineRule="atLeast"/>
        <w:jc w:val="both"/>
      </w:pPr>
      <w:bookmarkStart w:id="5219" w:name="Bookmark_para_39_14"/>
      <w:bookmarkStart w:id="5220" w:name="Bookmark_I522R2KK0TVR950040000400"/>
      <w:bookmarkEnd w:id="5219"/>
      <w:bookmarkEnd w:id="5220"/>
      <w:r>
        <w:rPr>
          <w:rFonts w:ascii="Arial" w:eastAsia="Arial" w:hAnsi="Arial" w:cs="Arial"/>
          <w:color w:val="000000"/>
          <w:sz w:val="20"/>
        </w:rPr>
        <w:t xml:space="preserve">Throughout this litigation Chapman has failed to allege and prove the elements of standing in the ADA context that we describe above. Chapman's complaint itself is jurisdictionally defective. </w:t>
      </w:r>
      <w:bookmarkStart w:id="5221" w:name="Bookmark_I522R2KK0TVR9F0030000400"/>
      <w:bookmarkEnd w:id="5221"/>
      <w:r>
        <w:rPr>
          <w:rFonts w:ascii="Arial" w:eastAsia="Arial" w:hAnsi="Arial" w:cs="Arial"/>
          <w:color w:val="000000"/>
          <w:sz w:val="20"/>
        </w:rPr>
        <w:t xml:space="preserve">Although Pier One failed to move to dismiss under Federal Rule of Civil Procedure 12(b)(1), </w:t>
      </w:r>
      <w:bookmarkStart w:id="5222" w:name="Bookmark_LNHNREFclscc36"/>
      <w:bookmarkEnd w:id="5222"/>
      <w:r>
        <w:rPr>
          <w:rFonts w:ascii="Arial" w:eastAsia="Arial" w:hAnsi="Arial" w:cs="Arial"/>
          <w:color w:val="000000"/>
          <w:sz w:val="20"/>
        </w:rPr>
        <w:t xml:space="preserve">"[f]ederal courts are required sua sponte to examine jurisdictional issues such as standing." </w:t>
      </w:r>
      <w:bookmarkStart w:id="5223" w:name="Bookmark_I522R2KK0TVR950030000400"/>
      <w:bookmarkEnd w:id="5223"/>
      <w:r>
        <w:rPr>
          <w:rFonts w:ascii="Arial" w:eastAsia="Arial" w:hAnsi="Arial" w:cs="Arial"/>
          <w:i/>
          <w:color w:val="000000"/>
          <w:sz w:val="20"/>
        </w:rPr>
        <w:t>Bernhardt v. County of Los Angeles</w:t>
      </w:r>
      <w:r>
        <w:rPr>
          <w:rFonts w:ascii="Arial" w:eastAsia="Arial" w:hAnsi="Arial" w:cs="Arial"/>
          <w:color w:val="000000"/>
          <w:sz w:val="20"/>
        </w:rPr>
        <w:t xml:space="preserve">, 279 F.3d 862, 868 (9th Cir. 2002) (internal  [**34] quotation marks omitted); </w:t>
      </w:r>
      <w:r>
        <w:rPr>
          <w:rFonts w:ascii="Arial" w:eastAsia="Arial" w:hAnsi="Arial" w:cs="Arial"/>
          <w:i/>
          <w:color w:val="000000"/>
          <w:sz w:val="20"/>
        </w:rPr>
        <w:t xml:space="preserve">accord </w:t>
      </w:r>
      <w:bookmarkStart w:id="5224" w:name="Bookmark_I522R2KK0TVR950050000400"/>
      <w:bookmarkEnd w:id="5224"/>
      <w:r>
        <w:rPr>
          <w:rFonts w:ascii="Arial" w:eastAsia="Arial" w:hAnsi="Arial" w:cs="Arial"/>
          <w:i/>
          <w:color w:val="000000"/>
          <w:sz w:val="20"/>
        </w:rPr>
        <w:t>United States v. Hays</w:t>
      </w:r>
      <w:r>
        <w:rPr>
          <w:rFonts w:ascii="Arial" w:eastAsia="Arial" w:hAnsi="Arial" w:cs="Arial"/>
          <w:color w:val="000000"/>
          <w:sz w:val="20"/>
        </w:rPr>
        <w:t xml:space="preserve">, 515 U.S. 737, 742, 115 S. Ct. 2431, 132 L. Ed. 2d 635 (1995). </w:t>
      </w:r>
      <w:bookmarkStart w:id="5225" w:name="Bookmark_I522R2KK0TVR9F0030000400_2"/>
      <w:bookmarkStart w:id="5226" w:name="Bookmark_I522R2KK0TVR9F0050000400"/>
      <w:bookmarkEnd w:id="5225"/>
      <w:bookmarkEnd w:id="5226"/>
      <w:r>
        <w:rPr>
          <w:rFonts w:ascii="Arial" w:eastAsia="Arial" w:hAnsi="Arial" w:cs="Arial"/>
          <w:color w:val="000000"/>
          <w:sz w:val="20"/>
        </w:rPr>
        <w:t xml:space="preserve">The existence of Article III standing is not subject to waiver. </w:t>
      </w:r>
      <w:bookmarkStart w:id="5227" w:name="Bookmark_I522R2KK0TVR9S0020000400"/>
      <w:bookmarkStart w:id="5228" w:name="Bookmark_I522R2KK0TVR9F0020000400"/>
      <w:bookmarkEnd w:id="5227"/>
      <w:bookmarkEnd w:id="5228"/>
      <w:r>
        <w:rPr>
          <w:rFonts w:ascii="Arial" w:eastAsia="Arial" w:hAnsi="Arial" w:cs="Arial"/>
          <w:i/>
          <w:color w:val="000000"/>
          <w:sz w:val="20"/>
        </w:rPr>
        <w:t>Hays</w:t>
      </w:r>
      <w:r>
        <w:rPr>
          <w:rFonts w:ascii="Arial" w:eastAsia="Arial" w:hAnsi="Arial" w:cs="Arial"/>
          <w:color w:val="000000"/>
          <w:sz w:val="20"/>
        </w:rPr>
        <w:t xml:space="preserve">, 515 U.S. at 742. </w:t>
      </w:r>
      <w:bookmarkStart w:id="5229" w:name="Bookmark_I522R2KK0TVR9S0020000400_2"/>
      <w:bookmarkStart w:id="5230" w:name="Bookmark_I522R2KK0TVR9F0050000400_2"/>
      <w:bookmarkEnd w:id="5229"/>
      <w:bookmarkEnd w:id="5230"/>
      <w:r>
        <w:rPr>
          <w:rFonts w:ascii="Arial" w:eastAsia="Arial" w:hAnsi="Arial" w:cs="Arial"/>
          <w:color w:val="000000"/>
          <w:sz w:val="20"/>
        </w:rPr>
        <w:t xml:space="preserve">It must be demonstrated "at the successive stages of the litigation," </w:t>
      </w:r>
      <w:bookmarkStart w:id="5231" w:name="Bookmark_I522R2KK0TVR9F0040000400"/>
      <w:bookmarkEnd w:id="5231"/>
      <w:r>
        <w:rPr>
          <w:rFonts w:ascii="Arial" w:eastAsia="Arial" w:hAnsi="Arial" w:cs="Arial"/>
          <w:i/>
          <w:color w:val="000000"/>
          <w:sz w:val="20"/>
        </w:rPr>
        <w:t>Lujan</w:t>
      </w:r>
      <w:r>
        <w:rPr>
          <w:rFonts w:ascii="Arial" w:eastAsia="Arial" w:hAnsi="Arial" w:cs="Arial"/>
          <w:color w:val="000000"/>
          <w:sz w:val="20"/>
        </w:rPr>
        <w:t xml:space="preserve">, 504 U.S. at 561, and "[i]f the court determines at any time that it lacks subject-matter jurisdiction, the court must dismiss the action," Fed. R. Civ. P. 12(h)(3). </w:t>
      </w:r>
      <w:bookmarkStart w:id="5232" w:name="Bookmark_LNHNREFclscc37"/>
      <w:bookmarkEnd w:id="5232"/>
      <w:r>
        <w:rPr>
          <w:rFonts w:ascii="Arial" w:eastAsia="Arial" w:hAnsi="Arial" w:cs="Arial"/>
          <w:color w:val="000000"/>
          <w:sz w:val="20"/>
        </w:rPr>
        <w:t xml:space="preserve">"[E]very federal appellate court has a special obligation to 'satisfy itself not only of its own jurisdiction, but also that of the lower courts in a cause under review.'" </w:t>
      </w:r>
      <w:bookmarkStart w:id="5233" w:name="Bookmark_I522R2KK0TVR9S0010000400"/>
      <w:bookmarkEnd w:id="5233"/>
      <w:r>
        <w:rPr>
          <w:rFonts w:ascii="Arial" w:eastAsia="Arial" w:hAnsi="Arial" w:cs="Arial"/>
          <w:i/>
          <w:color w:val="000000"/>
          <w:sz w:val="20"/>
        </w:rPr>
        <w:t>Bender v. Williamsport Area Sch. Dist</w:t>
      </w:r>
      <w:r>
        <w:rPr>
          <w:rFonts w:ascii="Arial" w:eastAsia="Arial" w:hAnsi="Arial" w:cs="Arial"/>
          <w:color w:val="000000"/>
          <w:sz w:val="20"/>
        </w:rPr>
        <w:t xml:space="preserve">., 475 U.S. 534, 541, 106 S. Ct. 1326, 89 L. Ed. 2d 501 (1986) (quoting </w:t>
      </w:r>
      <w:bookmarkStart w:id="5234" w:name="Bookmark_I522R2KK0TVR9S0030000400"/>
      <w:bookmarkEnd w:id="5234"/>
      <w:r>
        <w:rPr>
          <w:rFonts w:ascii="Arial" w:eastAsia="Arial" w:hAnsi="Arial" w:cs="Arial"/>
          <w:i/>
          <w:color w:val="000000"/>
          <w:sz w:val="20"/>
        </w:rPr>
        <w:t>Mitchell v. Maurer</w:t>
      </w:r>
      <w:r>
        <w:rPr>
          <w:rFonts w:ascii="Arial" w:eastAsia="Arial" w:hAnsi="Arial" w:cs="Arial"/>
          <w:color w:val="000000"/>
          <w:sz w:val="20"/>
        </w:rPr>
        <w:t>, 293 U.S. 237, 244, 55 S. Ct. 162, 79 L. Ed. 338 (1934)).</w:t>
      </w:r>
    </w:p>
    <w:p w14:paraId="1DEDCDC8" w14:textId="77777777" w:rsidR="00D041A2" w:rsidRDefault="00000000">
      <w:pPr>
        <w:pStyle w:val="Normal37"/>
        <w:widowControl w:val="0"/>
        <w:spacing w:before="200" w:line="260" w:lineRule="atLeast"/>
        <w:jc w:val="both"/>
      </w:pPr>
      <w:bookmarkStart w:id="5235" w:name="Bookmark_para_40_14"/>
      <w:bookmarkStart w:id="5236" w:name="Bookmark_I522R2KM0TVRB60010000400"/>
      <w:bookmarkEnd w:id="5235"/>
      <w:bookmarkEnd w:id="5236"/>
      <w:r>
        <w:rPr>
          <w:rFonts w:ascii="Arial" w:eastAsia="Arial" w:hAnsi="Arial" w:cs="Arial"/>
          <w:color w:val="000000"/>
          <w:sz w:val="20"/>
        </w:rPr>
        <w:t xml:space="preserve">While we are mindful of the generous pleading standards that apply to civil rights plaintiffs, </w:t>
      </w:r>
      <w:bookmarkStart w:id="5237" w:name="Bookmark_LNHNREFclscc38"/>
      <w:bookmarkEnd w:id="5237"/>
      <w:r>
        <w:rPr>
          <w:rFonts w:ascii="Arial" w:eastAsia="Arial" w:hAnsi="Arial" w:cs="Arial"/>
          <w:color w:val="000000"/>
          <w:sz w:val="20"/>
        </w:rPr>
        <w:t xml:space="preserve">"a liberal interpretation of a . . . civil rights complaint may not supply essential elements of the claim that were not initially pled." </w:t>
      </w:r>
      <w:bookmarkStart w:id="5238" w:name="Bookmark_I522R2KK0TVR9S0050000400"/>
      <w:bookmarkEnd w:id="5238"/>
      <w:r>
        <w:rPr>
          <w:rFonts w:ascii="Arial" w:eastAsia="Arial" w:hAnsi="Arial" w:cs="Arial"/>
          <w:i/>
          <w:color w:val="000000"/>
          <w:sz w:val="20"/>
        </w:rPr>
        <w:t>Pena v. Gardner</w:t>
      </w:r>
      <w:r>
        <w:rPr>
          <w:rFonts w:ascii="Arial" w:eastAsia="Arial" w:hAnsi="Arial" w:cs="Arial"/>
          <w:color w:val="000000"/>
          <w:sz w:val="20"/>
        </w:rPr>
        <w:t xml:space="preserve">, 976 F.2d 469, 471 (9th Cir. 1992) (quoting </w:t>
      </w:r>
      <w:bookmarkStart w:id="5239" w:name="Bookmark_I522R2KM0TVRB60020000400"/>
      <w:bookmarkEnd w:id="5239"/>
      <w:r>
        <w:rPr>
          <w:rFonts w:ascii="Arial" w:eastAsia="Arial" w:hAnsi="Arial" w:cs="Arial"/>
          <w:i/>
          <w:color w:val="000000"/>
          <w:sz w:val="20"/>
        </w:rPr>
        <w:t>Ivey v. Bd. of Regents</w:t>
      </w:r>
      <w:r>
        <w:rPr>
          <w:rFonts w:ascii="Arial" w:eastAsia="Arial" w:hAnsi="Arial" w:cs="Arial"/>
          <w:color w:val="000000"/>
          <w:sz w:val="20"/>
        </w:rPr>
        <w:t>, 673 F.2d 266, 268 (9th Cir. 1982)). Chapman's complaint fails to sufficiently allege the essential elements of Article III standing. Although Chapman alleges that he is "physically  [**35] disabled," and that he "visited the Store" and "encountered architectural barriers that denied him full and equal access," he never alleges what those barriers were and how his disability was affected by them so as to deny him the "full and equal" access that would satisfy the injury-in-fact requirement (</w:t>
      </w:r>
      <w:r>
        <w:rPr>
          <w:rFonts w:ascii="Arial" w:eastAsia="Arial" w:hAnsi="Arial" w:cs="Arial"/>
          <w:i/>
          <w:color w:val="000000"/>
          <w:sz w:val="20"/>
        </w:rPr>
        <w:t>i.e</w:t>
      </w:r>
      <w:r>
        <w:rPr>
          <w:rFonts w:ascii="Arial" w:eastAsia="Arial" w:hAnsi="Arial" w:cs="Arial"/>
          <w:color w:val="000000"/>
          <w:sz w:val="20"/>
        </w:rPr>
        <w:t>., that he personally suffered discrimination under the ADA on account of his disability).</w:t>
      </w:r>
    </w:p>
    <w:p w14:paraId="46FC3504" w14:textId="77777777" w:rsidR="00D041A2" w:rsidRDefault="00000000">
      <w:pPr>
        <w:pStyle w:val="Normal37"/>
        <w:widowControl w:val="0"/>
        <w:spacing w:before="200" w:line="260" w:lineRule="atLeast"/>
        <w:jc w:val="both"/>
      </w:pPr>
      <w:bookmarkStart w:id="5240" w:name="Bookmark_para_41_13"/>
      <w:bookmarkEnd w:id="5240"/>
      <w:r>
        <w:rPr>
          <w:rFonts w:ascii="Arial" w:eastAsia="Arial" w:hAnsi="Arial" w:cs="Arial"/>
          <w:color w:val="000000"/>
          <w:sz w:val="20"/>
        </w:rPr>
        <w:t xml:space="preserve">Instead, Chapman attached to his complaint an "Accessibility Survey," which listed barriers known to him that he claims "denied him access to the Store, </w:t>
      </w:r>
      <w:r>
        <w:rPr>
          <w:rFonts w:ascii="Arial" w:eastAsia="Arial" w:hAnsi="Arial" w:cs="Arial"/>
          <w:i/>
          <w:color w:val="000000"/>
          <w:sz w:val="20"/>
        </w:rPr>
        <w:t>or</w:t>
      </w:r>
      <w:r>
        <w:rPr>
          <w:rFonts w:ascii="Arial" w:eastAsia="Arial" w:hAnsi="Arial" w:cs="Arial"/>
          <w:color w:val="000000"/>
          <w:sz w:val="20"/>
        </w:rPr>
        <w:t xml:space="preserve"> which he seeks to remove on behalf of others under related state statutes." The Accessibility Survey simply identifies alleged ADA and CBC violations without connecting the alleged violations to Chapman's disability, or indicating whether or not he encountered any one of them in such a way as to impair his full and equal enjoyment of the Store.</w:t>
      </w:r>
    </w:p>
    <w:p w14:paraId="548ABF9B" w14:textId="77777777" w:rsidR="00D041A2" w:rsidRDefault="00000000">
      <w:pPr>
        <w:pStyle w:val="Normal37"/>
        <w:widowControl w:val="0"/>
        <w:spacing w:before="200" w:line="260" w:lineRule="atLeast"/>
        <w:jc w:val="both"/>
      </w:pPr>
      <w:bookmarkStart w:id="5241" w:name="Bookmark_para_42_12"/>
      <w:bookmarkEnd w:id="5241"/>
      <w:r>
        <w:rPr>
          <w:rFonts w:ascii="Arial" w:eastAsia="Arial" w:hAnsi="Arial" w:cs="Arial"/>
          <w:color w:val="000000"/>
          <w:sz w:val="20"/>
        </w:rPr>
        <w:t>The nature of the entries in the Accessibility Survey is illustrated by the entry for "Accessible Entrance Door Outside Signage." Below that heading is listed:</w:t>
      </w:r>
    </w:p>
    <w:p w14:paraId="69E57F63" w14:textId="3D365D0F" w:rsidR="00D041A2" w:rsidRDefault="004D4403">
      <w:pPr>
        <w:pStyle w:val="Normal37"/>
        <w:widowControl w:val="0"/>
        <w:spacing w:before="240" w:line="260" w:lineRule="atLeast"/>
      </w:pPr>
      <w:r>
        <w:rPr>
          <w:noProof/>
        </w:rPr>
        <w:drawing>
          <wp:inline distT="0" distB="0" distL="0" distR="0" wp14:anchorId="42CEBBDE" wp14:editId="4A8DCE76">
            <wp:extent cx="190500"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bookmarkStart w:id="5242" w:name="Table1_insert"/>
      <w:r w:rsidR="00000000">
        <w:fldChar w:fldCharType="begin"/>
      </w:r>
      <w:r w:rsidR="00000000">
        <w:instrText>HYPERLINK \l "Table1"</w:instrText>
      </w:r>
      <w:r w:rsidR="00000000">
        <w:fldChar w:fldCharType="separate"/>
      </w:r>
      <w:r w:rsidR="00000000">
        <w:rPr>
          <w:rFonts w:ascii="Arial" w:eastAsia="Arial" w:hAnsi="Arial" w:cs="Arial"/>
          <w:color w:val="0077CC"/>
          <w:sz w:val="20"/>
          <w:u w:val="single"/>
          <w:shd w:val="clear" w:color="auto" w:fill="FFFFFF"/>
        </w:rPr>
        <w:t>Go to table1</w:t>
      </w:r>
      <w:r w:rsidR="00000000">
        <w:rPr>
          <w:rFonts w:ascii="Arial" w:eastAsia="Arial" w:hAnsi="Arial" w:cs="Arial"/>
          <w:color w:val="0077CC"/>
          <w:sz w:val="20"/>
          <w:u w:val="single"/>
          <w:shd w:val="clear" w:color="auto" w:fill="FFFFFF"/>
        </w:rPr>
        <w:fldChar w:fldCharType="end"/>
      </w:r>
      <w:bookmarkEnd w:id="5242"/>
    </w:p>
    <w:p w14:paraId="2454F041" w14:textId="77777777" w:rsidR="00D041A2" w:rsidRDefault="00000000">
      <w:pPr>
        <w:pStyle w:val="Normal37"/>
        <w:widowControl w:val="0"/>
        <w:spacing w:before="200" w:line="260" w:lineRule="atLeast"/>
        <w:jc w:val="both"/>
      </w:pPr>
      <w:bookmarkStart w:id="5243" w:name="Bookmark_para_43_12"/>
      <w:bookmarkEnd w:id="5243"/>
      <w:r>
        <w:rPr>
          <w:rFonts w:ascii="Arial" w:eastAsia="Arial" w:hAnsi="Arial" w:cs="Arial"/>
          <w:color w:val="000000"/>
          <w:sz w:val="20"/>
        </w:rPr>
        <w:t xml:space="preserve">This  [**36] list of alleged CBC and ADAAG violations </w:t>
      </w:r>
      <w:r>
        <w:rPr>
          <w:rFonts w:ascii="Arial" w:eastAsia="Arial" w:hAnsi="Arial" w:cs="Arial"/>
          <w:vertAlign w:val="superscript"/>
        </w:rPr>
        <w:footnoteReference w:customMarkFollows="1" w:id="246"/>
        <w:t>8</w:t>
      </w:r>
      <w:r>
        <w:rPr>
          <w:rFonts w:ascii="Arial" w:eastAsia="Arial" w:hAnsi="Arial" w:cs="Arial"/>
          <w:color w:val="000000"/>
          <w:sz w:val="20"/>
        </w:rPr>
        <w:t xml:space="preserve">  [*955]  cannot substitute for the factual allegations required in the complaint to satisfy Article III's requirement of an injury-in-fact. Chapman does not even attempt to relate the alleged violations to his disability. </w:t>
      </w:r>
      <w:r>
        <w:rPr>
          <w:rFonts w:ascii="Arial" w:eastAsia="Arial" w:hAnsi="Arial" w:cs="Arial"/>
          <w:vertAlign w:val="superscript"/>
        </w:rPr>
        <w:footnoteReference w:customMarkFollows="1" w:id="247"/>
        <w:t>9</w:t>
      </w:r>
    </w:p>
    <w:p w14:paraId="6991A7AE" w14:textId="77777777" w:rsidR="00D041A2" w:rsidRDefault="00000000">
      <w:pPr>
        <w:pStyle w:val="Normal37"/>
        <w:widowControl w:val="0"/>
        <w:spacing w:before="200" w:line="260" w:lineRule="atLeast"/>
        <w:jc w:val="both"/>
      </w:pPr>
      <w:bookmarkStart w:id="5253" w:name="Bookmark_para_44_12"/>
      <w:bookmarkStart w:id="5254" w:name="Bookmark_I7M82NTP7W40000426D0000G"/>
      <w:bookmarkStart w:id="5255" w:name="Bookmark_I522R2KM0TVRBJ0040000400"/>
      <w:bookmarkStart w:id="5256" w:name="Bookmark_I522R2KN0TVRBW0010000400"/>
      <w:bookmarkEnd w:id="5253"/>
      <w:bookmarkEnd w:id="5254"/>
      <w:bookmarkEnd w:id="5255"/>
      <w:bookmarkEnd w:id="5256"/>
      <w:r>
        <w:rPr>
          <w:rFonts w:ascii="Arial" w:eastAsia="Arial" w:hAnsi="Arial" w:cs="Arial"/>
          <w:color w:val="000000"/>
          <w:sz w:val="20"/>
        </w:rPr>
        <w:t xml:space="preserve">Unlike in other cases where we have found Article III standing, </w:t>
      </w:r>
      <w:r>
        <w:rPr>
          <w:rFonts w:ascii="Arial" w:eastAsia="Arial" w:hAnsi="Arial" w:cs="Arial"/>
          <w:i/>
          <w:color w:val="000000"/>
          <w:sz w:val="20"/>
        </w:rPr>
        <w:t xml:space="preserve">see, e.g., </w:t>
      </w:r>
      <w:bookmarkStart w:id="5257" w:name="Bookmark_I522R2KM0TVRBJ0030000400"/>
      <w:bookmarkEnd w:id="5257"/>
      <w:r>
        <w:rPr>
          <w:rFonts w:ascii="Arial" w:eastAsia="Arial" w:hAnsi="Arial" w:cs="Arial"/>
          <w:i/>
          <w:color w:val="000000"/>
          <w:sz w:val="20"/>
        </w:rPr>
        <w:t>D'Lil</w:t>
      </w:r>
      <w:r>
        <w:rPr>
          <w:rFonts w:ascii="Arial" w:eastAsia="Arial" w:hAnsi="Arial" w:cs="Arial"/>
          <w:color w:val="000000"/>
          <w:sz w:val="20"/>
        </w:rPr>
        <w:t xml:space="preserve">, 538 F.3d at 1037, Chapman leaves the federal court to guess which, if any, of the alleged violations deprived him  [**37] of the same full and equal access that a person who is not wheelchair bound would enjoy when shopping at Pier One. Nor does he identify how any of the alleged violations threatens to deprive him of full and equal access due to his disability if he were to return to the Store, or how any of them deter him from visiting the Store due to his disability. Although Chapman may establish standing as to unencountered barriers related to his disability, the list of barriers incorporated into his complaint does nothing more than "perform a wholesale audit of the defendant's premises." </w:t>
      </w:r>
      <w:bookmarkStart w:id="5258" w:name="Bookmark_I522R2KM0TVRBJ0050000400"/>
      <w:bookmarkEnd w:id="5258"/>
      <w:r>
        <w:rPr>
          <w:rFonts w:ascii="Arial" w:eastAsia="Arial" w:hAnsi="Arial" w:cs="Arial"/>
          <w:i/>
          <w:color w:val="000000"/>
          <w:sz w:val="20"/>
        </w:rPr>
        <w:t>Martinez v. Longs Drug Stores, Inc</w:t>
      </w:r>
      <w:r>
        <w:rPr>
          <w:rFonts w:ascii="Arial" w:eastAsia="Arial" w:hAnsi="Arial" w:cs="Arial"/>
          <w:color w:val="000000"/>
          <w:sz w:val="20"/>
        </w:rPr>
        <w:t xml:space="preserve">., No. CIV-S-03-1843 DFL CMK, 2005 U.S. Dist. LEXIS 23737, at *12 (E.D. Cal. Aug. 25, 2005). </w:t>
      </w:r>
      <w:r>
        <w:rPr>
          <w:rFonts w:ascii="Arial" w:eastAsia="Arial" w:hAnsi="Arial" w:cs="Arial"/>
          <w:vertAlign w:val="superscript"/>
        </w:rPr>
        <w:footnoteReference w:customMarkFollows="1" w:id="248"/>
        <w:t>10</w:t>
      </w:r>
    </w:p>
    <w:p w14:paraId="13DAB5A6" w14:textId="77777777" w:rsidR="00D041A2" w:rsidRDefault="00000000">
      <w:pPr>
        <w:pStyle w:val="Normal37"/>
        <w:widowControl w:val="0"/>
        <w:spacing w:before="200" w:line="260" w:lineRule="atLeast"/>
        <w:jc w:val="both"/>
      </w:pPr>
      <w:bookmarkStart w:id="5260" w:name="Bookmark_para_45_12"/>
      <w:bookmarkStart w:id="5261" w:name="Bookmark_I522R2KN0TVRBW0030000400"/>
      <w:bookmarkEnd w:id="5260"/>
      <w:bookmarkEnd w:id="5261"/>
      <w:r>
        <w:rPr>
          <w:rFonts w:ascii="Arial" w:eastAsia="Arial" w:hAnsi="Arial" w:cs="Arial"/>
          <w:color w:val="000000"/>
          <w:sz w:val="20"/>
        </w:rPr>
        <w:t xml:space="preserve">Because Chapman lacked standing at the outset of this litigation to assert the ADA claims, the district court should have dismissed them. </w:t>
      </w:r>
      <w:r>
        <w:rPr>
          <w:rFonts w:ascii="Arial" w:eastAsia="Arial" w:hAnsi="Arial" w:cs="Arial"/>
          <w:i/>
          <w:color w:val="000000"/>
          <w:sz w:val="20"/>
        </w:rPr>
        <w:t>See</w:t>
      </w:r>
      <w:r>
        <w:rPr>
          <w:rFonts w:ascii="Arial" w:eastAsia="Arial" w:hAnsi="Arial" w:cs="Arial"/>
          <w:color w:val="000000"/>
          <w:sz w:val="20"/>
        </w:rPr>
        <w:t xml:space="preserve"> Fed. R. Civ. P. 12(b)(1); </w:t>
      </w:r>
      <w:bookmarkStart w:id="5262" w:name="Bookmark_I522R2KN0TVRBW0020000400"/>
      <w:bookmarkEnd w:id="5262"/>
      <w:r>
        <w:rPr>
          <w:rFonts w:ascii="Arial" w:eastAsia="Arial" w:hAnsi="Arial" w:cs="Arial"/>
          <w:i/>
          <w:color w:val="000000"/>
          <w:sz w:val="20"/>
        </w:rPr>
        <w:t>Hays</w:t>
      </w:r>
      <w:r>
        <w:rPr>
          <w:rFonts w:ascii="Arial" w:eastAsia="Arial" w:hAnsi="Arial" w:cs="Arial"/>
          <w:color w:val="000000"/>
          <w:sz w:val="20"/>
        </w:rPr>
        <w:t xml:space="preserve">, 515 U.S. at 747 (ordering the district court  [**38] to dismiss the complaint for lack of standing). We therefore vacate the district court's grant of summary judgment, and remand with instructions to dismiss Chapman's ADA claim for lack of jurisdiction and for further proceedings consistent with this opinion. </w:t>
      </w:r>
      <w:r>
        <w:rPr>
          <w:rFonts w:ascii="Arial" w:eastAsia="Arial" w:hAnsi="Arial" w:cs="Arial"/>
          <w:vertAlign w:val="superscript"/>
        </w:rPr>
        <w:footnoteReference w:customMarkFollows="1" w:id="249"/>
        <w:t>11</w:t>
      </w:r>
    </w:p>
    <w:p w14:paraId="48776950" w14:textId="77777777" w:rsidR="00D041A2" w:rsidRDefault="00000000">
      <w:pPr>
        <w:pStyle w:val="Normal37"/>
        <w:widowControl w:val="0"/>
        <w:spacing w:before="200" w:line="260" w:lineRule="atLeast"/>
        <w:jc w:val="both"/>
      </w:pPr>
      <w:bookmarkStart w:id="5264" w:name="Bookmark_para_46_11"/>
      <w:bookmarkEnd w:id="5264"/>
      <w:r>
        <w:rPr>
          <w:rFonts w:ascii="Arial" w:eastAsia="Arial" w:hAnsi="Arial" w:cs="Arial"/>
          <w:b/>
          <w:color w:val="000000"/>
          <w:sz w:val="20"/>
        </w:rPr>
        <w:t>VACATED, DISMISSED</w:t>
      </w:r>
      <w:r>
        <w:rPr>
          <w:rFonts w:ascii="Arial" w:eastAsia="Arial" w:hAnsi="Arial" w:cs="Arial"/>
          <w:color w:val="000000"/>
          <w:sz w:val="20"/>
        </w:rPr>
        <w:t xml:space="preserve"> and </w:t>
      </w:r>
      <w:r>
        <w:rPr>
          <w:rFonts w:ascii="Arial" w:eastAsia="Arial" w:hAnsi="Arial" w:cs="Arial"/>
          <w:b/>
          <w:color w:val="000000"/>
          <w:sz w:val="20"/>
        </w:rPr>
        <w:t>REMANDED</w:t>
      </w:r>
      <w:r>
        <w:rPr>
          <w:rFonts w:ascii="Arial" w:eastAsia="Arial" w:hAnsi="Arial" w:cs="Arial"/>
          <w:color w:val="000000"/>
          <w:sz w:val="20"/>
        </w:rPr>
        <w:t>.</w:t>
      </w:r>
    </w:p>
    <w:p w14:paraId="280FEAE5" w14:textId="77777777" w:rsidR="00D041A2" w:rsidRDefault="00000000">
      <w:pPr>
        <w:pStyle w:val="Normal37"/>
        <w:widowControl w:val="0"/>
        <w:spacing w:before="240" w:line="260" w:lineRule="atLeast"/>
      </w:pPr>
      <w:bookmarkStart w:id="5265" w:name="Concur_by_3"/>
      <w:bookmarkEnd w:id="5265"/>
      <w:r>
        <w:rPr>
          <w:rFonts w:ascii="Arial" w:eastAsia="Arial" w:hAnsi="Arial" w:cs="Arial"/>
          <w:b/>
          <w:color w:val="000000"/>
          <w:sz w:val="20"/>
        </w:rPr>
        <w:t>Concur by:</w:t>
      </w:r>
      <w:r>
        <w:rPr>
          <w:rFonts w:ascii="Arial" w:eastAsia="Arial" w:hAnsi="Arial" w:cs="Arial"/>
          <w:color w:val="000000"/>
          <w:sz w:val="20"/>
        </w:rPr>
        <w:t> N. Randy Smith</w:t>
      </w:r>
    </w:p>
    <w:p w14:paraId="05B31BF3" w14:textId="77777777" w:rsidR="00D041A2" w:rsidRDefault="00000000">
      <w:pPr>
        <w:pStyle w:val="Normal37"/>
        <w:keepNext/>
        <w:widowControl w:val="0"/>
        <w:spacing w:before="240" w:line="340" w:lineRule="atLeast"/>
      </w:pPr>
      <w:bookmarkStart w:id="5266" w:name="Concur_1"/>
      <w:bookmarkEnd w:id="5266"/>
      <w:r>
        <w:rPr>
          <w:rFonts w:ascii="Arial" w:eastAsia="Arial" w:hAnsi="Arial" w:cs="Arial"/>
          <w:b/>
          <w:color w:val="000000"/>
          <w:sz w:val="28"/>
        </w:rPr>
        <w:t>Concur</w:t>
      </w:r>
    </w:p>
    <w:p w14:paraId="4343FB11" w14:textId="77EF4345" w:rsidR="00D041A2" w:rsidRDefault="004D4403">
      <w:pPr>
        <w:pStyle w:val="Normal37"/>
        <w:spacing w:line="60" w:lineRule="exact"/>
      </w:pPr>
      <w:r>
        <w:rPr>
          <w:noProof/>
        </w:rPr>
        <mc:AlternateContent>
          <mc:Choice Requires="wps">
            <w:drawing>
              <wp:anchor distT="0" distB="0" distL="114300" distR="114300" simplePos="0" relativeHeight="251742208" behindDoc="0" locked="0" layoutInCell="1" allowOverlap="1" wp14:anchorId="100A0373" wp14:editId="69658D6B">
                <wp:simplePos x="0" y="0"/>
                <wp:positionH relativeFrom="column">
                  <wp:posOffset>0</wp:posOffset>
                </wp:positionH>
                <wp:positionV relativeFrom="paragraph">
                  <wp:posOffset>25400</wp:posOffset>
                </wp:positionV>
                <wp:extent cx="3187700" cy="0"/>
                <wp:effectExtent l="19050" t="15875" r="12700" b="12700"/>
                <wp:wrapTopAndBottom/>
                <wp:docPr id="1578241398"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2F4EC" id="Line 84"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2038116" w14:textId="77777777" w:rsidR="00D041A2" w:rsidRDefault="00D041A2">
      <w:pPr>
        <w:pStyle w:val="Normal37"/>
      </w:pPr>
    </w:p>
    <w:p w14:paraId="7B7BEE86" w14:textId="77777777" w:rsidR="00D041A2" w:rsidRDefault="00000000">
      <w:pPr>
        <w:pStyle w:val="Normal37"/>
        <w:widowControl w:val="0"/>
        <w:spacing w:before="200" w:line="260" w:lineRule="atLeast"/>
        <w:jc w:val="both"/>
      </w:pPr>
      <w:bookmarkStart w:id="5267" w:name="Bookmark_para_47_10"/>
      <w:bookmarkEnd w:id="5267"/>
      <w:r>
        <w:rPr>
          <w:rFonts w:ascii="Arial" w:eastAsia="Arial" w:hAnsi="Arial" w:cs="Arial"/>
          <w:color w:val="000000"/>
          <w:sz w:val="20"/>
        </w:rPr>
        <w:t>N.R. SMITH, Circuit Judge, concurring in the judgment, joined by RAWLINSON, Circuit Judge:</w:t>
      </w:r>
    </w:p>
    <w:p w14:paraId="5C7A7A19" w14:textId="77777777" w:rsidR="00D041A2" w:rsidRDefault="00000000">
      <w:pPr>
        <w:pStyle w:val="Normal37"/>
        <w:widowControl w:val="0"/>
        <w:spacing w:before="200" w:line="260" w:lineRule="atLeast"/>
        <w:jc w:val="both"/>
      </w:pPr>
      <w:bookmarkStart w:id="5268" w:name="Bookmark_para_48_10"/>
      <w:bookmarkEnd w:id="5268"/>
      <w:r>
        <w:rPr>
          <w:rFonts w:ascii="Arial" w:eastAsia="Arial" w:hAnsi="Arial" w:cs="Arial"/>
          <w:color w:val="000000"/>
          <w:sz w:val="20"/>
        </w:rPr>
        <w:t>I concur in the majority's conclusion that Chapman failed procedurally to demonstrate standing to maintain this action. However, I disagree with the majority's analysis in reaching its conclusion and believe it expands standing for ADA plaintiffs beyond the constitutional confines of Article III.</w:t>
      </w:r>
    </w:p>
    <w:p w14:paraId="61AAEED1" w14:textId="77777777" w:rsidR="00D041A2" w:rsidRDefault="00000000">
      <w:pPr>
        <w:pStyle w:val="Normal37"/>
        <w:widowControl w:val="0"/>
        <w:spacing w:before="240" w:line="260" w:lineRule="atLeast"/>
      </w:pPr>
      <w:r>
        <w:br/>
      </w:r>
      <w:r>
        <w:rPr>
          <w:rFonts w:ascii="Arial" w:eastAsia="Arial" w:hAnsi="Arial" w:cs="Arial"/>
          <w:b/>
          <w:color w:val="000000"/>
          <w:sz w:val="20"/>
        </w:rPr>
        <w:t>I. Standing under the Americans with Disabilities Act of 1990</w:t>
      </w:r>
    </w:p>
    <w:p w14:paraId="7598AAAE" w14:textId="77777777" w:rsidR="00D041A2" w:rsidRDefault="00000000">
      <w:pPr>
        <w:pStyle w:val="Normal37"/>
        <w:widowControl w:val="0"/>
        <w:spacing w:before="200" w:line="260" w:lineRule="atLeast"/>
        <w:jc w:val="both"/>
      </w:pPr>
      <w:bookmarkStart w:id="5269" w:name="Bookmark_para_49_10"/>
      <w:bookmarkStart w:id="5270" w:name="Bookmark_I7M82NTPC700000426D0000H"/>
      <w:bookmarkStart w:id="5271" w:name="Bookmark_I522R2KN0TVRBW0050000400"/>
      <w:bookmarkStart w:id="5272" w:name="Bookmark_I7M82NTPFKH0000426D0000J"/>
      <w:bookmarkStart w:id="5273" w:name="Bookmark_I522R2KP0TVRDC0020000400"/>
      <w:bookmarkEnd w:id="5269"/>
      <w:bookmarkEnd w:id="5270"/>
      <w:bookmarkEnd w:id="5271"/>
      <w:bookmarkEnd w:id="5272"/>
      <w:bookmarkEnd w:id="5273"/>
      <w:r>
        <w:rPr>
          <w:rFonts w:ascii="Arial" w:eastAsia="Arial" w:hAnsi="Arial" w:cs="Arial"/>
          <w:color w:val="000000"/>
          <w:sz w:val="20"/>
        </w:rPr>
        <w:t xml:space="preserve">The Supreme Court has not equivocated regarding the importance of standing within the federal courts. </w:t>
      </w:r>
      <w:bookmarkStart w:id="5274" w:name="Bookmark_I7M82NTPHYP0000426D0000K"/>
      <w:bookmarkStart w:id="5275" w:name="Bookmark_I7M82NTPP9K0000426D0000N"/>
      <w:bookmarkStart w:id="5276" w:name="Bookmark_I522R2KP0TVRDC0040000400"/>
      <w:bookmarkEnd w:id="5274"/>
      <w:bookmarkEnd w:id="5275"/>
      <w:bookmarkEnd w:id="5276"/>
      <w:r>
        <w:rPr>
          <w:rFonts w:ascii="Arial" w:eastAsia="Arial" w:hAnsi="Arial" w:cs="Arial"/>
          <w:color w:val="000000"/>
          <w:sz w:val="20"/>
        </w:rPr>
        <w:t xml:space="preserve">"No principle is more fundamental to the judiciary's proper role in our system of government than the  [*956]  constitutional limitation of federal-court jurisdiction to actual cases or controversies." </w:t>
      </w:r>
      <w:bookmarkStart w:id="5277" w:name="Bookmark_I522R2KN0TVRBW0040000400"/>
      <w:bookmarkEnd w:id="5277"/>
      <w:r>
        <w:rPr>
          <w:rFonts w:ascii="Arial" w:eastAsia="Arial" w:hAnsi="Arial" w:cs="Arial"/>
          <w:i/>
          <w:color w:val="000000"/>
          <w:sz w:val="20"/>
        </w:rPr>
        <w:t>Simon v. E. Kentucky Welfare Rights Org</w:t>
      </w:r>
      <w:r>
        <w:rPr>
          <w:rFonts w:ascii="Arial" w:eastAsia="Arial" w:hAnsi="Arial" w:cs="Arial"/>
          <w:color w:val="000000"/>
          <w:sz w:val="20"/>
        </w:rPr>
        <w:t xml:space="preserve">., 426 U.S. 26, 37, 96 S. Ct. 1917, 48 L. Ed. 2d 450 (1976). </w:t>
      </w:r>
      <w:bookmarkStart w:id="5278" w:name="Bookmark_I7M82NTPVTD0000426D0000R"/>
      <w:bookmarkStart w:id="5279" w:name="Bookmark_I7M82NTR19G0000426D0000T"/>
      <w:bookmarkStart w:id="5280" w:name="Bookmark_I522R2KR0TVRDP0030000400"/>
      <w:bookmarkEnd w:id="5278"/>
      <w:bookmarkEnd w:id="5279"/>
      <w:bookmarkEnd w:id="5280"/>
      <w:r>
        <w:rPr>
          <w:rFonts w:ascii="Arial" w:eastAsia="Arial" w:hAnsi="Arial" w:cs="Arial"/>
          <w:color w:val="000000"/>
          <w:sz w:val="20"/>
        </w:rPr>
        <w:t xml:space="preserve"> [**39] The Article III requirement of standing is "essential and unchanging." </w:t>
      </w:r>
      <w:bookmarkStart w:id="5281" w:name="Bookmark_I522R2KP0TVRDC0010000400"/>
      <w:bookmarkEnd w:id="5281"/>
      <w:r>
        <w:rPr>
          <w:rFonts w:ascii="Arial" w:eastAsia="Arial" w:hAnsi="Arial" w:cs="Arial"/>
          <w:i/>
          <w:color w:val="000000"/>
          <w:sz w:val="20"/>
        </w:rPr>
        <w:t>Lujan v. Defenders of Wildlife</w:t>
      </w:r>
      <w:r>
        <w:rPr>
          <w:rFonts w:ascii="Arial" w:eastAsia="Arial" w:hAnsi="Arial" w:cs="Arial"/>
          <w:color w:val="000000"/>
          <w:sz w:val="20"/>
        </w:rPr>
        <w:t xml:space="preserve">, 504 U.S. 555, 560, 112 S. Ct. 2130, 119 L. Ed. 2d 351 (1992). </w:t>
      </w:r>
      <w:bookmarkStart w:id="5282" w:name="Bookmark_I522R2KR0TVRDP0030000400_2"/>
      <w:bookmarkStart w:id="5283" w:name="Bookmark_I522R2KP0TVRDC0040000400_2"/>
      <w:bookmarkEnd w:id="5282"/>
      <w:bookmarkEnd w:id="5283"/>
      <w:r>
        <w:rPr>
          <w:rFonts w:ascii="Arial" w:eastAsia="Arial" w:hAnsi="Arial" w:cs="Arial"/>
          <w:color w:val="000000"/>
          <w:sz w:val="20"/>
        </w:rPr>
        <w:t xml:space="preserve">At an irreducible constitutional minimum, an Americans with Disabilities Act of 1990 ("ADA") plaintiff must establish standing by showing (1) he or she has suffered an "injury in fact;" (2) there is "a causal connection between the injury" and the defendant's complained-of conduct; and (3) it is likely "that the injury will be redressed by a favorable decision." </w:t>
      </w:r>
      <w:bookmarkStart w:id="5284" w:name="Bookmark_I522R2KP0TVRDC0030000400"/>
      <w:bookmarkEnd w:id="5284"/>
      <w:r>
        <w:rPr>
          <w:rFonts w:ascii="Arial" w:eastAsia="Arial" w:hAnsi="Arial" w:cs="Arial"/>
          <w:i/>
          <w:color w:val="000000"/>
          <w:sz w:val="20"/>
        </w:rPr>
        <w:t>Doran v. 7-Eleven, Inc</w:t>
      </w:r>
      <w:r>
        <w:rPr>
          <w:rFonts w:ascii="Arial" w:eastAsia="Arial" w:hAnsi="Arial" w:cs="Arial"/>
          <w:color w:val="000000"/>
          <w:sz w:val="20"/>
        </w:rPr>
        <w:t xml:space="preserve">., 524 F.3d 1034, 1039 (9th Cir. 2008) (citing </w:t>
      </w:r>
      <w:bookmarkStart w:id="5285" w:name="Bookmark_I522R2KP0TVRDC0050000400"/>
      <w:bookmarkEnd w:id="5285"/>
      <w:r>
        <w:rPr>
          <w:rFonts w:ascii="Arial" w:eastAsia="Arial" w:hAnsi="Arial" w:cs="Arial"/>
          <w:i/>
          <w:color w:val="000000"/>
          <w:sz w:val="20"/>
        </w:rPr>
        <w:t>Lujan</w:t>
      </w:r>
      <w:r>
        <w:rPr>
          <w:rFonts w:ascii="Arial" w:eastAsia="Arial" w:hAnsi="Arial" w:cs="Arial"/>
          <w:color w:val="000000"/>
          <w:sz w:val="20"/>
        </w:rPr>
        <w:t xml:space="preserve">, 504 U.S. at 560-61). Even if a claim satisfies the three elements of standing to sue for past illegal conduct, to sustain standing for injunctive relief, a claimant must also establish a "'real and immediate threat of repeated injury.'" </w:t>
      </w:r>
      <w:bookmarkStart w:id="5286" w:name="Bookmark_I522R2KR0TVRDP0020000400"/>
      <w:bookmarkEnd w:id="5286"/>
      <w:r>
        <w:rPr>
          <w:rFonts w:ascii="Arial" w:eastAsia="Arial" w:hAnsi="Arial" w:cs="Arial"/>
          <w:i/>
          <w:color w:val="000000"/>
          <w:sz w:val="20"/>
        </w:rPr>
        <w:t>Fortyune v. Am. Multi-Cinema, Inc</w:t>
      </w:r>
      <w:r>
        <w:rPr>
          <w:rFonts w:ascii="Arial" w:eastAsia="Arial" w:hAnsi="Arial" w:cs="Arial"/>
          <w:color w:val="000000"/>
          <w:sz w:val="20"/>
        </w:rPr>
        <w:t xml:space="preserve">., 364 F.3d 1075, 1081 (9th Cir. 2004) (quoting </w:t>
      </w:r>
      <w:bookmarkStart w:id="5287" w:name="Bookmark_I522R2KR0TVRDP0040000400"/>
      <w:bookmarkEnd w:id="5287"/>
      <w:r>
        <w:rPr>
          <w:rFonts w:ascii="Arial" w:eastAsia="Arial" w:hAnsi="Arial" w:cs="Arial"/>
          <w:i/>
          <w:color w:val="000000"/>
          <w:sz w:val="20"/>
        </w:rPr>
        <w:t>O'Shea v. Littleton</w:t>
      </w:r>
      <w:r>
        <w:rPr>
          <w:rFonts w:ascii="Arial" w:eastAsia="Arial" w:hAnsi="Arial" w:cs="Arial"/>
          <w:color w:val="000000"/>
          <w:sz w:val="20"/>
        </w:rPr>
        <w:t>, 414 U.S. 488, 496, 94 S. Ct. 669, 38 L. Ed. 2d 674 (1974)).</w:t>
      </w:r>
    </w:p>
    <w:p w14:paraId="7CD8BE7B" w14:textId="77777777" w:rsidR="00D041A2" w:rsidRDefault="00000000">
      <w:pPr>
        <w:pStyle w:val="Normal37"/>
        <w:widowControl w:val="0"/>
        <w:spacing w:before="240" w:line="260" w:lineRule="atLeast"/>
      </w:pPr>
      <w:r>
        <w:br/>
      </w:r>
      <w:r>
        <w:rPr>
          <w:rFonts w:ascii="Arial" w:eastAsia="Arial" w:hAnsi="Arial" w:cs="Arial"/>
          <w:b/>
          <w:color w:val="000000"/>
          <w:sz w:val="20"/>
        </w:rPr>
        <w:t>A. Encountered Barriers</w:t>
      </w:r>
    </w:p>
    <w:p w14:paraId="22107CD5" w14:textId="77777777" w:rsidR="00D041A2" w:rsidRDefault="00000000">
      <w:pPr>
        <w:pStyle w:val="Normal37"/>
        <w:widowControl w:val="0"/>
        <w:spacing w:before="200" w:line="260" w:lineRule="atLeast"/>
        <w:jc w:val="both"/>
      </w:pPr>
      <w:bookmarkStart w:id="5288" w:name="Bookmark_para_50_10"/>
      <w:bookmarkStart w:id="5289" w:name="Bookmark_I7M82NTR6080000426D0000W"/>
      <w:bookmarkStart w:id="5290" w:name="Bookmark_I522R2KR0TVRF20020000400"/>
      <w:bookmarkStart w:id="5291" w:name="Bookmark_I7M82NTR86C0000426D0000X"/>
      <w:bookmarkStart w:id="5292" w:name="Bookmark_I522R2KR0TVRF20040000400"/>
      <w:bookmarkEnd w:id="5288"/>
      <w:bookmarkEnd w:id="5289"/>
      <w:bookmarkEnd w:id="5290"/>
      <w:bookmarkEnd w:id="5291"/>
      <w:bookmarkEnd w:id="5292"/>
      <w:r>
        <w:rPr>
          <w:rFonts w:ascii="Arial" w:eastAsia="Arial" w:hAnsi="Arial" w:cs="Arial"/>
          <w:color w:val="000000"/>
          <w:sz w:val="20"/>
        </w:rPr>
        <w:t xml:space="preserve">In the ADA, Congress created a cause of action for disabled persons who experience discrimination through architectural barriers. 42 U.S.C. § 12101(a)(5). "Congress may enact statutes creating legal rights, the invasion of which creates standing,  [**40] even though no injury would exist without the statute." </w:t>
      </w:r>
      <w:bookmarkStart w:id="5293" w:name="Bookmark_I522R2KR0TVRF20010000400"/>
      <w:bookmarkEnd w:id="5293"/>
      <w:r>
        <w:rPr>
          <w:rFonts w:ascii="Arial" w:eastAsia="Arial" w:hAnsi="Arial" w:cs="Arial"/>
          <w:i/>
          <w:color w:val="000000"/>
          <w:sz w:val="20"/>
        </w:rPr>
        <w:t>Linda R. S. v. Richard D.</w:t>
      </w:r>
      <w:r>
        <w:rPr>
          <w:rFonts w:ascii="Arial" w:eastAsia="Arial" w:hAnsi="Arial" w:cs="Arial"/>
          <w:color w:val="000000"/>
          <w:sz w:val="20"/>
        </w:rPr>
        <w:t xml:space="preserve">, 410 U.S. 614, 617 n.3, 93 S. Ct. 1146, 35 L. Ed. 2d 536 (1973). </w:t>
      </w:r>
      <w:bookmarkStart w:id="5294" w:name="Bookmark_I7M82NTRBG00000426D0000Y"/>
      <w:bookmarkStart w:id="5295" w:name="Bookmark_I522R2KR0TVRFB0010000400"/>
      <w:bookmarkEnd w:id="5294"/>
      <w:bookmarkEnd w:id="5295"/>
      <w:r>
        <w:rPr>
          <w:rFonts w:ascii="Arial" w:eastAsia="Arial" w:hAnsi="Arial" w:cs="Arial"/>
          <w:color w:val="000000"/>
          <w:sz w:val="20"/>
        </w:rPr>
        <w:t>This principle reflects Congress's ability to elevate "</w:t>
      </w:r>
      <w:r>
        <w:rPr>
          <w:rFonts w:ascii="Arial" w:eastAsia="Arial" w:hAnsi="Arial" w:cs="Arial"/>
          <w:i/>
          <w:color w:val="000000"/>
          <w:sz w:val="20"/>
        </w:rPr>
        <w:t>de facto</w:t>
      </w:r>
      <w:r>
        <w:rPr>
          <w:rFonts w:ascii="Arial" w:eastAsia="Arial" w:hAnsi="Arial" w:cs="Arial"/>
          <w:color w:val="000000"/>
          <w:sz w:val="20"/>
        </w:rPr>
        <w:t xml:space="preserve"> injuries," otherwise not actionable at common law, into "legally cognizable injuries." </w:t>
      </w:r>
      <w:bookmarkStart w:id="5296" w:name="Bookmark_I522R2KR0TVRF20030000400"/>
      <w:bookmarkEnd w:id="5296"/>
      <w:r>
        <w:rPr>
          <w:rFonts w:ascii="Arial" w:eastAsia="Arial" w:hAnsi="Arial" w:cs="Arial"/>
          <w:i/>
          <w:color w:val="000000"/>
          <w:sz w:val="20"/>
        </w:rPr>
        <w:t>Lujan</w:t>
      </w:r>
      <w:r>
        <w:rPr>
          <w:rFonts w:ascii="Arial" w:eastAsia="Arial" w:hAnsi="Arial" w:cs="Arial"/>
          <w:color w:val="000000"/>
          <w:sz w:val="20"/>
        </w:rPr>
        <w:t xml:space="preserve">, 504 U.S. at 578. </w:t>
      </w:r>
      <w:bookmarkStart w:id="5297" w:name="Bookmark_I522R2KR0TVRFB0010000400_2"/>
      <w:bookmarkStart w:id="5298" w:name="Bookmark_I7M82NTS4F20000426D00011"/>
      <w:bookmarkStart w:id="5299" w:name="Bookmark_I522R2KR0TVRFB0030000400"/>
      <w:bookmarkEnd w:id="5297"/>
      <w:bookmarkEnd w:id="5298"/>
      <w:bookmarkEnd w:id="5299"/>
      <w:r>
        <w:rPr>
          <w:rFonts w:ascii="Arial" w:eastAsia="Arial" w:hAnsi="Arial" w:cs="Arial"/>
          <w:color w:val="000000"/>
          <w:sz w:val="20"/>
        </w:rPr>
        <w:t xml:space="preserve">For example, the Civil Rights Act of 1968 elevated an individual's "personal interest in living in a racially integrated community" to a cognizable legal injury if a private party denied that interest. </w:t>
      </w:r>
      <w:r>
        <w:rPr>
          <w:rFonts w:ascii="Arial" w:eastAsia="Arial" w:hAnsi="Arial" w:cs="Arial"/>
          <w:i/>
          <w:color w:val="000000"/>
          <w:sz w:val="20"/>
        </w:rPr>
        <w:t>Id</w:t>
      </w:r>
      <w:r>
        <w:rPr>
          <w:rFonts w:ascii="Arial" w:eastAsia="Arial" w:hAnsi="Arial" w:cs="Arial"/>
          <w:color w:val="000000"/>
          <w:sz w:val="20"/>
        </w:rPr>
        <w:t xml:space="preserve">. (citing </w:t>
      </w:r>
      <w:bookmarkStart w:id="5300" w:name="Bookmark_I522R2KR0TVRF20050000400"/>
      <w:bookmarkEnd w:id="5300"/>
      <w:r>
        <w:rPr>
          <w:rFonts w:ascii="Arial" w:eastAsia="Arial" w:hAnsi="Arial" w:cs="Arial"/>
          <w:i/>
          <w:color w:val="000000"/>
          <w:sz w:val="20"/>
        </w:rPr>
        <w:t>Trafficante v. Metro. Life Ins. Co.</w:t>
      </w:r>
      <w:r>
        <w:rPr>
          <w:rFonts w:ascii="Arial" w:eastAsia="Arial" w:hAnsi="Arial" w:cs="Arial"/>
          <w:color w:val="000000"/>
          <w:sz w:val="20"/>
        </w:rPr>
        <w:t xml:space="preserve">, 409 U.S. 205, 208-12, 93 S. Ct. 364, 34 L. Ed. 2d 415 (1972)). </w:t>
      </w:r>
      <w:bookmarkStart w:id="5301" w:name="Bookmark_I522R2KR0TVRFB0030000400_2"/>
      <w:bookmarkEnd w:id="5301"/>
      <w:r>
        <w:rPr>
          <w:rFonts w:ascii="Arial" w:eastAsia="Arial" w:hAnsi="Arial" w:cs="Arial"/>
          <w:color w:val="000000"/>
          <w:sz w:val="20"/>
        </w:rPr>
        <w:t xml:space="preserve">However, "broadening of the categories of injury that may be alleged in support of standing is a different matter from abandoning the requirement that the party seeking review must himself have suffered an injury." </w:t>
      </w:r>
      <w:r>
        <w:rPr>
          <w:rFonts w:ascii="Arial" w:eastAsia="Arial" w:hAnsi="Arial" w:cs="Arial"/>
          <w:i/>
          <w:color w:val="000000"/>
          <w:sz w:val="20"/>
        </w:rPr>
        <w:t>Id</w:t>
      </w:r>
      <w:r>
        <w:rPr>
          <w:rFonts w:ascii="Arial" w:eastAsia="Arial" w:hAnsi="Arial" w:cs="Arial"/>
          <w:color w:val="000000"/>
          <w:sz w:val="20"/>
        </w:rPr>
        <w:t xml:space="preserve">. (quoting </w:t>
      </w:r>
      <w:bookmarkStart w:id="5302" w:name="Bookmark_I522R2KR0TVRFB0020000400"/>
      <w:bookmarkEnd w:id="5302"/>
      <w:r>
        <w:rPr>
          <w:rFonts w:ascii="Arial" w:eastAsia="Arial" w:hAnsi="Arial" w:cs="Arial"/>
          <w:i/>
          <w:color w:val="000000"/>
          <w:sz w:val="20"/>
        </w:rPr>
        <w:t>Sierra Club v. Morton</w:t>
      </w:r>
      <w:r>
        <w:rPr>
          <w:rFonts w:ascii="Arial" w:eastAsia="Arial" w:hAnsi="Arial" w:cs="Arial"/>
          <w:color w:val="000000"/>
          <w:sz w:val="20"/>
        </w:rPr>
        <w:t>, 405 U.S. 727, 738, 92 S. Ct. 1361, 31 L. Ed. 2d 636 (1972)) (quotation marks and alteration omitted).</w:t>
      </w:r>
    </w:p>
    <w:p w14:paraId="6D91AC80" w14:textId="77777777" w:rsidR="00D041A2" w:rsidRDefault="00000000">
      <w:pPr>
        <w:pStyle w:val="Normal37"/>
        <w:widowControl w:val="0"/>
        <w:spacing w:before="200" w:line="260" w:lineRule="atLeast"/>
        <w:jc w:val="both"/>
      </w:pPr>
      <w:bookmarkStart w:id="5303" w:name="Bookmark_para_51_9"/>
      <w:bookmarkEnd w:id="5303"/>
      <w:r>
        <w:rPr>
          <w:rFonts w:ascii="Arial" w:eastAsia="Arial" w:hAnsi="Arial" w:cs="Arial"/>
          <w:color w:val="000000"/>
          <w:sz w:val="20"/>
        </w:rPr>
        <w:t>Under the above articulated requirements for standing, I agree fully with the majority's ultimate holding that:</w:t>
      </w:r>
    </w:p>
    <w:p w14:paraId="0893A264" w14:textId="77777777" w:rsidR="00D041A2" w:rsidRDefault="00000000">
      <w:pPr>
        <w:pStyle w:val="Normal37"/>
        <w:widowControl w:val="0"/>
        <w:spacing w:before="200" w:line="260" w:lineRule="atLeast"/>
        <w:ind w:left="400"/>
        <w:jc w:val="both"/>
      </w:pPr>
      <w:bookmarkStart w:id="5304" w:name="Bookmark_para_52_9"/>
      <w:bookmarkStart w:id="5305" w:name="Bookmark_I7M82NTS9710000426D00013"/>
      <w:bookmarkStart w:id="5306" w:name="Bookmark_I522R2KR0TVRFB0050000400"/>
      <w:bookmarkEnd w:id="5304"/>
      <w:bookmarkEnd w:id="5305"/>
      <w:bookmarkEnd w:id="5306"/>
      <w:r>
        <w:rPr>
          <w:rFonts w:ascii="Arial" w:eastAsia="Arial" w:hAnsi="Arial" w:cs="Arial"/>
          <w:color w:val="000000"/>
          <w:sz w:val="20"/>
        </w:rPr>
        <w:t>Chapman leaves the federal court to guess which, if any, of the alleged violations deprived him of the same full and equal access that a person who is not wheelchair bound would enjoy when shopping at Pier  [**41] One. Nor does he identify how any of the alleged violations threatens to deprive him of full and equal access due to his disability if he were to return to the Store, or how any of them deter him from visiting the Store due to his disability.</w:t>
      </w:r>
    </w:p>
    <w:p w14:paraId="22C97B6B" w14:textId="77777777" w:rsidR="00D041A2" w:rsidRDefault="00000000">
      <w:pPr>
        <w:pStyle w:val="Normal37"/>
        <w:widowControl w:val="0"/>
        <w:spacing w:before="200" w:line="260" w:lineRule="atLeast"/>
        <w:jc w:val="both"/>
      </w:pPr>
      <w:bookmarkStart w:id="5307" w:name="Bookmark_I522R2KR0TVRFB0050000400_2"/>
      <w:bookmarkEnd w:id="5307"/>
      <w:r>
        <w:rPr>
          <w:rFonts w:ascii="Arial" w:eastAsia="Arial" w:hAnsi="Arial" w:cs="Arial"/>
          <w:color w:val="000000"/>
          <w:sz w:val="20"/>
        </w:rPr>
        <w:t xml:space="preserve">Maj. Op. at 463-64. Requiring that an ADA plaintiff plead and prove that a barrier affects him by making access or enjoyment of a facility more difficult for him than for a non-disabled person satisfies Article III's requirement that an injury affect a "plaintiff in a personal and individual way." </w:t>
      </w:r>
      <w:bookmarkStart w:id="5308" w:name="Bookmark_I522R2KR0TVRFB0040000400"/>
      <w:bookmarkEnd w:id="5308"/>
      <w:r>
        <w:rPr>
          <w:rFonts w:ascii="Arial" w:eastAsia="Arial" w:hAnsi="Arial" w:cs="Arial"/>
          <w:i/>
          <w:color w:val="000000"/>
          <w:sz w:val="20"/>
        </w:rPr>
        <w:t>Lujan</w:t>
      </w:r>
      <w:r>
        <w:rPr>
          <w:rFonts w:ascii="Arial" w:eastAsia="Arial" w:hAnsi="Arial" w:cs="Arial"/>
          <w:color w:val="000000"/>
          <w:sz w:val="20"/>
        </w:rPr>
        <w:t>, 504 U.S. at 560 n.1. However, I must disagree with the majority's statement that "[w]here the [ADAAG defined] barrier is related to the particular plaintiff's disability, . . . an encounter with the barrier necessarily injures the plaintiff by depriving him of full and equal enjoyment of the facility." Maj. Op. at 450-51 n.4. In this statement, the majority confuses a  [*957]  cognizable interest with an actual injury to that interest.</w:t>
      </w:r>
    </w:p>
    <w:p w14:paraId="26908E57" w14:textId="77777777" w:rsidR="00D041A2" w:rsidRDefault="00000000">
      <w:pPr>
        <w:pStyle w:val="Normal37"/>
        <w:widowControl w:val="0"/>
        <w:spacing w:before="200" w:line="260" w:lineRule="atLeast"/>
        <w:jc w:val="both"/>
      </w:pPr>
      <w:bookmarkStart w:id="5309" w:name="Bookmark_para_53_8"/>
      <w:bookmarkStart w:id="5310" w:name="Bookmark_I7M82NTSFRX0000426D00015"/>
      <w:bookmarkStart w:id="5311" w:name="Bookmark_I522R2KS0TVRFM0020000400"/>
      <w:bookmarkStart w:id="5312" w:name="Bookmark_I7M82NTSHYX0000426D00016"/>
      <w:bookmarkStart w:id="5313" w:name="Bookmark_I522R2KS0TVRFX0010000400"/>
      <w:bookmarkEnd w:id="5309"/>
      <w:bookmarkEnd w:id="5310"/>
      <w:bookmarkEnd w:id="5311"/>
      <w:bookmarkEnd w:id="5312"/>
      <w:bookmarkEnd w:id="5313"/>
      <w:r>
        <w:rPr>
          <w:rFonts w:ascii="Arial" w:eastAsia="Arial" w:hAnsi="Arial" w:cs="Arial"/>
          <w:color w:val="000000"/>
          <w:sz w:val="20"/>
        </w:rPr>
        <w:t xml:space="preserve">To demonstrate that he has suffered an "injury in fact," a plaintiff must establish an "invasion  [**42] of a legally protected interest which is (a) concrete and particularized, and (b) actual or imminent, not conjectural or hypothetical." </w:t>
      </w:r>
      <w:bookmarkStart w:id="5314" w:name="Bookmark_I522R2KS0TVRFM0010000400"/>
      <w:bookmarkEnd w:id="5314"/>
      <w:r>
        <w:rPr>
          <w:rFonts w:ascii="Arial" w:eastAsia="Arial" w:hAnsi="Arial" w:cs="Arial"/>
          <w:i/>
          <w:color w:val="000000"/>
          <w:sz w:val="20"/>
        </w:rPr>
        <w:t>Doran</w:t>
      </w:r>
      <w:r>
        <w:rPr>
          <w:rFonts w:ascii="Arial" w:eastAsia="Arial" w:hAnsi="Arial" w:cs="Arial"/>
          <w:color w:val="000000"/>
          <w:sz w:val="20"/>
        </w:rPr>
        <w:t xml:space="preserve">, 524 F.3d at 1039 (quoting </w:t>
      </w:r>
      <w:bookmarkStart w:id="5315" w:name="Bookmark_I522R2KS0TVRFM0030000400"/>
      <w:bookmarkEnd w:id="5315"/>
      <w:r>
        <w:rPr>
          <w:rFonts w:ascii="Arial" w:eastAsia="Arial" w:hAnsi="Arial" w:cs="Arial"/>
          <w:i/>
          <w:color w:val="000000"/>
          <w:sz w:val="20"/>
        </w:rPr>
        <w:t>Lujan</w:t>
      </w:r>
      <w:r>
        <w:rPr>
          <w:rFonts w:ascii="Arial" w:eastAsia="Arial" w:hAnsi="Arial" w:cs="Arial"/>
          <w:color w:val="000000"/>
          <w:sz w:val="20"/>
        </w:rPr>
        <w:t xml:space="preserve">, 504 U.S. at 560). </w:t>
      </w:r>
      <w:bookmarkStart w:id="5316" w:name="Bookmark_I848J0DX24M00002SJ9005D2"/>
      <w:bookmarkStart w:id="5317" w:name="Bookmark_I848J0DX6KG00002SJ9005D4"/>
      <w:bookmarkStart w:id="5318" w:name="Bookmark_I522R2KS0TVRFX0030000400"/>
      <w:bookmarkEnd w:id="5316"/>
      <w:bookmarkEnd w:id="5317"/>
      <w:bookmarkEnd w:id="5318"/>
      <w:r>
        <w:rPr>
          <w:rFonts w:ascii="Arial" w:eastAsia="Arial" w:hAnsi="Arial" w:cs="Arial"/>
          <w:color w:val="000000"/>
          <w:sz w:val="20"/>
        </w:rPr>
        <w:t xml:space="preserve">Thus, a plaintiff must allege more than encountering an ADAAG defined barrier in order to establish standing. </w:t>
      </w:r>
      <w:r>
        <w:rPr>
          <w:rFonts w:ascii="Arial" w:eastAsia="Arial" w:hAnsi="Arial" w:cs="Arial"/>
          <w:i/>
          <w:color w:val="000000"/>
          <w:sz w:val="20"/>
        </w:rPr>
        <w:t xml:space="preserve">See </w:t>
      </w:r>
      <w:bookmarkStart w:id="5319" w:name="Bookmark_I522R2KS0TVRFM0050000400"/>
      <w:bookmarkEnd w:id="5319"/>
      <w:r>
        <w:rPr>
          <w:rFonts w:ascii="Arial" w:eastAsia="Arial" w:hAnsi="Arial" w:cs="Arial"/>
          <w:i/>
          <w:color w:val="000000"/>
          <w:sz w:val="20"/>
        </w:rPr>
        <w:t>Lujan</w:t>
      </w:r>
      <w:r>
        <w:rPr>
          <w:rFonts w:ascii="Arial" w:eastAsia="Arial" w:hAnsi="Arial" w:cs="Arial"/>
          <w:color w:val="000000"/>
          <w:sz w:val="20"/>
        </w:rPr>
        <w:t xml:space="preserve">, 504 U.S. at 563 ("[T]he injury in fact test requires more than an injury to a cognizable interest. </w:t>
      </w:r>
      <w:bookmarkStart w:id="5320" w:name="Bookmark_I522R2KS0TVRFX0030000400_2"/>
      <w:bookmarkEnd w:id="5320"/>
      <w:r>
        <w:rPr>
          <w:rFonts w:ascii="Arial" w:eastAsia="Arial" w:hAnsi="Arial" w:cs="Arial"/>
          <w:color w:val="000000"/>
          <w:sz w:val="20"/>
        </w:rPr>
        <w:t xml:space="preserve">It requires that the party seeking review be himself among the injured." (internal quotation marks and citation omitted)); </w:t>
      </w:r>
      <w:bookmarkStart w:id="5321" w:name="Bookmark_I522R2KS0TVRFX0020000400"/>
      <w:bookmarkEnd w:id="5321"/>
      <w:r>
        <w:rPr>
          <w:rFonts w:ascii="Arial" w:eastAsia="Arial" w:hAnsi="Arial" w:cs="Arial"/>
          <w:i/>
          <w:color w:val="000000"/>
          <w:sz w:val="20"/>
        </w:rPr>
        <w:t>id</w:t>
      </w:r>
      <w:r>
        <w:rPr>
          <w:rFonts w:ascii="Arial" w:eastAsia="Arial" w:hAnsi="Arial" w:cs="Arial"/>
          <w:color w:val="000000"/>
          <w:sz w:val="20"/>
        </w:rPr>
        <w:t xml:space="preserve">. at 560 n.1 ("By particularized, we mean that the injury must affect the plaintiff in a personal and individual way."); </w:t>
      </w:r>
      <w:r>
        <w:rPr>
          <w:rFonts w:ascii="Arial" w:eastAsia="Arial" w:hAnsi="Arial" w:cs="Arial"/>
          <w:i/>
          <w:color w:val="000000"/>
          <w:sz w:val="20"/>
        </w:rPr>
        <w:t xml:space="preserve">see also </w:t>
      </w:r>
      <w:bookmarkStart w:id="5322" w:name="Bookmark_I522R2KS0TVRFX0040000400"/>
      <w:bookmarkEnd w:id="5322"/>
      <w:r>
        <w:rPr>
          <w:rFonts w:ascii="Arial" w:eastAsia="Arial" w:hAnsi="Arial" w:cs="Arial"/>
          <w:i/>
          <w:color w:val="000000"/>
          <w:sz w:val="20"/>
        </w:rPr>
        <w:t>Warth v. Seldin</w:t>
      </w:r>
      <w:r>
        <w:rPr>
          <w:rFonts w:ascii="Arial" w:eastAsia="Arial" w:hAnsi="Arial" w:cs="Arial"/>
          <w:color w:val="000000"/>
          <w:sz w:val="20"/>
        </w:rPr>
        <w:t>, 422 U.S. 490, 501, 95 S. Ct. 2197, 45 L. Ed. 2d 343 (1975) (Although Congress may grant a right to bring an action otherwise barred, "the plaintiff still must allege a distinct and palpable injury to himself, even if it is an injury shared by a large class of other possible litigants.").</w:t>
      </w:r>
    </w:p>
    <w:p w14:paraId="12B16A9D" w14:textId="77777777" w:rsidR="00D041A2" w:rsidRDefault="00000000">
      <w:pPr>
        <w:pStyle w:val="Normal37"/>
        <w:widowControl w:val="0"/>
        <w:spacing w:before="200" w:line="260" w:lineRule="atLeast"/>
        <w:jc w:val="both"/>
      </w:pPr>
      <w:bookmarkStart w:id="5323" w:name="Bookmark_para_54_8"/>
      <w:bookmarkStart w:id="5324" w:name="Bookmark_I7M82NTSY920000426D0001C"/>
      <w:bookmarkStart w:id="5325" w:name="Bookmark_I522R2KS0TVRG80020000400"/>
      <w:bookmarkStart w:id="5326" w:name="Bookmark_I7M82NTT1ND0000426D0001D"/>
      <w:bookmarkStart w:id="5327" w:name="Bookmark_I522R2KS0TVRG80040000400"/>
      <w:bookmarkEnd w:id="5323"/>
      <w:bookmarkEnd w:id="5324"/>
      <w:bookmarkEnd w:id="5325"/>
      <w:bookmarkEnd w:id="5326"/>
      <w:bookmarkEnd w:id="5327"/>
      <w:r>
        <w:rPr>
          <w:rFonts w:ascii="Arial" w:eastAsia="Arial" w:hAnsi="Arial" w:cs="Arial"/>
          <w:color w:val="000000"/>
          <w:sz w:val="20"/>
        </w:rPr>
        <w:t xml:space="preserve">To the extent the majority's analysis would have allowed Chapman to simply allege a specific encounter with an ADAAG barrier related to his disability to satisfy the injury in fact requirement for standing, it fails to meet the requirement that the encounter "affect[s]  [**43] the plaintiff in a personal and individual way," </w:t>
      </w:r>
      <w:bookmarkStart w:id="5328" w:name="Bookmark_I522R2KS0TVRG80010000400"/>
      <w:bookmarkEnd w:id="5328"/>
      <w:r>
        <w:rPr>
          <w:rFonts w:ascii="Arial" w:eastAsia="Arial" w:hAnsi="Arial" w:cs="Arial"/>
          <w:i/>
          <w:color w:val="000000"/>
          <w:sz w:val="20"/>
        </w:rPr>
        <w:t>Lujan</w:t>
      </w:r>
      <w:r>
        <w:rPr>
          <w:rFonts w:ascii="Arial" w:eastAsia="Arial" w:hAnsi="Arial" w:cs="Arial"/>
          <w:color w:val="000000"/>
          <w:sz w:val="20"/>
        </w:rPr>
        <w:t xml:space="preserve">, 504 U.S. at 560 n.1, and is no different than allowing standing for barriers not related to the plaintiff's disability. An encounter with an ADAAG defined barrier that a disabled person does not notice (or that does not affect the individual) is not a "distinct and palpable" injury. </w:t>
      </w:r>
      <w:r>
        <w:rPr>
          <w:rFonts w:ascii="Arial" w:eastAsia="Arial" w:hAnsi="Arial" w:cs="Arial"/>
          <w:i/>
          <w:color w:val="000000"/>
          <w:sz w:val="20"/>
        </w:rPr>
        <w:t xml:space="preserve">See </w:t>
      </w:r>
      <w:bookmarkStart w:id="5329" w:name="Bookmark_I522R2KS0TVRG80030000400"/>
      <w:bookmarkEnd w:id="5329"/>
      <w:r>
        <w:rPr>
          <w:rFonts w:ascii="Arial" w:eastAsia="Arial" w:hAnsi="Arial" w:cs="Arial"/>
          <w:i/>
          <w:color w:val="000000"/>
          <w:sz w:val="20"/>
        </w:rPr>
        <w:t>Warth</w:t>
      </w:r>
      <w:r>
        <w:rPr>
          <w:rFonts w:ascii="Arial" w:eastAsia="Arial" w:hAnsi="Arial" w:cs="Arial"/>
          <w:color w:val="000000"/>
          <w:sz w:val="20"/>
        </w:rPr>
        <w:t>, 422 U.S. at 501.</w:t>
      </w:r>
    </w:p>
    <w:p w14:paraId="3B53B5B1" w14:textId="77777777" w:rsidR="00D041A2" w:rsidRDefault="00000000">
      <w:pPr>
        <w:pStyle w:val="Normal37"/>
        <w:widowControl w:val="0"/>
        <w:spacing w:before="200" w:line="260" w:lineRule="atLeast"/>
        <w:jc w:val="both"/>
      </w:pPr>
      <w:bookmarkStart w:id="5330" w:name="Bookmark_para_55_6"/>
      <w:bookmarkStart w:id="5331" w:name="Bookmark_I7M82NTX1940000426D0002S"/>
      <w:bookmarkStart w:id="5332" w:name="Bookmark_I522R2KT0TVRGK0010000400"/>
      <w:bookmarkStart w:id="5333" w:name="Bookmark_I7M82NTT3V60000426D0001F"/>
      <w:bookmarkStart w:id="5334" w:name="Bookmark_I7M82NTT61K0000426D0001G"/>
      <w:bookmarkStart w:id="5335" w:name="Bookmark_I522R2KT0TVRGK0030000400"/>
      <w:bookmarkEnd w:id="5330"/>
      <w:bookmarkEnd w:id="5331"/>
      <w:bookmarkEnd w:id="5332"/>
      <w:bookmarkEnd w:id="5333"/>
      <w:bookmarkEnd w:id="5334"/>
      <w:bookmarkEnd w:id="5335"/>
      <w:r>
        <w:rPr>
          <w:rFonts w:ascii="Arial" w:eastAsia="Arial" w:hAnsi="Arial" w:cs="Arial"/>
          <w:color w:val="000000"/>
          <w:sz w:val="20"/>
        </w:rPr>
        <w:t xml:space="preserve">The majority correctly points out that a barrier need not "completely preclude the plaintiff from entering or from any use of the facility" to give standing to the plaintiff. Maj. Op. at 450, </w:t>
      </w:r>
      <w:r>
        <w:rPr>
          <w:rFonts w:ascii="Arial" w:eastAsia="Arial" w:hAnsi="Arial" w:cs="Arial"/>
          <w:i/>
          <w:color w:val="000000"/>
          <w:sz w:val="20"/>
        </w:rPr>
        <w:t xml:space="preserve">See </w:t>
      </w:r>
      <w:bookmarkStart w:id="5336" w:name="Bookmark_I522R2KS0TVRG80050000400"/>
      <w:bookmarkEnd w:id="5336"/>
      <w:r>
        <w:rPr>
          <w:rFonts w:ascii="Arial" w:eastAsia="Arial" w:hAnsi="Arial" w:cs="Arial"/>
          <w:i/>
          <w:color w:val="000000"/>
          <w:sz w:val="20"/>
        </w:rPr>
        <w:t>Fortyune</w:t>
      </w:r>
      <w:r>
        <w:rPr>
          <w:rFonts w:ascii="Arial" w:eastAsia="Arial" w:hAnsi="Arial" w:cs="Arial"/>
          <w:color w:val="000000"/>
          <w:sz w:val="20"/>
        </w:rPr>
        <w:t xml:space="preserve">, 364 F.3d 1081-82. However, it is important that the encounter with the barrier adversely affect the plaintiff in some way to satisfy the particularized injury requirement for injury in fact. </w:t>
      </w:r>
      <w:bookmarkStart w:id="5337" w:name="Bookmark_I522R2KT0TVRGK0020000400"/>
      <w:bookmarkEnd w:id="5337"/>
      <w:r>
        <w:rPr>
          <w:rFonts w:ascii="Arial" w:eastAsia="Arial" w:hAnsi="Arial" w:cs="Arial"/>
          <w:i/>
          <w:color w:val="000000"/>
          <w:sz w:val="20"/>
        </w:rPr>
        <w:t>Lujan</w:t>
      </w:r>
      <w:r>
        <w:rPr>
          <w:rFonts w:ascii="Arial" w:eastAsia="Arial" w:hAnsi="Arial" w:cs="Arial"/>
          <w:color w:val="000000"/>
          <w:sz w:val="20"/>
        </w:rPr>
        <w:t xml:space="preserve">, 504 U.S. at 578; </w:t>
      </w:r>
      <w:bookmarkStart w:id="5338" w:name="Bookmark_I522R2KT0TVRGK0040000400"/>
      <w:bookmarkEnd w:id="5338"/>
      <w:r>
        <w:rPr>
          <w:rFonts w:ascii="Arial" w:eastAsia="Arial" w:hAnsi="Arial" w:cs="Arial"/>
          <w:i/>
          <w:color w:val="000000"/>
          <w:sz w:val="20"/>
        </w:rPr>
        <w:t>Doran</w:t>
      </w:r>
      <w:r>
        <w:rPr>
          <w:rFonts w:ascii="Arial" w:eastAsia="Arial" w:hAnsi="Arial" w:cs="Arial"/>
          <w:color w:val="000000"/>
          <w:sz w:val="20"/>
        </w:rPr>
        <w:t xml:space="preserve">, 524 F.3d at 1042 n.5 ("Once a disabled individual has encountered or become aware of alleged ADA violations that deter his patronage of </w:t>
      </w:r>
      <w:r>
        <w:rPr>
          <w:rFonts w:ascii="Arial" w:eastAsia="Arial" w:hAnsi="Arial" w:cs="Arial"/>
          <w:i/>
          <w:color w:val="000000"/>
          <w:sz w:val="20"/>
        </w:rPr>
        <w:t>or otherwise interfere with his access to</w:t>
      </w:r>
      <w:r>
        <w:rPr>
          <w:rFonts w:ascii="Arial" w:eastAsia="Arial" w:hAnsi="Arial" w:cs="Arial"/>
          <w:color w:val="000000"/>
          <w:sz w:val="20"/>
        </w:rPr>
        <w:t xml:space="preserve"> a place of public accommodation, he has already suffered an injury in fact. . . ." (emphasis added)).</w:t>
      </w:r>
    </w:p>
    <w:p w14:paraId="156E2B09" w14:textId="77777777" w:rsidR="00D041A2" w:rsidRDefault="00000000">
      <w:pPr>
        <w:pStyle w:val="Normal37"/>
        <w:widowControl w:val="0"/>
        <w:spacing w:before="200" w:line="260" w:lineRule="atLeast"/>
        <w:jc w:val="both"/>
      </w:pPr>
      <w:bookmarkStart w:id="5339" w:name="Bookmark_para_56_6"/>
      <w:bookmarkStart w:id="5340" w:name="Bookmark_I7M82NTT8BJ0000426D0001H"/>
      <w:bookmarkStart w:id="5341" w:name="Bookmark_I522R2KT0TVRGW0020000400"/>
      <w:bookmarkStart w:id="5342" w:name="Bookmark_I7M82NTTBJ40000426D0001J"/>
      <w:bookmarkStart w:id="5343" w:name="Bookmark_I522R2KT0TVRGW0040000400"/>
      <w:bookmarkEnd w:id="5339"/>
      <w:bookmarkEnd w:id="5340"/>
      <w:bookmarkEnd w:id="5341"/>
      <w:bookmarkEnd w:id="5342"/>
      <w:bookmarkEnd w:id="5343"/>
      <w:r>
        <w:rPr>
          <w:rFonts w:ascii="Arial" w:eastAsia="Arial" w:hAnsi="Arial" w:cs="Arial"/>
          <w:color w:val="000000"/>
          <w:sz w:val="20"/>
        </w:rPr>
        <w:t xml:space="preserve">An abstract injury (as suggested by the majority) is not enough. </w:t>
      </w:r>
      <w:bookmarkStart w:id="5344" w:name="Bookmark_I522R2KT0TVRGW0010000400"/>
      <w:bookmarkEnd w:id="5344"/>
      <w:r>
        <w:rPr>
          <w:rFonts w:ascii="Arial" w:eastAsia="Arial" w:hAnsi="Arial" w:cs="Arial"/>
          <w:i/>
          <w:color w:val="000000"/>
          <w:sz w:val="20"/>
        </w:rPr>
        <w:t>City of Los Angeles v. Lyons</w:t>
      </w:r>
      <w:r>
        <w:rPr>
          <w:rFonts w:ascii="Arial" w:eastAsia="Arial" w:hAnsi="Arial" w:cs="Arial"/>
          <w:color w:val="000000"/>
          <w:sz w:val="20"/>
        </w:rPr>
        <w:t xml:space="preserve">, 461 U.S. 95, 101, 103 S. Ct. 1660, 75 L. Ed. 2d 675 (1983). "[C]laims  [**44] of injury that are purely abstract, even if they might be understood to lead to 'the psychological consequence presumably produced by observation of conduct with which one disagrees,' do not provide the kind of particular, direct, and concrete injury that is necessary to confer standing. . . ." </w:t>
      </w:r>
      <w:bookmarkStart w:id="5345" w:name="Bookmark_I522R2KT0TVRGW0030000400"/>
      <w:bookmarkEnd w:id="5345"/>
      <w:r>
        <w:rPr>
          <w:rFonts w:ascii="Arial" w:eastAsia="Arial" w:hAnsi="Arial" w:cs="Arial"/>
          <w:i/>
          <w:color w:val="000000"/>
          <w:sz w:val="20"/>
        </w:rPr>
        <w:t>ASARCO, Inc. v. Kadish</w:t>
      </w:r>
      <w:r>
        <w:rPr>
          <w:rFonts w:ascii="Arial" w:eastAsia="Arial" w:hAnsi="Arial" w:cs="Arial"/>
          <w:color w:val="000000"/>
          <w:sz w:val="20"/>
        </w:rPr>
        <w:t>, 490 U.S. 605, 616, 109 S. Ct. 2037, 104 L. Ed. 2d 696 (1989) (internal citation omitted).</w:t>
      </w:r>
    </w:p>
    <w:p w14:paraId="3E75A2AE" w14:textId="77777777" w:rsidR="00D041A2" w:rsidRDefault="00000000">
      <w:pPr>
        <w:pStyle w:val="Normal37"/>
        <w:widowControl w:val="0"/>
        <w:spacing w:before="200" w:line="260" w:lineRule="atLeast"/>
        <w:jc w:val="both"/>
      </w:pPr>
      <w:bookmarkStart w:id="5346" w:name="Bookmark_para_57_6"/>
      <w:bookmarkStart w:id="5347" w:name="Bookmark_I7M82NTTK5R0000426D0001N"/>
      <w:bookmarkStart w:id="5348" w:name="Bookmark_I522R2KV0TVRH50050000400"/>
      <w:bookmarkEnd w:id="5346"/>
      <w:bookmarkEnd w:id="5347"/>
      <w:bookmarkEnd w:id="5348"/>
      <w:r>
        <w:rPr>
          <w:rFonts w:ascii="Arial" w:eastAsia="Arial" w:hAnsi="Arial" w:cs="Arial"/>
          <w:color w:val="000000"/>
          <w:sz w:val="20"/>
        </w:rPr>
        <w:t xml:space="preserve">Rather than merely pointing to a violation of the ADAAG, a plaintiff must also point to some type of personalized injury, whether the injury is objective (physical or economic) </w:t>
      </w:r>
      <w:r>
        <w:rPr>
          <w:rFonts w:ascii="Arial" w:eastAsia="Arial" w:hAnsi="Arial" w:cs="Arial"/>
          <w:vertAlign w:val="superscript"/>
        </w:rPr>
        <w:footnoteReference w:customMarkFollows="1" w:id="250"/>
        <w:t>11</w:t>
      </w:r>
      <w:r>
        <w:rPr>
          <w:rFonts w:ascii="Arial" w:eastAsia="Arial" w:hAnsi="Arial" w:cs="Arial"/>
          <w:color w:val="000000"/>
          <w:sz w:val="20"/>
        </w:rPr>
        <w:t xml:space="preserve"> or subjective (emotional or aesthetic). </w:t>
      </w:r>
      <w:bookmarkStart w:id="5351" w:name="Bookmark_I7M82NTTDR60000426D0001K"/>
      <w:bookmarkStart w:id="5352" w:name="Bookmark_I522R2KV0TVRH50010000400"/>
      <w:bookmarkStart w:id="5353" w:name="Bookmark_I522R2KV0TVRH50050000400_2"/>
      <w:bookmarkEnd w:id="5351"/>
      <w:bookmarkEnd w:id="5352"/>
      <w:bookmarkEnd w:id="5353"/>
      <w:r>
        <w:rPr>
          <w:rFonts w:ascii="Arial" w:eastAsia="Arial" w:hAnsi="Arial" w:cs="Arial"/>
          <w:color w:val="000000"/>
          <w:sz w:val="20"/>
        </w:rPr>
        <w:t xml:space="preserve">This requirement is consistent with precedent. For example, in </w:t>
      </w:r>
      <w:r>
        <w:rPr>
          <w:rFonts w:ascii="Arial" w:eastAsia="Arial" w:hAnsi="Arial" w:cs="Arial"/>
          <w:i/>
          <w:color w:val="000000"/>
          <w:sz w:val="20"/>
        </w:rPr>
        <w:t>Fortyune</w:t>
      </w:r>
      <w:r>
        <w:rPr>
          <w:rFonts w:ascii="Arial" w:eastAsia="Arial" w:hAnsi="Arial" w:cs="Arial"/>
          <w:color w:val="000000"/>
          <w:sz w:val="20"/>
        </w:rPr>
        <w:t xml:space="preserve">,  [*958]  the plaintiff who planned to return to the movie theater nevertheless was adversely affected, because he worried about his ability to sit with his wife, as was his right. </w:t>
      </w:r>
      <w:r>
        <w:rPr>
          <w:rFonts w:ascii="Arial" w:eastAsia="Arial" w:hAnsi="Arial" w:cs="Arial"/>
          <w:i/>
          <w:color w:val="000000"/>
          <w:sz w:val="20"/>
        </w:rPr>
        <w:t>See</w:t>
      </w:r>
      <w:r>
        <w:rPr>
          <w:rFonts w:ascii="Arial" w:eastAsia="Arial" w:hAnsi="Arial" w:cs="Arial"/>
          <w:color w:val="000000"/>
          <w:sz w:val="20"/>
        </w:rPr>
        <w:t xml:space="preserve"> </w:t>
      </w:r>
      <w:bookmarkStart w:id="5354" w:name="Bookmark_I522R2KT0TVRGW0050000400"/>
      <w:bookmarkEnd w:id="5354"/>
      <w:r>
        <w:rPr>
          <w:rFonts w:ascii="Arial" w:eastAsia="Arial" w:hAnsi="Arial" w:cs="Arial"/>
          <w:color w:val="000000"/>
          <w:sz w:val="20"/>
        </w:rPr>
        <w:t xml:space="preserve">364 F.3d at 1081. </w:t>
      </w:r>
      <w:bookmarkStart w:id="5355" w:name="Bookmark_I7M82NTTGYH0000426D0001M"/>
      <w:bookmarkStart w:id="5356" w:name="Bookmark_I522R2KV0TVRH50030000400"/>
      <w:bookmarkEnd w:id="5355"/>
      <w:bookmarkEnd w:id="5356"/>
      <w:r>
        <w:rPr>
          <w:rFonts w:ascii="Arial" w:eastAsia="Arial" w:hAnsi="Arial" w:cs="Arial"/>
          <w:color w:val="000000"/>
          <w:sz w:val="20"/>
        </w:rPr>
        <w:t xml:space="preserve">Given the language in </w:t>
      </w:r>
      <w:r>
        <w:rPr>
          <w:rFonts w:ascii="Arial" w:eastAsia="Arial" w:hAnsi="Arial" w:cs="Arial"/>
          <w:i/>
          <w:color w:val="000000"/>
          <w:sz w:val="20"/>
        </w:rPr>
        <w:t>Fortyune</w:t>
      </w:r>
      <w:r>
        <w:rPr>
          <w:rFonts w:ascii="Arial" w:eastAsia="Arial" w:hAnsi="Arial" w:cs="Arial"/>
          <w:color w:val="000000"/>
          <w:sz w:val="20"/>
        </w:rPr>
        <w:t xml:space="preserve">, a barrier's adverse effect on a plaintiff may encompass frustration, embarrassment, or physical difficulty with a barrier in addition to actually being deterred from entering a facility. Another example of a subjective adverse affect is the aesthetic injury relied upon by environmental plaintiffs to maintain  [**45] standing. </w:t>
      </w:r>
      <w:r>
        <w:rPr>
          <w:rFonts w:ascii="Arial" w:eastAsia="Arial" w:hAnsi="Arial" w:cs="Arial"/>
          <w:i/>
          <w:color w:val="000000"/>
          <w:sz w:val="20"/>
        </w:rPr>
        <w:t xml:space="preserve">See </w:t>
      </w:r>
      <w:bookmarkStart w:id="5357" w:name="Bookmark_I522R2KV0TVRH50020000400"/>
      <w:bookmarkEnd w:id="5357"/>
      <w:r>
        <w:rPr>
          <w:rFonts w:ascii="Arial" w:eastAsia="Arial" w:hAnsi="Arial" w:cs="Arial"/>
          <w:i/>
          <w:color w:val="000000"/>
          <w:sz w:val="20"/>
        </w:rPr>
        <w:t>Sierra Club</w:t>
      </w:r>
      <w:r>
        <w:rPr>
          <w:rFonts w:ascii="Arial" w:eastAsia="Arial" w:hAnsi="Arial" w:cs="Arial"/>
          <w:color w:val="000000"/>
          <w:sz w:val="20"/>
        </w:rPr>
        <w:t>, 405 U.S. at 734-35.</w:t>
      </w:r>
    </w:p>
    <w:p w14:paraId="41EEBFB5" w14:textId="77777777" w:rsidR="00D041A2" w:rsidRDefault="00000000">
      <w:pPr>
        <w:pStyle w:val="Normal37"/>
        <w:widowControl w:val="0"/>
        <w:spacing w:before="200" w:line="260" w:lineRule="atLeast"/>
        <w:jc w:val="both"/>
      </w:pPr>
      <w:bookmarkStart w:id="5358" w:name="Bookmark_para_58_6"/>
      <w:bookmarkEnd w:id="5358"/>
      <w:r>
        <w:rPr>
          <w:rFonts w:ascii="Arial" w:eastAsia="Arial" w:hAnsi="Arial" w:cs="Arial"/>
          <w:color w:val="000000"/>
          <w:sz w:val="20"/>
        </w:rPr>
        <w:t xml:space="preserve">The majority misconstrues personalized injury as a solely subjective one that could give rise to "vexatious litigation." </w:t>
      </w:r>
      <w:r>
        <w:rPr>
          <w:rFonts w:ascii="Arial" w:eastAsia="Arial" w:hAnsi="Arial" w:cs="Arial"/>
          <w:vertAlign w:val="superscript"/>
        </w:rPr>
        <w:footnoteReference w:customMarkFollows="1" w:id="251"/>
        <w:t>12</w:t>
      </w:r>
      <w:r>
        <w:rPr>
          <w:rFonts w:ascii="Arial" w:eastAsia="Arial" w:hAnsi="Arial" w:cs="Arial"/>
          <w:color w:val="000000"/>
          <w:sz w:val="20"/>
        </w:rPr>
        <w:t xml:space="preserve"> Majority Opinion at 451 n.5. </w:t>
      </w:r>
      <w:bookmarkStart w:id="5367" w:name="Bookmark_I7M82NTTRKC0000426D0001R"/>
      <w:bookmarkStart w:id="5368" w:name="Bookmark_I522R2KV0TVRHD0020000400"/>
      <w:bookmarkEnd w:id="5367"/>
      <w:bookmarkEnd w:id="5368"/>
      <w:r>
        <w:rPr>
          <w:rFonts w:ascii="Arial" w:eastAsia="Arial" w:hAnsi="Arial" w:cs="Arial"/>
          <w:color w:val="000000"/>
          <w:sz w:val="20"/>
        </w:rPr>
        <w:t xml:space="preserve">The majority ignores, however, that in addition to a personalized injury a plaintiff must also plead and prove the other two elements of standing in order to meet the standing requirements. An ADA plaintiff must show his injury is caused by a violation of the objective ADAAG standards and may be redressed by a favorable order from a court. </w:t>
      </w:r>
      <w:bookmarkStart w:id="5369" w:name="Bookmark_I7M82NTV2N50000426D0001W"/>
      <w:bookmarkStart w:id="5370" w:name="Bookmark_I522R2KW0TVRHW0030000400"/>
      <w:bookmarkEnd w:id="5369"/>
      <w:bookmarkEnd w:id="5370"/>
      <w:r>
        <w:rPr>
          <w:rFonts w:ascii="Arial" w:eastAsia="Arial" w:hAnsi="Arial" w:cs="Arial"/>
          <w:i/>
          <w:color w:val="000000"/>
          <w:sz w:val="20"/>
        </w:rPr>
        <w:t xml:space="preserve">See </w:t>
      </w:r>
      <w:bookmarkStart w:id="5371" w:name="Bookmark_I522R2KV0TVRHD0010000400"/>
      <w:bookmarkEnd w:id="5371"/>
      <w:r>
        <w:rPr>
          <w:rFonts w:ascii="Arial" w:eastAsia="Arial" w:hAnsi="Arial" w:cs="Arial"/>
          <w:i/>
          <w:color w:val="000000"/>
          <w:sz w:val="20"/>
        </w:rPr>
        <w:t>Pickern v. Holiday Quality Foods, Inc</w:t>
      </w:r>
      <w:r>
        <w:rPr>
          <w:rFonts w:ascii="Arial" w:eastAsia="Arial" w:hAnsi="Arial" w:cs="Arial"/>
          <w:color w:val="000000"/>
          <w:sz w:val="20"/>
        </w:rPr>
        <w:t xml:space="preserve">., 293 F.3d 1133, 1137 (9th Cir. 2002) ("[Defendant's] noncompliance with [the ADA] has caused [plaintiff's] injury, and an injunction requiring [defendant] to comply with the ADA would redress it."). </w:t>
      </w:r>
      <w:bookmarkStart w:id="5372" w:name="Bookmark_I522R2KW0TVRHW0030000400_2"/>
      <w:bookmarkEnd w:id="5372"/>
      <w:r>
        <w:rPr>
          <w:rFonts w:ascii="Arial" w:eastAsia="Arial" w:hAnsi="Arial" w:cs="Arial"/>
          <w:color w:val="000000"/>
          <w:sz w:val="20"/>
        </w:rPr>
        <w:t xml:space="preserve">Thus, rather than leading to vexatious litigation, this is a higher standard from that announced by the majority. </w:t>
      </w:r>
      <w:r>
        <w:rPr>
          <w:rFonts w:ascii="Arial" w:eastAsia="Arial" w:hAnsi="Arial" w:cs="Arial"/>
          <w:vertAlign w:val="superscript"/>
        </w:rPr>
        <w:footnoteReference w:customMarkFollows="1" w:id="252"/>
        <w:t>13</w:t>
      </w:r>
    </w:p>
    <w:p w14:paraId="7F3D5C11" w14:textId="77777777" w:rsidR="00D041A2" w:rsidRDefault="00000000">
      <w:pPr>
        <w:pStyle w:val="Normal37"/>
        <w:widowControl w:val="0"/>
        <w:spacing w:before="200" w:line="260" w:lineRule="atLeast"/>
        <w:jc w:val="both"/>
      </w:pPr>
      <w:bookmarkStart w:id="5375" w:name="Bookmark_para_59_6"/>
      <w:bookmarkEnd w:id="5375"/>
      <w:r>
        <w:rPr>
          <w:rFonts w:ascii="Arial" w:eastAsia="Arial" w:hAnsi="Arial" w:cs="Arial"/>
          <w:color w:val="000000"/>
          <w:sz w:val="20"/>
        </w:rPr>
        <w:t>In fact, the majority's statement that a simple encounter with a barrier is sufficient to confer standing collapses the injury in fact element of standing with the causation element. If the injury in fact element is an encounter with an ADA noncompliant barrier and the causation element is "noncompliance with [the ADA]," then, in reality, these two elements are now one and the majority has expanded standing under the ADA to render the three part test illusory.</w:t>
      </w:r>
    </w:p>
    <w:p w14:paraId="7001E5CB" w14:textId="77777777" w:rsidR="00D041A2" w:rsidRDefault="00000000">
      <w:pPr>
        <w:pStyle w:val="Normal37"/>
        <w:widowControl w:val="0"/>
        <w:spacing w:before="200" w:line="260" w:lineRule="atLeast"/>
        <w:jc w:val="both"/>
      </w:pPr>
      <w:bookmarkStart w:id="5376" w:name="Bookmark_para_60_5"/>
      <w:bookmarkStart w:id="5377" w:name="Bookmark_I7M82NTV74J0000426D0001Y"/>
      <w:bookmarkStart w:id="5378" w:name="Bookmark_I522R2KW0TVRHW0050000400"/>
      <w:bookmarkEnd w:id="5376"/>
      <w:bookmarkEnd w:id="5377"/>
      <w:bookmarkEnd w:id="5378"/>
      <w:r>
        <w:rPr>
          <w:rFonts w:ascii="Arial" w:eastAsia="Arial" w:hAnsi="Arial" w:cs="Arial"/>
          <w:color w:val="000000"/>
          <w:sz w:val="20"/>
        </w:rPr>
        <w:t xml:space="preserve">Lastly, to satisfy the requirement for a "real and immediate" threat of repeated injury required by Article III for injunctive relief, a plaintiff must also show an "actual or imminent" injury. </w:t>
      </w:r>
      <w:bookmarkStart w:id="5379" w:name="Bookmark_I7M82NTV9B30000426D00020"/>
      <w:bookmarkStart w:id="5380" w:name="Bookmark_I522R2KW0TVRJ70020000400"/>
      <w:bookmarkStart w:id="5381" w:name="Bookmark_I522R2KW0TVRHW0040000400"/>
      <w:bookmarkEnd w:id="5379"/>
      <w:bookmarkEnd w:id="5380"/>
      <w:bookmarkEnd w:id="5381"/>
      <w:r>
        <w:rPr>
          <w:rFonts w:ascii="Arial" w:eastAsia="Arial" w:hAnsi="Arial" w:cs="Arial"/>
          <w:i/>
          <w:color w:val="000000"/>
          <w:sz w:val="20"/>
        </w:rPr>
        <w:t>Pickern</w:t>
      </w:r>
      <w:r>
        <w:rPr>
          <w:rFonts w:ascii="Arial" w:eastAsia="Arial" w:hAnsi="Arial" w:cs="Arial"/>
          <w:color w:val="000000"/>
          <w:sz w:val="20"/>
        </w:rPr>
        <w:t xml:space="preserve">, 293 F.3d at 1138. An actual or imminent injury occurs when a plaintiff has a concrete intent to return to a facility with a barrier which will continue to adversely affect his ability to benefit from or participate in the  [*959]  facility. </w:t>
      </w:r>
      <w:bookmarkStart w:id="5382" w:name="Bookmark_I522R2KW0TVRJ70020000400_2"/>
      <w:bookmarkStart w:id="5383" w:name="Bookmark_I7M82NTVFP80000426D00022"/>
      <w:bookmarkStart w:id="5384" w:name="Bookmark_I7M82NTVM3H0000426D00024"/>
      <w:bookmarkStart w:id="5385" w:name="Bookmark_I522R2KW0TVRJ70040000400"/>
      <w:bookmarkEnd w:id="5382"/>
      <w:bookmarkEnd w:id="5383"/>
      <w:bookmarkEnd w:id="5384"/>
      <w:bookmarkEnd w:id="5385"/>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5386" w:name="Bookmark_I522R2KW0TVRJ70010000400"/>
      <w:bookmarkEnd w:id="5386"/>
      <w:r>
        <w:rPr>
          <w:rFonts w:ascii="Arial" w:eastAsia="Arial" w:hAnsi="Arial" w:cs="Arial"/>
          <w:i/>
          <w:color w:val="000000"/>
          <w:sz w:val="20"/>
        </w:rPr>
        <w:t>Fortyune</w:t>
      </w:r>
      <w:r>
        <w:rPr>
          <w:rFonts w:ascii="Arial" w:eastAsia="Arial" w:hAnsi="Arial" w:cs="Arial"/>
          <w:color w:val="000000"/>
          <w:sz w:val="20"/>
        </w:rPr>
        <w:t xml:space="preserve">, 364 F.3d at 1081-82. </w:t>
      </w:r>
      <w:bookmarkStart w:id="5387" w:name="Bookmark_I522R2KW0TVRJ70040000400_2"/>
      <w:bookmarkEnd w:id="5387"/>
      <w:r>
        <w:rPr>
          <w:rFonts w:ascii="Arial" w:eastAsia="Arial" w:hAnsi="Arial" w:cs="Arial"/>
          <w:color w:val="000000"/>
          <w:sz w:val="20"/>
        </w:rPr>
        <w:t xml:space="preserve">As an alternative  [**48] basis for an actual injury, this circuit has held that a plaintiff, who does not intend to return to a non-ADA compliant store because he is deterred by a barrier at the store, suffers an ongoing injury, redressable by injunctive relief. </w:t>
      </w:r>
      <w:bookmarkStart w:id="5388" w:name="Bookmark_I522R2KW0TVRJ70030000400"/>
      <w:bookmarkEnd w:id="5388"/>
      <w:r>
        <w:rPr>
          <w:rFonts w:ascii="Arial" w:eastAsia="Arial" w:hAnsi="Arial" w:cs="Arial"/>
          <w:i/>
          <w:color w:val="000000"/>
          <w:sz w:val="20"/>
        </w:rPr>
        <w:t>Pickern</w:t>
      </w:r>
      <w:r>
        <w:rPr>
          <w:rFonts w:ascii="Arial" w:eastAsia="Arial" w:hAnsi="Arial" w:cs="Arial"/>
          <w:color w:val="000000"/>
          <w:sz w:val="20"/>
        </w:rPr>
        <w:t xml:space="preserve">, 293 F.3d at 1138; </w:t>
      </w:r>
      <w:bookmarkStart w:id="5389" w:name="Bookmark_I522R2KW0TVRJ70050000400"/>
      <w:bookmarkEnd w:id="5389"/>
      <w:r>
        <w:rPr>
          <w:rFonts w:ascii="Arial" w:eastAsia="Arial" w:hAnsi="Arial" w:cs="Arial"/>
          <w:i/>
          <w:color w:val="000000"/>
          <w:sz w:val="20"/>
        </w:rPr>
        <w:t>D'Lil v. Best W. Encina Lodge &amp; Suites</w:t>
      </w:r>
      <w:r>
        <w:rPr>
          <w:rFonts w:ascii="Arial" w:eastAsia="Arial" w:hAnsi="Arial" w:cs="Arial"/>
          <w:color w:val="000000"/>
          <w:sz w:val="20"/>
        </w:rPr>
        <w:t xml:space="preserve">, 538 F.3d 1031, 1036-37 (9th Cir. 2008). In </w:t>
      </w:r>
      <w:r>
        <w:rPr>
          <w:rFonts w:ascii="Arial" w:eastAsia="Arial" w:hAnsi="Arial" w:cs="Arial"/>
          <w:i/>
          <w:color w:val="000000"/>
          <w:sz w:val="20"/>
        </w:rPr>
        <w:t>Pickern</w:t>
      </w:r>
      <w:r>
        <w:rPr>
          <w:rFonts w:ascii="Arial" w:eastAsia="Arial" w:hAnsi="Arial" w:cs="Arial"/>
          <w:color w:val="000000"/>
          <w:sz w:val="20"/>
        </w:rPr>
        <w:t xml:space="preserve"> and </w:t>
      </w:r>
      <w:r>
        <w:rPr>
          <w:rFonts w:ascii="Arial" w:eastAsia="Arial" w:hAnsi="Arial" w:cs="Arial"/>
          <w:i/>
          <w:color w:val="000000"/>
          <w:sz w:val="20"/>
        </w:rPr>
        <w:t>D'Lil</w:t>
      </w:r>
      <w:r>
        <w:rPr>
          <w:rFonts w:ascii="Arial" w:eastAsia="Arial" w:hAnsi="Arial" w:cs="Arial"/>
          <w:color w:val="000000"/>
          <w:sz w:val="20"/>
        </w:rPr>
        <w:t xml:space="preserve">, plaintiffs' refusal to return to facilities where barriers existed was the injury that satisfied </w:t>
      </w:r>
      <w:r>
        <w:rPr>
          <w:rFonts w:ascii="Arial" w:eastAsia="Arial" w:hAnsi="Arial" w:cs="Arial"/>
          <w:i/>
          <w:color w:val="000000"/>
          <w:sz w:val="20"/>
        </w:rPr>
        <w:t>Lujan's</w:t>
      </w:r>
      <w:r>
        <w:rPr>
          <w:rFonts w:ascii="Arial" w:eastAsia="Arial" w:hAnsi="Arial" w:cs="Arial"/>
          <w:color w:val="000000"/>
          <w:sz w:val="20"/>
        </w:rPr>
        <w:t xml:space="preserve"> requirement that the plaintiff be affected in a "personal and individual way." In </w:t>
      </w:r>
      <w:r>
        <w:rPr>
          <w:rFonts w:ascii="Arial" w:eastAsia="Arial" w:hAnsi="Arial" w:cs="Arial"/>
          <w:i/>
          <w:color w:val="000000"/>
          <w:sz w:val="20"/>
        </w:rPr>
        <w:t>Fortyune</w:t>
      </w:r>
      <w:r>
        <w:rPr>
          <w:rFonts w:ascii="Arial" w:eastAsia="Arial" w:hAnsi="Arial" w:cs="Arial"/>
          <w:color w:val="000000"/>
          <w:sz w:val="20"/>
        </w:rPr>
        <w:t xml:space="preserve">, the personalized, ongoing adverse effect was the inability to sit next to a companion (i.e., enjoy full benefit of the facility). In either case, an injury </w:t>
      </w:r>
      <w:r>
        <w:rPr>
          <w:rFonts w:ascii="Arial" w:eastAsia="Arial" w:hAnsi="Arial" w:cs="Arial"/>
          <w:i/>
          <w:color w:val="000000"/>
          <w:sz w:val="20"/>
        </w:rPr>
        <w:t>in addition to</w:t>
      </w:r>
      <w:r>
        <w:rPr>
          <w:rFonts w:ascii="Arial" w:eastAsia="Arial" w:hAnsi="Arial" w:cs="Arial"/>
          <w:color w:val="000000"/>
          <w:sz w:val="20"/>
        </w:rPr>
        <w:t xml:space="preserve"> the encounter with the barrier itself satisfied the "actual or imminent" injury requirement for injunctive relief.</w:t>
      </w:r>
    </w:p>
    <w:p w14:paraId="13D99310" w14:textId="77777777" w:rsidR="00D041A2" w:rsidRDefault="00000000">
      <w:pPr>
        <w:pStyle w:val="Normal37"/>
        <w:widowControl w:val="0"/>
        <w:spacing w:before="200" w:line="260" w:lineRule="atLeast"/>
        <w:jc w:val="both"/>
      </w:pPr>
      <w:bookmarkStart w:id="5390" w:name="Bookmark_para_61_5"/>
      <w:bookmarkEnd w:id="5390"/>
      <w:r>
        <w:rPr>
          <w:rFonts w:ascii="Arial" w:eastAsia="Arial" w:hAnsi="Arial" w:cs="Arial"/>
          <w:color w:val="000000"/>
          <w:sz w:val="20"/>
        </w:rPr>
        <w:t>Under the above reasoning, the majority's holding that Chapman failed to identify how any of the alleged violations "deprived him of the same full and equal access that a person who is not wheelchair bound would enjoy" adequately reflects the requirements that an ADA plaintiff must plead and prove to show injury in fact sufficient to maintain standing.  [**49] To be consistent with the Constitution, injury in fact for standing for injunctive relief under the ADA requires a plaintiff to (1) encounter or have knowledge of a barrier; (2) sufficiently allege that he or she was, at a minimum, adversely affected by the barrier; and (3) sufficiently allege either a concrete plan to return to the facility or that the adverse effect of the barrier deters the plaintiff from returning to the facility. To the extent that the majority would allow a simple encounter with an ADAAG barrier that does not "deprive" a plaintiff "of the same full and equal access" that a non-disabled person would enjoy at a facility to confer standing, it exceeds the confines of Article III and impermissibly allows plaintiffs to sue on behalf of others, rather then themselves.</w:t>
      </w:r>
    </w:p>
    <w:p w14:paraId="1CEB7919" w14:textId="77777777" w:rsidR="00D041A2" w:rsidRDefault="00000000">
      <w:pPr>
        <w:pStyle w:val="Normal37"/>
        <w:widowControl w:val="0"/>
        <w:spacing w:before="240" w:line="260" w:lineRule="atLeast"/>
      </w:pPr>
      <w:r>
        <w:br/>
      </w:r>
      <w:r>
        <w:rPr>
          <w:rFonts w:ascii="Arial" w:eastAsia="Arial" w:hAnsi="Arial" w:cs="Arial"/>
          <w:b/>
          <w:color w:val="000000"/>
          <w:sz w:val="20"/>
        </w:rPr>
        <w:t>B. Unencountered Barriers</w:t>
      </w:r>
    </w:p>
    <w:p w14:paraId="109174F9" w14:textId="77777777" w:rsidR="00D041A2" w:rsidRDefault="00000000">
      <w:pPr>
        <w:pStyle w:val="Normal37"/>
        <w:widowControl w:val="0"/>
        <w:spacing w:before="200" w:line="260" w:lineRule="atLeast"/>
        <w:jc w:val="both"/>
      </w:pPr>
      <w:bookmarkStart w:id="5391" w:name="Bookmark_para_62_4"/>
      <w:bookmarkStart w:id="5392" w:name="Bookmark_I7M82NTVSCW0000426D00026"/>
      <w:bookmarkStart w:id="5393" w:name="Bookmark_I522R2KW0TVRJH0030000400"/>
      <w:bookmarkStart w:id="5394" w:name="Bookmark_I7M82NTVVMW0000426D00027"/>
      <w:bookmarkStart w:id="5395" w:name="Bookmark_I522R2KW0TVRJH0050000400"/>
      <w:bookmarkEnd w:id="5391"/>
      <w:bookmarkEnd w:id="5392"/>
      <w:bookmarkEnd w:id="5393"/>
      <w:bookmarkEnd w:id="5394"/>
      <w:bookmarkEnd w:id="5395"/>
      <w:r>
        <w:rPr>
          <w:rFonts w:ascii="Arial" w:eastAsia="Arial" w:hAnsi="Arial" w:cs="Arial"/>
          <w:color w:val="000000"/>
          <w:sz w:val="20"/>
        </w:rPr>
        <w:t xml:space="preserve">Once standing based on encountering one barrier is established, "[t]here remains a question . . . about the scope of barriers that [a plaintiff] may challenge." </w:t>
      </w:r>
      <w:bookmarkStart w:id="5396" w:name="Bookmark_I522R2KW0TVRJH0020000400"/>
      <w:bookmarkEnd w:id="5396"/>
      <w:r>
        <w:rPr>
          <w:rFonts w:ascii="Arial" w:eastAsia="Arial" w:hAnsi="Arial" w:cs="Arial"/>
          <w:i/>
          <w:color w:val="000000"/>
          <w:sz w:val="20"/>
        </w:rPr>
        <w:t>Doran</w:t>
      </w:r>
      <w:r>
        <w:rPr>
          <w:rFonts w:ascii="Arial" w:eastAsia="Arial" w:hAnsi="Arial" w:cs="Arial"/>
          <w:color w:val="000000"/>
          <w:sz w:val="20"/>
        </w:rPr>
        <w:t xml:space="preserve">, 524 F.3d at 1042. Expanding on the "deterrent effect" doctrine, </w:t>
      </w:r>
      <w:r>
        <w:rPr>
          <w:rFonts w:ascii="Arial" w:eastAsia="Arial" w:hAnsi="Arial" w:cs="Arial"/>
          <w:i/>
          <w:color w:val="000000"/>
          <w:sz w:val="20"/>
        </w:rPr>
        <w:t>Doran</w:t>
      </w:r>
      <w:r>
        <w:rPr>
          <w:rFonts w:ascii="Arial" w:eastAsia="Arial" w:hAnsi="Arial" w:cs="Arial"/>
          <w:color w:val="000000"/>
          <w:sz w:val="20"/>
        </w:rPr>
        <w:t xml:space="preserve"> held that, once a plaintiff establishes that he encountered a barrier which deterred him from use and enjoyment of the facility, that plaintiff  [**50] could then send an expert into the store to discover other ADA violations. </w:t>
      </w:r>
      <w:bookmarkStart w:id="5397" w:name="Bookmark_I522R2KW0TVRJH0040000400"/>
      <w:bookmarkEnd w:id="5397"/>
      <w:r>
        <w:rPr>
          <w:rFonts w:ascii="Arial" w:eastAsia="Arial" w:hAnsi="Arial" w:cs="Arial"/>
          <w:color w:val="000000"/>
          <w:sz w:val="20"/>
        </w:rPr>
        <w:t xml:space="preserve">524 F.3d at 1043-44. The plaintiff was then deemed to have standing to challenge all discovered violations affecting his or her disability. </w:t>
      </w:r>
      <w:bookmarkStart w:id="5398" w:name="Bookmark_I7M82NTVXRW0000426D00028"/>
      <w:bookmarkStart w:id="5399" w:name="Bookmark_I522R2KX0TVRJR0020000400"/>
      <w:bookmarkEnd w:id="5398"/>
      <w:bookmarkEnd w:id="5399"/>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Doran</w:t>
      </w:r>
      <w:r>
        <w:rPr>
          <w:rFonts w:ascii="Arial" w:eastAsia="Arial" w:hAnsi="Arial" w:cs="Arial"/>
          <w:color w:val="000000"/>
          <w:sz w:val="20"/>
        </w:rPr>
        <w:t xml:space="preserve"> reasoned:</w:t>
      </w:r>
    </w:p>
    <w:p w14:paraId="37413379" w14:textId="77777777" w:rsidR="00D041A2" w:rsidRDefault="00000000">
      <w:pPr>
        <w:pStyle w:val="Normal37"/>
        <w:widowControl w:val="0"/>
        <w:spacing w:before="200" w:line="260" w:lineRule="atLeast"/>
        <w:ind w:left="400"/>
        <w:jc w:val="both"/>
      </w:pPr>
      <w:bookmarkStart w:id="5400" w:name="Bookmark_para_63_4"/>
      <w:bookmarkStart w:id="5401" w:name="Bookmark_I522R2KX0TVRJR0020000400_2"/>
      <w:bookmarkEnd w:id="5400"/>
      <w:bookmarkEnd w:id="5401"/>
      <w:r>
        <w:rPr>
          <w:rFonts w:ascii="Arial" w:eastAsia="Arial" w:hAnsi="Arial" w:cs="Arial"/>
          <w:color w:val="000000"/>
          <w:sz w:val="20"/>
        </w:rPr>
        <w:t>Given that an ADA plaintiff has standing because of deterrence from returning in the face of uncertainty, it is prudent to eliminate that uncertainty through the judicial device of discovery, thus allowing the plaintiff to obtain by formal means the information about the scope of the defendant's violations that he may have been unable to safely ascertain himself because of those same violations.</w:t>
      </w:r>
    </w:p>
    <w:p w14:paraId="5B607994" w14:textId="77777777" w:rsidR="00D041A2" w:rsidRDefault="00000000">
      <w:pPr>
        <w:pStyle w:val="Normal37"/>
        <w:widowControl w:val="0"/>
        <w:spacing w:before="200" w:line="260" w:lineRule="atLeast"/>
        <w:jc w:val="both"/>
      </w:pPr>
      <w:bookmarkStart w:id="5402" w:name="Bookmark_I522R2KX0TVRJR0020000400_3"/>
      <w:bookmarkStart w:id="5403" w:name="Bookmark_I7M82NTW5MD0000426D0002C"/>
      <w:bookmarkStart w:id="5404" w:name="Bookmark_I522R2KX0TVRJR0040000400"/>
      <w:bookmarkStart w:id="5405" w:name="Bookmark_I522R2KX0TVRJR0010000400"/>
      <w:bookmarkEnd w:id="5402"/>
      <w:bookmarkEnd w:id="5403"/>
      <w:bookmarkEnd w:id="5404"/>
      <w:bookmarkEnd w:id="5405"/>
      <w:r>
        <w:rPr>
          <w:rFonts w:ascii="Arial" w:eastAsia="Arial" w:hAnsi="Arial" w:cs="Arial"/>
          <w:i/>
          <w:color w:val="000000"/>
          <w:sz w:val="20"/>
        </w:rPr>
        <w:t>Id</w:t>
      </w:r>
      <w:r>
        <w:rPr>
          <w:rFonts w:ascii="Arial" w:eastAsia="Arial" w:hAnsi="Arial" w:cs="Arial"/>
          <w:color w:val="000000"/>
          <w:sz w:val="20"/>
        </w:rPr>
        <w:t xml:space="preserve">. at 1043. </w:t>
      </w:r>
      <w:bookmarkStart w:id="5406" w:name="Bookmark_I522R2KX0TVRJR0040000400_2"/>
      <w:bookmarkEnd w:id="5406"/>
      <w:r>
        <w:rPr>
          <w:rFonts w:ascii="Arial" w:eastAsia="Arial" w:hAnsi="Arial" w:cs="Arial"/>
          <w:i/>
          <w:color w:val="000000"/>
          <w:sz w:val="20"/>
        </w:rPr>
        <w:t>Doran</w:t>
      </w:r>
      <w:r>
        <w:rPr>
          <w:rFonts w:ascii="Arial" w:eastAsia="Arial" w:hAnsi="Arial" w:cs="Arial"/>
          <w:color w:val="000000"/>
          <w:sz w:val="20"/>
        </w:rPr>
        <w:t xml:space="preserve"> justified the constitutionality of this rule by stating "we have been instructed to take a broad view of Article III standing in civil rights cases where private rights of action are the primary means of enforcing the statute."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Doran</w:t>
      </w:r>
      <w:r>
        <w:rPr>
          <w:rFonts w:ascii="Arial" w:eastAsia="Arial" w:hAnsi="Arial" w:cs="Arial"/>
          <w:color w:val="000000"/>
          <w:sz w:val="20"/>
        </w:rPr>
        <w:t xml:space="preserve"> concluded that the "list of barriers would then in total constitute the factual underpinnings of a single legal injury . . . [that] actually harmed the disabled person by deterring that disabled person from visiting a facility . . . ." </w:t>
      </w:r>
      <w:bookmarkStart w:id="5407" w:name="Bookmark_I522R2KX0TVRJR0030000400"/>
      <w:bookmarkEnd w:id="5407"/>
      <w:r>
        <w:rPr>
          <w:rFonts w:ascii="Arial" w:eastAsia="Arial" w:hAnsi="Arial" w:cs="Arial"/>
          <w:i/>
          <w:color w:val="000000"/>
          <w:sz w:val="20"/>
        </w:rPr>
        <w:t>Id</w:t>
      </w:r>
      <w:r>
        <w:rPr>
          <w:rFonts w:ascii="Arial" w:eastAsia="Arial" w:hAnsi="Arial" w:cs="Arial"/>
          <w:color w:val="000000"/>
          <w:sz w:val="20"/>
        </w:rPr>
        <w:t xml:space="preserve">. at 1044. In other words, when a plaintiff is deterred from entering a facility  [**51] because of non-ADA compliant barriers, all the barriers existing at the facility (known and unknown) [*960]  can be construed as one injury of deterrence. </w:t>
      </w:r>
      <w:bookmarkStart w:id="5408" w:name="Bookmark_I7M82NTW9VN0000426D0002F"/>
      <w:bookmarkStart w:id="5409" w:name="Bookmark_I522R2KX0TVRJY0010000400"/>
      <w:bookmarkEnd w:id="5408"/>
      <w:bookmarkEnd w:id="5409"/>
      <w:r>
        <w:rPr>
          <w:rFonts w:ascii="Arial" w:eastAsia="Arial" w:hAnsi="Arial" w:cs="Arial"/>
          <w:color w:val="000000"/>
          <w:sz w:val="20"/>
        </w:rPr>
        <w:t xml:space="preserve">Our holding in </w:t>
      </w:r>
      <w:r>
        <w:rPr>
          <w:rFonts w:ascii="Arial" w:eastAsia="Arial" w:hAnsi="Arial" w:cs="Arial"/>
          <w:i/>
          <w:color w:val="000000"/>
          <w:sz w:val="20"/>
        </w:rPr>
        <w:t>Doran</w:t>
      </w:r>
      <w:r>
        <w:rPr>
          <w:rFonts w:ascii="Arial" w:eastAsia="Arial" w:hAnsi="Arial" w:cs="Arial"/>
          <w:color w:val="000000"/>
          <w:sz w:val="20"/>
        </w:rPr>
        <w:t xml:space="preserve"> reflects the necessity of deterrence:</w:t>
      </w:r>
    </w:p>
    <w:p w14:paraId="1F250DB1" w14:textId="77777777" w:rsidR="00D041A2" w:rsidRDefault="00000000">
      <w:pPr>
        <w:pStyle w:val="Normal37"/>
        <w:widowControl w:val="0"/>
        <w:spacing w:before="200" w:line="260" w:lineRule="atLeast"/>
        <w:ind w:left="400"/>
        <w:jc w:val="both"/>
      </w:pPr>
      <w:bookmarkStart w:id="5410" w:name="Bookmark_para_64_4"/>
      <w:bookmarkStart w:id="5411" w:name="Bookmark_I522R2KX0TVRJY0010000400_2"/>
      <w:bookmarkEnd w:id="5410"/>
      <w:bookmarkEnd w:id="5411"/>
      <w:r>
        <w:rPr>
          <w:rFonts w:ascii="Arial" w:eastAsia="Arial" w:hAnsi="Arial" w:cs="Arial"/>
          <w:color w:val="000000"/>
          <w:sz w:val="20"/>
        </w:rPr>
        <w:t xml:space="preserve">An ADA plaintiff who has encountered or has personal knowledge of at least one barrier related to his or her disability when he or she files a complaint, </w:t>
      </w:r>
      <w:r>
        <w:rPr>
          <w:rFonts w:ascii="Arial" w:eastAsia="Arial" w:hAnsi="Arial" w:cs="Arial"/>
          <w:i/>
          <w:color w:val="000000"/>
          <w:sz w:val="20"/>
        </w:rPr>
        <w:t>and who has been deterred from attempting to gain access to the public accommodation because of that barrier</w:t>
      </w:r>
      <w:r>
        <w:rPr>
          <w:rFonts w:ascii="Arial" w:eastAsia="Arial" w:hAnsi="Arial" w:cs="Arial"/>
          <w:color w:val="000000"/>
          <w:sz w:val="20"/>
        </w:rPr>
        <w:t>, has suffered an injury in fact for the purpose of Article III. An ADA plaintiff who has Article III standing as a result of at least one barrier at a place of public accommodation may, in one suit, permissibly challenge all barriers in that public accommodation that are related to his or her specific disability.</w:t>
      </w:r>
    </w:p>
    <w:p w14:paraId="6B8AFA7E" w14:textId="77777777" w:rsidR="00D041A2" w:rsidRDefault="00000000">
      <w:pPr>
        <w:pStyle w:val="Normal37"/>
        <w:widowControl w:val="0"/>
        <w:spacing w:before="200" w:line="260" w:lineRule="atLeast"/>
        <w:jc w:val="both"/>
      </w:pPr>
      <w:bookmarkStart w:id="5412" w:name="Bookmark_I522R2KX0TVRJY0010000400_3"/>
      <w:bookmarkStart w:id="5413" w:name="Bookmark_I522R2KX0TVRJR0050000400"/>
      <w:bookmarkEnd w:id="5412"/>
      <w:bookmarkEnd w:id="5413"/>
      <w:r>
        <w:rPr>
          <w:rFonts w:ascii="Arial" w:eastAsia="Arial" w:hAnsi="Arial" w:cs="Arial"/>
          <w:color w:val="000000"/>
          <w:sz w:val="20"/>
        </w:rPr>
        <w:t>524 F.3d at 1047 (internal citation omitted, emphasis added). When a plaintiff is not deterred from returning to a facility, there is not a unification of barriers into one injury in fact constituting deterrence. Thus, there can be no standing to challenge unencountered barriers.</w:t>
      </w:r>
    </w:p>
    <w:p w14:paraId="4DB8A0A5" w14:textId="77777777" w:rsidR="00D041A2" w:rsidRDefault="00000000">
      <w:pPr>
        <w:pStyle w:val="Normal37"/>
        <w:widowControl w:val="0"/>
        <w:spacing w:before="200" w:line="260" w:lineRule="atLeast"/>
        <w:jc w:val="both"/>
      </w:pPr>
      <w:bookmarkStart w:id="5414" w:name="Bookmark_para_65_4"/>
      <w:bookmarkStart w:id="5415" w:name="Bookmark_I7M82NTWJ640000426D0002J"/>
      <w:bookmarkStart w:id="5416" w:name="Bookmark_I522R2KX0TVRJY0030000400"/>
      <w:bookmarkEnd w:id="5414"/>
      <w:bookmarkEnd w:id="5415"/>
      <w:bookmarkEnd w:id="5416"/>
      <w:r>
        <w:rPr>
          <w:rFonts w:ascii="Arial" w:eastAsia="Arial" w:hAnsi="Arial" w:cs="Arial"/>
          <w:i/>
          <w:color w:val="000000"/>
          <w:sz w:val="20"/>
        </w:rPr>
        <w:t>Doran's</w:t>
      </w:r>
      <w:r>
        <w:rPr>
          <w:rFonts w:ascii="Arial" w:eastAsia="Arial" w:hAnsi="Arial" w:cs="Arial"/>
          <w:color w:val="000000"/>
          <w:sz w:val="20"/>
        </w:rPr>
        <w:t xml:space="preserve"> reasoning did not require "completely preclud[-ing]" a plaintiff from entering a facility in order to satisfy the "imminent" injury  [**52] necessary for injunctive relief. Instead, the deterrence necessary for standing to challenge unencountered barriers in the context of </w:t>
      </w:r>
      <w:r>
        <w:rPr>
          <w:rFonts w:ascii="Arial" w:eastAsia="Arial" w:hAnsi="Arial" w:cs="Arial"/>
          <w:i/>
          <w:color w:val="000000"/>
          <w:sz w:val="20"/>
        </w:rPr>
        <w:t>Doran</w:t>
      </w:r>
      <w:r>
        <w:rPr>
          <w:rFonts w:ascii="Arial" w:eastAsia="Arial" w:hAnsi="Arial" w:cs="Arial"/>
          <w:color w:val="000000"/>
          <w:sz w:val="20"/>
        </w:rPr>
        <w:t xml:space="preserve"> means, at a minimum, "uncertainty about . . . other, potentially dangerous obstacles . . . to be encountered when the disabled persons return to the site after the 'successful' conclusion of their suit. Such uncertainty is itself an actual, concrete and particularized injury." </w:t>
      </w:r>
      <w:bookmarkStart w:id="5417" w:name="Bookmark_I522R2KX0TVRJY0020000400"/>
      <w:bookmarkEnd w:id="5417"/>
      <w:r>
        <w:rPr>
          <w:rFonts w:ascii="Arial" w:eastAsia="Arial" w:hAnsi="Arial" w:cs="Arial"/>
          <w:color w:val="000000"/>
          <w:sz w:val="20"/>
        </w:rPr>
        <w:t>524 F.3d at 1043. This uncertainty ensures that the plaintiff is not asking for an injunction based solely on past injuries, but is continuing to suffer the ongoing injury of deterrence.</w:t>
      </w:r>
    </w:p>
    <w:p w14:paraId="3EF7B0EF" w14:textId="77777777" w:rsidR="00D041A2" w:rsidRDefault="00000000">
      <w:pPr>
        <w:pStyle w:val="Normal37"/>
        <w:widowControl w:val="0"/>
        <w:spacing w:before="200" w:line="260" w:lineRule="atLeast"/>
        <w:jc w:val="both"/>
      </w:pPr>
      <w:bookmarkStart w:id="5418" w:name="Bookmark_para_66_4"/>
      <w:bookmarkEnd w:id="5418"/>
      <w:r>
        <w:rPr>
          <w:rFonts w:ascii="Arial" w:eastAsia="Arial" w:hAnsi="Arial" w:cs="Arial"/>
          <w:color w:val="000000"/>
          <w:sz w:val="20"/>
        </w:rPr>
        <w:t xml:space="preserve">By not requiring deterrence before a plaintiff can conduct discovery to find barriers, the majority seeks to allow an ADA plaintiff to represent similarly situated plaintiffs, </w:t>
      </w:r>
      <w:r>
        <w:rPr>
          <w:rFonts w:ascii="Arial" w:eastAsia="Arial" w:hAnsi="Arial" w:cs="Arial"/>
          <w:i/>
          <w:color w:val="000000"/>
          <w:sz w:val="20"/>
        </w:rPr>
        <w:t>regardless</w:t>
      </w:r>
      <w:r>
        <w:rPr>
          <w:rFonts w:ascii="Arial" w:eastAsia="Arial" w:hAnsi="Arial" w:cs="Arial"/>
          <w:color w:val="000000"/>
          <w:sz w:val="20"/>
        </w:rPr>
        <w:t xml:space="preserve"> of whether he would be injured (adversely affected) by the challenged barrier. Because Chapman repeatedly disavowed any deterrence resulted from the barriers he encountered, he experienced no unified injury and had no basis to challenge all unencountered barriers at Pier 1.</w:t>
      </w:r>
    </w:p>
    <w:p w14:paraId="3F4B963E" w14:textId="77777777" w:rsidR="00D041A2" w:rsidRDefault="00000000">
      <w:pPr>
        <w:pStyle w:val="Normal37"/>
        <w:widowControl w:val="0"/>
        <w:spacing w:before="200" w:line="260" w:lineRule="atLeast"/>
        <w:jc w:val="both"/>
      </w:pPr>
      <w:bookmarkStart w:id="5419" w:name="Bookmark_para_67_3"/>
      <w:bookmarkStart w:id="5420" w:name="Bookmark_I7M82NTWMHD0000426D0002K"/>
      <w:bookmarkStart w:id="5421" w:name="Bookmark_I7M82NTWPST0000426D0002M"/>
      <w:bookmarkStart w:id="5422" w:name="Bookmark_I522R2KX0TVRJY0050000400"/>
      <w:bookmarkStart w:id="5423" w:name="Bookmark_I7M82NTWT010000426D0002N"/>
      <w:bookmarkStart w:id="5424" w:name="Bookmark_I522R2KX0TVRK30040000400"/>
      <w:bookmarkEnd w:id="5419"/>
      <w:bookmarkEnd w:id="5420"/>
      <w:bookmarkEnd w:id="5421"/>
      <w:bookmarkEnd w:id="5422"/>
      <w:bookmarkEnd w:id="5423"/>
      <w:bookmarkEnd w:id="5424"/>
      <w:r>
        <w:rPr>
          <w:rFonts w:ascii="Arial" w:eastAsia="Arial" w:hAnsi="Arial" w:cs="Arial"/>
          <w:color w:val="000000"/>
          <w:sz w:val="20"/>
        </w:rPr>
        <w:t xml:space="preserve">Not only does such an expansion of standing violate the constitutional aspects of standing, as discussed above, but it also violates the  [**53] prudential aspects of standing. In </w:t>
      </w:r>
      <w:r>
        <w:rPr>
          <w:rFonts w:ascii="Arial" w:eastAsia="Arial" w:hAnsi="Arial" w:cs="Arial"/>
          <w:i/>
          <w:color w:val="000000"/>
          <w:sz w:val="20"/>
        </w:rPr>
        <w:t>Doran</w:t>
      </w:r>
      <w:r>
        <w:rPr>
          <w:rFonts w:ascii="Arial" w:eastAsia="Arial" w:hAnsi="Arial" w:cs="Arial"/>
          <w:color w:val="000000"/>
          <w:sz w:val="20"/>
        </w:rPr>
        <w:t xml:space="preserve">, we recognized the "question regarding the breadth of [an ADA plaintiff's] right to sue also implicates the prudential aspects of the standing doctrine." </w:t>
      </w:r>
      <w:bookmarkStart w:id="5425" w:name="Bookmark_I522R2KX0TVRJY0040000400"/>
      <w:bookmarkEnd w:id="5425"/>
      <w:r>
        <w:rPr>
          <w:rFonts w:ascii="Arial" w:eastAsia="Arial" w:hAnsi="Arial" w:cs="Arial"/>
          <w:color w:val="000000"/>
          <w:sz w:val="20"/>
        </w:rPr>
        <w:t xml:space="preserve">524 F.3d at 1044 (citing </w:t>
      </w:r>
      <w:bookmarkStart w:id="5426" w:name="Bookmark_I522R2KX0TVRK30010000400"/>
      <w:bookmarkEnd w:id="5426"/>
      <w:r>
        <w:rPr>
          <w:rFonts w:ascii="Arial" w:eastAsia="Arial" w:hAnsi="Arial" w:cs="Arial"/>
          <w:i/>
          <w:color w:val="000000"/>
          <w:sz w:val="20"/>
        </w:rPr>
        <w:t>Bennett v. Spear</w:t>
      </w:r>
      <w:r>
        <w:rPr>
          <w:rFonts w:ascii="Arial" w:eastAsia="Arial" w:hAnsi="Arial" w:cs="Arial"/>
          <w:color w:val="000000"/>
          <w:sz w:val="20"/>
        </w:rPr>
        <w:t xml:space="preserve">, 520 U.S. 154, 164, 117 S. Ct. 1154, 137 L. Ed. 2d 281 (1997)). Prudential standing limits federal jurisdiction, including "the general prohibition on a litigant's raising another person's legal rights, the rule barring adjudication of generalized grievances more appropriately addressed in the representative branches, and the requirement that a plaintiff's complaint fall within the zone of interests protected by the law invoked." </w:t>
      </w:r>
      <w:r>
        <w:rPr>
          <w:rFonts w:ascii="Arial" w:eastAsia="Arial" w:hAnsi="Arial" w:cs="Arial"/>
          <w:i/>
          <w:color w:val="000000"/>
          <w:sz w:val="20"/>
        </w:rPr>
        <w:t>Id</w:t>
      </w:r>
      <w:r>
        <w:rPr>
          <w:rFonts w:ascii="Arial" w:eastAsia="Arial" w:hAnsi="Arial" w:cs="Arial"/>
          <w:color w:val="000000"/>
          <w:sz w:val="20"/>
        </w:rPr>
        <w:t xml:space="preserve">. (quoting </w:t>
      </w:r>
      <w:bookmarkStart w:id="5427" w:name="Bookmark_I522R2KX0TVRK30030000400"/>
      <w:bookmarkEnd w:id="5427"/>
      <w:r>
        <w:rPr>
          <w:rFonts w:ascii="Arial" w:eastAsia="Arial" w:hAnsi="Arial" w:cs="Arial"/>
          <w:i/>
          <w:color w:val="000000"/>
          <w:sz w:val="20"/>
        </w:rPr>
        <w:t>Allen v. Wright</w:t>
      </w:r>
      <w:r>
        <w:rPr>
          <w:rFonts w:ascii="Arial" w:eastAsia="Arial" w:hAnsi="Arial" w:cs="Arial"/>
          <w:color w:val="000000"/>
          <w:sz w:val="20"/>
        </w:rPr>
        <w:t>, 468 U.S. 737, 751, 104 S. Ct. 3315, 82 L. Ed. 2d 556 (1984)). Allowing a plaintiff to challenge barriers which never affected him in the past, which he had never considered at the time of filing the complaint, and of which he could easily learn by returning to a store (that he is not deterred from frequenting), runs afoul of the prudential principles against generalized grievances.</w:t>
      </w:r>
    </w:p>
    <w:p w14:paraId="51CFA50F" w14:textId="77777777" w:rsidR="00D041A2" w:rsidRDefault="00000000">
      <w:pPr>
        <w:pStyle w:val="Normal37"/>
        <w:widowControl w:val="0"/>
        <w:spacing w:before="200" w:line="260" w:lineRule="atLeast"/>
        <w:jc w:val="both"/>
      </w:pPr>
      <w:bookmarkStart w:id="5428" w:name="Bookmark_para_68_3"/>
      <w:bookmarkStart w:id="5429" w:name="Bookmark_I7M82NTWW2P0000426D0002P"/>
      <w:bookmarkStart w:id="5430" w:name="Bookmark_I7M82NTWY640000426D0002R"/>
      <w:bookmarkStart w:id="5431" w:name="Bookmark_I522R2KY0TVRK70010000400"/>
      <w:bookmarkEnd w:id="5428"/>
      <w:bookmarkEnd w:id="5429"/>
      <w:bookmarkEnd w:id="5430"/>
      <w:bookmarkEnd w:id="5431"/>
      <w:r>
        <w:rPr>
          <w:rFonts w:ascii="Arial" w:eastAsia="Arial" w:hAnsi="Arial" w:cs="Arial"/>
          <w:color w:val="000000"/>
          <w:sz w:val="20"/>
        </w:rPr>
        <w:t xml:space="preserve">As our sister circuit has explained, "[t]he ADA does not permit private plaintiffs to bring claims as private attorneys general to vindicate other people's injuries." </w:t>
      </w:r>
      <w:bookmarkStart w:id="5432" w:name="Bookmark_I522R2KX0TVRK30050000400"/>
      <w:bookmarkEnd w:id="5432"/>
      <w:r>
        <w:rPr>
          <w:rFonts w:ascii="Arial" w:eastAsia="Arial" w:hAnsi="Arial" w:cs="Arial"/>
          <w:i/>
          <w:color w:val="000000"/>
          <w:sz w:val="20"/>
        </w:rPr>
        <w:t>McInnis-Misenor v. Maine Med. Ctr</w:t>
      </w:r>
      <w:r>
        <w:rPr>
          <w:rFonts w:ascii="Arial" w:eastAsia="Arial" w:hAnsi="Arial" w:cs="Arial"/>
          <w:color w:val="000000"/>
          <w:sz w:val="20"/>
        </w:rPr>
        <w:t>., 319 F.3d 63, 69 (1st Cir. 2003);  [**54] </w:t>
      </w:r>
      <w:r>
        <w:rPr>
          <w:rFonts w:ascii="Arial" w:eastAsia="Arial" w:hAnsi="Arial" w:cs="Arial"/>
          <w:i/>
          <w:color w:val="000000"/>
          <w:sz w:val="20"/>
        </w:rPr>
        <w:t xml:space="preserve">see also </w:t>
      </w:r>
      <w:bookmarkStart w:id="5433" w:name="Bookmark_I522R2KY0TVRK70020000400"/>
      <w:bookmarkEnd w:id="5433"/>
      <w:r>
        <w:rPr>
          <w:rFonts w:ascii="Arial" w:eastAsia="Arial" w:hAnsi="Arial" w:cs="Arial"/>
          <w:i/>
          <w:color w:val="000000"/>
          <w:sz w:val="20"/>
        </w:rPr>
        <w:t>Raines v. Byrd</w:t>
      </w:r>
      <w:r>
        <w:rPr>
          <w:rFonts w:ascii="Arial" w:eastAsia="Arial" w:hAnsi="Arial" w:cs="Arial"/>
          <w:color w:val="000000"/>
          <w:sz w:val="20"/>
        </w:rPr>
        <w:t>, 521 U.S. 811, 820, 117 S. Ct. 2312, 138 L. Ed. 2d 849 (1997) ("[W]e must put  [*961]  aside the natural urge to proceed directly to the merits of this important dispute and to 'settle' it for the sake of convenience and efficiency. Instead, we must carefully inquire as to whether appellees have met their burden of establishing that their claimed injury is personal, particularized, concrete, and otherwise judicially cognizable.").</w:t>
      </w:r>
    </w:p>
    <w:p w14:paraId="25FC16CE" w14:textId="77777777" w:rsidR="00D041A2" w:rsidRDefault="00000000">
      <w:pPr>
        <w:pStyle w:val="Normal37"/>
        <w:widowControl w:val="0"/>
        <w:spacing w:before="200" w:line="260" w:lineRule="atLeast"/>
        <w:jc w:val="both"/>
        <w:sectPr w:rsidR="00D041A2">
          <w:type w:val="continuous"/>
          <w:pgSz w:w="12240" w:h="15840"/>
          <w:pgMar w:top="840" w:right="1000" w:bottom="840" w:left="1000" w:header="400" w:footer="400" w:gutter="0"/>
          <w:cols w:num="2" w:space="240"/>
        </w:sectPr>
      </w:pPr>
      <w:bookmarkStart w:id="5434" w:name="Bookmark_para_69_3"/>
      <w:bookmarkEnd w:id="5434"/>
      <w:r>
        <w:rPr>
          <w:rFonts w:ascii="Arial" w:eastAsia="Arial" w:hAnsi="Arial" w:cs="Arial"/>
          <w:color w:val="000000"/>
          <w:sz w:val="20"/>
        </w:rPr>
        <w:t xml:space="preserve">Therefore, as the prior panel outlined, Chapman did not have standing as to unencountered barriers, because he was not deterred from returning to Pier 1. The lack of deterrence defeats </w:t>
      </w:r>
      <w:r>
        <w:rPr>
          <w:rFonts w:ascii="Arial" w:eastAsia="Arial" w:hAnsi="Arial" w:cs="Arial"/>
          <w:i/>
          <w:color w:val="000000"/>
          <w:sz w:val="20"/>
        </w:rPr>
        <w:t>Doran's</w:t>
      </w:r>
      <w:r>
        <w:rPr>
          <w:rFonts w:ascii="Arial" w:eastAsia="Arial" w:hAnsi="Arial" w:cs="Arial"/>
          <w:color w:val="000000"/>
          <w:sz w:val="20"/>
        </w:rPr>
        <w:t xml:space="preserve"> justification for allowing unencountered barriers to be considered as one injury and allows Chapman to bring what amounts to generalized grievances against Pier 1.</w:t>
      </w:r>
    </w:p>
    <w:p w14:paraId="530394F5" w14:textId="77777777" w:rsidR="00D041A2" w:rsidRDefault="00000000">
      <w:pPr>
        <w:pStyle w:val="Normal37"/>
        <w:widowControl w:val="0"/>
        <w:spacing w:line="240" w:lineRule="atLeast"/>
        <w:jc w:val="both"/>
      </w:pPr>
      <w:r>
        <w:rPr>
          <w:rFonts w:ascii="Arial" w:eastAsia="Arial" w:hAnsi="Arial" w:cs="Arial"/>
          <w:b/>
          <w:sz w:val="20"/>
        </w:rPr>
        <w:t>Table1 (</w:t>
      </w:r>
      <w:hyperlink w:anchor="Table1_insert" w:history="1">
        <w:r>
          <w:rPr>
            <w:rFonts w:ascii="Arial" w:eastAsia="Arial" w:hAnsi="Arial" w:cs="Arial"/>
            <w:color w:val="0077CC"/>
            <w:sz w:val="20"/>
            <w:u w:val="single"/>
            <w:shd w:val="clear" w:color="auto" w:fill="FFFFFF"/>
          </w:rPr>
          <w:t>Return to related document text</w:t>
        </w:r>
      </w:hyperlink>
      <w:r>
        <w:rPr>
          <w:rFonts w:ascii="Arial" w:eastAsia="Arial" w:hAnsi="Arial" w:cs="Arial"/>
          <w:b/>
          <w:sz w:val="20"/>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680"/>
        <w:gridCol w:w="960"/>
        <w:gridCol w:w="6840"/>
      </w:tblGrid>
      <w:tr w:rsidR="00D041A2" w14:paraId="224178E4" w14:textId="77777777">
        <w:trPr>
          <w:tblHeader/>
        </w:trPr>
        <w:tc>
          <w:tcPr>
            <w:tcW w:w="1680" w:type="dxa"/>
            <w:tcBorders>
              <w:bottom w:val="nil"/>
              <w:right w:val="nil"/>
            </w:tcBorders>
            <w:tcMar>
              <w:top w:w="20" w:type="dxa"/>
              <w:bottom w:w="20" w:type="dxa"/>
            </w:tcMar>
          </w:tcPr>
          <w:p w14:paraId="4B7656B7" w14:textId="77777777" w:rsidR="00D041A2" w:rsidRDefault="00000000">
            <w:pPr>
              <w:pStyle w:val="Normal37"/>
              <w:spacing w:line="220" w:lineRule="atLeast"/>
            </w:pPr>
            <w:r>
              <w:rPr>
                <w:rFonts w:ascii="Arial" w:eastAsia="Arial" w:hAnsi="Arial" w:cs="Arial"/>
                <w:b/>
                <w:color w:val="000000"/>
                <w:sz w:val="18"/>
                <w:u w:val="single"/>
              </w:rPr>
              <w:t>CBC</w:t>
            </w:r>
          </w:p>
        </w:tc>
        <w:tc>
          <w:tcPr>
            <w:tcW w:w="960" w:type="dxa"/>
            <w:tcBorders>
              <w:bottom w:val="nil"/>
              <w:right w:val="nil"/>
            </w:tcBorders>
            <w:tcMar>
              <w:top w:w="20" w:type="dxa"/>
              <w:bottom w:w="20" w:type="dxa"/>
            </w:tcMar>
          </w:tcPr>
          <w:p w14:paraId="15E990E9" w14:textId="77777777" w:rsidR="00D041A2" w:rsidRDefault="00000000">
            <w:pPr>
              <w:pStyle w:val="Normal37"/>
              <w:spacing w:line="220" w:lineRule="atLeast"/>
            </w:pPr>
            <w:r>
              <w:rPr>
                <w:rFonts w:ascii="Arial" w:eastAsia="Arial" w:hAnsi="Arial" w:cs="Arial"/>
                <w:b/>
                <w:color w:val="000000"/>
                <w:sz w:val="18"/>
                <w:u w:val="single"/>
              </w:rPr>
              <w:t>ADAAG</w:t>
            </w:r>
          </w:p>
        </w:tc>
        <w:tc>
          <w:tcPr>
            <w:tcW w:w="6840" w:type="dxa"/>
            <w:tcBorders>
              <w:bottom w:val="nil"/>
            </w:tcBorders>
            <w:tcMar>
              <w:top w:w="20" w:type="dxa"/>
              <w:bottom w:w="20" w:type="dxa"/>
            </w:tcMar>
          </w:tcPr>
          <w:p w14:paraId="3C68F9BC" w14:textId="77777777" w:rsidR="00D041A2" w:rsidRDefault="00D041A2">
            <w:pPr>
              <w:pStyle w:val="Normal37"/>
            </w:pPr>
          </w:p>
        </w:tc>
      </w:tr>
      <w:tr w:rsidR="00D041A2" w14:paraId="675BAE33" w14:textId="77777777">
        <w:tc>
          <w:tcPr>
            <w:tcW w:w="1680" w:type="dxa"/>
            <w:tcBorders>
              <w:bottom w:val="nil"/>
              <w:right w:val="nil"/>
            </w:tcBorders>
            <w:tcMar>
              <w:top w:w="20" w:type="dxa"/>
              <w:bottom w:w="20" w:type="dxa"/>
            </w:tcMar>
          </w:tcPr>
          <w:p w14:paraId="44C78344" w14:textId="77777777" w:rsidR="00D041A2" w:rsidRDefault="00000000">
            <w:pPr>
              <w:pStyle w:val="Normal37"/>
              <w:spacing w:line="220" w:lineRule="atLeast"/>
            </w:pPr>
            <w:r>
              <w:rPr>
                <w:rFonts w:ascii="Arial" w:eastAsia="Arial" w:hAnsi="Arial" w:cs="Arial"/>
                <w:color w:val="000000"/>
                <w:sz w:val="18"/>
              </w:rPr>
              <w:t>1117B.5.8.1.2</w:t>
            </w:r>
          </w:p>
        </w:tc>
        <w:tc>
          <w:tcPr>
            <w:tcW w:w="960" w:type="dxa"/>
            <w:tcBorders>
              <w:bottom w:val="nil"/>
              <w:right w:val="nil"/>
            </w:tcBorders>
            <w:tcMar>
              <w:top w:w="20" w:type="dxa"/>
              <w:bottom w:w="20" w:type="dxa"/>
            </w:tcMar>
          </w:tcPr>
          <w:p w14:paraId="3503A9A3" w14:textId="77777777" w:rsidR="00D041A2" w:rsidRDefault="00000000">
            <w:pPr>
              <w:pStyle w:val="Normal37"/>
              <w:spacing w:line="220" w:lineRule="atLeast"/>
            </w:pPr>
            <w:r>
              <w:rPr>
                <w:rFonts w:ascii="Arial" w:eastAsia="Arial" w:hAnsi="Arial" w:cs="Arial"/>
                <w:color w:val="000000"/>
                <w:sz w:val="18"/>
              </w:rPr>
              <w:t>4.30.7</w:t>
            </w:r>
          </w:p>
        </w:tc>
        <w:tc>
          <w:tcPr>
            <w:tcW w:w="6840" w:type="dxa"/>
            <w:tcBorders>
              <w:bottom w:val="nil"/>
            </w:tcBorders>
            <w:tcMar>
              <w:top w:w="20" w:type="dxa"/>
              <w:bottom w:w="20" w:type="dxa"/>
            </w:tcMar>
          </w:tcPr>
          <w:p w14:paraId="688F9533" w14:textId="77777777" w:rsidR="00D041A2" w:rsidRDefault="00000000">
            <w:pPr>
              <w:pStyle w:val="Normal37"/>
              <w:spacing w:line="220" w:lineRule="atLeast"/>
            </w:pPr>
            <w:r>
              <w:rPr>
                <w:rFonts w:ascii="Arial" w:eastAsia="Arial" w:hAnsi="Arial" w:cs="Arial"/>
                <w:color w:val="000000"/>
                <w:sz w:val="18"/>
              </w:rPr>
              <w:t>a. Without ISA mounted on required right side of double</w:t>
            </w:r>
          </w:p>
        </w:tc>
      </w:tr>
      <w:tr w:rsidR="00D041A2" w14:paraId="6A66CF80" w14:textId="77777777">
        <w:tc>
          <w:tcPr>
            <w:tcW w:w="1680" w:type="dxa"/>
            <w:tcBorders>
              <w:bottom w:val="nil"/>
              <w:right w:val="nil"/>
            </w:tcBorders>
            <w:tcMar>
              <w:top w:w="20" w:type="dxa"/>
              <w:bottom w:w="20" w:type="dxa"/>
            </w:tcMar>
          </w:tcPr>
          <w:p w14:paraId="4336D137" w14:textId="77777777" w:rsidR="00D041A2" w:rsidRDefault="00000000">
            <w:pPr>
              <w:pStyle w:val="Normal37"/>
              <w:spacing w:line="220" w:lineRule="atLeast"/>
            </w:pPr>
            <w:r>
              <w:rPr>
                <w:rFonts w:ascii="Arial" w:eastAsia="Arial" w:hAnsi="Arial" w:cs="Arial"/>
                <w:color w:val="000000"/>
                <w:sz w:val="18"/>
              </w:rPr>
              <w:t>1117B5.7</w:t>
            </w:r>
          </w:p>
        </w:tc>
        <w:tc>
          <w:tcPr>
            <w:tcW w:w="960" w:type="dxa"/>
            <w:tcBorders>
              <w:bottom w:val="nil"/>
              <w:right w:val="nil"/>
            </w:tcBorders>
            <w:tcMar>
              <w:top w:w="20" w:type="dxa"/>
              <w:bottom w:w="20" w:type="dxa"/>
            </w:tcMar>
          </w:tcPr>
          <w:p w14:paraId="2904FA08" w14:textId="77777777" w:rsidR="00D041A2" w:rsidRDefault="00000000">
            <w:pPr>
              <w:pStyle w:val="Normal37"/>
              <w:spacing w:line="220" w:lineRule="atLeast"/>
            </w:pPr>
            <w:r>
              <w:rPr>
                <w:rFonts w:ascii="Arial" w:eastAsia="Arial" w:hAnsi="Arial" w:cs="Arial"/>
                <w:color w:val="000000"/>
                <w:sz w:val="18"/>
              </w:rPr>
              <w:t>4.30.6</w:t>
            </w:r>
          </w:p>
        </w:tc>
        <w:tc>
          <w:tcPr>
            <w:tcW w:w="6840" w:type="dxa"/>
            <w:tcBorders>
              <w:bottom w:val="nil"/>
            </w:tcBorders>
            <w:tcMar>
              <w:top w:w="20" w:type="dxa"/>
              <w:bottom w:w="20" w:type="dxa"/>
            </w:tcMar>
          </w:tcPr>
          <w:p w14:paraId="3EF8D096" w14:textId="77777777" w:rsidR="00D041A2" w:rsidRDefault="00000000">
            <w:pPr>
              <w:pStyle w:val="Normal37"/>
              <w:spacing w:line="220" w:lineRule="atLeast"/>
            </w:pPr>
            <w:r>
              <w:rPr>
                <w:rFonts w:ascii="Arial" w:eastAsia="Arial" w:hAnsi="Arial" w:cs="Arial"/>
                <w:color w:val="000000"/>
                <w:sz w:val="18"/>
              </w:rPr>
              <w:t>leaf doors (on left side)(CBC more stringent)</w:t>
            </w:r>
          </w:p>
        </w:tc>
      </w:tr>
      <w:tr w:rsidR="00D041A2" w14:paraId="5EA90A83" w14:textId="77777777">
        <w:tc>
          <w:tcPr>
            <w:tcW w:w="1680" w:type="dxa"/>
            <w:tcBorders>
              <w:bottom w:val="nil"/>
              <w:right w:val="nil"/>
            </w:tcBorders>
            <w:tcMar>
              <w:top w:w="20" w:type="dxa"/>
              <w:bottom w:w="20" w:type="dxa"/>
            </w:tcMar>
          </w:tcPr>
          <w:p w14:paraId="05334682" w14:textId="77777777" w:rsidR="00D041A2" w:rsidRDefault="00000000">
            <w:pPr>
              <w:pStyle w:val="Normal37"/>
              <w:spacing w:line="220" w:lineRule="atLeast"/>
            </w:pPr>
            <w:r>
              <w:rPr>
                <w:rFonts w:ascii="Arial" w:eastAsia="Arial" w:hAnsi="Arial" w:cs="Arial"/>
                <w:color w:val="000000"/>
                <w:sz w:val="18"/>
              </w:rPr>
              <w:t>220-Shall</w:t>
            </w:r>
          </w:p>
        </w:tc>
        <w:tc>
          <w:tcPr>
            <w:tcW w:w="960" w:type="dxa"/>
            <w:tcBorders>
              <w:bottom w:val="nil"/>
              <w:right w:val="nil"/>
            </w:tcBorders>
            <w:tcMar>
              <w:top w:w="20" w:type="dxa"/>
              <w:bottom w:w="20" w:type="dxa"/>
            </w:tcMar>
          </w:tcPr>
          <w:p w14:paraId="1B249703" w14:textId="77777777" w:rsidR="00D041A2" w:rsidRDefault="00D041A2">
            <w:pPr>
              <w:pStyle w:val="Normal37"/>
            </w:pPr>
          </w:p>
        </w:tc>
        <w:tc>
          <w:tcPr>
            <w:tcW w:w="6840" w:type="dxa"/>
            <w:tcBorders>
              <w:bottom w:val="nil"/>
            </w:tcBorders>
            <w:tcMar>
              <w:top w:w="20" w:type="dxa"/>
              <w:bottom w:w="20" w:type="dxa"/>
            </w:tcMar>
          </w:tcPr>
          <w:p w14:paraId="65C200E4" w14:textId="77777777" w:rsidR="00D041A2" w:rsidRDefault="00D041A2">
            <w:pPr>
              <w:pStyle w:val="Normal37"/>
            </w:pPr>
          </w:p>
        </w:tc>
      </w:tr>
      <w:tr w:rsidR="00D041A2" w14:paraId="61138A15" w14:textId="77777777">
        <w:tc>
          <w:tcPr>
            <w:tcW w:w="1680" w:type="dxa"/>
            <w:tcBorders>
              <w:bottom w:val="nil"/>
              <w:right w:val="nil"/>
            </w:tcBorders>
            <w:tcMar>
              <w:top w:w="20" w:type="dxa"/>
              <w:bottom w:w="20" w:type="dxa"/>
            </w:tcMar>
          </w:tcPr>
          <w:p w14:paraId="16051BB5" w14:textId="77777777" w:rsidR="00D041A2" w:rsidRDefault="00000000">
            <w:pPr>
              <w:pStyle w:val="Normal37"/>
              <w:spacing w:line="220" w:lineRule="atLeast"/>
            </w:pPr>
            <w:r>
              <w:rPr>
                <w:rFonts w:ascii="Arial" w:eastAsia="Arial" w:hAnsi="Arial" w:cs="Arial"/>
                <w:color w:val="000000"/>
                <w:sz w:val="18"/>
              </w:rPr>
              <w:t>1117B.5.7</w:t>
            </w:r>
          </w:p>
        </w:tc>
        <w:tc>
          <w:tcPr>
            <w:tcW w:w="960" w:type="dxa"/>
            <w:tcBorders>
              <w:bottom w:val="nil"/>
              <w:right w:val="nil"/>
            </w:tcBorders>
            <w:tcMar>
              <w:top w:w="20" w:type="dxa"/>
              <w:bottom w:w="20" w:type="dxa"/>
            </w:tcMar>
          </w:tcPr>
          <w:p w14:paraId="5D04B99B" w14:textId="77777777" w:rsidR="00D041A2" w:rsidRDefault="00000000">
            <w:pPr>
              <w:pStyle w:val="Normal37"/>
              <w:spacing w:line="220" w:lineRule="atLeast"/>
            </w:pPr>
            <w:r>
              <w:rPr>
                <w:rFonts w:ascii="Arial" w:eastAsia="Arial" w:hAnsi="Arial" w:cs="Arial"/>
                <w:color w:val="000000"/>
                <w:sz w:val="18"/>
              </w:rPr>
              <w:t>4.30.6</w:t>
            </w:r>
          </w:p>
        </w:tc>
        <w:tc>
          <w:tcPr>
            <w:tcW w:w="6840" w:type="dxa"/>
            <w:tcBorders>
              <w:bottom w:val="nil"/>
            </w:tcBorders>
            <w:tcMar>
              <w:top w:w="20" w:type="dxa"/>
              <w:bottom w:w="20" w:type="dxa"/>
            </w:tcMar>
          </w:tcPr>
          <w:p w14:paraId="19515AC2" w14:textId="77777777" w:rsidR="00D041A2" w:rsidRDefault="00000000">
            <w:pPr>
              <w:pStyle w:val="Normal37"/>
              <w:spacing w:line="220" w:lineRule="atLeast"/>
            </w:pPr>
            <w:r>
              <w:rPr>
                <w:rFonts w:ascii="Arial" w:eastAsia="Arial" w:hAnsi="Arial" w:cs="Arial"/>
                <w:color w:val="000000"/>
                <w:sz w:val="18"/>
              </w:rPr>
              <w:t>b. ISA symbol is not mounted at the required height of</w:t>
            </w:r>
          </w:p>
        </w:tc>
      </w:tr>
      <w:tr w:rsidR="00D041A2" w14:paraId="53080059" w14:textId="77777777">
        <w:tc>
          <w:tcPr>
            <w:tcW w:w="1680" w:type="dxa"/>
            <w:tcBorders>
              <w:bottom w:val="nil"/>
              <w:right w:val="nil"/>
            </w:tcBorders>
            <w:tcMar>
              <w:top w:w="20" w:type="dxa"/>
              <w:bottom w:w="20" w:type="dxa"/>
            </w:tcMar>
          </w:tcPr>
          <w:p w14:paraId="45A53E04" w14:textId="77777777" w:rsidR="00D041A2" w:rsidRDefault="00000000">
            <w:pPr>
              <w:pStyle w:val="Normal37"/>
              <w:spacing w:line="220" w:lineRule="atLeast"/>
            </w:pPr>
            <w:r>
              <w:rPr>
                <w:rFonts w:ascii="Arial" w:eastAsia="Arial" w:hAnsi="Arial" w:cs="Arial"/>
                <w:color w:val="000000"/>
                <w:sz w:val="18"/>
              </w:rPr>
              <w:t>220-Shall</w:t>
            </w:r>
          </w:p>
        </w:tc>
        <w:tc>
          <w:tcPr>
            <w:tcW w:w="960" w:type="dxa"/>
            <w:tcBorders>
              <w:bottom w:val="nil"/>
              <w:right w:val="nil"/>
            </w:tcBorders>
            <w:tcMar>
              <w:top w:w="20" w:type="dxa"/>
              <w:bottom w:w="20" w:type="dxa"/>
            </w:tcMar>
          </w:tcPr>
          <w:p w14:paraId="6F48F8FD" w14:textId="77777777" w:rsidR="00D041A2" w:rsidRDefault="00D041A2">
            <w:pPr>
              <w:pStyle w:val="Normal37"/>
            </w:pPr>
          </w:p>
        </w:tc>
        <w:tc>
          <w:tcPr>
            <w:tcW w:w="6840" w:type="dxa"/>
            <w:tcBorders>
              <w:bottom w:val="nil"/>
            </w:tcBorders>
            <w:tcMar>
              <w:top w:w="20" w:type="dxa"/>
              <w:bottom w:w="20" w:type="dxa"/>
            </w:tcMar>
          </w:tcPr>
          <w:p w14:paraId="5D85046F" w14:textId="77777777" w:rsidR="00D041A2" w:rsidRDefault="00000000">
            <w:pPr>
              <w:pStyle w:val="Normal37"/>
              <w:spacing w:line="220" w:lineRule="atLeast"/>
            </w:pPr>
            <w:r>
              <w:rPr>
                <w:rFonts w:ascii="Arial" w:eastAsia="Arial" w:hAnsi="Arial" w:cs="Arial"/>
                <w:color w:val="000000"/>
                <w:sz w:val="18"/>
              </w:rPr>
              <w:t>60 inches center from surface on right side of double</w:t>
            </w:r>
          </w:p>
        </w:tc>
      </w:tr>
      <w:tr w:rsidR="00D041A2" w14:paraId="3D68DEA3" w14:textId="77777777">
        <w:tc>
          <w:tcPr>
            <w:tcW w:w="1680" w:type="dxa"/>
            <w:tcBorders>
              <w:right w:val="nil"/>
            </w:tcBorders>
            <w:tcMar>
              <w:top w:w="20" w:type="dxa"/>
              <w:bottom w:w="20" w:type="dxa"/>
            </w:tcMar>
          </w:tcPr>
          <w:p w14:paraId="750230FE" w14:textId="77777777" w:rsidR="00D041A2" w:rsidRDefault="00D041A2">
            <w:pPr>
              <w:pStyle w:val="Normal37"/>
            </w:pPr>
          </w:p>
        </w:tc>
        <w:tc>
          <w:tcPr>
            <w:tcW w:w="960" w:type="dxa"/>
            <w:tcBorders>
              <w:right w:val="nil"/>
            </w:tcBorders>
            <w:tcMar>
              <w:top w:w="20" w:type="dxa"/>
              <w:bottom w:w="20" w:type="dxa"/>
            </w:tcMar>
          </w:tcPr>
          <w:p w14:paraId="701E783B" w14:textId="77777777" w:rsidR="00D041A2" w:rsidRDefault="00D041A2">
            <w:pPr>
              <w:pStyle w:val="Normal37"/>
            </w:pPr>
          </w:p>
        </w:tc>
        <w:tc>
          <w:tcPr>
            <w:tcW w:w="6840" w:type="dxa"/>
            <w:tcMar>
              <w:top w:w="20" w:type="dxa"/>
              <w:bottom w:w="20" w:type="dxa"/>
            </w:tcMar>
          </w:tcPr>
          <w:p w14:paraId="5BF7684B" w14:textId="77777777" w:rsidR="00D041A2" w:rsidRDefault="00000000">
            <w:pPr>
              <w:pStyle w:val="Normal37"/>
              <w:spacing w:line="220" w:lineRule="atLeast"/>
            </w:pPr>
            <w:r>
              <w:rPr>
                <w:rFonts w:ascii="Arial" w:eastAsia="Arial" w:hAnsi="Arial" w:cs="Arial"/>
                <w:color w:val="000000"/>
                <w:sz w:val="18"/>
              </w:rPr>
              <w:t>leaf door (44 inches on left side)</w:t>
            </w:r>
          </w:p>
        </w:tc>
      </w:tr>
    </w:tbl>
    <w:p w14:paraId="7B31E170" w14:textId="77777777" w:rsidR="00D041A2" w:rsidRDefault="00000000">
      <w:pPr>
        <w:pStyle w:val="Normal37"/>
        <w:widowControl w:val="0"/>
        <w:spacing w:before="120" w:line="240" w:lineRule="atLeast"/>
        <w:jc w:val="both"/>
      </w:pPr>
      <w:r>
        <w:rPr>
          <w:rFonts w:ascii="Arial" w:eastAsia="Arial" w:hAnsi="Arial" w:cs="Arial"/>
          <w:b/>
          <w:sz w:val="20"/>
        </w:rPr>
        <w:t>Table1 (</w:t>
      </w:r>
      <w:bookmarkStart w:id="5435" w:name="Table1"/>
      <w:r>
        <w:fldChar w:fldCharType="begin"/>
      </w:r>
      <w:r>
        <w:instrText>HYPERLINK \l "Table1_insert"</w:instrText>
      </w:r>
      <w:r>
        <w:fldChar w:fldCharType="separate"/>
      </w:r>
      <w:r>
        <w:rPr>
          <w:rFonts w:ascii="Arial" w:eastAsia="Arial" w:hAnsi="Arial" w:cs="Arial"/>
          <w:color w:val="0077CC"/>
          <w:sz w:val="20"/>
          <w:u w:val="single"/>
          <w:shd w:val="clear" w:color="auto" w:fill="FFFFFF"/>
        </w:rPr>
        <w:t>Return to related document text</w:t>
      </w:r>
      <w:r>
        <w:rPr>
          <w:rFonts w:ascii="Arial" w:eastAsia="Arial" w:hAnsi="Arial" w:cs="Arial"/>
          <w:color w:val="0077CC"/>
          <w:sz w:val="20"/>
          <w:u w:val="single"/>
          <w:shd w:val="clear" w:color="auto" w:fill="FFFFFF"/>
        </w:rPr>
        <w:fldChar w:fldCharType="end"/>
      </w:r>
      <w:bookmarkEnd w:id="5435"/>
      <w:r>
        <w:rPr>
          <w:rFonts w:ascii="Arial" w:eastAsia="Arial" w:hAnsi="Arial" w:cs="Arial"/>
          <w:b/>
          <w:sz w:val="20"/>
        </w:rPr>
        <w:t>)</w:t>
      </w:r>
    </w:p>
    <w:p w14:paraId="43A277CE" w14:textId="77777777" w:rsidR="00D041A2" w:rsidRDefault="00D041A2">
      <w:pPr>
        <w:pStyle w:val="Normal37"/>
      </w:pPr>
    </w:p>
    <w:p w14:paraId="4ADAE5E3" w14:textId="173657C9" w:rsidR="00D041A2" w:rsidRDefault="00000000">
      <w:pPr>
        <w:pStyle w:val="Normal37"/>
        <w:ind w:left="200"/>
        <w:sectPr w:rsidR="00D041A2">
          <w:pgSz w:w="12240" w:h="15840"/>
          <w:pgMar w:top="840" w:right="1000" w:bottom="840" w:left="1000" w:header="400" w:footer="400" w:gutter="0"/>
          <w:cols w:space="720"/>
        </w:sectPr>
      </w:pPr>
      <w:r>
        <w:br/>
      </w:r>
      <w:r w:rsidR="004D4403">
        <w:rPr>
          <w:noProof/>
        </w:rPr>
        <mc:AlternateContent>
          <mc:Choice Requires="wps">
            <w:drawing>
              <wp:anchor distT="0" distB="0" distL="114300" distR="114300" simplePos="0" relativeHeight="251743232" behindDoc="0" locked="0" layoutInCell="1" allowOverlap="1" wp14:anchorId="6B331769" wp14:editId="7BAF82B5">
                <wp:simplePos x="0" y="0"/>
                <wp:positionH relativeFrom="column">
                  <wp:posOffset>0</wp:posOffset>
                </wp:positionH>
                <wp:positionV relativeFrom="paragraph">
                  <wp:posOffset>127000</wp:posOffset>
                </wp:positionV>
                <wp:extent cx="6502400" cy="0"/>
                <wp:effectExtent l="9525" t="12700" r="12700" b="6350"/>
                <wp:wrapNone/>
                <wp:docPr id="437315806"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F0CFC" id="Line 85"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AB21D51" w14:textId="77777777" w:rsidR="00D041A2" w:rsidRDefault="00D041A2">
      <w:pPr>
        <w:pStyle w:val="Normal38"/>
        <w:sectPr w:rsidR="00D041A2">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gutter="0"/>
          <w:cols w:space="720"/>
          <w:titlePg/>
        </w:sectPr>
      </w:pPr>
    </w:p>
    <w:p w14:paraId="2E1B7CD3" w14:textId="77777777" w:rsidR="00D041A2" w:rsidRDefault="00D041A2">
      <w:pPr>
        <w:pStyle w:val="Normal38"/>
      </w:pPr>
    </w:p>
    <w:p w14:paraId="6F9080AB" w14:textId="77777777" w:rsidR="00D041A2" w:rsidRDefault="00000000">
      <w:pPr>
        <w:pStyle w:val="Heading137"/>
        <w:keepNext w:val="0"/>
        <w:widowControl w:val="0"/>
        <w:spacing w:after="200" w:line="340" w:lineRule="atLeast"/>
        <w:jc w:val="center"/>
      </w:pPr>
      <w:r>
        <w:rPr>
          <w:rFonts w:eastAsia="Arial"/>
          <w:color w:val="000000"/>
          <w:sz w:val="28"/>
        </w:rPr>
        <w:t>Sepúlveda-Villarini v. Dep't of Educ. of P.R.</w:t>
      </w:r>
    </w:p>
    <w:p w14:paraId="15A50E0B" w14:textId="77777777" w:rsidR="00D041A2" w:rsidRDefault="00000000">
      <w:pPr>
        <w:pStyle w:val="Normal38"/>
        <w:widowControl w:val="0"/>
        <w:spacing w:before="120" w:line="260" w:lineRule="atLeast"/>
        <w:jc w:val="center"/>
      </w:pPr>
      <w:r>
        <w:rPr>
          <w:rFonts w:ascii="Arial" w:eastAsia="Arial" w:hAnsi="Arial" w:cs="Arial"/>
          <w:color w:val="000000"/>
          <w:sz w:val="20"/>
        </w:rPr>
        <w:t>United States Court of Appeals for the First Circuit</w:t>
      </w:r>
    </w:p>
    <w:p w14:paraId="78188174" w14:textId="77777777" w:rsidR="00D041A2" w:rsidRDefault="00000000">
      <w:pPr>
        <w:pStyle w:val="Normal38"/>
        <w:widowControl w:val="0"/>
        <w:spacing w:before="120" w:line="260" w:lineRule="atLeast"/>
        <w:jc w:val="center"/>
      </w:pPr>
      <w:r>
        <w:rPr>
          <w:rFonts w:ascii="Arial" w:eastAsia="Arial" w:hAnsi="Arial" w:cs="Arial"/>
          <w:color w:val="000000"/>
          <w:sz w:val="20"/>
        </w:rPr>
        <w:t>December 10, 2010, Decided</w:t>
      </w:r>
    </w:p>
    <w:p w14:paraId="5F2B2797" w14:textId="77777777" w:rsidR="00D041A2" w:rsidRDefault="00000000">
      <w:pPr>
        <w:pStyle w:val="Normal38"/>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08-2283, No. 09-1801</w:t>
      </w:r>
    </w:p>
    <w:p w14:paraId="159AADCA" w14:textId="77777777" w:rsidR="00D041A2" w:rsidRDefault="00D041A2">
      <w:pPr>
        <w:pStyle w:val="Normal38"/>
        <w:widowControl w:val="0"/>
        <w:spacing w:line="240" w:lineRule="atLeast"/>
        <w:jc w:val="both"/>
      </w:pPr>
      <w:bookmarkStart w:id="5436" w:name="Bookmark_39"/>
      <w:bookmarkEnd w:id="5436"/>
    </w:p>
    <w:p w14:paraId="6A09E15E" w14:textId="77777777" w:rsidR="00D041A2" w:rsidRDefault="00000000">
      <w:pPr>
        <w:pStyle w:val="Normal38"/>
        <w:widowControl w:val="0"/>
        <w:spacing w:before="200" w:line="240" w:lineRule="atLeast"/>
      </w:pPr>
      <w:bookmarkStart w:id="5437" w:name="Reporter_37"/>
      <w:bookmarkEnd w:id="5437"/>
      <w:r>
        <w:rPr>
          <w:rFonts w:ascii="Arial" w:eastAsia="Arial" w:hAnsi="Arial" w:cs="Arial"/>
          <w:b/>
          <w:color w:val="000000"/>
          <w:sz w:val="18"/>
        </w:rPr>
        <w:t>Reporter</w:t>
      </w:r>
    </w:p>
    <w:p w14:paraId="1817BBD3" w14:textId="77777777" w:rsidR="00D041A2" w:rsidRDefault="00000000">
      <w:pPr>
        <w:pStyle w:val="Normal38"/>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628 F.3d 25 *; 2010 U.S. App. LEXIS 25228 **; 23 Am. Disabilities Cas. (BNA) 1709; 14 Accom. Disabilities Dec. (CCH) P14-168</w:t>
      </w:r>
    </w:p>
    <w:p w14:paraId="618D5DF9" w14:textId="77777777" w:rsidR="00D041A2" w:rsidRDefault="00000000">
      <w:pPr>
        <w:pStyle w:val="Normal38"/>
        <w:widowControl w:val="0"/>
        <w:spacing w:before="120" w:line="260" w:lineRule="atLeast"/>
      </w:pPr>
      <w:r>
        <w:rPr>
          <w:rFonts w:ascii="Arial" w:eastAsia="Arial" w:hAnsi="Arial" w:cs="Arial"/>
          <w:color w:val="000000"/>
          <w:sz w:val="20"/>
        </w:rPr>
        <w:t>ISRAEL SEPÚLVEDA-VILLARINI, Plaintiff, Appellant, v. DEPARTMENT OF EDUCATION OF PUERTO RICO, ET AL., Defendants, Appellees.MARTA VELÁZQUEZ-TORRUELLA, Plaintiff, Appellant, v. ALEXIS OLIVERAS-SANTIAGO, ET AL., Defendants, Appellees.</w:t>
      </w:r>
    </w:p>
    <w:p w14:paraId="075B0EE0" w14:textId="77777777" w:rsidR="00D041A2" w:rsidRDefault="00000000">
      <w:pPr>
        <w:pStyle w:val="Normal38"/>
        <w:widowControl w:val="0"/>
        <w:spacing w:before="240" w:line="260" w:lineRule="atLeast"/>
        <w:jc w:val="both"/>
      </w:pPr>
      <w:bookmarkStart w:id="5438" w:name="Prior_History_37"/>
      <w:bookmarkEnd w:id="5438"/>
      <w:r>
        <w:rPr>
          <w:rFonts w:ascii="Arial" w:eastAsia="Arial" w:hAnsi="Arial" w:cs="Arial"/>
          <w:b/>
          <w:color w:val="000000"/>
          <w:sz w:val="20"/>
        </w:rPr>
        <w:t>Prior History:</w:t>
      </w:r>
      <w:r>
        <w:rPr>
          <w:rFonts w:ascii="Arial" w:eastAsia="Arial" w:hAnsi="Arial" w:cs="Arial"/>
          <w:color w:val="000000"/>
          <w:sz w:val="20"/>
        </w:rPr>
        <w:t>  [**1] </w:t>
      </w:r>
      <w:bookmarkStart w:id="5439" w:name="Bookmark_para_1_37"/>
      <w:bookmarkEnd w:id="5439"/>
      <w:r>
        <w:rPr>
          <w:rFonts w:ascii="Arial" w:eastAsia="Arial" w:hAnsi="Arial" w:cs="Arial"/>
          <w:color w:val="000000"/>
          <w:sz w:val="20"/>
        </w:rPr>
        <w:t>APPEALS FROM THE UNITED STATES DISTRICT COURT FOR THE DISTRICT OF PUERTO RICO. Hon. Jaime Pieras, Jr., U.S. District Judge.</w:t>
      </w:r>
    </w:p>
    <w:p w14:paraId="4B564CB0" w14:textId="77777777" w:rsidR="00D041A2" w:rsidRDefault="00000000">
      <w:pPr>
        <w:pStyle w:val="Normal38"/>
        <w:widowControl w:val="0"/>
        <w:spacing w:before="240" w:line="260" w:lineRule="atLeast"/>
      </w:pPr>
      <w:bookmarkStart w:id="5440" w:name="Counsel_37"/>
      <w:bookmarkEnd w:id="5440"/>
      <w:r>
        <w:rPr>
          <w:rFonts w:ascii="Arial" w:eastAsia="Arial" w:hAnsi="Arial" w:cs="Arial"/>
          <w:b/>
          <w:color w:val="000000"/>
          <w:sz w:val="20"/>
        </w:rPr>
        <w:t>Counsel:</w:t>
      </w:r>
      <w:r>
        <w:rPr>
          <w:rFonts w:ascii="Arial" w:eastAsia="Arial" w:hAnsi="Arial" w:cs="Arial"/>
          <w:color w:val="000000"/>
          <w:sz w:val="20"/>
        </w:rPr>
        <w:t> Mauricio Hernandez Arroyo, with whom Law Offices of Mauricio Hernandez Arroyo was on brief, for appellants.</w:t>
      </w:r>
    </w:p>
    <w:p w14:paraId="48C8E74F" w14:textId="77777777" w:rsidR="00D041A2" w:rsidRDefault="00000000">
      <w:pPr>
        <w:pStyle w:val="Normal38"/>
        <w:widowControl w:val="0"/>
        <w:spacing w:before="120" w:line="260" w:lineRule="atLeast"/>
      </w:pPr>
      <w:r>
        <w:rPr>
          <w:rFonts w:ascii="Arial" w:eastAsia="Arial" w:hAnsi="Arial" w:cs="Arial"/>
          <w:color w:val="000000"/>
          <w:sz w:val="20"/>
        </w:rPr>
        <w:t>Susana I. Peñagaricano-Brown, Assistant Solicitor General, with whom Irene S. Soroeta-Kodesh, Solicitor General, Leticia Casalduc-Rabell, Deputy Solicitor General, and Zaira Z. Girón-Anadón, Deputy Solicitor General, were on brief, for appellees.</w:t>
      </w:r>
    </w:p>
    <w:p w14:paraId="5E5EA6B3" w14:textId="77777777" w:rsidR="00D041A2" w:rsidRDefault="00000000">
      <w:pPr>
        <w:pStyle w:val="Normal38"/>
        <w:widowControl w:val="0"/>
        <w:spacing w:before="240" w:line="260" w:lineRule="atLeast"/>
      </w:pPr>
      <w:bookmarkStart w:id="5441" w:name="Judges_37"/>
      <w:bookmarkEnd w:id="5441"/>
      <w:r>
        <w:rPr>
          <w:rFonts w:ascii="Arial" w:eastAsia="Arial" w:hAnsi="Arial" w:cs="Arial"/>
          <w:b/>
          <w:color w:val="000000"/>
          <w:sz w:val="20"/>
        </w:rPr>
        <w:t>Judges:</w:t>
      </w:r>
      <w:r>
        <w:rPr>
          <w:rFonts w:ascii="Arial" w:eastAsia="Arial" w:hAnsi="Arial" w:cs="Arial"/>
          <w:color w:val="000000"/>
          <w:sz w:val="20"/>
        </w:rPr>
        <w:t xml:space="preserve"> Before Lynch, Chief Judge, Souter, Associate Justice, </w:t>
      </w:r>
      <w:r>
        <w:rPr>
          <w:rFonts w:ascii="Arial" w:eastAsia="Arial" w:hAnsi="Arial" w:cs="Arial"/>
          <w:vertAlign w:val="superscript"/>
        </w:rPr>
        <w:footnoteReference w:customMarkFollows="1" w:id="253"/>
        <w:t>*</w:t>
      </w:r>
      <w:r>
        <w:rPr>
          <w:rFonts w:ascii="Arial" w:eastAsia="Arial" w:hAnsi="Arial" w:cs="Arial"/>
          <w:color w:val="000000"/>
          <w:sz w:val="20"/>
        </w:rPr>
        <w:t xml:space="preserve"> and Selya, Circuit Judge.</w:t>
      </w:r>
    </w:p>
    <w:p w14:paraId="702E1B88" w14:textId="77777777" w:rsidR="00D041A2" w:rsidRDefault="00000000">
      <w:pPr>
        <w:pStyle w:val="Normal38"/>
        <w:widowControl w:val="0"/>
        <w:spacing w:before="240" w:line="260" w:lineRule="atLeast"/>
      </w:pPr>
      <w:bookmarkStart w:id="5443" w:name="Opinion_by_22"/>
      <w:bookmarkEnd w:id="5443"/>
      <w:r>
        <w:rPr>
          <w:rFonts w:ascii="Arial" w:eastAsia="Arial" w:hAnsi="Arial" w:cs="Arial"/>
          <w:b/>
          <w:color w:val="000000"/>
          <w:sz w:val="20"/>
        </w:rPr>
        <w:t>Opinion by:</w:t>
      </w:r>
      <w:r>
        <w:rPr>
          <w:rFonts w:ascii="Arial" w:eastAsia="Arial" w:hAnsi="Arial" w:cs="Arial"/>
          <w:color w:val="000000"/>
          <w:sz w:val="20"/>
        </w:rPr>
        <w:t> SOUTER</w:t>
      </w:r>
    </w:p>
    <w:p w14:paraId="33E32FEF" w14:textId="77777777" w:rsidR="00D041A2" w:rsidRDefault="00000000">
      <w:pPr>
        <w:pStyle w:val="Normal38"/>
        <w:keepNext/>
        <w:widowControl w:val="0"/>
        <w:spacing w:before="240" w:line="340" w:lineRule="atLeast"/>
      </w:pPr>
      <w:bookmarkStart w:id="5444" w:name="Opinion_37"/>
      <w:bookmarkEnd w:id="5444"/>
      <w:r>
        <w:rPr>
          <w:rFonts w:ascii="Arial" w:eastAsia="Arial" w:hAnsi="Arial" w:cs="Arial"/>
          <w:b/>
          <w:color w:val="000000"/>
          <w:sz w:val="28"/>
        </w:rPr>
        <w:t>Opinion</w:t>
      </w:r>
    </w:p>
    <w:p w14:paraId="2DB2C3A9" w14:textId="1753C96E" w:rsidR="00D041A2" w:rsidRDefault="004D4403">
      <w:pPr>
        <w:pStyle w:val="Normal38"/>
        <w:spacing w:line="60" w:lineRule="exact"/>
      </w:pPr>
      <w:r>
        <w:rPr>
          <w:noProof/>
        </w:rPr>
        <mc:AlternateContent>
          <mc:Choice Requires="wps">
            <w:drawing>
              <wp:anchor distT="0" distB="0" distL="114300" distR="114300" simplePos="0" relativeHeight="251744256" behindDoc="0" locked="0" layoutInCell="1" allowOverlap="1" wp14:anchorId="2215FFAC" wp14:editId="1AF3D58A">
                <wp:simplePos x="0" y="0"/>
                <wp:positionH relativeFrom="column">
                  <wp:posOffset>0</wp:posOffset>
                </wp:positionH>
                <wp:positionV relativeFrom="paragraph">
                  <wp:posOffset>25400</wp:posOffset>
                </wp:positionV>
                <wp:extent cx="3187700" cy="0"/>
                <wp:effectExtent l="19050" t="15875" r="12700" b="12700"/>
                <wp:wrapTopAndBottom/>
                <wp:docPr id="565555121"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4DD77" id="Line 86"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E08EA16" w14:textId="77777777" w:rsidR="00D041A2" w:rsidRDefault="00D041A2">
      <w:pPr>
        <w:pStyle w:val="Normal38"/>
      </w:pPr>
    </w:p>
    <w:p w14:paraId="7709109A" w14:textId="77777777" w:rsidR="00D041A2" w:rsidRDefault="00000000">
      <w:pPr>
        <w:pStyle w:val="Normal38"/>
        <w:widowControl w:val="0"/>
        <w:spacing w:before="200" w:line="260" w:lineRule="atLeast"/>
        <w:jc w:val="both"/>
      </w:pPr>
      <w:bookmarkStart w:id="5445" w:name="Bookmark_para_2_37"/>
      <w:bookmarkEnd w:id="5445"/>
      <w:r>
        <w:rPr>
          <w:rFonts w:ascii="Arial" w:eastAsia="Arial" w:hAnsi="Arial" w:cs="Arial"/>
          <w:color w:val="000000"/>
          <w:sz w:val="20"/>
        </w:rPr>
        <w:t xml:space="preserve"> [*26]  </w:t>
      </w:r>
      <w:r>
        <w:rPr>
          <w:rFonts w:ascii="Arial" w:eastAsia="Arial" w:hAnsi="Arial" w:cs="Arial"/>
          <w:b/>
          <w:color w:val="000000"/>
          <w:sz w:val="20"/>
        </w:rPr>
        <w:t xml:space="preserve">SOUTER, </w:t>
      </w:r>
      <w:r>
        <w:rPr>
          <w:rFonts w:ascii="Arial" w:eastAsia="Arial" w:hAnsi="Arial" w:cs="Arial"/>
          <w:b/>
          <w:color w:val="000000"/>
          <w:sz w:val="20"/>
          <w:u w:val="single"/>
        </w:rPr>
        <w:t>Associate Justice</w:t>
      </w:r>
      <w:r>
        <w:rPr>
          <w:rFonts w:ascii="Arial" w:eastAsia="Arial" w:hAnsi="Arial" w:cs="Arial"/>
          <w:color w:val="000000"/>
          <w:sz w:val="20"/>
        </w:rPr>
        <w:t>. The issue in each of these consolidated cases is the sufficiency of the complaint to state a claim for failure to accommodate an employee's disability as required by Title I of the Americans with Disabilities Act (ADA), 42 U.S.C. §§ 12111-12117, and § 504 of the Rehabilitation Act, 29 U.S.C. § 794. The district court dismissed each under Federal Rule of Civil Procedure 12(b)(6) for failure to state a claim. We vacate and remand.</w:t>
      </w:r>
    </w:p>
    <w:p w14:paraId="31CED025" w14:textId="77777777" w:rsidR="00D041A2" w:rsidRDefault="00000000">
      <w:pPr>
        <w:pStyle w:val="Normal38"/>
        <w:widowControl w:val="0"/>
        <w:spacing w:before="200" w:line="260" w:lineRule="atLeast"/>
        <w:jc w:val="both"/>
      </w:pPr>
      <w:bookmarkStart w:id="5446" w:name="Bookmark_para_3_37"/>
      <w:bookmarkEnd w:id="5446"/>
      <w:r>
        <w:rPr>
          <w:rFonts w:ascii="Arial" w:eastAsia="Arial" w:hAnsi="Arial" w:cs="Arial"/>
          <w:color w:val="000000"/>
          <w:sz w:val="20"/>
        </w:rPr>
        <w:t>It takes nimble footwork to reach that exact issue. The appellants  [**2] in these suits, Israel Sepúlveda-Villarini (Sepúlveda) and  [*27]  Marta Velázquez-Torruella (Velázquez), are public school teachers in Ponce, Puerto Rico. The appellees are the Puerto Rico Department of Education; its Secretary, Rafael Aragunde-Torres (Aragunde); and the school director (and appellants' supervisor), Alexis Oliveras-Santiago (Oliveras). Aragunde is sued in his official capacity; Oliveras is sued in his personal capacity.</w:t>
      </w:r>
    </w:p>
    <w:p w14:paraId="6613DA01" w14:textId="77777777" w:rsidR="00D041A2" w:rsidRDefault="00000000">
      <w:pPr>
        <w:pStyle w:val="Normal38"/>
        <w:widowControl w:val="0"/>
        <w:spacing w:before="200" w:line="260" w:lineRule="atLeast"/>
        <w:jc w:val="both"/>
      </w:pPr>
      <w:bookmarkStart w:id="5447" w:name="Bookmark_para_4_37"/>
      <w:bookmarkEnd w:id="5447"/>
      <w:r>
        <w:rPr>
          <w:rFonts w:ascii="Arial" w:eastAsia="Arial" w:hAnsi="Arial" w:cs="Arial"/>
          <w:color w:val="000000"/>
          <w:sz w:val="20"/>
        </w:rPr>
        <w:t xml:space="preserve">The appellants' claims and the district court's resolution of them are largely similar, but differ somewhat in the details. Sepúlveda alleged that he suffered a stroke while teaching and required heart by-pass surgery. The nature of his continuing impairment is unclear, but he claims that his doctor ordered him to apply for accommodations upon his return to work. </w:t>
      </w:r>
      <w:bookmarkStart w:id="5448" w:name="Bookmark_LNHNREFclscc1_29"/>
      <w:bookmarkEnd w:id="5448"/>
      <w:r>
        <w:rPr>
          <w:rFonts w:ascii="Arial" w:eastAsia="Arial" w:hAnsi="Arial" w:cs="Arial"/>
          <w:color w:val="000000"/>
          <w:sz w:val="20"/>
        </w:rPr>
        <w:t xml:space="preserve">The provision of a reasonable accommodation to a qualified individual with a disability is required by 42 U.S.C. § 12112. </w:t>
      </w:r>
      <w:r>
        <w:rPr>
          <w:rFonts w:ascii="Arial" w:eastAsia="Arial" w:hAnsi="Arial" w:cs="Arial"/>
          <w:color w:val="000000"/>
          <w:sz w:val="20"/>
          <w:u w:val="single"/>
        </w:rPr>
        <w:t>See also</w:t>
      </w:r>
      <w:r>
        <w:rPr>
          <w:rFonts w:ascii="Arial" w:eastAsia="Arial" w:hAnsi="Arial" w:cs="Arial"/>
          <w:color w:val="000000"/>
          <w:sz w:val="20"/>
        </w:rPr>
        <w:t xml:space="preserve"> § 12102(2) (definition of disability); § 12111(8) &amp; (9) (definitions of qualified individual with a disability and reasonable accommodation). For five school years the school made accommodations for Sepúlveda, providing him a classroom on the first floor, a reduced class  [**3] size of 15 pupils most years, and (at least for some years) a rest period. </w:t>
      </w:r>
      <w:r>
        <w:rPr>
          <w:rFonts w:ascii="Arial" w:eastAsia="Arial" w:hAnsi="Arial" w:cs="Arial"/>
          <w:vertAlign w:val="superscript"/>
        </w:rPr>
        <w:footnoteReference w:customMarkFollows="1" w:id="254"/>
        <w:t>1</w:t>
      </w:r>
      <w:r>
        <w:rPr>
          <w:rFonts w:ascii="Arial" w:eastAsia="Arial" w:hAnsi="Arial" w:cs="Arial"/>
          <w:color w:val="000000"/>
          <w:sz w:val="20"/>
        </w:rPr>
        <w:t xml:space="preserve"> Things changed in the 2007-08 year, after the Secretary had issued instructions to keep class size at a minimum of 20. Allegedly as a consequence, the school director enlarged Sepúlveda's class to 30, but provided a neophyte teacher to share the duties.</w:t>
      </w:r>
    </w:p>
    <w:p w14:paraId="229F4BE8" w14:textId="77777777" w:rsidR="00D041A2" w:rsidRDefault="00000000">
      <w:pPr>
        <w:pStyle w:val="Normal38"/>
        <w:widowControl w:val="0"/>
        <w:spacing w:before="200" w:line="260" w:lineRule="atLeast"/>
        <w:jc w:val="both"/>
      </w:pPr>
      <w:bookmarkStart w:id="5450" w:name="Bookmark_para_5_37"/>
      <w:bookmarkEnd w:id="5450"/>
      <w:r>
        <w:rPr>
          <w:rFonts w:ascii="Arial" w:eastAsia="Arial" w:hAnsi="Arial" w:cs="Arial"/>
          <w:color w:val="000000"/>
          <w:sz w:val="20"/>
        </w:rPr>
        <w:t xml:space="preserve">Sepúlveda claims that the new arrangement is an unreasonable refusal to accommodate, resulting in emotional consequences with physical symptoms requiring treatment, and he seeks monetary and equitable relief. His citation to legal authority is vague, but the district court understood him to raise claims of unlawful discrimination under Title I of the ADA, </w:t>
      </w:r>
      <w:bookmarkStart w:id="5451" w:name="Bookmark_LNHNREFclscc2_29"/>
      <w:bookmarkEnd w:id="5451"/>
      <w:r>
        <w:rPr>
          <w:rFonts w:ascii="Arial" w:eastAsia="Arial" w:hAnsi="Arial" w:cs="Arial"/>
          <w:color w:val="000000"/>
          <w:sz w:val="20"/>
        </w:rPr>
        <w:t xml:space="preserve">42 U.S.C. §§ 12111-12117 (prohibiting discrimination on the basis of disability by employers); Title II of the ADA, 42 U.S.C. §§ 12131-12165 (same, by government entities); § 504 of the Rehabilitation Act, 29 U.S.C. § 794 (same, by recipients of public funding) and Title VII of the Civil Rights Act of 1964, 42 U.S.C. § 2000e </w:t>
      </w:r>
      <w:r>
        <w:rPr>
          <w:rFonts w:ascii="Arial" w:eastAsia="Arial" w:hAnsi="Arial" w:cs="Arial"/>
          <w:color w:val="000000"/>
          <w:sz w:val="20"/>
          <w:u w:val="single"/>
        </w:rPr>
        <w:t>et seq</w:t>
      </w:r>
      <w:r>
        <w:rPr>
          <w:rFonts w:ascii="Arial" w:eastAsia="Arial" w:hAnsi="Arial" w:cs="Arial"/>
          <w:color w:val="000000"/>
          <w:sz w:val="20"/>
        </w:rPr>
        <w:t xml:space="preserve">.  [**4] (prohibiting employment discrimination on the basis of sex, race, religion, national origin). The district court dismissed all claims of personal liability against the school director, Oliveras, </w:t>
      </w:r>
      <w:r>
        <w:rPr>
          <w:rFonts w:ascii="Arial" w:eastAsia="Arial" w:hAnsi="Arial" w:cs="Arial"/>
          <w:vertAlign w:val="superscript"/>
        </w:rPr>
        <w:footnoteReference w:customMarkFollows="1" w:id="255"/>
        <w:t>2</w:t>
      </w:r>
      <w:r>
        <w:rPr>
          <w:rFonts w:ascii="Arial" w:eastAsia="Arial" w:hAnsi="Arial" w:cs="Arial"/>
          <w:color w:val="000000"/>
          <w:sz w:val="20"/>
        </w:rPr>
        <w:t xml:space="preserve"> and all Title VII claims. It dismissed the ADA Title I claim for failure to allege how the smaller class size would allow Sepúlveda to go on teaching and the Rehabilitation Act claim for the same reason. The court cited its ruling in a prior case to hold that Title II of the ADA did not reach employment-based claims (and in the alternative rejected the Title II claim on the same grounds invoked for Title I). With all federal claims gone, the court also dismissed without prejudice claims brought under the Puerto Rico Civil Code, for which supplemental jurisdiction was sought.</w:t>
      </w:r>
    </w:p>
    <w:p w14:paraId="542FBA34" w14:textId="77777777" w:rsidR="00D041A2" w:rsidRDefault="00000000">
      <w:pPr>
        <w:pStyle w:val="Normal38"/>
        <w:widowControl w:val="0"/>
        <w:spacing w:before="200" w:line="260" w:lineRule="atLeast"/>
        <w:jc w:val="both"/>
      </w:pPr>
      <w:bookmarkStart w:id="5453" w:name="Bookmark_para_6_37"/>
      <w:bookmarkEnd w:id="5453"/>
      <w:r>
        <w:rPr>
          <w:rFonts w:ascii="Arial" w:eastAsia="Arial" w:hAnsi="Arial" w:cs="Arial"/>
          <w:color w:val="000000"/>
          <w:sz w:val="20"/>
        </w:rPr>
        <w:t xml:space="preserve">Velázquez alleges that she suffers from a throat condition known as aphonia, with symptoms including excessive coughing and shortness of breath, which was allegedly aggravated  [**5] by dust and debris stemming from construction at the school some years ago. Also on doctor's orders, she  [*28]  sought accommodations for her disability and for four </w:t>
      </w:r>
      <w:r>
        <w:rPr>
          <w:rFonts w:ascii="Arial" w:eastAsia="Arial" w:hAnsi="Arial" w:cs="Arial"/>
          <w:vertAlign w:val="superscript"/>
        </w:rPr>
        <w:footnoteReference w:customMarkFollows="1" w:id="256"/>
        <w:t>3</w:t>
      </w:r>
      <w:r>
        <w:rPr>
          <w:rFonts w:ascii="Arial" w:eastAsia="Arial" w:hAnsi="Arial" w:cs="Arial"/>
          <w:color w:val="000000"/>
          <w:sz w:val="20"/>
        </w:rPr>
        <w:t xml:space="preserve"> school years was provided with accommodations virtually identical to Sepúlveda's, although her maximum class size was generally 20 rather than 15. When the Secretary's instructions were circulated, her class size, too, was increased ("up to thirty (30) students," without a team teacher), and she, too, alleges that ensuing emotional and physical stress required treatment. </w:t>
      </w:r>
      <w:bookmarkStart w:id="5455" w:name="Bookmark_I51V403K0X0WS90020000400"/>
      <w:bookmarkEnd w:id="5455"/>
      <w:r>
        <w:rPr>
          <w:rFonts w:ascii="Arial" w:eastAsia="Arial" w:hAnsi="Arial" w:cs="Arial"/>
          <w:color w:val="000000"/>
          <w:sz w:val="20"/>
        </w:rPr>
        <w:t xml:space="preserve">She seeks equitable relief and damages, in pleadings the district court read to raise the same claims it found Sepúlveda did. Here, again, the Court dismissed the personal liability claims, all claims under Title VII, and the Title II claim on the ground that the title does not refer to employment discrimination (this time providing no alternative basis). Here, though, the court addressed the appellees' sovereign immunity defense, which it had not reached in Sepúlveda's case. The court sustained the defense, dismissing the Title I claim against the Department </w:t>
      </w:r>
      <w:r>
        <w:rPr>
          <w:rFonts w:ascii="Arial" w:eastAsia="Arial" w:hAnsi="Arial" w:cs="Arial"/>
          <w:color w:val="000000"/>
          <w:sz w:val="20"/>
          <w:u w:val="single"/>
        </w:rPr>
        <w:t>in toto</w:t>
      </w:r>
      <w:r>
        <w:rPr>
          <w:rFonts w:ascii="Arial" w:eastAsia="Arial" w:hAnsi="Arial" w:cs="Arial"/>
          <w:color w:val="000000"/>
          <w:sz w:val="20"/>
        </w:rPr>
        <w:t xml:space="preserve"> and against the Secretary insofar as Velázquez sought monetary damages. That left the Title  [**6] I claim for equitable relief against the Secretary, on the theory of </w:t>
      </w:r>
      <w:bookmarkStart w:id="5456" w:name="Bookmark_I51V403K0X0WS90010000400"/>
      <w:bookmarkEnd w:id="5456"/>
      <w:r>
        <w:rPr>
          <w:rFonts w:ascii="Arial" w:eastAsia="Arial" w:hAnsi="Arial" w:cs="Arial"/>
          <w:color w:val="000000"/>
          <w:sz w:val="20"/>
          <w:u w:val="single"/>
        </w:rPr>
        <w:t>Ex Parte Young</w:t>
      </w:r>
      <w:r>
        <w:rPr>
          <w:rFonts w:ascii="Arial" w:eastAsia="Arial" w:hAnsi="Arial" w:cs="Arial"/>
          <w:color w:val="000000"/>
          <w:sz w:val="20"/>
        </w:rPr>
        <w:t>, 209 U.S. 123, 28 S. Ct. 441, 52 L. Ed. 714 (1908), which the court dismissed for the same reason given in the other case, a failure to allege in the pleadings how the 20 pupil size accommodation requested would enable her to teach but the larger class size would not. The Rehabilitation Act claim, as before, went the way of that under Title I, and supplemental jurisdiction over actions under the Civil Code was again declined without prejudice.</w:t>
      </w:r>
    </w:p>
    <w:p w14:paraId="46073C33" w14:textId="77777777" w:rsidR="00D041A2" w:rsidRDefault="00000000">
      <w:pPr>
        <w:pStyle w:val="Normal38"/>
        <w:widowControl w:val="0"/>
        <w:spacing w:before="200" w:line="260" w:lineRule="atLeast"/>
        <w:jc w:val="both"/>
      </w:pPr>
      <w:bookmarkStart w:id="5457" w:name="Bookmark_para_7_37"/>
      <w:bookmarkEnd w:id="5457"/>
      <w:r>
        <w:rPr>
          <w:rFonts w:ascii="Arial" w:eastAsia="Arial" w:hAnsi="Arial" w:cs="Arial"/>
          <w:color w:val="000000"/>
          <w:sz w:val="20"/>
        </w:rPr>
        <w:t>The briefs for the appealing plaintiffs primarily address the district court's failure to apply properly the standard of review under Rule 12(b)(6), and do not take issue with any of its conclusions of statutory interpretation or immunity from suit. We thus infer that all claims of error are waived, except as to the sufficiency of allegations as stating claims that the Department and its Secretary are responsible under Title I or § 504 of the Rehabilitation Act for failures to make reasonable accommodations for disabilities. While it is true that both appellants' briefs do refer to their "Title II pleadings," they go no  [**7] further than paraphrasing the statutory text and neglect to address the district court's ruling that Title II does not cover employment discrimination. Such passing and conclusory references are inadequate to press an issue on appeal.</w:t>
      </w:r>
    </w:p>
    <w:p w14:paraId="1E9D4C2B" w14:textId="77777777" w:rsidR="00D041A2" w:rsidRDefault="00000000">
      <w:pPr>
        <w:pStyle w:val="Normal38"/>
        <w:widowControl w:val="0"/>
        <w:spacing w:before="200" w:line="260" w:lineRule="atLeast"/>
        <w:jc w:val="both"/>
      </w:pPr>
      <w:bookmarkStart w:id="5458" w:name="Bookmark_para_8_36"/>
      <w:bookmarkStart w:id="5459" w:name="Bookmark_I51V403K0X0WS90040000400"/>
      <w:bookmarkStart w:id="5460" w:name="Bookmark_LNHNREFclscc3_27"/>
      <w:bookmarkEnd w:id="5458"/>
      <w:bookmarkEnd w:id="5459"/>
      <w:bookmarkEnd w:id="5460"/>
      <w:r>
        <w:rPr>
          <w:rFonts w:ascii="Arial" w:eastAsia="Arial" w:hAnsi="Arial" w:cs="Arial"/>
          <w:color w:val="000000"/>
          <w:sz w:val="20"/>
        </w:rPr>
        <w:t xml:space="preserve">The statement of a claim of actionable failure to make reasonable employment accommodation for disability under either Title I of the ADA or § 504 of the Rehabilitation Act must allege a disability covered by the statute, the ability of the plaintiff to do a job with or without accommodation as the case may be, and the refusal of the employer, despite knowledge of the disability, to accommodate the disability by reasonably varying the standard conditions of employment. </w:t>
      </w:r>
      <w:bookmarkStart w:id="5461" w:name="Bookmark_I51V403K0X0WS90030000400"/>
      <w:bookmarkEnd w:id="5461"/>
      <w:r>
        <w:rPr>
          <w:rFonts w:ascii="Arial" w:eastAsia="Arial" w:hAnsi="Arial" w:cs="Arial"/>
          <w:color w:val="000000"/>
          <w:sz w:val="20"/>
          <w:u w:val="single"/>
        </w:rPr>
        <w:t>Enica v. Principi</w:t>
      </w:r>
      <w:r>
        <w:rPr>
          <w:rFonts w:ascii="Arial" w:eastAsia="Arial" w:hAnsi="Arial" w:cs="Arial"/>
          <w:color w:val="000000"/>
          <w:sz w:val="20"/>
        </w:rPr>
        <w:t xml:space="preserve">, 544 F.3d 328, 338 &amp; n.11 (1st Cir. 2008). The district court found the allegations deficient with respect to the third element. </w:t>
      </w:r>
      <w:r>
        <w:rPr>
          <w:rFonts w:ascii="Arial" w:eastAsia="Arial" w:hAnsi="Arial" w:cs="Arial"/>
          <w:vertAlign w:val="superscript"/>
        </w:rPr>
        <w:footnoteReference w:customMarkFollows="1" w:id="257"/>
        <w:t>4</w:t>
      </w:r>
    </w:p>
    <w:p w14:paraId="137FC6B8" w14:textId="77777777" w:rsidR="00D041A2" w:rsidRDefault="00000000">
      <w:pPr>
        <w:pStyle w:val="Normal38"/>
        <w:widowControl w:val="0"/>
        <w:spacing w:before="200" w:line="260" w:lineRule="atLeast"/>
        <w:jc w:val="both"/>
      </w:pPr>
      <w:bookmarkStart w:id="5463" w:name="Bookmark_para_9_35"/>
      <w:bookmarkStart w:id="5464" w:name="Bookmark_I51V403K0X0WSH0010000400"/>
      <w:bookmarkStart w:id="5465" w:name="Bookmark_I51V403K0X0WSH0050000400"/>
      <w:bookmarkStart w:id="5466" w:name="Bookmark_LNHNREFclscc4_26"/>
      <w:bookmarkEnd w:id="5463"/>
      <w:bookmarkEnd w:id="5464"/>
      <w:bookmarkEnd w:id="5465"/>
      <w:bookmarkEnd w:id="5466"/>
      <w:r>
        <w:rPr>
          <w:rFonts w:ascii="Arial" w:eastAsia="Arial" w:hAnsi="Arial" w:cs="Arial"/>
          <w:color w:val="000000"/>
          <w:sz w:val="20"/>
        </w:rPr>
        <w:t xml:space="preserve">"Federal Rule of Civil Procedure 8(a)(2) requires only 'a short and plain statement of the claim showing that the pleader is entitled to relief,' in order to 'give the defendant fair notice of what the  [**8] . . . claim is and the grounds upon which it rests." </w:t>
      </w:r>
      <w:bookmarkStart w:id="5467" w:name="Bookmark_I51V403K0X0WS90050000400"/>
      <w:bookmarkEnd w:id="5467"/>
      <w:r>
        <w:rPr>
          <w:rFonts w:ascii="Arial" w:eastAsia="Arial" w:hAnsi="Arial" w:cs="Arial"/>
          <w:color w:val="000000"/>
          <w:sz w:val="20"/>
          <w:u w:val="single"/>
        </w:rPr>
        <w:t>Bell Atl. Corp. v. Twombly</w:t>
      </w:r>
      <w:r>
        <w:rPr>
          <w:rFonts w:ascii="Arial" w:eastAsia="Arial" w:hAnsi="Arial" w:cs="Arial"/>
          <w:color w:val="000000"/>
          <w:sz w:val="20"/>
        </w:rPr>
        <w:t xml:space="preserve">, 550 U.S. 544, 555, 127 S. Ct. 1955, 167 L. Ed. 2d 929 (2007)  [*29]  (quoting Fed. R. Civ. P. 8(a)(2) and </w:t>
      </w:r>
      <w:bookmarkStart w:id="5468" w:name="Bookmark_I51V403K0X0WSH0020000400"/>
      <w:bookmarkEnd w:id="5468"/>
      <w:r>
        <w:rPr>
          <w:rFonts w:ascii="Arial" w:eastAsia="Arial" w:hAnsi="Arial" w:cs="Arial"/>
          <w:color w:val="000000"/>
          <w:sz w:val="20"/>
          <w:u w:val="single"/>
        </w:rPr>
        <w:t>Conley v. Gibson</w:t>
      </w:r>
      <w:r>
        <w:rPr>
          <w:rFonts w:ascii="Arial" w:eastAsia="Arial" w:hAnsi="Arial" w:cs="Arial"/>
          <w:color w:val="000000"/>
          <w:sz w:val="20"/>
        </w:rPr>
        <w:t xml:space="preserve">, 355 U.S. 41, 47, 78 S. Ct. 99, 2 L. Ed. 2d 80 (1957)). The make-or-break standard, as the district court recognized, is that the combined allegations, taken as true, must state a plausible, not a merely conceivable, case for relief. </w:t>
      </w:r>
      <w:bookmarkStart w:id="5469" w:name="Bookmark_I51V403M0X0WSY0010000400"/>
      <w:bookmarkStart w:id="5470" w:name="Bookmark_I51V403K0X0WSH0040000400"/>
      <w:bookmarkEnd w:id="5469"/>
      <w:bookmarkEnd w:id="5470"/>
      <w:r>
        <w:rPr>
          <w:rFonts w:ascii="Arial" w:eastAsia="Arial" w:hAnsi="Arial" w:cs="Arial"/>
          <w:color w:val="000000"/>
          <w:sz w:val="20"/>
          <w:u w:val="single"/>
        </w:rPr>
        <w:t>Ashcroft v. Iqbal</w:t>
      </w:r>
      <w:r>
        <w:rPr>
          <w:rFonts w:ascii="Arial" w:eastAsia="Arial" w:hAnsi="Arial" w:cs="Arial"/>
          <w:color w:val="000000"/>
          <w:sz w:val="20"/>
        </w:rPr>
        <w:t xml:space="preserve">, 129 S.Ct. 1937, 1950-51, 173 L. Ed. 2d 868 (2009) (citing </w:t>
      </w:r>
      <w:bookmarkStart w:id="5471" w:name="Bookmark_I51V403K0X0WSR0010000400"/>
      <w:bookmarkEnd w:id="5471"/>
      <w:r>
        <w:rPr>
          <w:rFonts w:ascii="Arial" w:eastAsia="Arial" w:hAnsi="Arial" w:cs="Arial"/>
          <w:color w:val="000000"/>
          <w:sz w:val="20"/>
          <w:u w:val="single"/>
        </w:rPr>
        <w:t>Twombly</w:t>
      </w:r>
      <w:r>
        <w:rPr>
          <w:rFonts w:ascii="Arial" w:eastAsia="Arial" w:hAnsi="Arial" w:cs="Arial"/>
          <w:color w:val="000000"/>
          <w:sz w:val="20"/>
        </w:rPr>
        <w:t xml:space="preserve">, 550 U.S. at 570); </w:t>
      </w:r>
      <w:r>
        <w:rPr>
          <w:rFonts w:ascii="Arial" w:eastAsia="Arial" w:hAnsi="Arial" w:cs="Arial"/>
          <w:color w:val="000000"/>
          <w:sz w:val="20"/>
          <w:u w:val="single"/>
        </w:rPr>
        <w:t xml:space="preserve">see also </w:t>
      </w:r>
      <w:bookmarkStart w:id="5472" w:name="Bookmark_I51V403K0X0WSR0030000400"/>
      <w:bookmarkEnd w:id="5472"/>
      <w:r>
        <w:rPr>
          <w:rFonts w:ascii="Arial" w:eastAsia="Arial" w:hAnsi="Arial" w:cs="Arial"/>
          <w:color w:val="000000"/>
          <w:sz w:val="20"/>
          <w:u w:val="single"/>
        </w:rPr>
        <w:t>Twombly</w:t>
      </w:r>
      <w:r>
        <w:rPr>
          <w:rFonts w:ascii="Arial" w:eastAsia="Arial" w:hAnsi="Arial" w:cs="Arial"/>
          <w:color w:val="000000"/>
          <w:sz w:val="20"/>
        </w:rPr>
        <w:t xml:space="preserve">, 550 U.S. at 555 ("Factual allegations must be enough to raise a right to relief above the speculative level, on the assumption that all the allegations in the complaint are true (even if doubtful in fact)." (footnote and citations omitted)). </w:t>
      </w:r>
      <w:bookmarkStart w:id="5473" w:name="Bookmark_I51V403M0X0WSY0010000400_2"/>
      <w:bookmarkEnd w:id="5473"/>
      <w:r>
        <w:rPr>
          <w:rFonts w:ascii="Arial" w:eastAsia="Arial" w:hAnsi="Arial" w:cs="Arial"/>
          <w:color w:val="000000"/>
          <w:sz w:val="20"/>
        </w:rPr>
        <w:t xml:space="preserve">"A claim has facial plausibility when the plaintiff pleads factual content that allows the court to draw the reasonable inference that the defendant is liable for the misconduct alleged. The plausibility standard is not akin to a 'probability requirement,' but it asks for more than a sheer possibility that a defendant has acted unlawfully." </w:t>
      </w:r>
      <w:bookmarkStart w:id="5474" w:name="Bookmark_I51V403K0X0WSR0050000400"/>
      <w:bookmarkEnd w:id="5474"/>
      <w:r>
        <w:rPr>
          <w:rFonts w:ascii="Arial" w:eastAsia="Arial" w:hAnsi="Arial" w:cs="Arial"/>
          <w:color w:val="000000"/>
          <w:sz w:val="20"/>
          <w:u w:val="single"/>
        </w:rPr>
        <w:t>Id</w:t>
      </w:r>
      <w:r>
        <w:rPr>
          <w:rFonts w:ascii="Arial" w:eastAsia="Arial" w:hAnsi="Arial" w:cs="Arial"/>
          <w:color w:val="000000"/>
          <w:sz w:val="20"/>
        </w:rPr>
        <w:t>. at 1949 (citations omitted).</w:t>
      </w:r>
    </w:p>
    <w:p w14:paraId="27F7440E" w14:textId="77777777" w:rsidR="00D041A2" w:rsidRDefault="00000000">
      <w:pPr>
        <w:pStyle w:val="Normal38"/>
        <w:widowControl w:val="0"/>
        <w:spacing w:before="200" w:line="260" w:lineRule="atLeast"/>
        <w:jc w:val="both"/>
      </w:pPr>
      <w:bookmarkStart w:id="5475" w:name="Bookmark_para_10_35"/>
      <w:bookmarkEnd w:id="5475"/>
      <w:r>
        <w:rPr>
          <w:rFonts w:ascii="Arial" w:eastAsia="Arial" w:hAnsi="Arial" w:cs="Arial"/>
          <w:color w:val="000000"/>
          <w:sz w:val="20"/>
        </w:rPr>
        <w:t xml:space="preserve">We think that the district court demanded more than plausibility. Each set of pleadings includes two significant sets  [**9] of allegations. First, for a period of four or five school years the school administration provided the reduced class size in response to the respective plaintiff's request, supported by some sort of medical certification attesting to its legitimacy. In each complaint, those years of requested accommodation are put forward as establishing, in effect, a base-line of adequacy under the statute in response to an implicit acknowledgment that a statutory disability required the provisions that were made. </w:t>
      </w:r>
      <w:r>
        <w:rPr>
          <w:rFonts w:ascii="Arial" w:eastAsia="Arial" w:hAnsi="Arial" w:cs="Arial"/>
          <w:vertAlign w:val="superscript"/>
        </w:rPr>
        <w:footnoteReference w:customMarkFollows="1" w:id="258"/>
        <w:t>5</w:t>
      </w:r>
    </w:p>
    <w:p w14:paraId="53FAA44D" w14:textId="77777777" w:rsidR="00D041A2" w:rsidRDefault="00000000">
      <w:pPr>
        <w:pStyle w:val="Normal38"/>
        <w:widowControl w:val="0"/>
        <w:spacing w:before="200" w:line="260" w:lineRule="atLeast"/>
        <w:jc w:val="both"/>
      </w:pPr>
      <w:bookmarkStart w:id="5477" w:name="Bookmark_para_11_34"/>
      <w:bookmarkEnd w:id="5477"/>
      <w:r>
        <w:rPr>
          <w:rFonts w:ascii="Arial" w:eastAsia="Arial" w:hAnsi="Arial" w:cs="Arial"/>
          <w:color w:val="000000"/>
          <w:sz w:val="20"/>
        </w:rPr>
        <w:t xml:space="preserve">Second, each set of pleadings describes changed facts beginning in the 2007-08 year, in which instructions from the defendant Secretary resulted in raising the class size to 30 (with a young team teacher to share the load with Sepúlveda). Each complaint alleges that the plaintiff's emotional and physical health subsequently deteriorated to the point of requiring treatment, and each concludes that assigning 30 pupils was less than reasonable accommodation  [**10] under the statute. To be sure, this sequence of alleged facts does not describe a causal connection in terms of the exact psychological or physiological mechanism by which each plaintiff's capacity continues to be overwhelmed. But reading the allegations with the required favor to the plaintiff means accepting the changes in class size as the only variable, from which one would infer that there probably is some causal connection between the work of a doubled class size and the physical and emotional deterioration of the disabled teacher. After all, for years the school authorities themselves apparently thought the small classes were the reasonable and appropriate size; it does not seem remarkable that a teacher would be worn down by doubling the size, even with a young helper, who will need to be supervised. </w:t>
      </w:r>
      <w:r>
        <w:rPr>
          <w:rFonts w:ascii="Arial" w:eastAsia="Arial" w:hAnsi="Arial" w:cs="Arial"/>
          <w:vertAlign w:val="superscript"/>
        </w:rPr>
        <w:footnoteReference w:customMarkFollows="1" w:id="259"/>
        <w:t>6</w:t>
      </w:r>
    </w:p>
    <w:p w14:paraId="517E084C" w14:textId="77777777" w:rsidR="00D041A2" w:rsidRDefault="00000000">
      <w:pPr>
        <w:pStyle w:val="Normal38"/>
        <w:widowControl w:val="0"/>
        <w:spacing w:before="200" w:line="260" w:lineRule="atLeast"/>
        <w:jc w:val="both"/>
      </w:pPr>
      <w:bookmarkStart w:id="5479" w:name="Bookmark_para_12_33"/>
      <w:bookmarkEnd w:id="5479"/>
      <w:r>
        <w:rPr>
          <w:rFonts w:ascii="Arial" w:eastAsia="Arial" w:hAnsi="Arial" w:cs="Arial"/>
          <w:color w:val="000000"/>
          <w:sz w:val="20"/>
        </w:rPr>
        <w:t xml:space="preserve"> [*30]  </w:t>
      </w:r>
      <w:bookmarkStart w:id="5480" w:name="Bookmark_I51V403M0X0WSY0030000400"/>
      <w:bookmarkEnd w:id="5480"/>
      <w:r>
        <w:rPr>
          <w:rFonts w:ascii="Arial" w:eastAsia="Arial" w:hAnsi="Arial" w:cs="Arial"/>
          <w:color w:val="000000"/>
          <w:sz w:val="20"/>
        </w:rPr>
        <w:t xml:space="preserve">We therefore see the trial judge's call for allegations explaining "how" class size was significant and the change in size was actionable as a call for pleading the details of medical evidence in order to bolster the likelihood that a causal connection will prove out as fact. It may even be read as an expression of skepticism that medical evidence would support the causal claim that increased class size damaged health. But </w:t>
      </w:r>
      <w:bookmarkStart w:id="5481" w:name="Bookmark_LNHNREFclscc5_26"/>
      <w:bookmarkEnd w:id="5481"/>
      <w:r>
        <w:rPr>
          <w:rFonts w:ascii="Arial" w:eastAsia="Arial" w:hAnsi="Arial" w:cs="Arial"/>
          <w:color w:val="000000"/>
          <w:sz w:val="20"/>
          <w:u w:val="single"/>
        </w:rPr>
        <w:t>Twombly</w:t>
      </w:r>
      <w:r>
        <w:rPr>
          <w:rFonts w:ascii="Arial" w:eastAsia="Arial" w:hAnsi="Arial" w:cs="Arial"/>
          <w:color w:val="000000"/>
          <w:sz w:val="20"/>
        </w:rPr>
        <w:t xml:space="preserve"> cautioned against thinking of plausibility as a standard of likely success on the merits; the standard is plausibility assuming the pleaded facts to be true and read in a plaintiff's favor. </w:t>
      </w:r>
      <w:r>
        <w:rPr>
          <w:rFonts w:ascii="Arial" w:eastAsia="Arial" w:hAnsi="Arial" w:cs="Arial"/>
          <w:color w:val="000000"/>
          <w:sz w:val="20"/>
          <w:u w:val="single"/>
        </w:rPr>
        <w:t xml:space="preserve">See </w:t>
      </w:r>
      <w:bookmarkStart w:id="5482" w:name="Bookmark_I51V403M0X0WSY0020000400"/>
      <w:bookmarkEnd w:id="5482"/>
      <w:r>
        <w:rPr>
          <w:rFonts w:ascii="Arial" w:eastAsia="Arial" w:hAnsi="Arial" w:cs="Arial"/>
          <w:color w:val="000000"/>
          <w:sz w:val="20"/>
          <w:u w:val="single"/>
        </w:rPr>
        <w:t>Twombly</w:t>
      </w:r>
      <w:r>
        <w:rPr>
          <w:rFonts w:ascii="Arial" w:eastAsia="Arial" w:hAnsi="Arial" w:cs="Arial"/>
          <w:color w:val="000000"/>
          <w:sz w:val="20"/>
        </w:rPr>
        <w:t>, 550 U.S. at 556 ("Asking for plausible grounds to infer an agreement does not impose a probability requirement at the pleading stage; it simply calls for enough fact to raise  [**12] a reasonable expectation that discovery will reveal evidence of illegal [conduct].")</w:t>
      </w:r>
    </w:p>
    <w:p w14:paraId="6B111BC8" w14:textId="77777777" w:rsidR="00D041A2" w:rsidRDefault="00000000">
      <w:pPr>
        <w:pStyle w:val="Normal38"/>
        <w:widowControl w:val="0"/>
        <w:spacing w:before="200" w:line="260" w:lineRule="atLeast"/>
        <w:jc w:val="both"/>
      </w:pPr>
      <w:bookmarkStart w:id="5483" w:name="Bookmark_para_13_31"/>
      <w:bookmarkEnd w:id="5483"/>
      <w:r>
        <w:rPr>
          <w:rFonts w:ascii="Arial" w:eastAsia="Arial" w:hAnsi="Arial" w:cs="Arial"/>
          <w:color w:val="000000"/>
          <w:sz w:val="20"/>
        </w:rPr>
        <w:t xml:space="preserve">None of this is to deny the wisdom of the old maxim that after the fact does not necessarily mean caused by the fact, but its teaching here is not that the inference of causation is implausible (taking the facts as true), but that it is possible that other, undisclosed facts may explain the sequence better. </w:t>
      </w:r>
      <w:bookmarkStart w:id="5484" w:name="Bookmark_I6Y9K8N41C8000005Y00002P"/>
      <w:bookmarkStart w:id="5485" w:name="Bookmark_I51V403M0X0WSY0050000400"/>
      <w:bookmarkEnd w:id="5484"/>
      <w:bookmarkEnd w:id="5485"/>
      <w:r>
        <w:rPr>
          <w:rFonts w:ascii="Arial" w:eastAsia="Arial" w:hAnsi="Arial" w:cs="Arial"/>
          <w:color w:val="000000"/>
          <w:sz w:val="20"/>
        </w:rPr>
        <w:t xml:space="preserve">Such a possibility does not negate plausibility, however; it is simply a reminder that plausibility of allegations may not be matched by adequacy of evidence. </w:t>
      </w:r>
      <w:bookmarkStart w:id="5486" w:name="Bookmark_LNHNREFclscc6_26"/>
      <w:bookmarkEnd w:id="5486"/>
      <w:r>
        <w:rPr>
          <w:rFonts w:ascii="Arial" w:eastAsia="Arial" w:hAnsi="Arial" w:cs="Arial"/>
          <w:color w:val="000000"/>
          <w:sz w:val="20"/>
        </w:rPr>
        <w:t xml:space="preserve">A plausible but inconclusive inference from pleaded facts will survive a motion to dismiss, and the fair inferences from the facts pleaded in these cases point to the essential difference between each of them and the circumstances in </w:t>
      </w:r>
      <w:r>
        <w:rPr>
          <w:rFonts w:ascii="Arial" w:eastAsia="Arial" w:hAnsi="Arial" w:cs="Arial"/>
          <w:color w:val="000000"/>
          <w:sz w:val="20"/>
          <w:u w:val="single"/>
        </w:rPr>
        <w:t>Twombly</w:t>
      </w:r>
      <w:r>
        <w:rPr>
          <w:rFonts w:ascii="Arial" w:eastAsia="Arial" w:hAnsi="Arial" w:cs="Arial"/>
          <w:color w:val="000000"/>
          <w:sz w:val="20"/>
        </w:rPr>
        <w:t xml:space="preserve">, for example, in which the same actionable conduct alleged on the defendant's part had been held in some prior cases to be lawful behavior. </w:t>
      </w:r>
      <w:r>
        <w:rPr>
          <w:rFonts w:ascii="Arial" w:eastAsia="Arial" w:hAnsi="Arial" w:cs="Arial"/>
          <w:color w:val="000000"/>
          <w:sz w:val="20"/>
          <w:u w:val="single"/>
        </w:rPr>
        <w:t xml:space="preserve">See </w:t>
      </w:r>
      <w:bookmarkStart w:id="5487" w:name="Bookmark_I51V403M0X0WSY0040000400"/>
      <w:bookmarkEnd w:id="5487"/>
      <w:r>
        <w:rPr>
          <w:rFonts w:ascii="Arial" w:eastAsia="Arial" w:hAnsi="Arial" w:cs="Arial"/>
          <w:color w:val="000000"/>
          <w:sz w:val="20"/>
          <w:u w:val="single"/>
        </w:rPr>
        <w:t>Twombly</w:t>
      </w:r>
      <w:r>
        <w:rPr>
          <w:rFonts w:ascii="Arial" w:eastAsia="Arial" w:hAnsi="Arial" w:cs="Arial"/>
          <w:color w:val="000000"/>
          <w:sz w:val="20"/>
        </w:rPr>
        <w:t>, 550 U.S. at 553-54, 564-69.</w:t>
      </w:r>
    </w:p>
    <w:p w14:paraId="0A63AF23" w14:textId="77777777" w:rsidR="00D041A2" w:rsidRDefault="00000000">
      <w:pPr>
        <w:pStyle w:val="Normal38"/>
        <w:widowControl w:val="0"/>
        <w:spacing w:before="200" w:line="260" w:lineRule="atLeast"/>
        <w:jc w:val="both"/>
      </w:pPr>
      <w:bookmarkStart w:id="5488" w:name="Bookmark_para_14_27"/>
      <w:bookmarkEnd w:id="5488"/>
      <w:r>
        <w:rPr>
          <w:rFonts w:ascii="Arial" w:eastAsia="Arial" w:hAnsi="Arial" w:cs="Arial"/>
          <w:color w:val="000000"/>
          <w:sz w:val="20"/>
        </w:rPr>
        <w:t xml:space="preserve">We therefore </w:t>
      </w:r>
      <w:r>
        <w:rPr>
          <w:rFonts w:ascii="Arial" w:eastAsia="Arial" w:hAnsi="Arial" w:cs="Arial"/>
          <w:b/>
          <w:color w:val="000000"/>
          <w:sz w:val="20"/>
          <w:u w:val="single"/>
        </w:rPr>
        <w:t>vacate</w:t>
      </w:r>
      <w:r>
        <w:rPr>
          <w:rFonts w:ascii="Arial" w:eastAsia="Arial" w:hAnsi="Arial" w:cs="Arial"/>
          <w:color w:val="000000"/>
          <w:sz w:val="20"/>
        </w:rPr>
        <w:t xml:space="preserve"> the portion of the order in each case that found the complaint inadequate to state a Title I violation, and inadequate to state a Rehabilitation Act claim for the same reason. We likewise </w:t>
      </w:r>
      <w:r>
        <w:rPr>
          <w:rFonts w:ascii="Arial" w:eastAsia="Arial" w:hAnsi="Arial" w:cs="Arial"/>
          <w:b/>
          <w:color w:val="000000"/>
          <w:sz w:val="20"/>
          <w:u w:val="single"/>
        </w:rPr>
        <w:t>vacate</w:t>
      </w:r>
      <w:r>
        <w:rPr>
          <w:rFonts w:ascii="Arial" w:eastAsia="Arial" w:hAnsi="Arial" w:cs="Arial"/>
          <w:color w:val="000000"/>
          <w:sz w:val="20"/>
        </w:rPr>
        <w:t xml:space="preserve"> the order relating  [**13] to the Commonwealth law claims, which were dismissed for want of any surviving federal claim. Costs are taxed against the Department of Education of Puerto Rico.</w:t>
      </w:r>
    </w:p>
    <w:p w14:paraId="2D427F59" w14:textId="77777777" w:rsidR="00D041A2" w:rsidRDefault="00000000">
      <w:pPr>
        <w:pStyle w:val="Normal38"/>
        <w:widowControl w:val="0"/>
        <w:spacing w:before="200" w:line="260" w:lineRule="atLeast"/>
        <w:jc w:val="both"/>
      </w:pPr>
      <w:bookmarkStart w:id="5489" w:name="Bookmark_para_15_26"/>
      <w:bookmarkEnd w:id="5489"/>
      <w:r>
        <w:rPr>
          <w:rFonts w:ascii="Arial" w:eastAsia="Arial" w:hAnsi="Arial" w:cs="Arial"/>
          <w:b/>
          <w:color w:val="000000"/>
          <w:sz w:val="20"/>
          <w:u w:val="single"/>
        </w:rPr>
        <w:t>So ordered</w:t>
      </w:r>
      <w:r>
        <w:rPr>
          <w:rFonts w:ascii="Arial" w:eastAsia="Arial" w:hAnsi="Arial" w:cs="Arial"/>
          <w:color w:val="000000"/>
          <w:sz w:val="20"/>
        </w:rPr>
        <w:t>.</w:t>
      </w:r>
    </w:p>
    <w:p w14:paraId="6B1C448F" w14:textId="77777777" w:rsidR="00D041A2" w:rsidRDefault="00D041A2">
      <w:pPr>
        <w:pStyle w:val="Normal38"/>
      </w:pPr>
    </w:p>
    <w:p w14:paraId="367F09E0" w14:textId="5B640CF5" w:rsidR="00D041A2" w:rsidRDefault="00000000">
      <w:pPr>
        <w:pStyle w:val="Normal38"/>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45280" behindDoc="0" locked="0" layoutInCell="1" allowOverlap="1" wp14:anchorId="40FE2BF2" wp14:editId="236456D6">
                <wp:simplePos x="0" y="0"/>
                <wp:positionH relativeFrom="column">
                  <wp:posOffset>0</wp:posOffset>
                </wp:positionH>
                <wp:positionV relativeFrom="paragraph">
                  <wp:posOffset>127000</wp:posOffset>
                </wp:positionV>
                <wp:extent cx="6502400" cy="0"/>
                <wp:effectExtent l="9525" t="12700" r="12700" b="6350"/>
                <wp:wrapNone/>
                <wp:docPr id="1957756719"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29ACD" id="Line 87"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2AAADD1" w14:textId="77777777" w:rsidR="00D041A2" w:rsidRDefault="00D041A2">
      <w:pPr>
        <w:pStyle w:val="Normal39"/>
        <w:sectPr w:rsidR="00D041A2">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gutter="0"/>
          <w:cols w:space="720"/>
          <w:titlePg/>
        </w:sectPr>
      </w:pPr>
    </w:p>
    <w:p w14:paraId="28DB03CB" w14:textId="77777777" w:rsidR="00D041A2" w:rsidRDefault="00D041A2">
      <w:pPr>
        <w:pStyle w:val="Normal39"/>
      </w:pPr>
    </w:p>
    <w:p w14:paraId="752D468E" w14:textId="77777777" w:rsidR="00D041A2" w:rsidRDefault="00000000">
      <w:pPr>
        <w:pStyle w:val="Heading138"/>
        <w:keepNext w:val="0"/>
        <w:widowControl w:val="0"/>
        <w:spacing w:after="200" w:line="340" w:lineRule="atLeast"/>
        <w:jc w:val="center"/>
      </w:pPr>
      <w:r>
        <w:rPr>
          <w:rFonts w:eastAsia="Arial"/>
          <w:color w:val="000000"/>
          <w:sz w:val="28"/>
        </w:rPr>
        <w:t>Link v. California</w:t>
      </w:r>
    </w:p>
    <w:p w14:paraId="64F89E2F" w14:textId="77777777" w:rsidR="00D041A2" w:rsidRDefault="00000000">
      <w:pPr>
        <w:pStyle w:val="Normal39"/>
        <w:widowControl w:val="0"/>
        <w:spacing w:before="120" w:line="260" w:lineRule="atLeast"/>
        <w:jc w:val="center"/>
      </w:pPr>
      <w:r>
        <w:rPr>
          <w:rFonts w:ascii="Arial" w:eastAsia="Arial" w:hAnsi="Arial" w:cs="Arial"/>
          <w:color w:val="000000"/>
          <w:sz w:val="20"/>
        </w:rPr>
        <w:t>United States Court of Appeals for the Ninth Circuit</w:t>
      </w:r>
    </w:p>
    <w:p w14:paraId="30D960CB" w14:textId="77777777" w:rsidR="00D041A2" w:rsidRDefault="00000000">
      <w:pPr>
        <w:pStyle w:val="Normal39"/>
        <w:widowControl w:val="0"/>
        <w:spacing w:before="120" w:line="260" w:lineRule="atLeast"/>
        <w:jc w:val="center"/>
      </w:pPr>
      <w:r>
        <w:rPr>
          <w:rFonts w:ascii="Arial" w:eastAsia="Arial" w:hAnsi="Arial" w:cs="Arial"/>
          <w:color w:val="000000"/>
          <w:sz w:val="20"/>
        </w:rPr>
        <w:t xml:space="preserve">August 23, 2010 </w:t>
      </w:r>
      <w:r>
        <w:rPr>
          <w:rFonts w:ascii="Arial" w:eastAsia="Arial" w:hAnsi="Arial" w:cs="Arial"/>
          <w:vertAlign w:val="superscript"/>
        </w:rPr>
        <w:footnoteReference w:customMarkFollows="1" w:id="260"/>
        <w:t>**</w:t>
      </w:r>
      <w:r>
        <w:rPr>
          <w:rFonts w:ascii="Arial" w:eastAsia="Arial" w:hAnsi="Arial" w:cs="Arial"/>
          <w:color w:val="000000"/>
          <w:sz w:val="20"/>
        </w:rPr>
        <w:t>, Submitted; September 7, 2010, Filed</w:t>
      </w:r>
    </w:p>
    <w:p w14:paraId="1E631EEB" w14:textId="77777777" w:rsidR="00D041A2" w:rsidRDefault="00000000">
      <w:pPr>
        <w:pStyle w:val="Normal39"/>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09-16929</w:t>
      </w:r>
    </w:p>
    <w:p w14:paraId="5BA5E8AC" w14:textId="77777777" w:rsidR="00D041A2" w:rsidRDefault="00D041A2">
      <w:pPr>
        <w:pStyle w:val="Normal39"/>
        <w:widowControl w:val="0"/>
        <w:spacing w:line="240" w:lineRule="atLeast"/>
        <w:jc w:val="both"/>
      </w:pPr>
      <w:bookmarkStart w:id="5491" w:name="Bookmark_40"/>
      <w:bookmarkEnd w:id="5491"/>
    </w:p>
    <w:p w14:paraId="06DBFD62" w14:textId="77777777" w:rsidR="00D041A2" w:rsidRDefault="00000000">
      <w:pPr>
        <w:pStyle w:val="Normal39"/>
        <w:widowControl w:val="0"/>
        <w:spacing w:before="200" w:line="240" w:lineRule="atLeast"/>
      </w:pPr>
      <w:bookmarkStart w:id="5492" w:name="Reporter_38"/>
      <w:bookmarkEnd w:id="5492"/>
      <w:r>
        <w:rPr>
          <w:rFonts w:ascii="Arial" w:eastAsia="Arial" w:hAnsi="Arial" w:cs="Arial"/>
          <w:b/>
          <w:color w:val="000000"/>
          <w:sz w:val="18"/>
        </w:rPr>
        <w:t>Reporter</w:t>
      </w:r>
    </w:p>
    <w:p w14:paraId="4094457C" w14:textId="77777777" w:rsidR="00D041A2" w:rsidRDefault="00000000">
      <w:pPr>
        <w:pStyle w:val="Normal39"/>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395 Fed. Appx. 383 *; 2010 U.S. App. LEXIS 18871 **</w:t>
      </w:r>
    </w:p>
    <w:p w14:paraId="133A7852" w14:textId="77777777" w:rsidR="00D041A2" w:rsidRDefault="00000000">
      <w:pPr>
        <w:pStyle w:val="Normal39"/>
        <w:widowControl w:val="0"/>
        <w:spacing w:before="120" w:line="260" w:lineRule="atLeast"/>
      </w:pPr>
      <w:r>
        <w:rPr>
          <w:rFonts w:ascii="Arial" w:eastAsia="Arial" w:hAnsi="Arial" w:cs="Arial"/>
          <w:color w:val="000000"/>
          <w:sz w:val="20"/>
        </w:rPr>
        <w:t>GUSTAVE WILLIAM LINK, Plaintiff - Appellant, v. STATE OF CALIFORNIA; et al., Defendants - Appellees.</w:t>
      </w:r>
    </w:p>
    <w:p w14:paraId="4526A633" w14:textId="77777777" w:rsidR="00D041A2" w:rsidRDefault="00000000">
      <w:pPr>
        <w:pStyle w:val="Normal39"/>
        <w:widowControl w:val="0"/>
        <w:spacing w:before="240" w:line="260" w:lineRule="atLeast"/>
        <w:jc w:val="both"/>
      </w:pPr>
      <w:bookmarkStart w:id="5493" w:name="Notice_23"/>
      <w:bookmarkEnd w:id="5493"/>
      <w:r>
        <w:rPr>
          <w:rFonts w:ascii="Arial" w:eastAsia="Arial" w:hAnsi="Arial" w:cs="Arial"/>
          <w:b/>
          <w:color w:val="000000"/>
          <w:sz w:val="20"/>
        </w:rPr>
        <w:t>Notice:</w:t>
      </w:r>
      <w:r>
        <w:rPr>
          <w:rFonts w:ascii="Arial" w:eastAsia="Arial" w:hAnsi="Arial" w:cs="Arial"/>
          <w:color w:val="000000"/>
          <w:sz w:val="20"/>
        </w:rPr>
        <w:t> </w:t>
      </w:r>
      <w:bookmarkStart w:id="5494" w:name="Bookmark_para_1_38"/>
      <w:bookmarkEnd w:id="5494"/>
      <w:r>
        <w:rPr>
          <w:rFonts w:ascii="Arial" w:eastAsia="Arial" w:hAnsi="Arial" w:cs="Arial"/>
          <w:color w:val="000000"/>
          <w:sz w:val="20"/>
        </w:rPr>
        <w:t>PLEASE REFER TO FEDERAL RULES OF APPELLATE PROCEDURE RULE 32.1 GOVERNING THE CITATION TO UNPUBLISHED OPINIONS.</w:t>
      </w:r>
    </w:p>
    <w:p w14:paraId="76C2C625" w14:textId="77777777" w:rsidR="00D041A2" w:rsidRDefault="00000000">
      <w:pPr>
        <w:pStyle w:val="Normal39"/>
        <w:widowControl w:val="0"/>
        <w:spacing w:before="240" w:line="260" w:lineRule="atLeast"/>
      </w:pPr>
      <w:bookmarkStart w:id="5495" w:name="Subsequent_History_4"/>
      <w:bookmarkEnd w:id="5495"/>
      <w:r>
        <w:rPr>
          <w:rFonts w:ascii="Arial" w:eastAsia="Arial" w:hAnsi="Arial" w:cs="Arial"/>
          <w:b/>
          <w:color w:val="000000"/>
          <w:sz w:val="20"/>
        </w:rPr>
        <w:t>Subsequent History:</w:t>
      </w:r>
      <w:r>
        <w:rPr>
          <w:rFonts w:ascii="Arial" w:eastAsia="Arial" w:hAnsi="Arial" w:cs="Arial"/>
          <w:color w:val="000000"/>
          <w:sz w:val="20"/>
        </w:rPr>
        <w:t> US Supreme Court certiorari denied by Link v. California, 131 S. Ct. 2100, 179 L. Ed. 2d 898, 2011 U.S. LEXIS 3065 (U.S., 2011)</w:t>
      </w:r>
    </w:p>
    <w:p w14:paraId="29386E8E" w14:textId="77777777" w:rsidR="00D041A2" w:rsidRDefault="00000000">
      <w:pPr>
        <w:pStyle w:val="Normal39"/>
        <w:widowControl w:val="0"/>
        <w:spacing w:before="120" w:line="260" w:lineRule="atLeast"/>
      </w:pPr>
      <w:r>
        <w:rPr>
          <w:rFonts w:ascii="Arial" w:eastAsia="Arial" w:hAnsi="Arial" w:cs="Arial"/>
          <w:color w:val="000000"/>
          <w:sz w:val="20"/>
        </w:rPr>
        <w:t>Related proceeding at Link v. Duncan, 2012 U.S. Dist. LEXIS 40990 (N.D. Cal., Mar. 26, 2012)</w:t>
      </w:r>
    </w:p>
    <w:p w14:paraId="74F613D3" w14:textId="77777777" w:rsidR="00D041A2" w:rsidRDefault="00000000">
      <w:pPr>
        <w:pStyle w:val="Normal39"/>
        <w:widowControl w:val="0"/>
        <w:spacing w:before="240" w:line="260" w:lineRule="atLeast"/>
        <w:jc w:val="both"/>
      </w:pPr>
      <w:bookmarkStart w:id="5496" w:name="Prior_History_38"/>
      <w:bookmarkEnd w:id="5496"/>
      <w:r>
        <w:rPr>
          <w:rFonts w:ascii="Arial" w:eastAsia="Arial" w:hAnsi="Arial" w:cs="Arial"/>
          <w:b/>
          <w:color w:val="000000"/>
          <w:sz w:val="20"/>
        </w:rPr>
        <w:t>Prior History:</w:t>
      </w:r>
      <w:r>
        <w:rPr>
          <w:rFonts w:ascii="Arial" w:eastAsia="Arial" w:hAnsi="Arial" w:cs="Arial"/>
          <w:color w:val="000000"/>
          <w:sz w:val="20"/>
        </w:rPr>
        <w:t>  [**1] </w:t>
      </w:r>
      <w:bookmarkStart w:id="5497" w:name="Bookmark_para_2_38"/>
      <w:bookmarkEnd w:id="5497"/>
      <w:r>
        <w:rPr>
          <w:rFonts w:ascii="Arial" w:eastAsia="Arial" w:hAnsi="Arial" w:cs="Arial"/>
          <w:color w:val="000000"/>
          <w:sz w:val="20"/>
        </w:rPr>
        <w:t>Appeal from the United States District Court for the Northern District of California. D.C. No. 3:09-cv-01912-MMC. Maxine M. Chesney, District Judge, Presiding.</w:t>
      </w:r>
    </w:p>
    <w:p w14:paraId="1F63887B" w14:textId="77777777" w:rsidR="00D041A2" w:rsidRDefault="00000000">
      <w:pPr>
        <w:pStyle w:val="Normal39"/>
        <w:widowControl w:val="0"/>
        <w:spacing w:before="120" w:line="260" w:lineRule="atLeast"/>
      </w:pPr>
      <w:r>
        <w:rPr>
          <w:rFonts w:ascii="Arial" w:eastAsia="Arial" w:hAnsi="Arial" w:cs="Arial"/>
          <w:color w:val="000000"/>
          <w:sz w:val="20"/>
        </w:rPr>
        <w:t>Link v. Brown, 2009 U.S. Dist. LEXIS 67904 (N.D. Cal., Aug. 4, 2009)</w:t>
      </w:r>
    </w:p>
    <w:p w14:paraId="48778FDB" w14:textId="77777777" w:rsidR="00D041A2" w:rsidRDefault="00000000">
      <w:pPr>
        <w:pStyle w:val="Normal39"/>
        <w:widowControl w:val="0"/>
        <w:spacing w:before="240" w:line="260" w:lineRule="atLeast"/>
        <w:jc w:val="both"/>
      </w:pPr>
      <w:bookmarkStart w:id="5498" w:name="Disposition_11"/>
      <w:bookmarkEnd w:id="5498"/>
      <w:r>
        <w:rPr>
          <w:rFonts w:ascii="Arial" w:eastAsia="Arial" w:hAnsi="Arial" w:cs="Arial"/>
          <w:b/>
          <w:color w:val="000000"/>
          <w:sz w:val="20"/>
        </w:rPr>
        <w:t>Disposition:</w:t>
      </w:r>
      <w:r>
        <w:rPr>
          <w:rFonts w:ascii="Arial" w:eastAsia="Arial" w:hAnsi="Arial" w:cs="Arial"/>
          <w:color w:val="000000"/>
          <w:sz w:val="20"/>
        </w:rPr>
        <w:t> </w:t>
      </w:r>
      <w:bookmarkStart w:id="5499" w:name="Bookmark_clspara_1_3"/>
      <w:bookmarkEnd w:id="5499"/>
      <w:r>
        <w:rPr>
          <w:rFonts w:ascii="Arial" w:eastAsia="Arial" w:hAnsi="Arial" w:cs="Arial"/>
          <w:color w:val="000000"/>
          <w:sz w:val="20"/>
        </w:rPr>
        <w:t>AFFIRMED.</w:t>
      </w:r>
    </w:p>
    <w:p w14:paraId="2DD68EBD" w14:textId="77777777" w:rsidR="00D041A2" w:rsidRDefault="00000000">
      <w:pPr>
        <w:pStyle w:val="Normal39"/>
        <w:widowControl w:val="0"/>
        <w:spacing w:before="240" w:line="260" w:lineRule="atLeast"/>
      </w:pPr>
      <w:bookmarkStart w:id="5500" w:name="Counsel_38"/>
      <w:bookmarkEnd w:id="5500"/>
      <w:r>
        <w:rPr>
          <w:rFonts w:ascii="Arial" w:eastAsia="Arial" w:hAnsi="Arial" w:cs="Arial"/>
          <w:b/>
          <w:color w:val="000000"/>
          <w:sz w:val="20"/>
        </w:rPr>
        <w:t>Counsel:</w:t>
      </w:r>
      <w:r>
        <w:rPr>
          <w:rFonts w:ascii="Arial" w:eastAsia="Arial" w:hAnsi="Arial" w:cs="Arial"/>
          <w:color w:val="000000"/>
          <w:sz w:val="20"/>
        </w:rPr>
        <w:t> GUSTAVE WILLIAM LINK, Plaintiff - Appellant, Pro se, San Leandro, CA.</w:t>
      </w:r>
    </w:p>
    <w:p w14:paraId="1B2EBBC2" w14:textId="77777777" w:rsidR="00D041A2" w:rsidRDefault="00000000">
      <w:pPr>
        <w:pStyle w:val="Normal39"/>
        <w:widowControl w:val="0"/>
        <w:spacing w:before="120" w:line="260" w:lineRule="atLeast"/>
      </w:pPr>
      <w:r>
        <w:rPr>
          <w:rFonts w:ascii="Arial" w:eastAsia="Arial" w:hAnsi="Arial" w:cs="Arial"/>
          <w:color w:val="000000"/>
          <w:sz w:val="20"/>
        </w:rPr>
        <w:t>For EDMUND JERRY G. BROWN, California Attorney General, JULIAN O. STANDEN, California Deputy General, ANNE QUICK, Chair, California Apprenticeship Council, LES DENHERDER, Member, California Apprenticeship Council, CARL GOFF, Member, California Apprenticeship Committee, DIANA KIMBLE, Member, California Apprenticeship Committee, Defendants - Appellees: John P. Devine, AGCA - OFFICE OF THE CALIFORNIA ATTORNEY GENERAL, San Francisco, CA.</w:t>
      </w:r>
    </w:p>
    <w:p w14:paraId="6AE5C5CF" w14:textId="77777777" w:rsidR="00D041A2" w:rsidRDefault="00000000">
      <w:pPr>
        <w:pStyle w:val="Normal39"/>
        <w:widowControl w:val="0"/>
        <w:spacing w:before="120" w:line="260" w:lineRule="atLeast"/>
      </w:pPr>
      <w:r>
        <w:rPr>
          <w:rFonts w:ascii="Arial" w:eastAsia="Arial" w:hAnsi="Arial" w:cs="Arial"/>
          <w:color w:val="000000"/>
          <w:sz w:val="20"/>
        </w:rPr>
        <w:t>For JOHN C. DUNCAN, Director, California Department of Industrial relations, JOHN W. CUMMINGS, Hearing Officer and Legal Unit Director for the California Department of Industrial Relations, Defendants - Appellees: Kumani Louis Armstrong, Counsel, Department of Industrial Relations, San Francisco, CA.</w:t>
      </w:r>
    </w:p>
    <w:p w14:paraId="0BE28938" w14:textId="77777777" w:rsidR="00D041A2" w:rsidRDefault="00000000">
      <w:pPr>
        <w:pStyle w:val="Normal39"/>
        <w:widowControl w:val="0"/>
        <w:spacing w:before="240" w:line="260" w:lineRule="atLeast"/>
      </w:pPr>
      <w:bookmarkStart w:id="5501" w:name="Judges_38"/>
      <w:bookmarkEnd w:id="5501"/>
      <w:r>
        <w:rPr>
          <w:rFonts w:ascii="Arial" w:eastAsia="Arial" w:hAnsi="Arial" w:cs="Arial"/>
          <w:b/>
          <w:color w:val="000000"/>
          <w:sz w:val="20"/>
        </w:rPr>
        <w:t>Judges:</w:t>
      </w:r>
      <w:r>
        <w:rPr>
          <w:rFonts w:ascii="Arial" w:eastAsia="Arial" w:hAnsi="Arial" w:cs="Arial"/>
          <w:color w:val="000000"/>
          <w:sz w:val="20"/>
        </w:rPr>
        <w:t> Before: LEAVY, HAWKINS, and THOMAS, Circuit Judges.</w:t>
      </w:r>
    </w:p>
    <w:p w14:paraId="0CB6D5EE" w14:textId="77777777" w:rsidR="00D041A2" w:rsidRDefault="00000000">
      <w:pPr>
        <w:pStyle w:val="Normal39"/>
        <w:keepNext/>
        <w:widowControl w:val="0"/>
        <w:spacing w:before="240" w:line="340" w:lineRule="atLeast"/>
      </w:pPr>
      <w:bookmarkStart w:id="5502" w:name="Opinion_38"/>
      <w:bookmarkEnd w:id="5502"/>
      <w:r>
        <w:rPr>
          <w:rFonts w:ascii="Arial" w:eastAsia="Arial" w:hAnsi="Arial" w:cs="Arial"/>
          <w:b/>
          <w:color w:val="000000"/>
          <w:sz w:val="28"/>
        </w:rPr>
        <w:t>Opinion</w:t>
      </w:r>
    </w:p>
    <w:p w14:paraId="5D39C1DC" w14:textId="4CC64D7F" w:rsidR="00D041A2" w:rsidRDefault="004D4403">
      <w:pPr>
        <w:pStyle w:val="Normal39"/>
        <w:spacing w:line="60" w:lineRule="exact"/>
      </w:pPr>
      <w:r>
        <w:rPr>
          <w:noProof/>
        </w:rPr>
        <mc:AlternateContent>
          <mc:Choice Requires="wps">
            <w:drawing>
              <wp:anchor distT="0" distB="0" distL="114300" distR="114300" simplePos="0" relativeHeight="251746304" behindDoc="0" locked="0" layoutInCell="1" allowOverlap="1" wp14:anchorId="71E8C12C" wp14:editId="26635BD2">
                <wp:simplePos x="0" y="0"/>
                <wp:positionH relativeFrom="column">
                  <wp:posOffset>0</wp:posOffset>
                </wp:positionH>
                <wp:positionV relativeFrom="paragraph">
                  <wp:posOffset>25400</wp:posOffset>
                </wp:positionV>
                <wp:extent cx="3187700" cy="0"/>
                <wp:effectExtent l="19050" t="15875" r="12700" b="12700"/>
                <wp:wrapTopAndBottom/>
                <wp:docPr id="1658957298"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2303C" id="Line 88"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BCEE9D2" w14:textId="77777777" w:rsidR="00D041A2" w:rsidRDefault="00D041A2">
      <w:pPr>
        <w:pStyle w:val="Normal39"/>
        <w:spacing w:line="120" w:lineRule="exact"/>
      </w:pPr>
    </w:p>
    <w:p w14:paraId="1BECC90D" w14:textId="77777777" w:rsidR="00D041A2" w:rsidRDefault="00000000">
      <w:pPr>
        <w:pStyle w:val="Normal39"/>
        <w:widowControl w:val="0"/>
        <w:spacing w:before="240" w:line="260" w:lineRule="atLeast"/>
      </w:pPr>
      <w:r>
        <w:br/>
      </w:r>
      <w:r>
        <w:rPr>
          <w:rFonts w:ascii="Arial" w:eastAsia="Arial" w:hAnsi="Arial" w:cs="Arial"/>
          <w:color w:val="000000"/>
          <w:sz w:val="20"/>
        </w:rPr>
        <w:t xml:space="preserve"> [*384]  MEMORANDUM </w:t>
      </w:r>
      <w:r>
        <w:rPr>
          <w:rFonts w:ascii="Arial" w:eastAsia="Arial" w:hAnsi="Arial" w:cs="Arial"/>
          <w:vertAlign w:val="superscript"/>
        </w:rPr>
        <w:footnoteReference w:customMarkFollows="1" w:id="261"/>
        <w:t>*</w:t>
      </w:r>
    </w:p>
    <w:p w14:paraId="65E9AE32" w14:textId="77777777" w:rsidR="00D041A2" w:rsidRDefault="00000000">
      <w:pPr>
        <w:pStyle w:val="Normal39"/>
        <w:widowControl w:val="0"/>
        <w:spacing w:before="200" w:line="260" w:lineRule="atLeast"/>
        <w:jc w:val="both"/>
      </w:pPr>
      <w:bookmarkStart w:id="5504" w:name="Bookmark_para_3_38"/>
      <w:bookmarkStart w:id="5505" w:name="Bookmark_I514GP040K1MNJ18W0000400"/>
      <w:bookmarkEnd w:id="5504"/>
      <w:bookmarkEnd w:id="5505"/>
      <w:r>
        <w:rPr>
          <w:rFonts w:ascii="Arial" w:eastAsia="Arial" w:hAnsi="Arial" w:cs="Arial"/>
          <w:color w:val="000000"/>
          <w:sz w:val="20"/>
        </w:rPr>
        <w:t xml:space="preserve">Gustave William Link appeals pro se from the district  [**2] court's judgment dismissing his civil action against the State of California and various state officials arising from the termination of his apprenticeship agreement as a piledriver. We have jurisdiction under 28 U.S.C. § 1291. We review de novo, </w:t>
      </w:r>
      <w:bookmarkStart w:id="5506" w:name="Bookmark_I514GP040K1MNJ18V0000400"/>
      <w:bookmarkEnd w:id="5506"/>
      <w:r>
        <w:rPr>
          <w:rFonts w:ascii="Arial" w:eastAsia="Arial" w:hAnsi="Arial" w:cs="Arial"/>
          <w:i/>
          <w:color w:val="000000"/>
          <w:sz w:val="20"/>
        </w:rPr>
        <w:t>Kahle v. Gonzales</w:t>
      </w:r>
      <w:r>
        <w:rPr>
          <w:rFonts w:ascii="Arial" w:eastAsia="Arial" w:hAnsi="Arial" w:cs="Arial"/>
          <w:color w:val="000000"/>
          <w:sz w:val="20"/>
        </w:rPr>
        <w:t>, 487 F.3d 697, 699 (9th Cir. 2007), and we affirm.</w:t>
      </w:r>
    </w:p>
    <w:p w14:paraId="50CC9007" w14:textId="77777777" w:rsidR="00D041A2" w:rsidRDefault="00000000">
      <w:pPr>
        <w:pStyle w:val="Normal39"/>
        <w:widowControl w:val="0"/>
        <w:spacing w:before="200" w:line="260" w:lineRule="atLeast"/>
        <w:jc w:val="both"/>
      </w:pPr>
      <w:bookmarkStart w:id="5507" w:name="Bookmark_para_4_38"/>
      <w:bookmarkStart w:id="5508" w:name="Bookmark_I514GP040K1MNJ18Y0000400"/>
      <w:bookmarkEnd w:id="5507"/>
      <w:bookmarkEnd w:id="5508"/>
      <w:r>
        <w:rPr>
          <w:rFonts w:ascii="Arial" w:eastAsia="Arial" w:hAnsi="Arial" w:cs="Arial"/>
          <w:color w:val="000000"/>
          <w:sz w:val="20"/>
        </w:rPr>
        <w:t xml:space="preserve">The district court properly dismissed Link's claims under 42 U.S.C. §§ 1983 and 1985(3) and the Racketeer Influenced and Corrupt Organizations Act ("RICO") against all defendants. </w:t>
      </w:r>
      <w:bookmarkStart w:id="5509" w:name="Bookmark_I514GP040K1MNJ1J20000400"/>
      <w:bookmarkEnd w:id="5509"/>
      <w:r>
        <w:rPr>
          <w:rFonts w:ascii="Arial" w:eastAsia="Arial" w:hAnsi="Arial" w:cs="Arial"/>
          <w:color w:val="000000"/>
          <w:sz w:val="20"/>
        </w:rPr>
        <w:t xml:space="preserve">The claims against the State of California and defendants sued in their official capacities are barred by the Eleventh Amendment, </w:t>
      </w:r>
      <w:r>
        <w:rPr>
          <w:rFonts w:ascii="Arial" w:eastAsia="Arial" w:hAnsi="Arial" w:cs="Arial"/>
          <w:i/>
          <w:color w:val="000000"/>
          <w:sz w:val="20"/>
        </w:rPr>
        <w:t xml:space="preserve">see </w:t>
      </w:r>
      <w:bookmarkStart w:id="5510" w:name="Bookmark_I514GP040K1MNJ18X0000400"/>
      <w:bookmarkEnd w:id="5510"/>
      <w:r>
        <w:rPr>
          <w:rFonts w:ascii="Arial" w:eastAsia="Arial" w:hAnsi="Arial" w:cs="Arial"/>
          <w:i/>
          <w:color w:val="000000"/>
          <w:sz w:val="20"/>
        </w:rPr>
        <w:t>Prod. &amp; Leasing, Ltd. v. Hotel Conquistador, Inc.</w:t>
      </w:r>
      <w:r>
        <w:rPr>
          <w:rFonts w:ascii="Arial" w:eastAsia="Arial" w:hAnsi="Arial" w:cs="Arial"/>
          <w:color w:val="000000"/>
          <w:sz w:val="20"/>
        </w:rPr>
        <w:t xml:space="preserve">, 709 F.2d 21, 21-22 (9th Cir. 1983) (per curiam), and against defendants in their individual capacities who heard or decided Link's various administrative appeals are barred by absolute judicial immunity, </w:t>
      </w:r>
      <w:r>
        <w:rPr>
          <w:rFonts w:ascii="Arial" w:eastAsia="Arial" w:hAnsi="Arial" w:cs="Arial"/>
          <w:i/>
          <w:color w:val="000000"/>
          <w:sz w:val="20"/>
        </w:rPr>
        <w:t xml:space="preserve">see </w:t>
      </w:r>
      <w:bookmarkStart w:id="5511" w:name="Bookmark_I514GP040K1MNJ1900000400"/>
      <w:bookmarkEnd w:id="5511"/>
      <w:r>
        <w:rPr>
          <w:rFonts w:ascii="Arial" w:eastAsia="Arial" w:hAnsi="Arial" w:cs="Arial"/>
          <w:i/>
          <w:color w:val="000000"/>
          <w:sz w:val="20"/>
        </w:rPr>
        <w:t>Olsen v. Idaho State Bd. of Med.</w:t>
      </w:r>
      <w:r>
        <w:rPr>
          <w:rFonts w:ascii="Arial" w:eastAsia="Arial" w:hAnsi="Arial" w:cs="Arial"/>
          <w:color w:val="000000"/>
          <w:sz w:val="20"/>
        </w:rPr>
        <w:t xml:space="preserve">, 363 F.3d 916, 923 (9th Cir. 2004) (state "agency representatives performing functions analogous to those of a . . . judge" are immune from civil damages  [*385]  suits). Link's §§ 1983 and 1985(3) and RICO claims against the remaining defendants in their individual capacities failed because  [**3] his conclusory assertion that they engaged in unspecified "misfeasance, malfeasance, and nonfeasance" was insufficient to allege that they personally participated in any conduct that violated these statutes. </w:t>
      </w:r>
      <w:bookmarkStart w:id="5512" w:name="Bookmark_I514GP040K1MNJ1J20000400_2"/>
      <w:bookmarkEnd w:id="5512"/>
      <w:r>
        <w:rPr>
          <w:rFonts w:ascii="Arial" w:eastAsia="Arial" w:hAnsi="Arial" w:cs="Arial"/>
          <w:i/>
          <w:color w:val="000000"/>
          <w:sz w:val="20"/>
        </w:rPr>
        <w:t xml:space="preserve">See </w:t>
      </w:r>
      <w:bookmarkStart w:id="5513" w:name="Bookmark_I514GP040K1MNJ1J10000400"/>
      <w:bookmarkEnd w:id="5513"/>
      <w:r>
        <w:rPr>
          <w:rFonts w:ascii="Arial" w:eastAsia="Arial" w:hAnsi="Arial" w:cs="Arial"/>
          <w:i/>
          <w:color w:val="000000"/>
          <w:sz w:val="20"/>
        </w:rPr>
        <w:t>Sprewell v. Golden State Warriors</w:t>
      </w:r>
      <w:r>
        <w:rPr>
          <w:rFonts w:ascii="Arial" w:eastAsia="Arial" w:hAnsi="Arial" w:cs="Arial"/>
          <w:color w:val="000000"/>
          <w:sz w:val="20"/>
        </w:rPr>
        <w:t>, 266 F.3d 979, 988 (9th Cir. 2001) (court need not accept as true conclusory allegations, unwarranted deductions, or unreasonable inferences).</w:t>
      </w:r>
    </w:p>
    <w:p w14:paraId="52BE2A8B" w14:textId="77777777" w:rsidR="00D041A2" w:rsidRDefault="00000000">
      <w:pPr>
        <w:pStyle w:val="Normal39"/>
        <w:widowControl w:val="0"/>
        <w:spacing w:before="200" w:line="260" w:lineRule="atLeast"/>
        <w:jc w:val="both"/>
      </w:pPr>
      <w:bookmarkStart w:id="5514" w:name="Bookmark_para_5_38"/>
      <w:bookmarkEnd w:id="5514"/>
      <w:r>
        <w:rPr>
          <w:rFonts w:ascii="Arial" w:eastAsia="Arial" w:hAnsi="Arial" w:cs="Arial"/>
          <w:color w:val="000000"/>
          <w:sz w:val="20"/>
        </w:rPr>
        <w:t xml:space="preserve">The district court properly dismissed Link's claim under the Americans with Disabilities Act ("ADA") because he failed to allege facts showing that any defendant violated the ADA other than conclusorily asserting that they collectively denied him unspecified "reasonable accommodations." </w:t>
      </w:r>
      <w:r>
        <w:rPr>
          <w:rFonts w:ascii="Arial" w:eastAsia="Arial" w:hAnsi="Arial" w:cs="Arial"/>
          <w:i/>
          <w:color w:val="000000"/>
          <w:sz w:val="20"/>
        </w:rPr>
        <w:t>See id.</w:t>
      </w:r>
    </w:p>
    <w:p w14:paraId="6472F3B4" w14:textId="77777777" w:rsidR="00D041A2" w:rsidRDefault="00000000">
      <w:pPr>
        <w:pStyle w:val="Normal39"/>
        <w:widowControl w:val="0"/>
        <w:spacing w:before="200" w:line="260" w:lineRule="atLeast"/>
        <w:jc w:val="both"/>
      </w:pPr>
      <w:bookmarkStart w:id="5515" w:name="Bookmark_para_6_38"/>
      <w:bookmarkStart w:id="5516" w:name="Bookmark_I514GP040K1MNJ1J40000400"/>
      <w:bookmarkEnd w:id="5515"/>
      <w:bookmarkEnd w:id="5516"/>
      <w:r>
        <w:rPr>
          <w:rFonts w:ascii="Arial" w:eastAsia="Arial" w:hAnsi="Arial" w:cs="Arial"/>
          <w:color w:val="000000"/>
          <w:sz w:val="20"/>
        </w:rPr>
        <w:t xml:space="preserve">The district court also properly dismissed Link's employment discrimination claim under the California Fair Employment and Housing Act ("FEHA") because he failed to allege that any defendant is or was his employer and failed to exhaust his administrative remedies. </w:t>
      </w:r>
      <w:r>
        <w:rPr>
          <w:rFonts w:ascii="Arial" w:eastAsia="Arial" w:hAnsi="Arial" w:cs="Arial"/>
          <w:i/>
          <w:color w:val="000000"/>
          <w:sz w:val="20"/>
        </w:rPr>
        <w:t>See</w:t>
      </w:r>
      <w:r>
        <w:rPr>
          <w:rFonts w:ascii="Arial" w:eastAsia="Arial" w:hAnsi="Arial" w:cs="Arial"/>
          <w:color w:val="000000"/>
          <w:sz w:val="20"/>
        </w:rPr>
        <w:t xml:space="preserve"> Cal. Gov't Code § 12940(a) (prohibiting discrimination by "employer" concerning the "terms, conditions, or privileges of employment"); </w:t>
      </w:r>
      <w:bookmarkStart w:id="5517" w:name="Bookmark_I514GP040K1MNJ1J30000400"/>
      <w:bookmarkEnd w:id="5517"/>
      <w:r>
        <w:rPr>
          <w:rFonts w:ascii="Arial" w:eastAsia="Arial" w:hAnsi="Arial" w:cs="Arial"/>
          <w:i/>
          <w:color w:val="000000"/>
          <w:sz w:val="20"/>
        </w:rPr>
        <w:t>McDonald v. Antelope Valley Cmty. Coll. Dist.</w:t>
      </w:r>
      <w:r>
        <w:rPr>
          <w:rFonts w:ascii="Arial" w:eastAsia="Arial" w:hAnsi="Arial" w:cs="Arial"/>
          <w:color w:val="000000"/>
          <w:sz w:val="20"/>
        </w:rPr>
        <w:t>, 45 Cal. 4th 88, 84 Cal. Rptr. 3d 734, 194 P.3d 1026, 1036 (Cal. 2008) (exhaustion of FEHA administrative  [**4] remedies is mandatory).</w:t>
      </w:r>
    </w:p>
    <w:p w14:paraId="28FC3F19" w14:textId="77777777" w:rsidR="00D041A2" w:rsidRDefault="00000000">
      <w:pPr>
        <w:pStyle w:val="Normal39"/>
        <w:widowControl w:val="0"/>
        <w:spacing w:before="200" w:line="260" w:lineRule="atLeast"/>
        <w:jc w:val="both"/>
      </w:pPr>
      <w:bookmarkStart w:id="5518" w:name="Bookmark_para_7_38"/>
      <w:bookmarkStart w:id="5519" w:name="Bookmark_I514GP040K1MNJ1SK0000400"/>
      <w:bookmarkEnd w:id="5518"/>
      <w:bookmarkEnd w:id="5519"/>
      <w:r>
        <w:rPr>
          <w:rFonts w:ascii="Arial" w:eastAsia="Arial" w:hAnsi="Arial" w:cs="Arial"/>
          <w:color w:val="000000"/>
          <w:sz w:val="20"/>
        </w:rPr>
        <w:t xml:space="preserve">Finally, the district court did not abuse its discretion in denying Link's motion for disqualification under 28 U.S.C. §§ 144 and 455, and his subsequent motion for reconsideration, because neither the judge's prior service as a California state prosecutor and a California Superior Court judge, nor her alleged failure to rule on one of Link's motions quickly, established grounds for recusal. </w:t>
      </w:r>
      <w:r>
        <w:rPr>
          <w:rFonts w:ascii="Arial" w:eastAsia="Arial" w:hAnsi="Arial" w:cs="Arial"/>
          <w:i/>
          <w:color w:val="000000"/>
          <w:sz w:val="20"/>
        </w:rPr>
        <w:t>See</w:t>
      </w:r>
      <w:r>
        <w:rPr>
          <w:rFonts w:ascii="Arial" w:eastAsia="Arial" w:hAnsi="Arial" w:cs="Arial"/>
          <w:color w:val="000000"/>
          <w:sz w:val="20"/>
        </w:rPr>
        <w:t xml:space="preserve"> 28 U.S.C. § 455 (listing circumstances requiring recusal); </w:t>
      </w:r>
      <w:bookmarkStart w:id="5520" w:name="Bookmark_I514GP040K1MNJ1SJ0000400"/>
      <w:bookmarkEnd w:id="5520"/>
      <w:r>
        <w:rPr>
          <w:rFonts w:ascii="Arial" w:eastAsia="Arial" w:hAnsi="Arial" w:cs="Arial"/>
          <w:i/>
          <w:color w:val="000000"/>
          <w:sz w:val="20"/>
        </w:rPr>
        <w:t>United States v. Sibla</w:t>
      </w:r>
      <w:r>
        <w:rPr>
          <w:rFonts w:ascii="Arial" w:eastAsia="Arial" w:hAnsi="Arial" w:cs="Arial"/>
          <w:color w:val="000000"/>
          <w:sz w:val="20"/>
        </w:rPr>
        <w:t>, 624 F.2d 864, 868 (9th Cir. 1980) (finding affidavit that was devoid of facts regarding personal bias stemming from "extrajudicial source" insufficient for § 144 recusal).</w:t>
      </w:r>
    </w:p>
    <w:p w14:paraId="700D5B79" w14:textId="77777777" w:rsidR="00D041A2" w:rsidRDefault="00000000">
      <w:pPr>
        <w:pStyle w:val="Normal39"/>
        <w:widowControl w:val="0"/>
        <w:spacing w:before="200" w:line="260" w:lineRule="atLeast"/>
        <w:jc w:val="both"/>
      </w:pPr>
      <w:bookmarkStart w:id="5521" w:name="Bookmark_para_8_37"/>
      <w:bookmarkEnd w:id="5521"/>
      <w:r>
        <w:rPr>
          <w:rFonts w:ascii="Arial" w:eastAsia="Arial" w:hAnsi="Arial" w:cs="Arial"/>
          <w:b/>
          <w:color w:val="000000"/>
          <w:sz w:val="20"/>
        </w:rPr>
        <w:t>AFFIRMED.</w:t>
      </w:r>
    </w:p>
    <w:p w14:paraId="4B7B3667" w14:textId="77777777" w:rsidR="00D041A2" w:rsidRDefault="00D041A2">
      <w:pPr>
        <w:pStyle w:val="Normal39"/>
      </w:pPr>
    </w:p>
    <w:p w14:paraId="50E2FA96" w14:textId="0FBE523A" w:rsidR="00D041A2" w:rsidRDefault="00000000">
      <w:pPr>
        <w:pStyle w:val="Normal39"/>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47328" behindDoc="0" locked="0" layoutInCell="1" allowOverlap="1" wp14:anchorId="0947A229" wp14:editId="2AE0DE56">
                <wp:simplePos x="0" y="0"/>
                <wp:positionH relativeFrom="column">
                  <wp:posOffset>0</wp:posOffset>
                </wp:positionH>
                <wp:positionV relativeFrom="paragraph">
                  <wp:posOffset>127000</wp:posOffset>
                </wp:positionV>
                <wp:extent cx="6502400" cy="0"/>
                <wp:effectExtent l="9525" t="12700" r="12700" b="6350"/>
                <wp:wrapNone/>
                <wp:docPr id="1330678079"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CAE17" id="Line 89"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EB43F49" w14:textId="77777777" w:rsidR="00D041A2" w:rsidRDefault="00D041A2">
      <w:pPr>
        <w:pStyle w:val="Normal40"/>
        <w:sectPr w:rsidR="00D041A2">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gutter="0"/>
          <w:cols w:space="720"/>
          <w:titlePg/>
        </w:sectPr>
      </w:pPr>
    </w:p>
    <w:p w14:paraId="53EC917C" w14:textId="77777777" w:rsidR="00D041A2" w:rsidRDefault="00D041A2">
      <w:pPr>
        <w:pStyle w:val="Normal40"/>
      </w:pPr>
    </w:p>
    <w:p w14:paraId="35962434" w14:textId="77777777" w:rsidR="00D041A2" w:rsidRDefault="00000000">
      <w:pPr>
        <w:pStyle w:val="Heading139"/>
        <w:keepNext w:val="0"/>
        <w:widowControl w:val="0"/>
        <w:spacing w:after="200" w:line="340" w:lineRule="atLeast"/>
        <w:jc w:val="center"/>
      </w:pPr>
      <w:r>
        <w:rPr>
          <w:rFonts w:eastAsia="Arial"/>
          <w:color w:val="000000"/>
          <w:sz w:val="28"/>
        </w:rPr>
        <w:t>Smith v. Noah Webster Basic Sch.</w:t>
      </w:r>
    </w:p>
    <w:p w14:paraId="5BF7B6C8" w14:textId="77777777" w:rsidR="00D041A2" w:rsidRDefault="00000000">
      <w:pPr>
        <w:pStyle w:val="Normal40"/>
        <w:widowControl w:val="0"/>
        <w:spacing w:before="120" w:line="260" w:lineRule="atLeast"/>
        <w:jc w:val="center"/>
      </w:pPr>
      <w:r>
        <w:rPr>
          <w:rFonts w:ascii="Arial" w:eastAsia="Arial" w:hAnsi="Arial" w:cs="Arial"/>
          <w:color w:val="000000"/>
          <w:sz w:val="20"/>
        </w:rPr>
        <w:t>United States Court of Appeals for the Ninth Circuit</w:t>
      </w:r>
    </w:p>
    <w:p w14:paraId="492BF2F8" w14:textId="77777777" w:rsidR="00D041A2" w:rsidRDefault="00000000">
      <w:pPr>
        <w:pStyle w:val="Normal40"/>
        <w:widowControl w:val="0"/>
        <w:spacing w:before="120" w:line="260" w:lineRule="atLeast"/>
        <w:jc w:val="center"/>
      </w:pPr>
      <w:r>
        <w:rPr>
          <w:rFonts w:ascii="Arial" w:eastAsia="Arial" w:hAnsi="Arial" w:cs="Arial"/>
          <w:color w:val="000000"/>
          <w:sz w:val="20"/>
        </w:rPr>
        <w:t>April 13, 2010, Argued and Submitted, San Francisco, California; July 28, 2010, Filed</w:t>
      </w:r>
    </w:p>
    <w:p w14:paraId="3614E58B" w14:textId="77777777" w:rsidR="00D041A2" w:rsidRDefault="00000000">
      <w:pPr>
        <w:pStyle w:val="Normal40"/>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09-15694</w:t>
      </w:r>
    </w:p>
    <w:p w14:paraId="5AB6C9FB" w14:textId="77777777" w:rsidR="00D041A2" w:rsidRDefault="00D041A2">
      <w:pPr>
        <w:pStyle w:val="Normal40"/>
        <w:widowControl w:val="0"/>
        <w:spacing w:line="240" w:lineRule="atLeast"/>
        <w:jc w:val="both"/>
      </w:pPr>
      <w:bookmarkStart w:id="5522" w:name="Bookmark_41"/>
      <w:bookmarkEnd w:id="5522"/>
    </w:p>
    <w:p w14:paraId="316F7CC6" w14:textId="77777777" w:rsidR="00D041A2" w:rsidRDefault="00000000">
      <w:pPr>
        <w:pStyle w:val="Normal40"/>
        <w:widowControl w:val="0"/>
        <w:spacing w:before="200" w:line="240" w:lineRule="atLeast"/>
      </w:pPr>
      <w:bookmarkStart w:id="5523" w:name="Reporter_39"/>
      <w:bookmarkEnd w:id="5523"/>
      <w:r>
        <w:rPr>
          <w:rFonts w:ascii="Arial" w:eastAsia="Arial" w:hAnsi="Arial" w:cs="Arial"/>
          <w:b/>
          <w:color w:val="000000"/>
          <w:sz w:val="18"/>
        </w:rPr>
        <w:t>Reporter</w:t>
      </w:r>
    </w:p>
    <w:p w14:paraId="1D128290" w14:textId="77777777" w:rsidR="00D041A2" w:rsidRDefault="00000000">
      <w:pPr>
        <w:pStyle w:val="Normal40"/>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389 Fed. Appx. 698 *; 2010 U.S. App. LEXIS 15719 **</w:t>
      </w:r>
    </w:p>
    <w:p w14:paraId="6A277E7D" w14:textId="77777777" w:rsidR="00D041A2" w:rsidRDefault="00000000">
      <w:pPr>
        <w:pStyle w:val="Normal40"/>
        <w:widowControl w:val="0"/>
        <w:spacing w:before="120" w:line="260" w:lineRule="atLeast"/>
      </w:pPr>
      <w:r>
        <w:rPr>
          <w:rFonts w:ascii="Arial" w:eastAsia="Arial" w:hAnsi="Arial" w:cs="Arial"/>
          <w:color w:val="000000"/>
          <w:sz w:val="20"/>
        </w:rPr>
        <w:t>RHONDA SMITH, Plaintiff - Appellant, v. NOAH WEBSTER BASIC SCHOOL, Defendant - Appellee.</w:t>
      </w:r>
    </w:p>
    <w:p w14:paraId="082C79C0" w14:textId="77777777" w:rsidR="00D041A2" w:rsidRDefault="00000000">
      <w:pPr>
        <w:pStyle w:val="Normal40"/>
        <w:widowControl w:val="0"/>
        <w:spacing w:before="240" w:line="260" w:lineRule="atLeast"/>
        <w:jc w:val="both"/>
      </w:pPr>
      <w:bookmarkStart w:id="5524" w:name="Notice_24"/>
      <w:bookmarkEnd w:id="5524"/>
      <w:r>
        <w:rPr>
          <w:rFonts w:ascii="Arial" w:eastAsia="Arial" w:hAnsi="Arial" w:cs="Arial"/>
          <w:b/>
          <w:color w:val="000000"/>
          <w:sz w:val="20"/>
        </w:rPr>
        <w:t>Notice:</w:t>
      </w:r>
      <w:r>
        <w:rPr>
          <w:rFonts w:ascii="Arial" w:eastAsia="Arial" w:hAnsi="Arial" w:cs="Arial"/>
          <w:color w:val="000000"/>
          <w:sz w:val="20"/>
        </w:rPr>
        <w:t> </w:t>
      </w:r>
      <w:bookmarkStart w:id="5525" w:name="Bookmark_para_1_39"/>
      <w:bookmarkEnd w:id="5525"/>
      <w:r>
        <w:rPr>
          <w:rFonts w:ascii="Arial" w:eastAsia="Arial" w:hAnsi="Arial" w:cs="Arial"/>
          <w:color w:val="000000"/>
          <w:sz w:val="20"/>
        </w:rPr>
        <w:t>PLEASE REFER TO FEDERAL RULES OF APPELLATE PROCEDURE RULE 32.1 GOVERNING THE CITATION TO UNPUBLISHED OPINIONS.</w:t>
      </w:r>
    </w:p>
    <w:p w14:paraId="2D47634A" w14:textId="77777777" w:rsidR="00D041A2" w:rsidRDefault="00000000">
      <w:pPr>
        <w:pStyle w:val="Normal40"/>
        <w:widowControl w:val="0"/>
        <w:spacing w:before="240" w:line="260" w:lineRule="atLeast"/>
        <w:jc w:val="both"/>
      </w:pPr>
      <w:bookmarkStart w:id="5526" w:name="Prior_History_39"/>
      <w:bookmarkEnd w:id="5526"/>
      <w:r>
        <w:rPr>
          <w:rFonts w:ascii="Arial" w:eastAsia="Arial" w:hAnsi="Arial" w:cs="Arial"/>
          <w:b/>
          <w:color w:val="000000"/>
          <w:sz w:val="20"/>
        </w:rPr>
        <w:t>Prior History:</w:t>
      </w:r>
      <w:r>
        <w:rPr>
          <w:rFonts w:ascii="Arial" w:eastAsia="Arial" w:hAnsi="Arial" w:cs="Arial"/>
          <w:color w:val="000000"/>
          <w:sz w:val="20"/>
        </w:rPr>
        <w:t>  [**1] </w:t>
      </w:r>
      <w:bookmarkStart w:id="5527" w:name="Bookmark_para_2_39"/>
      <w:bookmarkEnd w:id="5527"/>
      <w:r>
        <w:rPr>
          <w:rFonts w:ascii="Arial" w:eastAsia="Arial" w:hAnsi="Arial" w:cs="Arial"/>
          <w:color w:val="000000"/>
          <w:sz w:val="20"/>
        </w:rPr>
        <w:t>Appeal from the United States District Court for the District of Arizona. Susan R. Bolton, District Judge, Presiding. D.C. No. 2:07-CV-2020-PHXSRB.</w:t>
      </w:r>
    </w:p>
    <w:p w14:paraId="26B8CBA0" w14:textId="77777777" w:rsidR="00D041A2" w:rsidRDefault="00000000">
      <w:pPr>
        <w:pStyle w:val="Normal40"/>
        <w:widowControl w:val="0"/>
        <w:spacing w:before="120" w:line="260" w:lineRule="atLeast"/>
      </w:pPr>
      <w:r>
        <w:rPr>
          <w:rFonts w:ascii="Arial" w:eastAsia="Arial" w:hAnsi="Arial" w:cs="Arial"/>
          <w:color w:val="000000"/>
          <w:sz w:val="20"/>
        </w:rPr>
        <w:t>Smith v. Noah Webster Basic Sch., 2009 U.S. Dist. LEXIS 140906 (D. Ariz., Mar. 10, 2009)</w:t>
      </w:r>
    </w:p>
    <w:p w14:paraId="1A688661" w14:textId="77777777" w:rsidR="00D041A2" w:rsidRDefault="00000000">
      <w:pPr>
        <w:pStyle w:val="Normal40"/>
        <w:widowControl w:val="0"/>
        <w:spacing w:before="240" w:line="260" w:lineRule="atLeast"/>
        <w:jc w:val="both"/>
      </w:pPr>
      <w:bookmarkStart w:id="5528" w:name="Disposition_12"/>
      <w:bookmarkEnd w:id="5528"/>
      <w:r>
        <w:rPr>
          <w:rFonts w:ascii="Arial" w:eastAsia="Arial" w:hAnsi="Arial" w:cs="Arial"/>
          <w:b/>
          <w:color w:val="000000"/>
          <w:sz w:val="20"/>
        </w:rPr>
        <w:t>Disposition:</w:t>
      </w:r>
      <w:r>
        <w:rPr>
          <w:rFonts w:ascii="Arial" w:eastAsia="Arial" w:hAnsi="Arial" w:cs="Arial"/>
          <w:color w:val="000000"/>
          <w:sz w:val="20"/>
        </w:rPr>
        <w:t> </w:t>
      </w:r>
      <w:bookmarkStart w:id="5529" w:name="Bookmark_clspara_1_4"/>
      <w:bookmarkEnd w:id="5529"/>
      <w:r>
        <w:rPr>
          <w:rFonts w:ascii="Arial" w:eastAsia="Arial" w:hAnsi="Arial" w:cs="Arial"/>
          <w:color w:val="000000"/>
          <w:sz w:val="20"/>
        </w:rPr>
        <w:t>AFFIRMED IN PART; REVERSED AND REMANDED IN PART.</w:t>
      </w:r>
    </w:p>
    <w:p w14:paraId="36F7F521" w14:textId="77777777" w:rsidR="00D041A2" w:rsidRDefault="00000000">
      <w:pPr>
        <w:pStyle w:val="Normal40"/>
        <w:widowControl w:val="0"/>
        <w:spacing w:before="240" w:line="260" w:lineRule="atLeast"/>
      </w:pPr>
      <w:bookmarkStart w:id="5530" w:name="Counsel_39"/>
      <w:bookmarkEnd w:id="5530"/>
      <w:r>
        <w:rPr>
          <w:rFonts w:ascii="Arial" w:eastAsia="Arial" w:hAnsi="Arial" w:cs="Arial"/>
          <w:b/>
          <w:color w:val="000000"/>
          <w:sz w:val="20"/>
        </w:rPr>
        <w:t>Counsel:</w:t>
      </w:r>
      <w:r>
        <w:rPr>
          <w:rFonts w:ascii="Arial" w:eastAsia="Arial" w:hAnsi="Arial" w:cs="Arial"/>
          <w:color w:val="000000"/>
          <w:sz w:val="20"/>
        </w:rPr>
        <w:t> For RHONDA SMITH, Plaintiff - Appellant: William Russell Hobson, Attorney, Chandler, AZ; Kevin Koelbel, LAW OFFICES OF KEVIN KOELBEL, P.C., Chandler, AZ.</w:t>
      </w:r>
    </w:p>
    <w:p w14:paraId="6183CE2D" w14:textId="77777777" w:rsidR="00D041A2" w:rsidRDefault="00000000">
      <w:pPr>
        <w:pStyle w:val="Normal40"/>
        <w:widowControl w:val="0"/>
        <w:spacing w:before="120" w:line="260" w:lineRule="atLeast"/>
      </w:pPr>
      <w:r>
        <w:rPr>
          <w:rFonts w:ascii="Arial" w:eastAsia="Arial" w:hAnsi="Arial" w:cs="Arial"/>
          <w:color w:val="000000"/>
          <w:sz w:val="20"/>
        </w:rPr>
        <w:t>For NOAH WEBSTER BASIC SCHOOL, Defendant - Appellee: Lori Anne Higuera, Esquire, Janice Procter-Murphy, Esquire, Joshua L. Waltman, Esquire, Attorney, FENNEMORE CRAIG PC, Phoenix, AZ.</w:t>
      </w:r>
    </w:p>
    <w:p w14:paraId="1889705D" w14:textId="77777777" w:rsidR="00D041A2" w:rsidRDefault="00000000">
      <w:pPr>
        <w:pStyle w:val="Normal40"/>
        <w:widowControl w:val="0"/>
        <w:spacing w:before="240" w:line="260" w:lineRule="atLeast"/>
      </w:pPr>
      <w:bookmarkStart w:id="5531" w:name="Judges_39"/>
      <w:bookmarkEnd w:id="5531"/>
      <w:r>
        <w:rPr>
          <w:rFonts w:ascii="Arial" w:eastAsia="Arial" w:hAnsi="Arial" w:cs="Arial"/>
          <w:b/>
          <w:color w:val="000000"/>
          <w:sz w:val="20"/>
        </w:rPr>
        <w:t>Judges:</w:t>
      </w:r>
      <w:r>
        <w:rPr>
          <w:rFonts w:ascii="Arial" w:eastAsia="Arial" w:hAnsi="Arial" w:cs="Arial"/>
          <w:color w:val="000000"/>
          <w:sz w:val="20"/>
        </w:rPr>
        <w:t> Before: SCHROEDER and N.R. SMITH, Circuit Judges, and MOODY, District Judge.</w:t>
      </w:r>
      <w:r>
        <w:rPr>
          <w:rFonts w:ascii="Arial" w:eastAsia="Arial" w:hAnsi="Arial" w:cs="Arial"/>
          <w:vertAlign w:val="superscript"/>
        </w:rPr>
        <w:footnoteReference w:customMarkFollows="1" w:id="262"/>
        <w:t>**</w:t>
      </w:r>
    </w:p>
    <w:p w14:paraId="6BA8555B" w14:textId="77777777" w:rsidR="00D041A2" w:rsidRDefault="00000000">
      <w:pPr>
        <w:pStyle w:val="Normal40"/>
        <w:keepNext/>
        <w:widowControl w:val="0"/>
        <w:spacing w:before="240" w:line="340" w:lineRule="atLeast"/>
      </w:pPr>
      <w:bookmarkStart w:id="5533" w:name="Opinion_39"/>
      <w:bookmarkEnd w:id="5533"/>
      <w:r>
        <w:rPr>
          <w:rFonts w:ascii="Arial" w:eastAsia="Arial" w:hAnsi="Arial" w:cs="Arial"/>
          <w:b/>
          <w:color w:val="000000"/>
          <w:sz w:val="28"/>
        </w:rPr>
        <w:t>Opinion</w:t>
      </w:r>
    </w:p>
    <w:p w14:paraId="33DF7F64" w14:textId="5C2ECEDB" w:rsidR="00D041A2" w:rsidRDefault="004D4403">
      <w:pPr>
        <w:pStyle w:val="Normal40"/>
        <w:spacing w:line="60" w:lineRule="exact"/>
      </w:pPr>
      <w:r>
        <w:rPr>
          <w:noProof/>
        </w:rPr>
        <mc:AlternateContent>
          <mc:Choice Requires="wps">
            <w:drawing>
              <wp:anchor distT="0" distB="0" distL="114300" distR="114300" simplePos="0" relativeHeight="251748352" behindDoc="0" locked="0" layoutInCell="1" allowOverlap="1" wp14:anchorId="1C24A509" wp14:editId="60F2C2FA">
                <wp:simplePos x="0" y="0"/>
                <wp:positionH relativeFrom="column">
                  <wp:posOffset>0</wp:posOffset>
                </wp:positionH>
                <wp:positionV relativeFrom="paragraph">
                  <wp:posOffset>25400</wp:posOffset>
                </wp:positionV>
                <wp:extent cx="3187700" cy="0"/>
                <wp:effectExtent l="19050" t="15875" r="12700" b="12700"/>
                <wp:wrapTopAndBottom/>
                <wp:docPr id="662283664"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B4491" id="Line 90"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026F892" w14:textId="77777777" w:rsidR="00D041A2" w:rsidRDefault="00D041A2">
      <w:pPr>
        <w:pStyle w:val="Normal40"/>
        <w:spacing w:line="120" w:lineRule="exact"/>
      </w:pPr>
    </w:p>
    <w:p w14:paraId="121AB955" w14:textId="77777777" w:rsidR="00D041A2" w:rsidRDefault="00000000">
      <w:pPr>
        <w:pStyle w:val="Normal40"/>
        <w:widowControl w:val="0"/>
        <w:spacing w:before="240" w:line="260" w:lineRule="atLeast"/>
      </w:pPr>
      <w:r>
        <w:br/>
      </w:r>
      <w:r>
        <w:rPr>
          <w:rFonts w:ascii="Arial" w:eastAsia="Arial" w:hAnsi="Arial" w:cs="Arial"/>
          <w:color w:val="000000"/>
          <w:sz w:val="20"/>
        </w:rPr>
        <w:t> [*698]  MEMORANDUM</w:t>
      </w:r>
      <w:r>
        <w:rPr>
          <w:rFonts w:ascii="Arial" w:eastAsia="Arial" w:hAnsi="Arial" w:cs="Arial"/>
          <w:vertAlign w:val="superscript"/>
        </w:rPr>
        <w:footnoteReference w:customMarkFollows="1" w:id="263"/>
        <w:t>*</w:t>
      </w:r>
    </w:p>
    <w:p w14:paraId="26449F83" w14:textId="77777777" w:rsidR="00D041A2" w:rsidRDefault="00000000">
      <w:pPr>
        <w:pStyle w:val="Normal40"/>
        <w:widowControl w:val="0"/>
        <w:spacing w:before="200" w:line="260" w:lineRule="atLeast"/>
        <w:jc w:val="both"/>
      </w:pPr>
      <w:bookmarkStart w:id="5535" w:name="Bookmark_para_3_39"/>
      <w:bookmarkStart w:id="5536" w:name="Bookmark_I50TK3X00K1MNJ3P60000400"/>
      <w:bookmarkEnd w:id="5535"/>
      <w:bookmarkEnd w:id="5536"/>
      <w:r>
        <w:rPr>
          <w:rFonts w:ascii="Arial" w:eastAsia="Arial" w:hAnsi="Arial" w:cs="Arial"/>
          <w:color w:val="000000"/>
          <w:sz w:val="20"/>
        </w:rPr>
        <w:t xml:space="preserve">Rhonda Smith appeals the district court's grant of summary judgment on her  [*699]  claim of discrimination brought pursuant to The Americans with Disabilities Act (the "ADA"). The district court had jurisdiction under 28 U.S.C. § § 1331 and 1343, and we have jurisdiction under 28 U.S.C. § 1291. We review de novo, </w:t>
      </w:r>
      <w:bookmarkStart w:id="5537" w:name="Bookmark_I50TK3X00K1MNJ3P50000400"/>
      <w:bookmarkEnd w:id="5537"/>
      <w:r>
        <w:rPr>
          <w:rFonts w:ascii="Arial" w:eastAsia="Arial" w:hAnsi="Arial" w:cs="Arial"/>
          <w:i/>
          <w:color w:val="000000"/>
          <w:sz w:val="20"/>
        </w:rPr>
        <w:t>Toguchi v. Chung,</w:t>
      </w:r>
      <w:r>
        <w:rPr>
          <w:rFonts w:ascii="Arial" w:eastAsia="Arial" w:hAnsi="Arial" w:cs="Arial"/>
          <w:color w:val="000000"/>
          <w:sz w:val="20"/>
        </w:rPr>
        <w:t xml:space="preserve"> 391 F.3d 1051, 1056 (9th Cir.2004),  [**2] and we affirm in part and reverse and remand in part.</w:t>
      </w:r>
    </w:p>
    <w:p w14:paraId="31A82FD2" w14:textId="77777777" w:rsidR="00D041A2" w:rsidRDefault="00000000">
      <w:pPr>
        <w:pStyle w:val="Normal40"/>
        <w:widowControl w:val="0"/>
        <w:spacing w:before="200" w:line="260" w:lineRule="atLeast"/>
        <w:jc w:val="both"/>
      </w:pPr>
      <w:bookmarkStart w:id="5538" w:name="Bookmark_para_4_39"/>
      <w:bookmarkEnd w:id="5538"/>
      <w:r>
        <w:rPr>
          <w:rFonts w:ascii="Arial" w:eastAsia="Arial" w:hAnsi="Arial" w:cs="Arial"/>
          <w:color w:val="000000"/>
          <w:sz w:val="20"/>
        </w:rPr>
        <w:t>Smith, who is legally blind, was employed by the Noah Webster Basic School, (the "School"), a charter school in Mesa, Arizona, as a kindergarten teacher for the 2006-2007 academic term. When Smith's teaching contract was not renewed for the 2007-2008 academic term, she filed a complaint in district court contending that the School discriminated against her in violation of the ADA based upon her disability.</w:t>
      </w:r>
    </w:p>
    <w:p w14:paraId="1C3F4CDB" w14:textId="77777777" w:rsidR="00D041A2" w:rsidRDefault="00000000">
      <w:pPr>
        <w:pStyle w:val="Normal40"/>
        <w:widowControl w:val="0"/>
        <w:spacing w:before="200" w:line="260" w:lineRule="atLeast"/>
        <w:jc w:val="both"/>
      </w:pPr>
      <w:bookmarkStart w:id="5539" w:name="Bookmark_para_5_39"/>
      <w:bookmarkStart w:id="5540" w:name="Bookmark_I1MSYMHC78600053R0J00020"/>
      <w:bookmarkStart w:id="5541" w:name="Bookmark_I50TK3X00K1MNJ3P80000400"/>
      <w:bookmarkEnd w:id="5539"/>
      <w:bookmarkEnd w:id="5540"/>
      <w:bookmarkEnd w:id="5541"/>
      <w:r>
        <w:rPr>
          <w:rFonts w:ascii="Arial" w:eastAsia="Arial" w:hAnsi="Arial" w:cs="Arial"/>
          <w:color w:val="000000"/>
          <w:sz w:val="20"/>
        </w:rPr>
        <w:t xml:space="preserve">"[T]o state a prima facie case under the ADA, [a plaintiff] must show that (1) she is a disabled person within the meaning of the ADA; (2) she is a qualified individual, meaning she can perform the essential functions of her job; and (3) [that her employer] terminated her because of her disability." </w:t>
      </w:r>
      <w:r>
        <w:rPr>
          <w:rFonts w:ascii="Arial" w:eastAsia="Arial" w:hAnsi="Arial" w:cs="Arial"/>
          <w:i/>
          <w:color w:val="000000"/>
          <w:sz w:val="20"/>
        </w:rPr>
        <w:t xml:space="preserve">See </w:t>
      </w:r>
      <w:bookmarkStart w:id="5542" w:name="Bookmark_I50TK3X00K1MNJ3P70000400"/>
      <w:bookmarkEnd w:id="5542"/>
      <w:r>
        <w:rPr>
          <w:rFonts w:ascii="Arial" w:eastAsia="Arial" w:hAnsi="Arial" w:cs="Arial"/>
          <w:i/>
          <w:color w:val="000000"/>
          <w:sz w:val="20"/>
        </w:rPr>
        <w:t>Nunes v. Wal-Mart Stores, Inc.,</w:t>
      </w:r>
      <w:r>
        <w:rPr>
          <w:rFonts w:ascii="Arial" w:eastAsia="Arial" w:hAnsi="Arial" w:cs="Arial"/>
          <w:color w:val="000000"/>
          <w:sz w:val="20"/>
        </w:rPr>
        <w:t xml:space="preserve"> 164 F.3d 1243, 1246 (9th Cir. 1999) (citation omitted).</w:t>
      </w:r>
    </w:p>
    <w:p w14:paraId="43741E90" w14:textId="77777777" w:rsidR="00D041A2" w:rsidRDefault="00000000">
      <w:pPr>
        <w:pStyle w:val="Normal40"/>
        <w:widowControl w:val="0"/>
        <w:spacing w:before="200" w:line="260" w:lineRule="atLeast"/>
        <w:jc w:val="both"/>
      </w:pPr>
      <w:bookmarkStart w:id="5543" w:name="Bookmark_para_6_39"/>
      <w:bookmarkStart w:id="5544" w:name="Bookmark_I50TK3XP0K1MNJ0850000400"/>
      <w:bookmarkEnd w:id="5543"/>
      <w:bookmarkEnd w:id="5544"/>
      <w:r>
        <w:rPr>
          <w:rFonts w:ascii="Arial" w:eastAsia="Arial" w:hAnsi="Arial" w:cs="Arial"/>
          <w:color w:val="000000"/>
          <w:sz w:val="20"/>
        </w:rPr>
        <w:t xml:space="preserve">The district court correctly concluded that there was no direct evidence of discrimination, and thus applied the burden-shifting analysis set forth in </w:t>
      </w:r>
      <w:bookmarkStart w:id="5545" w:name="Bookmark_I50TK3X00K1MNJ3P90000400"/>
      <w:bookmarkEnd w:id="5545"/>
      <w:r>
        <w:rPr>
          <w:rFonts w:ascii="Arial" w:eastAsia="Arial" w:hAnsi="Arial" w:cs="Arial"/>
          <w:i/>
          <w:color w:val="000000"/>
          <w:sz w:val="20"/>
        </w:rPr>
        <w:t>McDonnell Douglas Corp. v. Green,</w:t>
      </w:r>
      <w:r>
        <w:rPr>
          <w:rFonts w:ascii="Arial" w:eastAsia="Arial" w:hAnsi="Arial" w:cs="Arial"/>
          <w:color w:val="000000"/>
          <w:sz w:val="20"/>
        </w:rPr>
        <w:t xml:space="preserve"> 411 U.S. 792, 802-05, 93 S. Ct. 1817, 36 L. Ed. 2d 668 (1973). Applying that framework, the district court granted the School's motion for summary judgment finding that Smith had failed to establish  [**3] a </w:t>
      </w:r>
      <w:r>
        <w:rPr>
          <w:rFonts w:ascii="Arial" w:eastAsia="Arial" w:hAnsi="Arial" w:cs="Arial"/>
          <w:i/>
          <w:color w:val="000000"/>
          <w:sz w:val="20"/>
        </w:rPr>
        <w:t>prima facie</w:t>
      </w:r>
      <w:r>
        <w:rPr>
          <w:rFonts w:ascii="Arial" w:eastAsia="Arial" w:hAnsi="Arial" w:cs="Arial"/>
          <w:color w:val="000000"/>
          <w:sz w:val="20"/>
        </w:rPr>
        <w:t xml:space="preserve"> case of discrimination because she had failed to show that she was performing her job satisfactorily and that even if she had established a </w:t>
      </w:r>
      <w:r>
        <w:rPr>
          <w:rFonts w:ascii="Arial" w:eastAsia="Arial" w:hAnsi="Arial" w:cs="Arial"/>
          <w:i/>
          <w:color w:val="000000"/>
          <w:sz w:val="20"/>
        </w:rPr>
        <w:t>prima facie</w:t>
      </w:r>
      <w:r>
        <w:rPr>
          <w:rFonts w:ascii="Arial" w:eastAsia="Arial" w:hAnsi="Arial" w:cs="Arial"/>
          <w:color w:val="000000"/>
          <w:sz w:val="20"/>
        </w:rPr>
        <w:t xml:space="preserve"> case, she had failed to come forward with evidence of pretext.</w:t>
      </w:r>
    </w:p>
    <w:p w14:paraId="58C54C35" w14:textId="77777777" w:rsidR="00D041A2" w:rsidRDefault="00000000">
      <w:pPr>
        <w:pStyle w:val="Normal40"/>
        <w:widowControl w:val="0"/>
        <w:spacing w:before="200" w:line="260" w:lineRule="atLeast"/>
        <w:jc w:val="both"/>
      </w:pPr>
      <w:bookmarkStart w:id="5546" w:name="Bookmark_para_7_39"/>
      <w:bookmarkStart w:id="5547" w:name="Bookmark_I1MSYMHCC3B00053R0J00021"/>
      <w:bookmarkStart w:id="5548" w:name="Bookmark_I50TK3XP0K1MNJ0870000400"/>
      <w:bookmarkEnd w:id="5546"/>
      <w:bookmarkEnd w:id="5547"/>
      <w:bookmarkEnd w:id="5548"/>
      <w:r>
        <w:rPr>
          <w:rFonts w:ascii="Arial" w:eastAsia="Arial" w:hAnsi="Arial" w:cs="Arial"/>
          <w:color w:val="000000"/>
          <w:sz w:val="20"/>
        </w:rPr>
        <w:t xml:space="preserve">We disagree. The Court finds that Smith has raised a contested issue of material fact on whether she was qualified, with or without reasonable accommodation, to perform the essential job functions of a kindergarten teacher based upon the School's failure to make further accommodations after October of 2006. </w:t>
      </w:r>
      <w:r>
        <w:rPr>
          <w:rFonts w:ascii="Arial" w:eastAsia="Arial" w:hAnsi="Arial" w:cs="Arial"/>
          <w:i/>
          <w:color w:val="000000"/>
          <w:sz w:val="20"/>
        </w:rPr>
        <w:t xml:space="preserve">See </w:t>
      </w:r>
      <w:bookmarkStart w:id="5549" w:name="Bookmark_I50TK3XP0K1MNJ0860000400"/>
      <w:bookmarkEnd w:id="5549"/>
      <w:r>
        <w:rPr>
          <w:rFonts w:ascii="Arial" w:eastAsia="Arial" w:hAnsi="Arial" w:cs="Arial"/>
          <w:i/>
          <w:color w:val="000000"/>
          <w:sz w:val="20"/>
        </w:rPr>
        <w:t>Nunes,</w:t>
      </w:r>
      <w:r>
        <w:rPr>
          <w:rFonts w:ascii="Arial" w:eastAsia="Arial" w:hAnsi="Arial" w:cs="Arial"/>
          <w:color w:val="000000"/>
          <w:sz w:val="20"/>
        </w:rPr>
        <w:t xml:space="preserve"> 164 F.3d at 1246 (defining "qualified individual" under the ADA). Moreover, the Court finds that there is a contested issue of material fact on whether Smith presented evidence of pretext based upon the School's director's statement that Smith's contract was not renewed because Smith did "not fit in."</w:t>
      </w:r>
    </w:p>
    <w:p w14:paraId="24097B8D" w14:textId="77777777" w:rsidR="00D041A2" w:rsidRDefault="00000000">
      <w:pPr>
        <w:pStyle w:val="Normal40"/>
        <w:widowControl w:val="0"/>
        <w:spacing w:before="200" w:line="260" w:lineRule="atLeast"/>
        <w:jc w:val="both"/>
      </w:pPr>
      <w:bookmarkStart w:id="5550" w:name="Bookmark_para_8_38"/>
      <w:bookmarkStart w:id="5551" w:name="Bookmark_I1MSYMHCGXG00053R0J00022"/>
      <w:bookmarkStart w:id="5552" w:name="Bookmark_I50TK3XP0K1MNJ0890000400"/>
      <w:bookmarkEnd w:id="5550"/>
      <w:bookmarkEnd w:id="5551"/>
      <w:bookmarkEnd w:id="5552"/>
      <w:r>
        <w:rPr>
          <w:rFonts w:ascii="Arial" w:eastAsia="Arial" w:hAnsi="Arial" w:cs="Arial"/>
          <w:color w:val="000000"/>
          <w:sz w:val="20"/>
        </w:rPr>
        <w:t xml:space="preserve">We affirm the district court, however, as to Smith's claim that the School failed to initiate, engage, and pursue an interactive process with Smith. Though the School had a duty to explore further methods of accommodation had it known its initial accommodations were failing, </w:t>
      </w:r>
      <w:r>
        <w:rPr>
          <w:rFonts w:ascii="Arial" w:eastAsia="Arial" w:hAnsi="Arial" w:cs="Arial"/>
          <w:i/>
          <w:color w:val="000000"/>
          <w:sz w:val="20"/>
        </w:rPr>
        <w:t xml:space="preserve">see </w:t>
      </w:r>
      <w:bookmarkStart w:id="5553" w:name="Bookmark_I50TK3XP0K1MNJ0880000400"/>
      <w:bookmarkEnd w:id="5553"/>
      <w:r>
        <w:rPr>
          <w:rFonts w:ascii="Arial" w:eastAsia="Arial" w:hAnsi="Arial" w:cs="Arial"/>
          <w:i/>
          <w:color w:val="000000"/>
          <w:sz w:val="20"/>
        </w:rPr>
        <w:t>Humphrey v. Memorial Hospitals Ass'n,</w:t>
      </w:r>
      <w:r>
        <w:rPr>
          <w:rFonts w:ascii="Arial" w:eastAsia="Arial" w:hAnsi="Arial" w:cs="Arial"/>
          <w:color w:val="000000"/>
          <w:sz w:val="20"/>
        </w:rPr>
        <w:t xml:space="preserve"> 239 F.3d 1128, 1137 (9th Cir. 2001),  [**4] the record indicates that the School was not aware that Smith's difficulties were linked to a failure of its accommodations, or even to Smith's disability.</w:t>
      </w:r>
    </w:p>
    <w:p w14:paraId="1AD59216" w14:textId="77777777" w:rsidR="00D041A2" w:rsidRDefault="00000000">
      <w:pPr>
        <w:pStyle w:val="Normal40"/>
        <w:widowControl w:val="0"/>
        <w:spacing w:before="200" w:line="260" w:lineRule="atLeast"/>
        <w:jc w:val="both"/>
      </w:pPr>
      <w:bookmarkStart w:id="5554" w:name="Bookmark_para_9_36"/>
      <w:bookmarkEnd w:id="5554"/>
      <w:r>
        <w:rPr>
          <w:rFonts w:ascii="Arial" w:eastAsia="Arial" w:hAnsi="Arial" w:cs="Arial"/>
          <w:color w:val="000000"/>
          <w:sz w:val="20"/>
        </w:rPr>
        <w:t>The parties shall bear their own costs.</w:t>
      </w:r>
    </w:p>
    <w:p w14:paraId="0E5222DF" w14:textId="77777777" w:rsidR="00D041A2" w:rsidRDefault="00000000">
      <w:pPr>
        <w:pStyle w:val="Normal40"/>
        <w:widowControl w:val="0"/>
        <w:spacing w:before="200" w:line="260" w:lineRule="atLeast"/>
        <w:jc w:val="both"/>
      </w:pPr>
      <w:bookmarkStart w:id="5555" w:name="Bookmark_para_10_36"/>
      <w:bookmarkEnd w:id="5555"/>
      <w:r>
        <w:rPr>
          <w:rFonts w:ascii="Arial" w:eastAsia="Arial" w:hAnsi="Arial" w:cs="Arial"/>
          <w:b/>
          <w:color w:val="000000"/>
          <w:sz w:val="20"/>
        </w:rPr>
        <w:t>AFFIRMED IN PART; REVERSED AND REMANDED IN PART.</w:t>
      </w:r>
    </w:p>
    <w:p w14:paraId="0010866E" w14:textId="77777777" w:rsidR="00D041A2" w:rsidRDefault="00D041A2">
      <w:pPr>
        <w:pStyle w:val="Normal40"/>
      </w:pPr>
    </w:p>
    <w:p w14:paraId="1501CD08" w14:textId="7F0876EF" w:rsidR="00D041A2" w:rsidRDefault="00000000">
      <w:pPr>
        <w:pStyle w:val="Normal40"/>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49376" behindDoc="0" locked="0" layoutInCell="1" allowOverlap="1" wp14:anchorId="44DC0F34" wp14:editId="1A2E5891">
                <wp:simplePos x="0" y="0"/>
                <wp:positionH relativeFrom="column">
                  <wp:posOffset>0</wp:posOffset>
                </wp:positionH>
                <wp:positionV relativeFrom="paragraph">
                  <wp:posOffset>127000</wp:posOffset>
                </wp:positionV>
                <wp:extent cx="6502400" cy="0"/>
                <wp:effectExtent l="9525" t="12700" r="12700" b="6350"/>
                <wp:wrapNone/>
                <wp:docPr id="1613920975"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944EA" id="Line 91"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1235FB0" w14:textId="77777777" w:rsidR="00D041A2" w:rsidRDefault="00D041A2">
      <w:pPr>
        <w:pStyle w:val="Normal41"/>
        <w:sectPr w:rsidR="00D041A2">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gutter="0"/>
          <w:cols w:space="720"/>
          <w:titlePg/>
        </w:sectPr>
      </w:pPr>
    </w:p>
    <w:p w14:paraId="451A9169" w14:textId="77777777" w:rsidR="00D041A2" w:rsidRDefault="00D041A2">
      <w:pPr>
        <w:pStyle w:val="Normal41"/>
      </w:pPr>
    </w:p>
    <w:p w14:paraId="274952D1" w14:textId="77777777" w:rsidR="00D041A2" w:rsidRDefault="00000000">
      <w:pPr>
        <w:pStyle w:val="Heading140"/>
        <w:keepNext w:val="0"/>
        <w:widowControl w:val="0"/>
        <w:spacing w:after="200" w:line="340" w:lineRule="atLeast"/>
        <w:jc w:val="center"/>
      </w:pPr>
      <w:r>
        <w:rPr>
          <w:rFonts w:eastAsia="Arial"/>
          <w:color w:val="000000"/>
          <w:sz w:val="28"/>
        </w:rPr>
        <w:t>Schneider v. Giant of Md., LLC</w:t>
      </w:r>
    </w:p>
    <w:p w14:paraId="42FAD76B" w14:textId="77777777" w:rsidR="00D041A2" w:rsidRDefault="00000000">
      <w:pPr>
        <w:pStyle w:val="Normal41"/>
        <w:widowControl w:val="0"/>
        <w:spacing w:before="120" w:line="260" w:lineRule="atLeast"/>
        <w:jc w:val="center"/>
      </w:pPr>
      <w:r>
        <w:rPr>
          <w:rFonts w:ascii="Arial" w:eastAsia="Arial" w:hAnsi="Arial" w:cs="Arial"/>
          <w:color w:val="000000"/>
          <w:sz w:val="20"/>
        </w:rPr>
        <w:t>United States Court of Appeals for the Fourth Circuit</w:t>
      </w:r>
    </w:p>
    <w:p w14:paraId="2C270641" w14:textId="77777777" w:rsidR="00D041A2" w:rsidRDefault="00000000">
      <w:pPr>
        <w:pStyle w:val="Normal41"/>
        <w:widowControl w:val="0"/>
        <w:spacing w:before="120" w:line="260" w:lineRule="atLeast"/>
        <w:jc w:val="center"/>
      </w:pPr>
      <w:r>
        <w:rPr>
          <w:rFonts w:ascii="Arial" w:eastAsia="Arial" w:hAnsi="Arial" w:cs="Arial"/>
          <w:color w:val="000000"/>
          <w:sz w:val="20"/>
        </w:rPr>
        <w:t>May 12, 2010, Argued; July 26, 2010, Decided</w:t>
      </w:r>
    </w:p>
    <w:p w14:paraId="7027B20B" w14:textId="77777777" w:rsidR="00D041A2" w:rsidRDefault="00000000">
      <w:pPr>
        <w:pStyle w:val="Normal41"/>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09-1913</w:t>
      </w:r>
    </w:p>
    <w:p w14:paraId="3DE6464F" w14:textId="77777777" w:rsidR="00D041A2" w:rsidRDefault="00D041A2">
      <w:pPr>
        <w:pStyle w:val="Normal41"/>
        <w:widowControl w:val="0"/>
        <w:spacing w:line="240" w:lineRule="atLeast"/>
        <w:jc w:val="both"/>
      </w:pPr>
      <w:bookmarkStart w:id="5556" w:name="Bookmark_42"/>
      <w:bookmarkEnd w:id="5556"/>
    </w:p>
    <w:p w14:paraId="46241758" w14:textId="77777777" w:rsidR="00D041A2" w:rsidRDefault="00000000">
      <w:pPr>
        <w:pStyle w:val="Normal41"/>
        <w:widowControl w:val="0"/>
        <w:spacing w:before="200" w:line="240" w:lineRule="atLeast"/>
      </w:pPr>
      <w:bookmarkStart w:id="5557" w:name="Reporter_40"/>
      <w:bookmarkEnd w:id="5557"/>
      <w:r>
        <w:rPr>
          <w:rFonts w:ascii="Arial" w:eastAsia="Arial" w:hAnsi="Arial" w:cs="Arial"/>
          <w:b/>
          <w:color w:val="000000"/>
          <w:sz w:val="18"/>
        </w:rPr>
        <w:t>Reporter</w:t>
      </w:r>
    </w:p>
    <w:p w14:paraId="71A07238" w14:textId="77777777" w:rsidR="00D041A2" w:rsidRDefault="00000000">
      <w:pPr>
        <w:pStyle w:val="Normal41"/>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389 Fed. Appx. 263 *; 2010 U.S. App. LEXIS 15546 **; 23 Am. Disabilities Cas. (BNA) 806</w:t>
      </w:r>
    </w:p>
    <w:p w14:paraId="334AB3B9" w14:textId="77777777" w:rsidR="00D041A2" w:rsidRDefault="00000000">
      <w:pPr>
        <w:pStyle w:val="Normal41"/>
        <w:widowControl w:val="0"/>
        <w:spacing w:before="120" w:line="260" w:lineRule="atLeast"/>
      </w:pPr>
      <w:r>
        <w:rPr>
          <w:rFonts w:ascii="Arial" w:eastAsia="Arial" w:hAnsi="Arial" w:cs="Arial"/>
          <w:color w:val="000000"/>
          <w:sz w:val="20"/>
        </w:rPr>
        <w:t>JAMES SCHNEIDER, Plaintiff - Appellant, v. GIANT OF MARYLAND, LLC, Defendant - Appellee, and THE STOP &amp; SHOP SUPERMARKET COMPANY LLC; BILL HOLMES, Defendants.</w:t>
      </w:r>
    </w:p>
    <w:p w14:paraId="53DD90E7" w14:textId="77777777" w:rsidR="00D041A2" w:rsidRDefault="00000000">
      <w:pPr>
        <w:pStyle w:val="Normal41"/>
        <w:widowControl w:val="0"/>
        <w:spacing w:before="240" w:line="260" w:lineRule="atLeast"/>
        <w:jc w:val="both"/>
      </w:pPr>
      <w:bookmarkStart w:id="5558" w:name="Notice_25"/>
      <w:bookmarkEnd w:id="5558"/>
      <w:r>
        <w:rPr>
          <w:rFonts w:ascii="Arial" w:eastAsia="Arial" w:hAnsi="Arial" w:cs="Arial"/>
          <w:b/>
          <w:color w:val="000000"/>
          <w:sz w:val="20"/>
        </w:rPr>
        <w:t>Notice:</w:t>
      </w:r>
      <w:r>
        <w:rPr>
          <w:rFonts w:ascii="Arial" w:eastAsia="Arial" w:hAnsi="Arial" w:cs="Arial"/>
          <w:color w:val="000000"/>
          <w:sz w:val="20"/>
        </w:rPr>
        <w:t> </w:t>
      </w:r>
      <w:bookmarkStart w:id="5559" w:name="Bookmark_para_1_40"/>
      <w:bookmarkEnd w:id="5559"/>
      <w:r>
        <w:rPr>
          <w:rFonts w:ascii="Arial" w:eastAsia="Arial" w:hAnsi="Arial" w:cs="Arial"/>
          <w:color w:val="000000"/>
          <w:sz w:val="20"/>
        </w:rPr>
        <w:t>PLEASE REFER TO FEDERAL RULES OF APPELLATE PROCEDURE RULE 32.1 GOVERNING THE CITATION TO UNPUBLISHED OPINIONS.</w:t>
      </w:r>
    </w:p>
    <w:p w14:paraId="760CDFCE" w14:textId="77777777" w:rsidR="00D041A2" w:rsidRDefault="00000000">
      <w:pPr>
        <w:pStyle w:val="Normal41"/>
        <w:widowControl w:val="0"/>
        <w:spacing w:before="240" w:line="260" w:lineRule="atLeast"/>
        <w:jc w:val="both"/>
      </w:pPr>
      <w:bookmarkStart w:id="5560" w:name="Prior_History_40"/>
      <w:bookmarkEnd w:id="5560"/>
      <w:r>
        <w:rPr>
          <w:rFonts w:ascii="Arial" w:eastAsia="Arial" w:hAnsi="Arial" w:cs="Arial"/>
          <w:b/>
          <w:color w:val="000000"/>
          <w:sz w:val="20"/>
        </w:rPr>
        <w:t>Prior History:</w:t>
      </w:r>
      <w:r>
        <w:rPr>
          <w:rFonts w:ascii="Arial" w:eastAsia="Arial" w:hAnsi="Arial" w:cs="Arial"/>
          <w:color w:val="000000"/>
          <w:sz w:val="20"/>
        </w:rPr>
        <w:t>  [**1] </w:t>
      </w:r>
      <w:bookmarkStart w:id="5561" w:name="Bookmark_para_2_40"/>
      <w:bookmarkEnd w:id="5561"/>
      <w:r>
        <w:rPr>
          <w:rFonts w:ascii="Arial" w:eastAsia="Arial" w:hAnsi="Arial" w:cs="Arial"/>
          <w:color w:val="000000"/>
          <w:sz w:val="20"/>
        </w:rPr>
        <w:t>Appeal from the United States District Court for the District of Maryland, at Greenbelt. Peter J. Messitte, Senior District Judge. (8:07-cv-01995-PJM).</w:t>
      </w:r>
    </w:p>
    <w:p w14:paraId="66F2E5A2" w14:textId="77777777" w:rsidR="00D041A2" w:rsidRDefault="00000000">
      <w:pPr>
        <w:pStyle w:val="Normal41"/>
        <w:widowControl w:val="0"/>
        <w:spacing w:before="240" w:line="260" w:lineRule="atLeast"/>
        <w:jc w:val="both"/>
      </w:pPr>
      <w:bookmarkStart w:id="5562" w:name="Disposition_13"/>
      <w:bookmarkEnd w:id="5562"/>
      <w:r>
        <w:rPr>
          <w:rFonts w:ascii="Arial" w:eastAsia="Arial" w:hAnsi="Arial" w:cs="Arial"/>
          <w:b/>
          <w:color w:val="000000"/>
          <w:sz w:val="20"/>
        </w:rPr>
        <w:t>Disposition:</w:t>
      </w:r>
      <w:r>
        <w:rPr>
          <w:rFonts w:ascii="Arial" w:eastAsia="Arial" w:hAnsi="Arial" w:cs="Arial"/>
          <w:color w:val="000000"/>
          <w:sz w:val="20"/>
        </w:rPr>
        <w:t> </w:t>
      </w:r>
      <w:bookmarkStart w:id="5563" w:name="Bookmark_clspara_5_6"/>
      <w:bookmarkEnd w:id="5563"/>
      <w:r>
        <w:rPr>
          <w:rFonts w:ascii="Arial" w:eastAsia="Arial" w:hAnsi="Arial" w:cs="Arial"/>
          <w:color w:val="000000"/>
          <w:sz w:val="20"/>
        </w:rPr>
        <w:t>AFFIRMED.</w:t>
      </w:r>
    </w:p>
    <w:p w14:paraId="0F60652D" w14:textId="77777777" w:rsidR="00D041A2" w:rsidRDefault="00000000">
      <w:pPr>
        <w:pStyle w:val="Normal41"/>
        <w:widowControl w:val="0"/>
        <w:spacing w:before="240" w:line="260" w:lineRule="atLeast"/>
      </w:pPr>
      <w:bookmarkStart w:id="5564" w:name="Counsel_40"/>
      <w:bookmarkEnd w:id="5564"/>
      <w:r>
        <w:rPr>
          <w:rFonts w:ascii="Arial" w:eastAsia="Arial" w:hAnsi="Arial" w:cs="Arial"/>
          <w:b/>
          <w:color w:val="000000"/>
          <w:sz w:val="20"/>
        </w:rPr>
        <w:t>Counsel:</w:t>
      </w:r>
      <w:r>
        <w:rPr>
          <w:rFonts w:ascii="Arial" w:eastAsia="Arial" w:hAnsi="Arial" w:cs="Arial"/>
          <w:color w:val="000000"/>
          <w:sz w:val="20"/>
        </w:rPr>
        <w:t> ARGUED: Orva Lee Boothby, Washington, D.C., for Appellant.</w:t>
      </w:r>
    </w:p>
    <w:p w14:paraId="0016235A" w14:textId="77777777" w:rsidR="00D041A2" w:rsidRDefault="00000000">
      <w:pPr>
        <w:pStyle w:val="Normal41"/>
        <w:widowControl w:val="0"/>
        <w:spacing w:before="120" w:line="260" w:lineRule="atLeast"/>
      </w:pPr>
      <w:r>
        <w:rPr>
          <w:rFonts w:ascii="Arial" w:eastAsia="Arial" w:hAnsi="Arial" w:cs="Arial"/>
          <w:color w:val="000000"/>
          <w:sz w:val="20"/>
        </w:rPr>
        <w:t>Lesley Pate Marlin, VENABLE, LLP, Washington, D.C., for Appellee.</w:t>
      </w:r>
    </w:p>
    <w:p w14:paraId="6C56E96B" w14:textId="77777777" w:rsidR="00D041A2" w:rsidRDefault="00000000">
      <w:pPr>
        <w:pStyle w:val="Normal41"/>
        <w:widowControl w:val="0"/>
        <w:spacing w:before="120" w:line="260" w:lineRule="atLeast"/>
      </w:pPr>
      <w:r>
        <w:rPr>
          <w:rFonts w:ascii="Arial" w:eastAsia="Arial" w:hAnsi="Arial" w:cs="Arial"/>
          <w:color w:val="000000"/>
          <w:sz w:val="20"/>
        </w:rPr>
        <w:t>ON BRIEF: Robert G. Ames, VENABLE, LLP, Washington, D.C., for Appellee.</w:t>
      </w:r>
    </w:p>
    <w:p w14:paraId="5D4590C7" w14:textId="77777777" w:rsidR="00D041A2" w:rsidRDefault="00000000">
      <w:pPr>
        <w:pStyle w:val="Normal41"/>
        <w:widowControl w:val="0"/>
        <w:spacing w:before="240" w:line="260" w:lineRule="atLeast"/>
      </w:pPr>
      <w:bookmarkStart w:id="5565" w:name="Judges_40"/>
      <w:bookmarkEnd w:id="5565"/>
      <w:r>
        <w:rPr>
          <w:rFonts w:ascii="Arial" w:eastAsia="Arial" w:hAnsi="Arial" w:cs="Arial"/>
          <w:b/>
          <w:color w:val="000000"/>
          <w:sz w:val="20"/>
        </w:rPr>
        <w:t>Judges:</w:t>
      </w:r>
      <w:r>
        <w:rPr>
          <w:rFonts w:ascii="Arial" w:eastAsia="Arial" w:hAnsi="Arial" w:cs="Arial"/>
          <w:color w:val="000000"/>
          <w:sz w:val="20"/>
        </w:rPr>
        <w:t> Before NIEMEYER, DAVIS and KEENAN, Circuit Judges.</w:t>
      </w:r>
    </w:p>
    <w:p w14:paraId="50D000ED" w14:textId="77777777" w:rsidR="00D041A2" w:rsidRDefault="00000000">
      <w:pPr>
        <w:pStyle w:val="Normal41"/>
        <w:keepNext/>
        <w:widowControl w:val="0"/>
        <w:spacing w:before="240" w:line="340" w:lineRule="atLeast"/>
      </w:pPr>
      <w:bookmarkStart w:id="5566" w:name="Opinion_40"/>
      <w:bookmarkEnd w:id="5566"/>
      <w:r>
        <w:rPr>
          <w:rFonts w:ascii="Arial" w:eastAsia="Arial" w:hAnsi="Arial" w:cs="Arial"/>
          <w:b/>
          <w:color w:val="000000"/>
          <w:sz w:val="28"/>
        </w:rPr>
        <w:t>Opinion</w:t>
      </w:r>
    </w:p>
    <w:p w14:paraId="56C06DBF" w14:textId="23C0F6A9" w:rsidR="00D041A2" w:rsidRDefault="004D4403">
      <w:pPr>
        <w:pStyle w:val="Normal41"/>
        <w:spacing w:line="60" w:lineRule="exact"/>
      </w:pPr>
      <w:r>
        <w:rPr>
          <w:noProof/>
        </w:rPr>
        <mc:AlternateContent>
          <mc:Choice Requires="wps">
            <w:drawing>
              <wp:anchor distT="0" distB="0" distL="114300" distR="114300" simplePos="0" relativeHeight="251750400" behindDoc="0" locked="0" layoutInCell="1" allowOverlap="1" wp14:anchorId="49401BED" wp14:editId="75ADB335">
                <wp:simplePos x="0" y="0"/>
                <wp:positionH relativeFrom="column">
                  <wp:posOffset>0</wp:posOffset>
                </wp:positionH>
                <wp:positionV relativeFrom="paragraph">
                  <wp:posOffset>25400</wp:posOffset>
                </wp:positionV>
                <wp:extent cx="3187700" cy="0"/>
                <wp:effectExtent l="19050" t="15875" r="12700" b="12700"/>
                <wp:wrapTopAndBottom/>
                <wp:docPr id="859680269"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0506D" id="Line 92"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F3F1693" w14:textId="77777777" w:rsidR="00D041A2" w:rsidRDefault="00D041A2">
      <w:pPr>
        <w:pStyle w:val="Normal41"/>
      </w:pPr>
    </w:p>
    <w:p w14:paraId="2251C53E" w14:textId="77777777" w:rsidR="00D041A2" w:rsidRDefault="00000000">
      <w:pPr>
        <w:pStyle w:val="Normal41"/>
        <w:widowControl w:val="0"/>
        <w:spacing w:before="200" w:line="260" w:lineRule="atLeast"/>
        <w:jc w:val="both"/>
      </w:pPr>
      <w:bookmarkStart w:id="5567" w:name="Bookmark_para_3_40"/>
      <w:bookmarkEnd w:id="5567"/>
      <w:r>
        <w:rPr>
          <w:rFonts w:ascii="Arial" w:eastAsia="Arial" w:hAnsi="Arial" w:cs="Arial"/>
          <w:color w:val="000000"/>
          <w:sz w:val="20"/>
        </w:rPr>
        <w:t> [*264]  PER CURIAM:</w:t>
      </w:r>
    </w:p>
    <w:p w14:paraId="3608AC13" w14:textId="77777777" w:rsidR="00D041A2" w:rsidRDefault="00000000">
      <w:pPr>
        <w:pStyle w:val="Normal41"/>
        <w:widowControl w:val="0"/>
        <w:spacing w:before="200" w:line="260" w:lineRule="atLeast"/>
        <w:jc w:val="both"/>
      </w:pPr>
      <w:bookmarkStart w:id="5568" w:name="Bookmark_para_4_40"/>
      <w:bookmarkEnd w:id="5568"/>
      <w:r>
        <w:rPr>
          <w:rFonts w:ascii="Arial" w:eastAsia="Arial" w:hAnsi="Arial" w:cs="Arial"/>
          <w:color w:val="000000"/>
          <w:sz w:val="20"/>
        </w:rPr>
        <w:t xml:space="preserve">James Schneider ("Schneider"), who suffers from Type 1 diabetes, sued Giant of Maryland, LLC ("Giant"), under the Americans with Disabilities Act of 1990 ("ADA"), 42 U.S.C. § § 12101, </w:t>
      </w:r>
      <w:r>
        <w:rPr>
          <w:rFonts w:ascii="Arial" w:eastAsia="Arial" w:hAnsi="Arial" w:cs="Arial"/>
          <w:color w:val="000000"/>
          <w:sz w:val="20"/>
          <w:u w:val="single"/>
        </w:rPr>
        <w:t>et seq.,</w:t>
      </w:r>
      <w:r>
        <w:rPr>
          <w:rFonts w:ascii="Arial" w:eastAsia="Arial" w:hAnsi="Arial" w:cs="Arial"/>
          <w:color w:val="000000"/>
          <w:sz w:val="20"/>
        </w:rPr>
        <w:t xml:space="preserve"> alleging disability employment discrimination. The claims arose from Schneider's employment at Giant, first as a pharmacy supervisor and currently as a pharmacy manager. Specifically, Schneider claimed that Giant illegally failed to afford him reasonable accommodations when, as a result a diabetes-related blackout he experienced while driving, his driver's license was suspended, and when it refused to return him to his supervisory position after his license was reinstated. The district court granted Giant's motion for summary judgment. For the reasons stated within, we affirm.</w:t>
      </w:r>
    </w:p>
    <w:p w14:paraId="05BE127F" w14:textId="77777777" w:rsidR="00D041A2" w:rsidRDefault="00000000">
      <w:pPr>
        <w:pStyle w:val="Normal41"/>
        <w:widowControl w:val="0"/>
        <w:spacing w:before="120" w:line="260" w:lineRule="atLeast"/>
      </w:pPr>
      <w:r>
        <w:rPr>
          <w:rFonts w:ascii="Arial" w:eastAsia="Arial" w:hAnsi="Arial" w:cs="Arial"/>
          <w:color w:val="000000"/>
          <w:sz w:val="20"/>
        </w:rPr>
        <w:t>I.</w:t>
      </w:r>
    </w:p>
    <w:p w14:paraId="67D85173" w14:textId="77777777" w:rsidR="00D041A2" w:rsidRDefault="00000000">
      <w:pPr>
        <w:pStyle w:val="Normal41"/>
        <w:widowControl w:val="0"/>
        <w:spacing w:before="200" w:line="260" w:lineRule="atLeast"/>
        <w:jc w:val="both"/>
      </w:pPr>
      <w:bookmarkStart w:id="5569" w:name="Bookmark_para_5_40"/>
      <w:bookmarkEnd w:id="5569"/>
      <w:r>
        <w:rPr>
          <w:rFonts w:ascii="Arial" w:eastAsia="Arial" w:hAnsi="Arial" w:cs="Arial"/>
          <w:color w:val="000000"/>
          <w:sz w:val="20"/>
        </w:rPr>
        <w:t>Schneider  [**2] was diagnosed with Type 1 diabetes mellitus in 1963.</w:t>
      </w:r>
      <w:r>
        <w:rPr>
          <w:rFonts w:ascii="Arial" w:eastAsia="Arial" w:hAnsi="Arial" w:cs="Arial"/>
          <w:vertAlign w:val="superscript"/>
        </w:rPr>
        <w:footnoteReference w:customMarkFollows="1" w:id="264"/>
        <w:t>1</w:t>
      </w:r>
      <w:r>
        <w:rPr>
          <w:rFonts w:ascii="Arial" w:eastAsia="Arial" w:hAnsi="Arial" w:cs="Arial"/>
          <w:color w:val="000000"/>
          <w:sz w:val="20"/>
        </w:rPr>
        <w:t xml:space="preserve"> The diabetes contributes to his peripheral neuropathy, retinopathy, and foot ulcers. Schneider's diabetes has affected his ability to walk, stand, digest food, and his energy levels. Since early 2001, Schneider has suffered from foot ulcers and was advised by medical professionals to avoid weight-bearing activities. Since 2002, he has been unable to stand for long periods of time and has avoided recreational activities that require the use of his feet. Schneider currently treats his diabetes with insulin shots; he has had multiple surgeries for his foot ulcers.</w:t>
      </w:r>
    </w:p>
    <w:p w14:paraId="70B99545" w14:textId="77777777" w:rsidR="00D041A2" w:rsidRDefault="00000000">
      <w:pPr>
        <w:pStyle w:val="Normal41"/>
        <w:widowControl w:val="0"/>
        <w:spacing w:before="200" w:line="260" w:lineRule="atLeast"/>
        <w:jc w:val="both"/>
      </w:pPr>
      <w:bookmarkStart w:id="5571" w:name="Bookmark_para_6_40"/>
      <w:bookmarkEnd w:id="5571"/>
      <w:r>
        <w:rPr>
          <w:rFonts w:ascii="Arial" w:eastAsia="Arial" w:hAnsi="Arial" w:cs="Arial"/>
          <w:color w:val="000000"/>
          <w:sz w:val="20"/>
        </w:rPr>
        <w:t>Schneider began working for Giant in 1979 as a staff pharmacist. In April 2000, he was promoted to regional pharmacy supervisor. As a regional pharmacy supervisor, Schneider was responsible for all of the pharmacies in a district; among other responsibilities, his duties included making sure that the pharmacies complied with state and federal law, maintaining inventory and proper records, maintaining proper staff levels, and ensuring knowledge  [*265]  of pharmacy regulations. Regional pharmacy supervisors were also responsible for the day-to-day operations of the pharmacy departments in various stores, including but not limited to hiring and firing personnel, budgeting, and inventory. In carrying out these duties, the pharmacy supervisor is required to travel — usually by driving — from store-to-store within the specified district. Schneider was also required to attend frequent meetings at Giant's headquarters in Landover, Maryland. Although the position of pharmacy supervisor involved considerable travel, many of the major duties required by the position, and perhaps a majority of them, could be completed in an office. At the time of his promotion, Schneider's district  [**4] covered an area from southern Maryland to Fredericksburg, Virginia.</w:t>
      </w:r>
    </w:p>
    <w:p w14:paraId="1AA078DF" w14:textId="77777777" w:rsidR="00D041A2" w:rsidRDefault="00000000">
      <w:pPr>
        <w:pStyle w:val="Normal41"/>
        <w:widowControl w:val="0"/>
        <w:spacing w:before="200" w:line="260" w:lineRule="atLeast"/>
        <w:jc w:val="both"/>
      </w:pPr>
      <w:bookmarkStart w:id="5572" w:name="Bookmark_para_7_40"/>
      <w:bookmarkEnd w:id="5572"/>
      <w:r>
        <w:rPr>
          <w:rFonts w:ascii="Arial" w:eastAsia="Arial" w:hAnsi="Arial" w:cs="Arial"/>
          <w:color w:val="000000"/>
          <w:sz w:val="20"/>
        </w:rPr>
        <w:t>On June 2, 2005, Schneider was involved in a car accident when he blacked out while driving in Virginia during work hours. At the hospital, it was determined he had had a hypoglycemic reaction, a not uncommon occurrence among patients with diabetes.</w:t>
      </w:r>
      <w:r>
        <w:rPr>
          <w:rFonts w:ascii="Arial" w:eastAsia="Arial" w:hAnsi="Arial" w:cs="Arial"/>
          <w:vertAlign w:val="superscript"/>
        </w:rPr>
        <w:footnoteReference w:customMarkFollows="1" w:id="265"/>
        <w:t>2</w:t>
      </w:r>
      <w:r>
        <w:rPr>
          <w:rFonts w:ascii="Arial" w:eastAsia="Arial" w:hAnsi="Arial" w:cs="Arial"/>
          <w:color w:val="000000"/>
          <w:sz w:val="20"/>
        </w:rPr>
        <w:t xml:space="preserve"> On July 7, 2005, the Virginia Department of Motor Vehicles ("the DMV") notified Schneider that he was required to complete a medical report, and on August 12, 2005, the DMV notified him that his driving privileges would be suspended for at least six months in accordance with the DMV's Seizure/Blackout policy.</w:t>
      </w:r>
    </w:p>
    <w:p w14:paraId="1949BFC8" w14:textId="77777777" w:rsidR="00D041A2" w:rsidRDefault="00000000">
      <w:pPr>
        <w:pStyle w:val="Normal41"/>
        <w:widowControl w:val="0"/>
        <w:spacing w:before="200" w:line="260" w:lineRule="atLeast"/>
        <w:jc w:val="both"/>
      </w:pPr>
      <w:bookmarkStart w:id="5574" w:name="Bookmark_para_8_39"/>
      <w:bookmarkEnd w:id="5574"/>
      <w:r>
        <w:rPr>
          <w:rFonts w:ascii="Arial" w:eastAsia="Arial" w:hAnsi="Arial" w:cs="Arial"/>
          <w:color w:val="000000"/>
          <w:sz w:val="20"/>
        </w:rPr>
        <w:t>On August 14, 2005, Schneider informed Russell  [**5] Fair ("Fair"), his supervisor, of the suspension of his driving privileges at a meeting at the Landover headquarters (but not of the reason for the suspension). Schneider drove to Landover with another pharmacy supervisor, John Colella ("Colella") and during the drive to the meeting, Colella offered to take responsibility for the stores that were farther away from Schneider's home and for Schneider to take over the stores that were closer to his residence. At the meeting with Fair and Colella, Schneider suggested that he could keep his supervisory position during the period of his license suspension by having one of his family members drive him to a store, and then taking taxis from store-to-store to carry out his responsibilities. He offered to pay the cab fare and to seek reimbursement only for mileage, as he did before the license suspension. Schneider also proposed that: (1) as Colella had agreed to switch stores with him, he could assume responsibility for all the central Virginia stores, thus narrowing his area of travel; and (2) he would work nights and weekends, when his family members could drive him from store-to-store. In this case, Schneider asserts the proposals he offered  [**6] during this meeting constituted a request for reasonable accommodation under the ADA.</w:t>
      </w:r>
    </w:p>
    <w:p w14:paraId="3D4F1B0C" w14:textId="77777777" w:rsidR="00D041A2" w:rsidRDefault="00000000">
      <w:pPr>
        <w:pStyle w:val="Normal41"/>
        <w:widowControl w:val="0"/>
        <w:spacing w:before="200" w:line="260" w:lineRule="atLeast"/>
        <w:jc w:val="both"/>
      </w:pPr>
      <w:bookmarkStart w:id="5575" w:name="Bookmark_para_9_37"/>
      <w:bookmarkEnd w:id="5575"/>
      <w:r>
        <w:rPr>
          <w:rFonts w:ascii="Arial" w:eastAsia="Arial" w:hAnsi="Arial" w:cs="Arial"/>
          <w:color w:val="000000"/>
          <w:sz w:val="20"/>
        </w:rPr>
        <w:t>Fair told Schneider that his proposed alternatives were not acceptable, would not work, and would not be approved. Ultimately, Schneider and Fair agreed that Schneider would be reassigned to work as a pharmacy manager at a pharmacy near his home, but with the same pay as a pharmacy supervisor. Another employee was reassigned as a pharmacy supervisor to take over Schneider's stores in an official announcement.</w:t>
      </w:r>
    </w:p>
    <w:p w14:paraId="1ECD6877" w14:textId="77777777" w:rsidR="00D041A2" w:rsidRDefault="00000000">
      <w:pPr>
        <w:pStyle w:val="Normal41"/>
        <w:widowControl w:val="0"/>
        <w:spacing w:before="200" w:line="260" w:lineRule="atLeast"/>
        <w:jc w:val="both"/>
      </w:pPr>
      <w:bookmarkStart w:id="5576" w:name="Bookmark_para_10_37"/>
      <w:bookmarkEnd w:id="5576"/>
      <w:r>
        <w:rPr>
          <w:rFonts w:ascii="Arial" w:eastAsia="Arial" w:hAnsi="Arial" w:cs="Arial"/>
          <w:color w:val="000000"/>
          <w:sz w:val="20"/>
        </w:rPr>
        <w:t> [*266]  The DMV reinstated Schneider's driving privileges on December 28, 2005. In the meantime, even before his driving privileges had been reinstated, Schneider began having increased problems with weight-bearing activities while on his feet. These problems worsened in the fall of 2005, when his doctor advised him to reduce weight-bearing activities. Unlike his position as pharmacy supervisor, Schneider's position as pharmacy manager required him to stand on his feet most of the day. In any event, it is undisputed that he never asked for any assistance in reducing the amount of time spent on his feet at work during the fall of 2005.</w:t>
      </w:r>
    </w:p>
    <w:p w14:paraId="492D4D2F" w14:textId="77777777" w:rsidR="00D041A2" w:rsidRDefault="00000000">
      <w:pPr>
        <w:pStyle w:val="Normal41"/>
        <w:widowControl w:val="0"/>
        <w:spacing w:before="200" w:line="260" w:lineRule="atLeast"/>
        <w:jc w:val="both"/>
      </w:pPr>
      <w:bookmarkStart w:id="5577" w:name="Bookmark_para_11_35"/>
      <w:bookmarkEnd w:id="5577"/>
      <w:r>
        <w:rPr>
          <w:rFonts w:ascii="Arial" w:eastAsia="Arial" w:hAnsi="Arial" w:cs="Arial"/>
          <w:color w:val="000000"/>
          <w:sz w:val="20"/>
        </w:rPr>
        <w:t>By January 2006, Schneider was in constant pain whenever he had to stand,  [**7] but continued to stand at work for long periods of time. On January 19, 2006, Schneider's friend and podiatrist, Dr. Stuart Kramer ("Dr. Kramer") sent a letter to Fair recommending that Schneider return to his previous position as a pharmacy supervisor because the change in his job position had severely exacerbated Schneider's diabetic foot problems. After Giant received the letter, Colella met with Schneider to discuss the letter and his work situation. At the meeting, Schneider told Colella that "he was fine, that he was going to be fine." J.A. 248. Schneider then had foot surgery in May 18, 2006, as a result of his exacerbated foot condition.</w:t>
      </w:r>
    </w:p>
    <w:p w14:paraId="69F6E780" w14:textId="77777777" w:rsidR="00D041A2" w:rsidRDefault="00000000">
      <w:pPr>
        <w:pStyle w:val="Normal41"/>
        <w:widowControl w:val="0"/>
        <w:spacing w:before="200" w:line="260" w:lineRule="atLeast"/>
        <w:jc w:val="both"/>
      </w:pPr>
      <w:bookmarkStart w:id="5578" w:name="Bookmark_para_12_34"/>
      <w:bookmarkEnd w:id="5578"/>
      <w:r>
        <w:rPr>
          <w:rFonts w:ascii="Arial" w:eastAsia="Arial" w:hAnsi="Arial" w:cs="Arial"/>
          <w:color w:val="000000"/>
          <w:sz w:val="20"/>
        </w:rPr>
        <w:t>On September 25, 2006, Schneider was admitted to the hospital after he blacked out at work. On October 3, 2006, Colella and Schneider had a meeting with Guy Mullins ("Mullins"), the HR representative of Giant. Mullins discussed a note from Schneider's doctor requiring limited duty and wanted to know what that meant. Schneider explained that the doctor just wanted to make sure he was able to work his shift. Mullins asked Schneider if he needed any special accommodations and Schneider replied that he was just concerned about standing on his feet  [**8] all day. Mullins replied that Giant would need a note from Schneider's doctor stating what his limited duties were, and Schneider replied he would get that note to Mullins.</w:t>
      </w:r>
    </w:p>
    <w:p w14:paraId="401C1B20" w14:textId="77777777" w:rsidR="00D041A2" w:rsidRDefault="00000000">
      <w:pPr>
        <w:pStyle w:val="Normal41"/>
        <w:widowControl w:val="0"/>
        <w:spacing w:before="120" w:line="260" w:lineRule="atLeast"/>
      </w:pPr>
      <w:r>
        <w:rPr>
          <w:rFonts w:ascii="Arial" w:eastAsia="Arial" w:hAnsi="Arial" w:cs="Arial"/>
          <w:color w:val="000000"/>
          <w:sz w:val="20"/>
        </w:rPr>
        <w:t>II.</w:t>
      </w:r>
    </w:p>
    <w:p w14:paraId="11497D9C" w14:textId="77777777" w:rsidR="00D041A2" w:rsidRDefault="00000000">
      <w:pPr>
        <w:pStyle w:val="Normal41"/>
        <w:widowControl w:val="0"/>
        <w:spacing w:before="200" w:line="260" w:lineRule="atLeast"/>
        <w:jc w:val="both"/>
      </w:pPr>
      <w:bookmarkStart w:id="5579" w:name="Bookmark_para_13_32"/>
      <w:bookmarkEnd w:id="5579"/>
      <w:r>
        <w:rPr>
          <w:rFonts w:ascii="Arial" w:eastAsia="Arial" w:hAnsi="Arial" w:cs="Arial"/>
          <w:color w:val="000000"/>
          <w:sz w:val="20"/>
        </w:rPr>
        <w:t xml:space="preserve">On July 26, 2007, Schneider filed a </w:t>
      </w:r>
      <w:r>
        <w:rPr>
          <w:rFonts w:ascii="Arial" w:eastAsia="Arial" w:hAnsi="Arial" w:cs="Arial"/>
          <w:color w:val="000000"/>
          <w:sz w:val="20"/>
          <w:u w:val="single"/>
        </w:rPr>
        <w:t>pro se</w:t>
      </w:r>
      <w:r>
        <w:rPr>
          <w:rFonts w:ascii="Arial" w:eastAsia="Arial" w:hAnsi="Arial" w:cs="Arial"/>
          <w:color w:val="000000"/>
          <w:sz w:val="20"/>
        </w:rPr>
        <w:t xml:space="preserve"> employment discrimination complaint in federal district court (misidentifying his employer as Stop &amp; Shop Supermarket Co., LLC). On March 31, 2008, Schneider, now represented by counsel, filed a second amended complaint naming the correct defendant, Giant. In the second amended complaint, Schneider asserted two claims: a state law discrimination claim and a claim that Giant had violated the ADA, 42 U.S.C. § 12101, </w:t>
      </w:r>
      <w:r>
        <w:rPr>
          <w:rFonts w:ascii="Arial" w:eastAsia="Arial" w:hAnsi="Arial" w:cs="Arial"/>
          <w:color w:val="000000"/>
          <w:sz w:val="20"/>
          <w:u w:val="single"/>
        </w:rPr>
        <w:t>et seq.,</w:t>
      </w:r>
      <w:r>
        <w:rPr>
          <w:rFonts w:ascii="Arial" w:eastAsia="Arial" w:hAnsi="Arial" w:cs="Arial"/>
          <w:color w:val="000000"/>
          <w:sz w:val="20"/>
        </w:rPr>
        <w:t xml:space="preserve"> in discriminating against Schneider and by failing and refusing to make a reasonable accommodation.</w:t>
      </w:r>
    </w:p>
    <w:p w14:paraId="4B647B20" w14:textId="77777777" w:rsidR="00D041A2" w:rsidRDefault="00000000">
      <w:pPr>
        <w:pStyle w:val="Normal41"/>
        <w:widowControl w:val="0"/>
        <w:spacing w:before="200" w:line="260" w:lineRule="atLeast"/>
        <w:jc w:val="both"/>
      </w:pPr>
      <w:bookmarkStart w:id="5580" w:name="Bookmark_para_14_28"/>
      <w:bookmarkEnd w:id="5580"/>
      <w:r>
        <w:rPr>
          <w:rFonts w:ascii="Arial" w:eastAsia="Arial" w:hAnsi="Arial" w:cs="Arial"/>
          <w:color w:val="000000"/>
          <w:sz w:val="20"/>
        </w:rPr>
        <w:t>After the completion of discovery, Giant moved for summary judgment and the district court held a hearing. Schneider withdrew his state law claim at that time, leaving only his ADA claims for consideration by the district court. At the conclusion of the hearing, the district court, ruling from the bench, granted Giant's motion for summary judgment. The district court concluded that Schneider did not project sufficient evidence to meet his burden of showing  [**9] that he had a disability cognizable under the ADA at the time he was reassigned after his driver's license was suspended. Furthermore, the district court concluded, Schneider did not communicate that he had a "disability" at that time. The district court also determined that the only accommodation sought by Schneider at the time his driving privileges were restored (and after his condition had worsened) was a request for a transfer to his prior supervisory position, which, having  [*267]  been filled by another employee, Giant had no obligation to grant under the ADA.</w:t>
      </w:r>
    </w:p>
    <w:p w14:paraId="68D44FF7" w14:textId="77777777" w:rsidR="00D041A2" w:rsidRDefault="00000000">
      <w:pPr>
        <w:pStyle w:val="Normal41"/>
        <w:widowControl w:val="0"/>
        <w:spacing w:before="200" w:line="260" w:lineRule="atLeast"/>
        <w:jc w:val="both"/>
      </w:pPr>
      <w:bookmarkStart w:id="5581" w:name="Bookmark_para_15_27"/>
      <w:bookmarkEnd w:id="5581"/>
      <w:r>
        <w:rPr>
          <w:rFonts w:ascii="Arial" w:eastAsia="Arial" w:hAnsi="Arial" w:cs="Arial"/>
          <w:color w:val="000000"/>
          <w:sz w:val="20"/>
        </w:rPr>
        <w:t>Schneider has timely appealed from the district court's adverse judgment.</w:t>
      </w:r>
    </w:p>
    <w:p w14:paraId="340CB2AA" w14:textId="77777777" w:rsidR="00D041A2" w:rsidRDefault="00000000">
      <w:pPr>
        <w:pStyle w:val="Normal41"/>
        <w:widowControl w:val="0"/>
        <w:spacing w:before="120" w:line="260" w:lineRule="atLeast"/>
      </w:pPr>
      <w:r>
        <w:rPr>
          <w:rFonts w:ascii="Arial" w:eastAsia="Arial" w:hAnsi="Arial" w:cs="Arial"/>
          <w:color w:val="000000"/>
          <w:sz w:val="20"/>
        </w:rPr>
        <w:t>III.</w:t>
      </w:r>
    </w:p>
    <w:p w14:paraId="662EE7DE" w14:textId="77777777" w:rsidR="00D041A2" w:rsidRDefault="00000000">
      <w:pPr>
        <w:pStyle w:val="Normal41"/>
        <w:widowControl w:val="0"/>
        <w:spacing w:before="120" w:line="260" w:lineRule="atLeast"/>
      </w:pPr>
      <w:r>
        <w:rPr>
          <w:rFonts w:ascii="Arial" w:eastAsia="Arial" w:hAnsi="Arial" w:cs="Arial"/>
          <w:color w:val="000000"/>
          <w:sz w:val="20"/>
        </w:rPr>
        <w:t>A.</w:t>
      </w:r>
    </w:p>
    <w:p w14:paraId="30820DC2" w14:textId="77777777" w:rsidR="00D041A2" w:rsidRDefault="00000000">
      <w:pPr>
        <w:pStyle w:val="Normal41"/>
        <w:widowControl w:val="0"/>
        <w:spacing w:before="200" w:line="260" w:lineRule="atLeast"/>
        <w:jc w:val="both"/>
      </w:pPr>
      <w:bookmarkStart w:id="5582" w:name="Bookmark_para_16_26"/>
      <w:bookmarkStart w:id="5583" w:name="Bookmark_I50TB8NR0K1MNJ2CT0000400"/>
      <w:bookmarkStart w:id="5584" w:name="Bookmark_I50TB8NR0K1MNJ2CW0000400"/>
      <w:bookmarkStart w:id="5585" w:name="Bookmark_LNHNREFclscc1_30"/>
      <w:bookmarkEnd w:id="5582"/>
      <w:bookmarkEnd w:id="5583"/>
      <w:bookmarkEnd w:id="5584"/>
      <w:bookmarkEnd w:id="5585"/>
      <w:r>
        <w:rPr>
          <w:rFonts w:ascii="Arial" w:eastAsia="Arial" w:hAnsi="Arial" w:cs="Arial"/>
          <w:color w:val="000000"/>
          <w:sz w:val="20"/>
        </w:rPr>
        <w:t xml:space="preserve">We review the district court's grant of summary judgment </w:t>
      </w:r>
      <w:r>
        <w:rPr>
          <w:rFonts w:ascii="Arial" w:eastAsia="Arial" w:hAnsi="Arial" w:cs="Arial"/>
          <w:color w:val="000000"/>
          <w:sz w:val="20"/>
          <w:u w:val="single"/>
        </w:rPr>
        <w:t>de novo,</w:t>
      </w:r>
      <w:r>
        <w:rPr>
          <w:rFonts w:ascii="Arial" w:eastAsia="Arial" w:hAnsi="Arial" w:cs="Arial"/>
          <w:color w:val="000000"/>
          <w:sz w:val="20"/>
        </w:rPr>
        <w:t xml:space="preserve"> viewing the facts in the light most favorable to the non-movant. </w:t>
      </w:r>
      <w:bookmarkStart w:id="5586" w:name="Bookmark_I50TB8NR0K1MNJ2CS0000400"/>
      <w:bookmarkEnd w:id="5586"/>
      <w:r>
        <w:rPr>
          <w:rFonts w:ascii="Arial" w:eastAsia="Arial" w:hAnsi="Arial" w:cs="Arial"/>
          <w:color w:val="000000"/>
          <w:sz w:val="20"/>
          <w:u w:val="single"/>
        </w:rPr>
        <w:t>Waller ex rel. Estate of Hunt v. Danville, VA,</w:t>
      </w:r>
      <w:r>
        <w:rPr>
          <w:rFonts w:ascii="Arial" w:eastAsia="Arial" w:hAnsi="Arial" w:cs="Arial"/>
          <w:color w:val="000000"/>
          <w:sz w:val="20"/>
        </w:rPr>
        <w:t xml:space="preserve"> 556 F.3d 171, 174 (4th Cir. 2009). </w:t>
      </w:r>
      <w:bookmarkStart w:id="5587" w:name="Bookmark_LNHNREFclscc2_30"/>
      <w:bookmarkEnd w:id="5587"/>
      <w:r>
        <w:rPr>
          <w:rFonts w:ascii="Arial" w:eastAsia="Arial" w:hAnsi="Arial" w:cs="Arial"/>
          <w:color w:val="000000"/>
          <w:sz w:val="20"/>
        </w:rPr>
        <w:t xml:space="preserve">Summary judgment is not appropriate unless "the pleadings, depositions, answers to interrogatories, and admissions on file, together with the affidavits, if any, show that there is no genuine issue as to any material fact and that the moving party is entitled to a judgment as a matter of law." Fed. R. Civ. P. 56(c); </w:t>
      </w:r>
      <w:bookmarkStart w:id="5588" w:name="Bookmark_I50TB8NR0K1MNJ2CV0000400"/>
      <w:bookmarkEnd w:id="5588"/>
      <w:r>
        <w:rPr>
          <w:rFonts w:ascii="Arial" w:eastAsia="Arial" w:hAnsi="Arial" w:cs="Arial"/>
          <w:color w:val="000000"/>
          <w:sz w:val="20"/>
          <w:u w:val="single"/>
        </w:rPr>
        <w:t>Celotex Corp. v. Catrett,</w:t>
      </w:r>
      <w:r>
        <w:rPr>
          <w:rFonts w:ascii="Arial" w:eastAsia="Arial" w:hAnsi="Arial" w:cs="Arial"/>
          <w:color w:val="000000"/>
          <w:sz w:val="20"/>
        </w:rPr>
        <w:t xml:space="preserve"> 477 U.S. 317, 322, 106 S. Ct. 2548, 91 L. Ed. 2d 265 (1986).</w:t>
      </w:r>
    </w:p>
    <w:p w14:paraId="0856AAB7" w14:textId="77777777" w:rsidR="00D041A2" w:rsidRDefault="00000000">
      <w:pPr>
        <w:pStyle w:val="Normal41"/>
        <w:widowControl w:val="0"/>
        <w:spacing w:before="120" w:line="260" w:lineRule="atLeast"/>
      </w:pPr>
      <w:r>
        <w:rPr>
          <w:rFonts w:ascii="Arial" w:eastAsia="Arial" w:hAnsi="Arial" w:cs="Arial"/>
          <w:color w:val="000000"/>
          <w:sz w:val="20"/>
        </w:rPr>
        <w:t>B.</w:t>
      </w:r>
    </w:p>
    <w:p w14:paraId="7FDFDCC8" w14:textId="77777777" w:rsidR="00D041A2" w:rsidRDefault="00000000">
      <w:pPr>
        <w:pStyle w:val="Normal41"/>
        <w:widowControl w:val="0"/>
        <w:spacing w:before="200" w:line="260" w:lineRule="atLeast"/>
        <w:jc w:val="both"/>
      </w:pPr>
      <w:bookmarkStart w:id="5589" w:name="Bookmark_para_17_25"/>
      <w:bookmarkStart w:id="5590" w:name="Bookmark_LNHNREFclscc3_28"/>
      <w:bookmarkEnd w:id="5589"/>
      <w:bookmarkEnd w:id="5590"/>
      <w:r>
        <w:rPr>
          <w:rFonts w:ascii="Arial" w:eastAsia="Arial" w:hAnsi="Arial" w:cs="Arial"/>
          <w:color w:val="000000"/>
          <w:sz w:val="20"/>
        </w:rPr>
        <w:t>The  [**10] Americans with Disabilities Act of 1990</w:t>
      </w:r>
      <w:r>
        <w:rPr>
          <w:rFonts w:ascii="Arial" w:eastAsia="Arial" w:hAnsi="Arial" w:cs="Arial"/>
          <w:vertAlign w:val="superscript"/>
        </w:rPr>
        <w:footnoteReference w:customMarkFollows="1" w:id="266"/>
        <w:t>3</w:t>
      </w:r>
      <w:r>
        <w:rPr>
          <w:rFonts w:ascii="Arial" w:eastAsia="Arial" w:hAnsi="Arial" w:cs="Arial"/>
          <w:color w:val="000000"/>
          <w:sz w:val="20"/>
        </w:rPr>
        <w:t xml:space="preserve">, 104 Stat. 328, 42 U.S.C. § 12101 et seq., prohibits discrimination by covered entities, including private employers, against qualified individuals with a disability. </w:t>
      </w:r>
      <w:bookmarkStart w:id="5595" w:name="Bookmark_LNHNREFclscc4_27"/>
      <w:bookmarkEnd w:id="5595"/>
      <w:r>
        <w:rPr>
          <w:rFonts w:ascii="Arial" w:eastAsia="Arial" w:hAnsi="Arial" w:cs="Arial"/>
          <w:color w:val="000000"/>
          <w:sz w:val="20"/>
        </w:rPr>
        <w:t>Under the Act, "disability" is defined as:</w:t>
      </w:r>
    </w:p>
    <w:p w14:paraId="4A25EE99" w14:textId="77777777" w:rsidR="00D041A2" w:rsidRDefault="00000000">
      <w:pPr>
        <w:pStyle w:val="Normal41"/>
        <w:widowControl w:val="0"/>
        <w:spacing w:line="260" w:lineRule="atLeast"/>
        <w:ind w:left="400"/>
        <w:jc w:val="both"/>
      </w:pPr>
      <w:bookmarkStart w:id="5596" w:name="Bookmark_para_18_23"/>
      <w:bookmarkEnd w:id="5596"/>
      <w:r>
        <w:rPr>
          <w:rFonts w:ascii="Arial" w:eastAsia="Arial" w:hAnsi="Arial" w:cs="Arial"/>
          <w:color w:val="000000"/>
          <w:sz w:val="20"/>
        </w:rPr>
        <w:t>(A) a physical or mental impairment that substantially limits one or more of the major life activities of such individual;</w:t>
      </w:r>
    </w:p>
    <w:p w14:paraId="2C3F4CDC" w14:textId="77777777" w:rsidR="00D041A2" w:rsidRDefault="00000000">
      <w:pPr>
        <w:pStyle w:val="Normal41"/>
        <w:widowControl w:val="0"/>
        <w:spacing w:line="260" w:lineRule="atLeast"/>
        <w:ind w:left="400"/>
        <w:jc w:val="both"/>
      </w:pPr>
      <w:bookmarkStart w:id="5597" w:name="Bookmark_para_19_23"/>
      <w:bookmarkEnd w:id="5597"/>
      <w:r>
        <w:rPr>
          <w:rFonts w:ascii="Arial" w:eastAsia="Arial" w:hAnsi="Arial" w:cs="Arial"/>
          <w:color w:val="000000"/>
          <w:sz w:val="20"/>
        </w:rPr>
        <w:t>(B) a record of such an impairment; or</w:t>
      </w:r>
    </w:p>
    <w:p w14:paraId="13744F45" w14:textId="77777777" w:rsidR="00D041A2" w:rsidRDefault="00000000">
      <w:pPr>
        <w:pStyle w:val="Normal41"/>
        <w:widowControl w:val="0"/>
        <w:spacing w:line="260" w:lineRule="atLeast"/>
        <w:ind w:left="400"/>
        <w:jc w:val="both"/>
      </w:pPr>
      <w:bookmarkStart w:id="5598" w:name="Bookmark_para_20_23"/>
      <w:bookmarkEnd w:id="5598"/>
      <w:r>
        <w:rPr>
          <w:rFonts w:ascii="Arial" w:eastAsia="Arial" w:hAnsi="Arial" w:cs="Arial"/>
          <w:color w:val="000000"/>
          <w:sz w:val="20"/>
        </w:rPr>
        <w:t>(C) being regarded as having such an impairment.</w:t>
      </w:r>
    </w:p>
    <w:p w14:paraId="7011B825" w14:textId="77777777" w:rsidR="00D041A2" w:rsidRDefault="00000000">
      <w:pPr>
        <w:pStyle w:val="Normal41"/>
        <w:widowControl w:val="0"/>
        <w:spacing w:before="200" w:line="260" w:lineRule="atLeast"/>
        <w:jc w:val="both"/>
      </w:pPr>
      <w:bookmarkStart w:id="5599" w:name="Bookmark_para_21_23"/>
      <w:bookmarkEnd w:id="5599"/>
      <w:r>
        <w:rPr>
          <w:rFonts w:ascii="Arial" w:eastAsia="Arial" w:hAnsi="Arial" w:cs="Arial"/>
          <w:color w:val="000000"/>
          <w:sz w:val="20"/>
        </w:rPr>
        <w:t xml:space="preserve">42 U.S.C. § 12102(2). </w:t>
      </w:r>
      <w:bookmarkStart w:id="5600" w:name="Bookmark_LNHNREFclscc5_27"/>
      <w:bookmarkEnd w:id="5600"/>
      <w:r>
        <w:rPr>
          <w:rFonts w:ascii="Arial" w:eastAsia="Arial" w:hAnsi="Arial" w:cs="Arial"/>
          <w:color w:val="000000"/>
          <w:sz w:val="20"/>
        </w:rPr>
        <w:t xml:space="preserve">Discrimination under the ADA includes a failure to make "reasonable accommodations to the known physical or mental limitations of an otherwise qualified individual with a disability who is an applicant or employee" </w:t>
      </w:r>
      <w:r>
        <w:rPr>
          <w:rFonts w:ascii="Arial" w:eastAsia="Arial" w:hAnsi="Arial" w:cs="Arial"/>
          <w:color w:val="000000"/>
          <w:sz w:val="20"/>
          <w:u w:val="single"/>
        </w:rPr>
        <w:t>id.</w:t>
      </w:r>
      <w:r>
        <w:rPr>
          <w:rFonts w:ascii="Arial" w:eastAsia="Arial" w:hAnsi="Arial" w:cs="Arial"/>
          <w:color w:val="000000"/>
          <w:sz w:val="20"/>
        </w:rPr>
        <w:t xml:space="preserve"> § 12112(b)(5)(A), and "denying employment opportunities to a job applicant or employee" where the denial of the employment opportunity is based on the need "to make reasonable accommodation," </w:t>
      </w:r>
      <w:r>
        <w:rPr>
          <w:rFonts w:ascii="Arial" w:eastAsia="Arial" w:hAnsi="Arial" w:cs="Arial"/>
          <w:color w:val="000000"/>
          <w:sz w:val="20"/>
          <w:u w:val="single"/>
        </w:rPr>
        <w:t>id.</w:t>
      </w:r>
      <w:r>
        <w:rPr>
          <w:rFonts w:ascii="Arial" w:eastAsia="Arial" w:hAnsi="Arial" w:cs="Arial"/>
          <w:color w:val="000000"/>
          <w:sz w:val="20"/>
        </w:rPr>
        <w:t xml:space="preserve"> § 12112(b)(5)(B).</w:t>
      </w:r>
    </w:p>
    <w:p w14:paraId="72D2587A" w14:textId="77777777" w:rsidR="00D041A2" w:rsidRDefault="00000000">
      <w:pPr>
        <w:pStyle w:val="Normal41"/>
        <w:widowControl w:val="0"/>
        <w:spacing w:before="200" w:line="260" w:lineRule="atLeast"/>
        <w:jc w:val="both"/>
      </w:pPr>
      <w:bookmarkStart w:id="5601" w:name="Bookmark_para_22_23"/>
      <w:bookmarkStart w:id="5602" w:name="Bookmark_I4FY6W4HD0G00005MPG000NW"/>
      <w:bookmarkStart w:id="5603" w:name="Bookmark_I4FY6W4HHBC00005MPG000NX"/>
      <w:bookmarkStart w:id="5604" w:name="Bookmark_I50TB8NR0K1MNJ2DM0000400"/>
      <w:bookmarkStart w:id="5605" w:name="Bookmark_LNHNREFclscc6_27"/>
      <w:bookmarkEnd w:id="5601"/>
      <w:bookmarkEnd w:id="5602"/>
      <w:bookmarkEnd w:id="5603"/>
      <w:bookmarkEnd w:id="5604"/>
      <w:bookmarkEnd w:id="5605"/>
      <w:r>
        <w:rPr>
          <w:rFonts w:ascii="Arial" w:eastAsia="Arial" w:hAnsi="Arial" w:cs="Arial"/>
          <w:color w:val="000000"/>
          <w:sz w:val="20"/>
        </w:rPr>
        <w:t xml:space="preserve">In a failure to accommodate case, the plaintiff must show "(1) that he was an individual who had a disability within the meaning of the statute; (2) that the [employer] had notice of his disability; (3) that with reasonable accommodation he could perform the essential functions of the position . . .; and (4) that the [employer] refused to make such accommodations." </w:t>
      </w:r>
      <w:bookmarkStart w:id="5606" w:name="Bookmark_I50TB8NR0K1MNJ2DK0000400"/>
      <w:bookmarkEnd w:id="5606"/>
      <w:r>
        <w:rPr>
          <w:rFonts w:ascii="Arial" w:eastAsia="Arial" w:hAnsi="Arial" w:cs="Arial"/>
          <w:color w:val="000000"/>
          <w:sz w:val="20"/>
          <w:u w:val="single"/>
        </w:rPr>
        <w:t>Rhoads v. F.D.I.C.,</w:t>
      </w:r>
      <w:r>
        <w:rPr>
          <w:rFonts w:ascii="Arial" w:eastAsia="Arial" w:hAnsi="Arial" w:cs="Arial"/>
          <w:color w:val="000000"/>
          <w:sz w:val="20"/>
        </w:rPr>
        <w:t xml:space="preserve"> 257 F.3d 373, 387 n. 11 (4th Cir. 2001) (quoting </w:t>
      </w:r>
      <w:bookmarkStart w:id="5607" w:name="Bookmark_I50TB8NR0K1MNJ2J70000400"/>
      <w:bookmarkEnd w:id="5607"/>
      <w:r>
        <w:rPr>
          <w:rFonts w:ascii="Arial" w:eastAsia="Arial" w:hAnsi="Arial" w:cs="Arial"/>
          <w:color w:val="000000"/>
          <w:sz w:val="20"/>
          <w:u w:val="single"/>
        </w:rPr>
        <w:t>Mitchell v. Washingtonville Cent. Sch. Dist.,</w:t>
      </w:r>
      <w:r>
        <w:rPr>
          <w:rFonts w:ascii="Arial" w:eastAsia="Arial" w:hAnsi="Arial" w:cs="Arial"/>
          <w:color w:val="000000"/>
          <w:sz w:val="20"/>
        </w:rPr>
        <w:t xml:space="preserve"> 190 F.3d 1, 6 (2d Cir. 1999)).</w:t>
      </w:r>
    </w:p>
    <w:p w14:paraId="0A993609" w14:textId="77777777" w:rsidR="00D041A2" w:rsidRDefault="00000000">
      <w:pPr>
        <w:pStyle w:val="Normal41"/>
        <w:widowControl w:val="0"/>
        <w:spacing w:before="200" w:line="260" w:lineRule="atLeast"/>
        <w:jc w:val="both"/>
      </w:pPr>
      <w:bookmarkStart w:id="5608" w:name="Bookmark_para_23_22"/>
      <w:bookmarkStart w:id="5609" w:name="Bookmark_I50TB8NR0K1MNJ2JB0000400"/>
      <w:bookmarkStart w:id="5610" w:name="Bookmark_LNHNREFclscc7_26"/>
      <w:bookmarkEnd w:id="5608"/>
      <w:bookmarkEnd w:id="5609"/>
      <w:bookmarkEnd w:id="5610"/>
      <w:r>
        <w:rPr>
          <w:rFonts w:ascii="Arial" w:eastAsia="Arial" w:hAnsi="Arial" w:cs="Arial"/>
          <w:color w:val="000000"/>
          <w:sz w:val="20"/>
        </w:rPr>
        <w:t xml:space="preserve">To assess a claim for disability employment discrimination, the first question is whether the plaintiff is disabled and is an "otherwise qualified individual." </w:t>
      </w:r>
      <w:bookmarkStart w:id="5611" w:name="Bookmark_I50TB8NR0K1MNJ2J90000400"/>
      <w:bookmarkEnd w:id="5611"/>
      <w:r>
        <w:rPr>
          <w:rFonts w:ascii="Arial" w:eastAsia="Arial" w:hAnsi="Arial" w:cs="Arial"/>
          <w:color w:val="000000"/>
          <w:sz w:val="20"/>
          <w:u w:val="single"/>
        </w:rPr>
        <w:t>Rhoads</w:t>
      </w:r>
      <w:r>
        <w:rPr>
          <w:rFonts w:ascii="Arial" w:eastAsia="Arial" w:hAnsi="Arial" w:cs="Arial"/>
          <w:color w:val="000000"/>
          <w:sz w:val="20"/>
        </w:rPr>
        <w:t>, 257 F.3d at 387. A qualified individual with a disability is defined by the ADA as "an individual with a disability who, with or without reasonable accommodation, can perform  [**12] the essential functions of the employment position that such individuals holds or desires." 42 U.S.C. § 12111(8).</w:t>
      </w:r>
      <w:r>
        <w:rPr>
          <w:rFonts w:ascii="Arial" w:eastAsia="Arial" w:hAnsi="Arial" w:cs="Arial"/>
          <w:vertAlign w:val="superscript"/>
        </w:rPr>
        <w:footnoteReference w:customMarkFollows="1" w:id="267"/>
        <w:t>4</w:t>
      </w:r>
      <w:r>
        <w:rPr>
          <w:rFonts w:ascii="Arial" w:eastAsia="Arial" w:hAnsi="Arial" w:cs="Arial"/>
          <w:color w:val="000000"/>
          <w:sz w:val="20"/>
        </w:rPr>
        <w:t xml:space="preserve">  [*268]  In order to survive summary judgment, Schneider was required to produce evidence showing that he is both qualified and disabled.</w:t>
      </w:r>
    </w:p>
    <w:p w14:paraId="32BAB889" w14:textId="77777777" w:rsidR="00D041A2" w:rsidRDefault="00000000">
      <w:pPr>
        <w:pStyle w:val="Normal41"/>
        <w:widowControl w:val="0"/>
        <w:spacing w:before="200" w:line="260" w:lineRule="atLeast"/>
        <w:jc w:val="both"/>
      </w:pPr>
      <w:bookmarkStart w:id="5613" w:name="Bookmark_para_24_21"/>
      <w:bookmarkStart w:id="5614" w:name="Bookmark_I50TB8NR0K1MNJ2KN0000400"/>
      <w:bookmarkStart w:id="5615" w:name="Bookmark_I50TB8NR0K1MNJ2KR0000400"/>
      <w:bookmarkStart w:id="5616" w:name="Bookmark_LNHNREFclscc8_26"/>
      <w:bookmarkEnd w:id="5613"/>
      <w:bookmarkEnd w:id="5614"/>
      <w:bookmarkEnd w:id="5615"/>
      <w:bookmarkEnd w:id="5616"/>
      <w:r>
        <w:rPr>
          <w:rFonts w:ascii="Arial" w:eastAsia="Arial" w:hAnsi="Arial" w:cs="Arial"/>
          <w:color w:val="000000"/>
          <w:sz w:val="20"/>
        </w:rPr>
        <w:t xml:space="preserve">Diabetes is not per se a disability under the ADA because a "person whose physical or mental impairment is corrected by medication or other measures does  [**13] not have an impairment that presently 'substantially limits' a major life activity." </w:t>
      </w:r>
      <w:bookmarkStart w:id="5617" w:name="Bookmark_I50TB8NR0K1MNJ2JC0000400"/>
      <w:bookmarkEnd w:id="5617"/>
      <w:r>
        <w:rPr>
          <w:rFonts w:ascii="Arial" w:eastAsia="Arial" w:hAnsi="Arial" w:cs="Arial"/>
          <w:color w:val="000000"/>
          <w:sz w:val="20"/>
          <w:u w:val="single"/>
        </w:rPr>
        <w:t>Sutton v. United Air Lines, Inc.,</w:t>
      </w:r>
      <w:r>
        <w:rPr>
          <w:rFonts w:ascii="Arial" w:eastAsia="Arial" w:hAnsi="Arial" w:cs="Arial"/>
          <w:color w:val="000000"/>
          <w:sz w:val="20"/>
        </w:rPr>
        <w:t xml:space="preserve"> 527 U.S. 471, 482-83, 119 S. Ct. 2139, 144 L. Ed. 2d 450 (1999). </w:t>
      </w:r>
      <w:bookmarkStart w:id="5618" w:name="Bookmark_I50TB8NR0K1MNJ2KT0000400"/>
      <w:bookmarkEnd w:id="5618"/>
      <w:r>
        <w:rPr>
          <w:rFonts w:ascii="Arial" w:eastAsia="Arial" w:hAnsi="Arial" w:cs="Arial"/>
          <w:color w:val="000000"/>
          <w:sz w:val="20"/>
        </w:rPr>
        <w:t xml:space="preserve">Whether a person is disabled under the ADA "depends on whether the limitations an individual with an impairment </w:t>
      </w:r>
      <w:r>
        <w:rPr>
          <w:rFonts w:ascii="Arial" w:eastAsia="Arial" w:hAnsi="Arial" w:cs="Arial"/>
          <w:color w:val="000000"/>
          <w:sz w:val="20"/>
          <w:u w:val="single"/>
        </w:rPr>
        <w:t>actually</w:t>
      </w:r>
      <w:r>
        <w:rPr>
          <w:rFonts w:ascii="Arial" w:eastAsia="Arial" w:hAnsi="Arial" w:cs="Arial"/>
          <w:color w:val="000000"/>
          <w:sz w:val="20"/>
        </w:rPr>
        <w:t xml:space="preserve"> faces are in fact substantially limiting." </w:t>
      </w:r>
      <w:bookmarkStart w:id="5619" w:name="Bookmark_I50TB8NR0K1MNJ2KP0000400"/>
      <w:bookmarkEnd w:id="5619"/>
      <w:r>
        <w:rPr>
          <w:rFonts w:ascii="Arial" w:eastAsia="Arial" w:hAnsi="Arial" w:cs="Arial"/>
          <w:color w:val="000000"/>
          <w:sz w:val="20"/>
          <w:u w:val="single"/>
        </w:rPr>
        <w:t>Id.</w:t>
      </w:r>
      <w:r>
        <w:rPr>
          <w:rFonts w:ascii="Arial" w:eastAsia="Arial" w:hAnsi="Arial" w:cs="Arial"/>
          <w:color w:val="000000"/>
          <w:sz w:val="20"/>
        </w:rPr>
        <w:t xml:space="preserve"> at 488 (emphasis in original). Therefore, although Type 1 diabetes is a chronic illness, when successfully managed, it is not a disability under the ADA until it causes a substantially limiting impairment of a major life activity. </w:t>
      </w:r>
      <w:bookmarkStart w:id="5620" w:name="Bookmark_I50TB8NR0K1MNJ2KT0000400_2"/>
      <w:bookmarkEnd w:id="5620"/>
      <w:r>
        <w:rPr>
          <w:rFonts w:ascii="Arial" w:eastAsia="Arial" w:hAnsi="Arial" w:cs="Arial"/>
          <w:color w:val="000000"/>
          <w:sz w:val="20"/>
          <w:u w:val="single"/>
        </w:rPr>
        <w:t xml:space="preserve">See </w:t>
      </w:r>
      <w:bookmarkStart w:id="5621" w:name="Bookmark_I50TB8NR0K1MNJ2KS0000400"/>
      <w:bookmarkEnd w:id="5621"/>
      <w:r>
        <w:rPr>
          <w:rFonts w:ascii="Arial" w:eastAsia="Arial" w:hAnsi="Arial" w:cs="Arial"/>
          <w:color w:val="000000"/>
          <w:sz w:val="20"/>
          <w:u w:val="single"/>
        </w:rPr>
        <w:t>Kapche v. City of San Antonio,</w:t>
      </w:r>
      <w:r>
        <w:rPr>
          <w:rFonts w:ascii="Arial" w:eastAsia="Arial" w:hAnsi="Arial" w:cs="Arial"/>
          <w:color w:val="000000"/>
          <w:sz w:val="20"/>
        </w:rPr>
        <w:t xml:space="preserve"> 176 F.3d 840, 847 (5th Cir. 1999) (finding that diabetes is not per se a disability under the ADA); </w:t>
      </w:r>
      <w:bookmarkStart w:id="5622" w:name="Bookmark_I50TB8NR0K1MNJ2NH0000400"/>
      <w:bookmarkEnd w:id="5622"/>
      <w:r>
        <w:rPr>
          <w:rFonts w:ascii="Arial" w:eastAsia="Arial" w:hAnsi="Arial" w:cs="Arial"/>
          <w:color w:val="000000"/>
          <w:sz w:val="20"/>
          <w:u w:val="single"/>
        </w:rPr>
        <w:t>Baert v. Euclid Beverage, Ltd.</w:t>
      </w:r>
      <w:r>
        <w:rPr>
          <w:rFonts w:ascii="Arial" w:eastAsia="Arial" w:hAnsi="Arial" w:cs="Arial"/>
          <w:color w:val="000000"/>
          <w:sz w:val="20"/>
        </w:rPr>
        <w:t>, 149 F.3d 626, 631 (7th Cir. 1998) (same).</w:t>
      </w:r>
    </w:p>
    <w:p w14:paraId="40461B43" w14:textId="77777777" w:rsidR="00D041A2" w:rsidRDefault="00000000">
      <w:pPr>
        <w:pStyle w:val="Normal41"/>
        <w:widowControl w:val="0"/>
        <w:spacing w:before="200" w:line="260" w:lineRule="atLeast"/>
        <w:jc w:val="both"/>
      </w:pPr>
      <w:bookmarkStart w:id="5623" w:name="Bookmark_para_25_21"/>
      <w:bookmarkStart w:id="5624" w:name="Bookmark_I50TB8NR0K1MNJ2NM0000400"/>
      <w:bookmarkEnd w:id="5623"/>
      <w:bookmarkEnd w:id="5624"/>
      <w:r>
        <w:rPr>
          <w:rFonts w:ascii="Arial" w:eastAsia="Arial" w:hAnsi="Arial" w:cs="Arial"/>
          <w:color w:val="000000"/>
          <w:sz w:val="20"/>
        </w:rPr>
        <w:t>The Equal Employment Opportunity Commission ("E.E.O.C.") has promulgated regulations to implement the ADA and has provided that</w:t>
      </w:r>
      <w:bookmarkStart w:id="5625" w:name="Bookmark_LNHNREFclscc9_25"/>
      <w:bookmarkEnd w:id="5625"/>
      <w:r>
        <w:rPr>
          <w:rFonts w:ascii="Arial" w:eastAsia="Arial" w:hAnsi="Arial" w:cs="Arial"/>
          <w:color w:val="000000"/>
          <w:sz w:val="20"/>
        </w:rPr>
        <w:t xml:space="preserve"> "substantially limits" means: (i) unable to perform a major life activity that the average person in the general population can perform; or (ii) significantly restricted as to the condition, manner or duration under which an individual can perform a particular major life activity. 29 C.F.R. § 1630.2(j)(1). The regulations  [**14] also list three factors to consider when determining whether an individual is substantially limited in a major life activity: (i) the nature and severity of the impairment; (ii) the duration or expected duration of the impairment; and (iii) the permanent or long term impact, or the expected permanent or long term impact of or resulting from the impairment. 29 C.F.R. § 1630.2(j)(2). </w:t>
      </w:r>
      <w:r>
        <w:rPr>
          <w:rFonts w:ascii="Arial" w:eastAsia="Arial" w:hAnsi="Arial" w:cs="Arial"/>
          <w:color w:val="000000"/>
          <w:sz w:val="20"/>
          <w:u w:val="single"/>
        </w:rPr>
        <w:t xml:space="preserve">See </w:t>
      </w:r>
      <w:bookmarkStart w:id="5626" w:name="Bookmark_I50TB8NR0K1MNJ2NK0000400"/>
      <w:bookmarkEnd w:id="5626"/>
      <w:r>
        <w:rPr>
          <w:rFonts w:ascii="Arial" w:eastAsia="Arial" w:hAnsi="Arial" w:cs="Arial"/>
          <w:color w:val="000000"/>
          <w:sz w:val="20"/>
          <w:u w:val="single"/>
        </w:rPr>
        <w:t>Heiko v. Colombo Savings Bank, F.S.B.,</w:t>
      </w:r>
      <w:r>
        <w:rPr>
          <w:rFonts w:ascii="Arial" w:eastAsia="Arial" w:hAnsi="Arial" w:cs="Arial"/>
          <w:color w:val="000000"/>
          <w:sz w:val="20"/>
        </w:rPr>
        <w:t xml:space="preserve"> 434 F.3d 249, 256 (4th Cir. 2006) (recognizing E.E.O.C. regulations as proper authority for interpreting the ADA); </w:t>
      </w:r>
      <w:bookmarkStart w:id="5627" w:name="Bookmark_I50TB8NR0K1MNJ2NN0000400"/>
      <w:bookmarkEnd w:id="5627"/>
      <w:r>
        <w:rPr>
          <w:rFonts w:ascii="Arial" w:eastAsia="Arial" w:hAnsi="Arial" w:cs="Arial"/>
          <w:color w:val="000000"/>
          <w:sz w:val="20"/>
          <w:u w:val="single"/>
        </w:rPr>
        <w:t>Rohan v. Networks Presentations, LLC,</w:t>
      </w:r>
      <w:r>
        <w:rPr>
          <w:rFonts w:ascii="Arial" w:eastAsia="Arial" w:hAnsi="Arial" w:cs="Arial"/>
          <w:color w:val="000000"/>
          <w:sz w:val="20"/>
        </w:rPr>
        <w:t xml:space="preserve"> 375 F.3d 266, 277 (4th Cir. 2004) (same); </w:t>
      </w:r>
      <w:bookmarkStart w:id="5628" w:name="Bookmark_I50TB8NR0K1MNJ2TR0000400"/>
      <w:bookmarkEnd w:id="5628"/>
      <w:r>
        <w:rPr>
          <w:rFonts w:ascii="Arial" w:eastAsia="Arial" w:hAnsi="Arial" w:cs="Arial"/>
          <w:color w:val="000000"/>
          <w:sz w:val="20"/>
          <w:u w:val="single"/>
        </w:rPr>
        <w:t>Pollard v. High's of Baltimore, Inc.,</w:t>
      </w:r>
      <w:r>
        <w:rPr>
          <w:rFonts w:ascii="Arial" w:eastAsia="Arial" w:hAnsi="Arial" w:cs="Arial"/>
          <w:color w:val="000000"/>
          <w:sz w:val="20"/>
        </w:rPr>
        <w:t xml:space="preserve"> 281 F.3d 462, 471 (4th Cir. 2002) (same).</w:t>
      </w:r>
    </w:p>
    <w:p w14:paraId="5C90BBB8" w14:textId="77777777" w:rsidR="00D041A2" w:rsidRDefault="00000000">
      <w:pPr>
        <w:pStyle w:val="Normal41"/>
        <w:widowControl w:val="0"/>
        <w:spacing w:before="120" w:line="260" w:lineRule="atLeast"/>
      </w:pPr>
      <w:r>
        <w:rPr>
          <w:rFonts w:ascii="Arial" w:eastAsia="Arial" w:hAnsi="Arial" w:cs="Arial"/>
          <w:color w:val="000000"/>
          <w:sz w:val="20"/>
        </w:rPr>
        <w:t>C.</w:t>
      </w:r>
    </w:p>
    <w:p w14:paraId="377E6EA4" w14:textId="77777777" w:rsidR="00D041A2" w:rsidRDefault="00000000">
      <w:pPr>
        <w:pStyle w:val="Normal41"/>
        <w:widowControl w:val="0"/>
        <w:spacing w:before="200" w:line="260" w:lineRule="atLeast"/>
        <w:jc w:val="both"/>
      </w:pPr>
      <w:bookmarkStart w:id="5629" w:name="Bookmark_para_26_20"/>
      <w:bookmarkEnd w:id="5629"/>
      <w:r>
        <w:rPr>
          <w:rFonts w:ascii="Arial" w:eastAsia="Arial" w:hAnsi="Arial" w:cs="Arial"/>
          <w:color w:val="000000"/>
          <w:sz w:val="20"/>
        </w:rPr>
        <w:t>Because the analysis of whether diabetes is a qualified disability under the ADA is fact-specific, this court must analyze the evidence bearing on Schneider's diabetic condition as of August 2005, when he claims he first asked for an accommodation, and in January 2006, when he next asked for an accommodation.</w:t>
      </w:r>
    </w:p>
    <w:p w14:paraId="08675988" w14:textId="77777777" w:rsidR="00D041A2" w:rsidRDefault="00000000">
      <w:pPr>
        <w:pStyle w:val="Normal41"/>
        <w:widowControl w:val="0"/>
        <w:spacing w:before="240" w:line="260" w:lineRule="atLeast"/>
      </w:pPr>
      <w:r>
        <w:br/>
      </w:r>
      <w:r>
        <w:rPr>
          <w:rFonts w:ascii="Arial" w:eastAsia="Arial" w:hAnsi="Arial" w:cs="Arial"/>
          <w:color w:val="000000"/>
          <w:sz w:val="20"/>
          <w:u w:val="single"/>
        </w:rPr>
        <w:t>Schneider's diabetic condition in August 2005</w:t>
      </w:r>
    </w:p>
    <w:p w14:paraId="7FE2629C" w14:textId="77777777" w:rsidR="00D041A2" w:rsidRDefault="00000000">
      <w:pPr>
        <w:pStyle w:val="Normal41"/>
        <w:widowControl w:val="0"/>
        <w:spacing w:before="200" w:line="260" w:lineRule="atLeast"/>
        <w:jc w:val="both"/>
      </w:pPr>
      <w:bookmarkStart w:id="5630" w:name="Bookmark_para_27_20"/>
      <w:bookmarkEnd w:id="5630"/>
      <w:r>
        <w:rPr>
          <w:rFonts w:ascii="Arial" w:eastAsia="Arial" w:hAnsi="Arial" w:cs="Arial"/>
          <w:color w:val="000000"/>
          <w:sz w:val="20"/>
        </w:rPr>
        <w:t>We agree with the district court that Schneider failed to project probative evidence that he was disabled under the ADA in August 2005 when  [**15] he asked for an accommodation after his driver's license was suspended. Although Schneider has lived with Type 1 diabetes since his diagnosis  [*269]  in 1963, the illness did not significantly interfere with his daily life until 2001, when he began to have peripheral neuropathy, retinopathy, and chronic foot ulcers. The record shows, however, that his deteriorating condition did not affect his job performance before August 2005. Because of the nature of his job functions as a pharmacy supervisor, Schneider was still able to perform his duties without any problems.</w:t>
      </w:r>
    </w:p>
    <w:p w14:paraId="2AEE0152" w14:textId="77777777" w:rsidR="00D041A2" w:rsidRDefault="00000000">
      <w:pPr>
        <w:pStyle w:val="Normal41"/>
        <w:widowControl w:val="0"/>
        <w:spacing w:before="200" w:line="260" w:lineRule="atLeast"/>
        <w:jc w:val="both"/>
      </w:pPr>
      <w:bookmarkStart w:id="5631" w:name="Bookmark_para_28_19"/>
      <w:bookmarkStart w:id="5632" w:name="Bookmark_I50TB8NR0K1MNJ2TV0000400"/>
      <w:bookmarkEnd w:id="5631"/>
      <w:bookmarkEnd w:id="5632"/>
      <w:r>
        <w:rPr>
          <w:rFonts w:ascii="Arial" w:eastAsia="Arial" w:hAnsi="Arial" w:cs="Arial"/>
          <w:color w:val="000000"/>
          <w:sz w:val="20"/>
        </w:rPr>
        <w:t xml:space="preserve">There is no legal authority in this circuit that would support the conclusion that Schneider had a disability, as defined by the ADA, in August 2005. Although there were physical impairments that were the result of his diabetes — such as the inability to stand for long periods of time — these impairments were controlled by both medication and lifestyle choices. The Supreme Court has clarified that </w:t>
      </w:r>
      <w:bookmarkStart w:id="5633" w:name="Bookmark_LNHNREFclscc10_23"/>
      <w:bookmarkEnd w:id="5633"/>
      <w:r>
        <w:rPr>
          <w:rFonts w:ascii="Arial" w:eastAsia="Arial" w:hAnsi="Arial" w:cs="Arial"/>
          <w:color w:val="000000"/>
          <w:sz w:val="20"/>
        </w:rPr>
        <w:t xml:space="preserve">"[a] 'disability' exists only where an impairment 'substantially limits' a major life activity, not where it 'might','could', or 'would' be substantially limiting </w:t>
      </w:r>
      <w:r>
        <w:rPr>
          <w:rFonts w:ascii="Arial" w:eastAsia="Arial" w:hAnsi="Arial" w:cs="Arial"/>
          <w:color w:val="000000"/>
          <w:sz w:val="20"/>
          <w:u w:val="single"/>
        </w:rPr>
        <w:t xml:space="preserve">if mitigating measures were not taken." </w:t>
      </w:r>
      <w:bookmarkStart w:id="5634" w:name="Bookmark_I50TB8NR0K1MNJ2TT0000400"/>
      <w:bookmarkEnd w:id="5634"/>
      <w:r>
        <w:rPr>
          <w:rFonts w:ascii="Arial" w:eastAsia="Arial" w:hAnsi="Arial" w:cs="Arial"/>
          <w:color w:val="000000"/>
          <w:sz w:val="20"/>
          <w:u w:val="single"/>
        </w:rPr>
        <w:t>Sutton,</w:t>
      </w:r>
      <w:r>
        <w:rPr>
          <w:rFonts w:ascii="Arial" w:eastAsia="Arial" w:hAnsi="Arial" w:cs="Arial"/>
          <w:color w:val="000000"/>
          <w:sz w:val="20"/>
        </w:rPr>
        <w:t xml:space="preserve"> 527 U.S. at 482 (emphasis  [**16] added).</w:t>
      </w:r>
    </w:p>
    <w:p w14:paraId="07B56A01" w14:textId="77777777" w:rsidR="00D041A2" w:rsidRDefault="00000000">
      <w:pPr>
        <w:pStyle w:val="Normal41"/>
        <w:widowControl w:val="0"/>
        <w:spacing w:before="200" w:line="260" w:lineRule="atLeast"/>
        <w:jc w:val="both"/>
      </w:pPr>
      <w:bookmarkStart w:id="5635" w:name="Bookmark_para_29_18"/>
      <w:bookmarkEnd w:id="5635"/>
      <w:r>
        <w:rPr>
          <w:rFonts w:ascii="Arial" w:eastAsia="Arial" w:hAnsi="Arial" w:cs="Arial"/>
          <w:color w:val="000000"/>
          <w:sz w:val="20"/>
        </w:rPr>
        <w:t xml:space="preserve">In this case, Schneider had long been taking mitigating measures: he administered insulin injections and he would "regularly eat[] breakfast every morning and take many snacks during the day to prevent hypoglycemia during the work day." J.A. 586. </w:t>
      </w:r>
      <w:bookmarkStart w:id="5636" w:name="Bookmark_I50TB8NR0K1MNJ2V80000400"/>
      <w:bookmarkEnd w:id="5636"/>
      <w:r>
        <w:rPr>
          <w:rFonts w:ascii="Arial" w:eastAsia="Arial" w:hAnsi="Arial" w:cs="Arial"/>
          <w:color w:val="000000"/>
          <w:sz w:val="20"/>
        </w:rPr>
        <w:t xml:space="preserve">Though diabetic, Schneider was unable to show that as of August 2005, the disease had become sufficiently serious to have an effect on his major life activities. Schneider claimed that the diabetes affected his walking, standing, and digestion, but presented no evidence that those activities were substantially limited in August 2005 such that his condition became disabling within the ADA. In fact, at that time, Schneider was not yet experiencing constant pain or foot ulcers from the diabetic neuropathy. </w:t>
      </w:r>
      <w:bookmarkStart w:id="5637" w:name="Bookmark_I50TB8NR0K1MNJ2VB0000400"/>
      <w:bookmarkEnd w:id="5637"/>
      <w:r>
        <w:rPr>
          <w:rFonts w:ascii="Arial" w:eastAsia="Arial" w:hAnsi="Arial" w:cs="Arial"/>
          <w:color w:val="000000"/>
          <w:sz w:val="20"/>
          <w:u w:val="single"/>
        </w:rPr>
        <w:t xml:space="preserve">See e.g., </w:t>
      </w:r>
      <w:bookmarkStart w:id="5638" w:name="Bookmark_I50TB8NR0K1MNJ2V70000400"/>
      <w:bookmarkEnd w:id="5638"/>
      <w:r>
        <w:rPr>
          <w:rFonts w:ascii="Arial" w:eastAsia="Arial" w:hAnsi="Arial" w:cs="Arial"/>
          <w:color w:val="000000"/>
          <w:sz w:val="20"/>
          <w:u w:val="single"/>
        </w:rPr>
        <w:t>Orr v. Wal-Mart Stores, Inc.,</w:t>
      </w:r>
      <w:r>
        <w:rPr>
          <w:rFonts w:ascii="Arial" w:eastAsia="Arial" w:hAnsi="Arial" w:cs="Arial"/>
          <w:color w:val="000000"/>
          <w:sz w:val="20"/>
        </w:rPr>
        <w:t xml:space="preserve"> 297 F.3d 720, 724 (8th Cir. 2002) (finding that a diabetic plaintiff failed to show he had a disability under the ADA because he failed to explain how his diabetes substantially affected his major life activities). </w:t>
      </w:r>
      <w:bookmarkStart w:id="5639" w:name="Bookmark_I50TB8NR0K1MNJ2VB0000400_2"/>
      <w:bookmarkEnd w:id="5639"/>
      <w:r>
        <w:rPr>
          <w:rFonts w:ascii="Arial" w:eastAsia="Arial" w:hAnsi="Arial" w:cs="Arial"/>
          <w:color w:val="000000"/>
          <w:sz w:val="20"/>
        </w:rPr>
        <w:t xml:space="preserve">In short, Schneider produced no evidence that would create a genuine issue of material fact as to whether his diabetic condition constituted a disability in August 2005. </w:t>
      </w:r>
      <w:r>
        <w:rPr>
          <w:rFonts w:ascii="Arial" w:eastAsia="Arial" w:hAnsi="Arial" w:cs="Arial"/>
          <w:color w:val="000000"/>
          <w:sz w:val="20"/>
          <w:u w:val="single"/>
        </w:rPr>
        <w:t xml:space="preserve">See  [**17] e.g., </w:t>
      </w:r>
      <w:bookmarkStart w:id="5640" w:name="Bookmark_I50TB8NR0K1MNJ2V90000400"/>
      <w:bookmarkEnd w:id="5640"/>
      <w:r>
        <w:rPr>
          <w:rFonts w:ascii="Arial" w:eastAsia="Arial" w:hAnsi="Arial" w:cs="Arial"/>
          <w:color w:val="000000"/>
          <w:sz w:val="20"/>
          <w:u w:val="single"/>
        </w:rPr>
        <w:t>E.E.O.C. v. Sunbelt Rentals, Inc.,</w:t>
      </w:r>
      <w:r>
        <w:rPr>
          <w:rFonts w:ascii="Arial" w:eastAsia="Arial" w:hAnsi="Arial" w:cs="Arial"/>
          <w:color w:val="000000"/>
          <w:sz w:val="20"/>
        </w:rPr>
        <w:t xml:space="preserve"> 521 F.3d 306, 321 (4th Cir. 2008) (reversing the district court's grant of summary judgment because there was a genuine issue of material fact).</w:t>
      </w:r>
    </w:p>
    <w:p w14:paraId="55B05937" w14:textId="77777777" w:rsidR="00D041A2" w:rsidRDefault="00000000">
      <w:pPr>
        <w:pStyle w:val="Normal41"/>
        <w:widowControl w:val="0"/>
        <w:spacing w:before="200" w:line="260" w:lineRule="atLeast"/>
        <w:jc w:val="both"/>
      </w:pPr>
      <w:bookmarkStart w:id="5641" w:name="Bookmark_para_30_18"/>
      <w:bookmarkStart w:id="5642" w:name="Bookmark_I50TB8NR0K1MNJ2VS0000400"/>
      <w:bookmarkEnd w:id="5641"/>
      <w:bookmarkEnd w:id="5642"/>
      <w:r>
        <w:rPr>
          <w:rFonts w:ascii="Arial" w:eastAsia="Arial" w:hAnsi="Arial" w:cs="Arial"/>
          <w:color w:val="000000"/>
          <w:sz w:val="20"/>
        </w:rPr>
        <w:t xml:space="preserve">Furthermore, even if we were persuaded that Schneider had projected sufficient admissible evidence that he was disabled in August 2005, Schneider's claim for failure to accommodate his loss of driving privileges would fail because he </w:t>
      </w:r>
      <w:r>
        <w:rPr>
          <w:rFonts w:ascii="Arial" w:eastAsia="Arial" w:hAnsi="Arial" w:cs="Arial"/>
          <w:color w:val="000000"/>
          <w:sz w:val="20"/>
          <w:u w:val="single"/>
        </w:rPr>
        <w:t>never made the existence of any such disability known to his employer</w:t>
      </w:r>
      <w:r>
        <w:rPr>
          <w:rFonts w:ascii="Arial" w:eastAsia="Arial" w:hAnsi="Arial" w:cs="Arial"/>
          <w:color w:val="000000"/>
          <w:sz w:val="20"/>
        </w:rPr>
        <w:t xml:space="preserve"> and did not inform his employer that the reason he needed an accommodation in August 2005 was because of his diabetes. </w:t>
      </w:r>
      <w:bookmarkStart w:id="5643" w:name="Bookmark_I50TB8NR0K1MNJ2VV0000400"/>
      <w:bookmarkEnd w:id="5643"/>
      <w:r>
        <w:rPr>
          <w:rFonts w:ascii="Arial" w:eastAsia="Arial" w:hAnsi="Arial" w:cs="Arial"/>
          <w:color w:val="000000"/>
          <w:sz w:val="20"/>
        </w:rPr>
        <w:t xml:space="preserve">Unlike race or sex discrimination, </w:t>
      </w:r>
      <w:bookmarkStart w:id="5644" w:name="Bookmark_LNHNREFclscc11_20"/>
      <w:bookmarkEnd w:id="5644"/>
      <w:r>
        <w:rPr>
          <w:rFonts w:ascii="Arial" w:eastAsia="Arial" w:hAnsi="Arial" w:cs="Arial"/>
          <w:color w:val="000000"/>
          <w:sz w:val="20"/>
        </w:rPr>
        <w:t xml:space="preserve">"there are situations in alleged disability discrimination cases where an employer clearly did not know and could not have known of an employee's disability." </w:t>
      </w:r>
      <w:bookmarkStart w:id="5645" w:name="Bookmark_I50TB8NR0K1MNJ2VC0000400"/>
      <w:bookmarkEnd w:id="5645"/>
      <w:r>
        <w:rPr>
          <w:rFonts w:ascii="Arial" w:eastAsia="Arial" w:hAnsi="Arial" w:cs="Arial"/>
          <w:color w:val="000000"/>
          <w:sz w:val="20"/>
          <w:u w:val="single"/>
        </w:rPr>
        <w:t>Hedberg v. Indiana Bell Telephone Co., Inc.,</w:t>
      </w:r>
      <w:r>
        <w:rPr>
          <w:rFonts w:ascii="Arial" w:eastAsia="Arial" w:hAnsi="Arial" w:cs="Arial"/>
          <w:color w:val="000000"/>
          <w:sz w:val="20"/>
        </w:rPr>
        <w:t xml:space="preserve"> 47 F.3d 928, 932 (7th Cir. 1995). When it worsens so as to substantially limit one's major activities, diabetes is often a "hidden" or "invisible" disability — one that an employer can not easily ascertain from daily interactions with an employee. </w:t>
      </w:r>
      <w:bookmarkStart w:id="5646" w:name="Bookmark_I50TB8NR0K1MNJ2VV0000400_2"/>
      <w:bookmarkEnd w:id="5646"/>
      <w:r>
        <w:rPr>
          <w:rFonts w:ascii="Arial" w:eastAsia="Arial" w:hAnsi="Arial" w:cs="Arial"/>
          <w:color w:val="000000"/>
          <w:sz w:val="20"/>
          <w:u w:val="single"/>
        </w:rPr>
        <w:t xml:space="preserve">See also </w:t>
      </w:r>
      <w:bookmarkStart w:id="5647" w:name="Bookmark_I50TB8NR0K1MNJ2VT0000400"/>
      <w:bookmarkEnd w:id="5647"/>
      <w:r>
        <w:rPr>
          <w:rFonts w:ascii="Arial" w:eastAsia="Arial" w:hAnsi="Arial" w:cs="Arial"/>
          <w:color w:val="000000"/>
          <w:sz w:val="20"/>
          <w:u w:val="single"/>
        </w:rPr>
        <w:t>Harrison v. Benchmark Electronics Huntsville, Inc.,</w:t>
      </w:r>
      <w:r>
        <w:rPr>
          <w:rFonts w:ascii="Arial" w:eastAsia="Arial" w:hAnsi="Arial" w:cs="Arial"/>
          <w:color w:val="000000"/>
          <w:sz w:val="20"/>
        </w:rPr>
        <w:t xml:space="preserve"> 593 F.3d 1206, 1213-14 (11th Cir. 2010) (including  [**18] diabetes in the list of "so-called hidden disabilities").</w:t>
      </w:r>
    </w:p>
    <w:p w14:paraId="695B7D4D" w14:textId="77777777" w:rsidR="00D041A2" w:rsidRDefault="00000000">
      <w:pPr>
        <w:pStyle w:val="Normal41"/>
        <w:widowControl w:val="0"/>
        <w:spacing w:before="200" w:line="260" w:lineRule="atLeast"/>
        <w:jc w:val="both"/>
      </w:pPr>
      <w:bookmarkStart w:id="5648" w:name="Bookmark_para_31_17"/>
      <w:bookmarkStart w:id="5649" w:name="Bookmark_I50TB8NR0K1MNJ2VX0000400"/>
      <w:bookmarkEnd w:id="5648"/>
      <w:bookmarkEnd w:id="5649"/>
      <w:r>
        <w:rPr>
          <w:rFonts w:ascii="Arial" w:eastAsia="Arial" w:hAnsi="Arial" w:cs="Arial"/>
          <w:color w:val="000000"/>
          <w:sz w:val="20"/>
        </w:rPr>
        <w:t xml:space="preserve">Although we do not suggest that a single occurrence of a diabetes-induced black-out would render diabetes a statutorily-cognizable "disability" as a matter of law, the record shows that Giant never had notice  [*270]  of Schneider's alleged disability in August 2005 and was unaware that Schneider was asking for "reasonable accommodations" for his "disability" as those terms are used in the ADA. </w:t>
      </w:r>
      <w:bookmarkStart w:id="5650" w:name="Bookmark_LNHNREFclscc12_19"/>
      <w:bookmarkEnd w:id="5650"/>
      <w:r>
        <w:rPr>
          <w:rFonts w:ascii="Arial" w:eastAsia="Arial" w:hAnsi="Arial" w:cs="Arial"/>
          <w:color w:val="000000"/>
          <w:sz w:val="20"/>
        </w:rPr>
        <w:t xml:space="preserve">The burden to provide notice is not an onerous one: the employee does not need to mention the ADA or use the phrase "reasonable accommodation," but need only inform the employer of </w:t>
      </w:r>
      <w:r>
        <w:rPr>
          <w:rFonts w:ascii="Arial" w:eastAsia="Arial" w:hAnsi="Arial" w:cs="Arial"/>
          <w:color w:val="000000"/>
          <w:sz w:val="20"/>
          <w:u w:val="single"/>
        </w:rPr>
        <w:t>both</w:t>
      </w:r>
      <w:r>
        <w:rPr>
          <w:rFonts w:ascii="Arial" w:eastAsia="Arial" w:hAnsi="Arial" w:cs="Arial"/>
          <w:color w:val="000000"/>
          <w:sz w:val="20"/>
        </w:rPr>
        <w:t xml:space="preserve"> the disability and the employee's need for accommodations for that disability. </w:t>
      </w:r>
      <w:bookmarkStart w:id="5651" w:name="Bookmark_I50TB8NR0K1MNJ2VW0000400"/>
      <w:bookmarkEnd w:id="5651"/>
      <w:r>
        <w:rPr>
          <w:rFonts w:ascii="Arial" w:eastAsia="Arial" w:hAnsi="Arial" w:cs="Arial"/>
          <w:color w:val="000000"/>
          <w:sz w:val="20"/>
          <w:u w:val="single"/>
        </w:rPr>
        <w:t>E.E.O.C. v. Federal Express Corp.,</w:t>
      </w:r>
      <w:r>
        <w:rPr>
          <w:rFonts w:ascii="Arial" w:eastAsia="Arial" w:hAnsi="Arial" w:cs="Arial"/>
          <w:color w:val="000000"/>
          <w:sz w:val="20"/>
        </w:rPr>
        <w:t xml:space="preserve"> 513 F.3d 360, 369 (4th Cir. 2008).</w:t>
      </w:r>
    </w:p>
    <w:p w14:paraId="75E2E982" w14:textId="77777777" w:rsidR="00D041A2" w:rsidRDefault="00000000">
      <w:pPr>
        <w:pStyle w:val="Normal41"/>
        <w:widowControl w:val="0"/>
        <w:spacing w:before="200" w:line="260" w:lineRule="atLeast"/>
        <w:jc w:val="both"/>
      </w:pPr>
      <w:bookmarkStart w:id="5652" w:name="Bookmark_para_32_17"/>
      <w:bookmarkEnd w:id="5652"/>
      <w:r>
        <w:rPr>
          <w:rFonts w:ascii="Arial" w:eastAsia="Arial" w:hAnsi="Arial" w:cs="Arial"/>
          <w:color w:val="000000"/>
          <w:sz w:val="20"/>
        </w:rPr>
        <w:t>Here, Schneider conceded on deposition that he never talked to his supervisor specifically about his diabetes when seeking alternatives to driving after the DMV suspended his driver's license:</w:t>
      </w:r>
    </w:p>
    <w:p w14:paraId="1D2507B4" w14:textId="77777777" w:rsidR="00D041A2" w:rsidRDefault="00000000">
      <w:pPr>
        <w:pStyle w:val="Normal41"/>
        <w:widowControl w:val="0"/>
        <w:spacing w:line="260" w:lineRule="atLeast"/>
        <w:ind w:left="400"/>
        <w:jc w:val="both"/>
      </w:pPr>
      <w:bookmarkStart w:id="5653" w:name="Bookmark_para_33_17"/>
      <w:bookmarkEnd w:id="5653"/>
      <w:r>
        <w:rPr>
          <w:rFonts w:ascii="Arial" w:eastAsia="Arial" w:hAnsi="Arial" w:cs="Arial"/>
          <w:color w:val="000000"/>
          <w:sz w:val="20"/>
        </w:rPr>
        <w:t>Question: At any time during your conversation with Mr. Fair on August 15th, 2005, did you tell Mr. Fair that your car accident on June 2nd, 2005 was because of a hypoglycemic episode?</w:t>
      </w:r>
    </w:p>
    <w:p w14:paraId="30A55863" w14:textId="77777777" w:rsidR="00D041A2" w:rsidRDefault="00000000">
      <w:pPr>
        <w:pStyle w:val="Normal41"/>
        <w:widowControl w:val="0"/>
        <w:spacing w:before="200" w:line="260" w:lineRule="atLeast"/>
        <w:ind w:left="400"/>
        <w:jc w:val="both"/>
      </w:pPr>
      <w:bookmarkStart w:id="5654" w:name="Bookmark_para_34_17"/>
      <w:bookmarkEnd w:id="5654"/>
      <w:r>
        <w:rPr>
          <w:rFonts w:ascii="Arial" w:eastAsia="Arial" w:hAnsi="Arial" w:cs="Arial"/>
          <w:color w:val="000000"/>
          <w:sz w:val="20"/>
        </w:rPr>
        <w:t>Answer: I don't remember even discussing the  [**19] accident itself with Russ.</w:t>
      </w:r>
    </w:p>
    <w:p w14:paraId="523C9931" w14:textId="77777777" w:rsidR="00D041A2" w:rsidRDefault="00000000">
      <w:pPr>
        <w:pStyle w:val="Normal41"/>
        <w:widowControl w:val="0"/>
        <w:spacing w:line="260" w:lineRule="atLeast"/>
        <w:ind w:left="400"/>
        <w:jc w:val="both"/>
      </w:pPr>
      <w:bookmarkStart w:id="5655" w:name="Bookmark_para_35_17"/>
      <w:bookmarkEnd w:id="5655"/>
      <w:r>
        <w:rPr>
          <w:rFonts w:ascii="Arial" w:eastAsia="Arial" w:hAnsi="Arial" w:cs="Arial"/>
          <w:color w:val="000000"/>
          <w:sz w:val="20"/>
        </w:rPr>
        <w:t>Question: All you discussed was the loss of your drivers license then?</w:t>
      </w:r>
    </w:p>
    <w:p w14:paraId="79CDD4B9" w14:textId="77777777" w:rsidR="00D041A2" w:rsidRDefault="00000000">
      <w:pPr>
        <w:pStyle w:val="Normal41"/>
        <w:widowControl w:val="0"/>
        <w:spacing w:line="260" w:lineRule="atLeast"/>
        <w:ind w:left="400"/>
        <w:jc w:val="both"/>
      </w:pPr>
      <w:bookmarkStart w:id="5656" w:name="Bookmark_para_36_16"/>
      <w:bookmarkEnd w:id="5656"/>
      <w:r>
        <w:rPr>
          <w:rFonts w:ascii="Arial" w:eastAsia="Arial" w:hAnsi="Arial" w:cs="Arial"/>
          <w:color w:val="000000"/>
          <w:sz w:val="20"/>
        </w:rPr>
        <w:t>Answer: That was the main — main focus of the conversation.</w:t>
      </w:r>
    </w:p>
    <w:p w14:paraId="6866BAEF" w14:textId="77777777" w:rsidR="00D041A2" w:rsidRDefault="00000000">
      <w:pPr>
        <w:pStyle w:val="Normal41"/>
        <w:widowControl w:val="0"/>
        <w:spacing w:line="260" w:lineRule="atLeast"/>
        <w:ind w:left="400"/>
        <w:jc w:val="both"/>
      </w:pPr>
      <w:bookmarkStart w:id="5657" w:name="Bookmark_para_37_15"/>
      <w:bookmarkEnd w:id="5657"/>
      <w:r>
        <w:rPr>
          <w:rFonts w:ascii="Arial" w:eastAsia="Arial" w:hAnsi="Arial" w:cs="Arial"/>
          <w:color w:val="000000"/>
          <w:sz w:val="20"/>
        </w:rPr>
        <w:t>Question: And it was the loss of your drivers license that led to your reassignment, correct?</w:t>
      </w:r>
    </w:p>
    <w:p w14:paraId="481E5B3C" w14:textId="77777777" w:rsidR="00D041A2" w:rsidRDefault="00000000">
      <w:pPr>
        <w:pStyle w:val="Normal41"/>
        <w:widowControl w:val="0"/>
        <w:spacing w:line="260" w:lineRule="atLeast"/>
        <w:ind w:left="400"/>
        <w:jc w:val="both"/>
      </w:pPr>
      <w:bookmarkStart w:id="5658" w:name="Bookmark_para_38_15"/>
      <w:bookmarkEnd w:id="5658"/>
      <w:r>
        <w:rPr>
          <w:rFonts w:ascii="Arial" w:eastAsia="Arial" w:hAnsi="Arial" w:cs="Arial"/>
          <w:color w:val="000000"/>
          <w:sz w:val="20"/>
        </w:rPr>
        <w:t>Answer: Correct.</w:t>
      </w:r>
    </w:p>
    <w:p w14:paraId="4F9EE2AA" w14:textId="77777777" w:rsidR="00D041A2" w:rsidRDefault="00000000">
      <w:pPr>
        <w:pStyle w:val="Normal41"/>
        <w:widowControl w:val="0"/>
        <w:spacing w:line="260" w:lineRule="atLeast"/>
        <w:ind w:left="400"/>
        <w:jc w:val="both"/>
      </w:pPr>
      <w:bookmarkStart w:id="5659" w:name="Bookmark_para_39_15"/>
      <w:bookmarkEnd w:id="5659"/>
      <w:r>
        <w:rPr>
          <w:rFonts w:ascii="Arial" w:eastAsia="Arial" w:hAnsi="Arial" w:cs="Arial"/>
          <w:color w:val="000000"/>
          <w:sz w:val="20"/>
        </w:rPr>
        <w:t>Question: And your reassignment to the pharmacy manager position had nothing to do with any physical impairment that you may have had at that time, correct?</w:t>
      </w:r>
    </w:p>
    <w:p w14:paraId="1D6A73BE" w14:textId="77777777" w:rsidR="00D041A2" w:rsidRDefault="00000000">
      <w:pPr>
        <w:pStyle w:val="Normal41"/>
        <w:widowControl w:val="0"/>
        <w:spacing w:line="260" w:lineRule="atLeast"/>
        <w:ind w:left="400"/>
        <w:jc w:val="both"/>
      </w:pPr>
      <w:bookmarkStart w:id="5660" w:name="Bookmark_para_40_15"/>
      <w:bookmarkEnd w:id="5660"/>
      <w:r>
        <w:rPr>
          <w:rFonts w:ascii="Arial" w:eastAsia="Arial" w:hAnsi="Arial" w:cs="Arial"/>
          <w:color w:val="000000"/>
          <w:sz w:val="20"/>
        </w:rPr>
        <w:t>Answer: Correct.</w:t>
      </w:r>
    </w:p>
    <w:p w14:paraId="17E70DA7" w14:textId="77777777" w:rsidR="00D041A2" w:rsidRDefault="00000000">
      <w:pPr>
        <w:pStyle w:val="Normal41"/>
        <w:widowControl w:val="0"/>
        <w:spacing w:before="200" w:line="260" w:lineRule="atLeast"/>
        <w:jc w:val="both"/>
      </w:pPr>
      <w:bookmarkStart w:id="5661" w:name="Bookmark_para_41_14"/>
      <w:bookmarkEnd w:id="5661"/>
      <w:r>
        <w:rPr>
          <w:rFonts w:ascii="Arial" w:eastAsia="Arial" w:hAnsi="Arial" w:cs="Arial"/>
          <w:color w:val="000000"/>
          <w:sz w:val="20"/>
        </w:rPr>
        <w:t>J.A. 150-51.</w:t>
      </w:r>
    </w:p>
    <w:p w14:paraId="16037A0A" w14:textId="77777777" w:rsidR="00D041A2" w:rsidRDefault="00000000">
      <w:pPr>
        <w:pStyle w:val="Normal41"/>
        <w:widowControl w:val="0"/>
        <w:spacing w:before="200" w:line="260" w:lineRule="atLeast"/>
        <w:jc w:val="both"/>
      </w:pPr>
      <w:bookmarkStart w:id="5662" w:name="Bookmark_para_42_13"/>
      <w:bookmarkStart w:id="5663" w:name="Bookmark_I50TB8NR0K1MNJ2WP0000400"/>
      <w:bookmarkEnd w:id="5662"/>
      <w:bookmarkEnd w:id="5663"/>
      <w:r>
        <w:rPr>
          <w:rFonts w:ascii="Arial" w:eastAsia="Arial" w:hAnsi="Arial" w:cs="Arial"/>
          <w:color w:val="000000"/>
          <w:sz w:val="20"/>
        </w:rPr>
        <w:t xml:space="preserve">Schneider argues that at the time of the August 2005 meeting, management officials at Giant knew about Schneider's diabetes, so it could only be inferred that they knew he was asking for an accommodation for his disability. This argument is not persuasive for two reasons. First, because Schneider never directly mentioned that he was suffering from acute impairments, i.e., hypoglycemic episodes, caused by his diabetic condition, management should not be held responsible for </w:t>
      </w:r>
      <w:r>
        <w:rPr>
          <w:rFonts w:ascii="Arial" w:eastAsia="Arial" w:hAnsi="Arial" w:cs="Arial"/>
          <w:color w:val="000000"/>
          <w:sz w:val="20"/>
          <w:u w:val="single"/>
        </w:rPr>
        <w:t>guessing</w:t>
      </w:r>
      <w:r>
        <w:rPr>
          <w:rFonts w:ascii="Arial" w:eastAsia="Arial" w:hAnsi="Arial" w:cs="Arial"/>
          <w:color w:val="000000"/>
          <w:sz w:val="20"/>
        </w:rPr>
        <w:t xml:space="preserve"> that the diabetes had progressed to a point where Schneider was a disabled person under the ADA. </w:t>
      </w:r>
      <w:r>
        <w:rPr>
          <w:rFonts w:ascii="Arial" w:eastAsia="Arial" w:hAnsi="Arial" w:cs="Arial"/>
          <w:color w:val="000000"/>
          <w:sz w:val="20"/>
          <w:u w:val="single"/>
        </w:rPr>
        <w:t xml:space="preserve">See e.g., </w:t>
      </w:r>
      <w:bookmarkStart w:id="5664" w:name="Bookmark_I50TB8NR0K1MNJ2WN0000400"/>
      <w:bookmarkEnd w:id="5664"/>
      <w:r>
        <w:rPr>
          <w:rFonts w:ascii="Arial" w:eastAsia="Arial" w:hAnsi="Arial" w:cs="Arial"/>
          <w:color w:val="000000"/>
          <w:sz w:val="20"/>
          <w:u w:val="single"/>
        </w:rPr>
        <w:t>Huppenbauer v. May Dep't Stores Co.,</w:t>
      </w:r>
      <w:r>
        <w:rPr>
          <w:rFonts w:ascii="Arial" w:eastAsia="Arial" w:hAnsi="Arial" w:cs="Arial"/>
          <w:color w:val="000000"/>
          <w:sz w:val="20"/>
        </w:rPr>
        <w:t xml:space="preserve"> 1996 U.S. App. LEXIS 27480, 1996 WL 607087 at *4 (4th Cir. Oct. 23, 1996) (unpublished table) (finding that even if everyone knew that the plaintiff  [**20] had a heart condition, such knowledge would not equal notice that the condition imposed limitations on the plaintiff requiring special accommodations). </w:t>
      </w:r>
      <w:bookmarkStart w:id="5665" w:name="Bookmark_I50TB8NR0K1MNJ2WS0000400"/>
      <w:bookmarkEnd w:id="5665"/>
      <w:r>
        <w:rPr>
          <w:rFonts w:ascii="Arial" w:eastAsia="Arial" w:hAnsi="Arial" w:cs="Arial"/>
          <w:color w:val="000000"/>
          <w:sz w:val="20"/>
        </w:rPr>
        <w:t xml:space="preserve">Second, Schneider never requested the accommodation of allowing him to keep his pharmacy supervisor position by taking taxis to the different stores on his route </w:t>
      </w:r>
      <w:r>
        <w:rPr>
          <w:rFonts w:ascii="Arial" w:eastAsia="Arial" w:hAnsi="Arial" w:cs="Arial"/>
          <w:color w:val="000000"/>
          <w:sz w:val="20"/>
          <w:u w:val="single"/>
        </w:rPr>
        <w:t>because of</w:t>
      </w:r>
      <w:r>
        <w:rPr>
          <w:rFonts w:ascii="Arial" w:eastAsia="Arial" w:hAnsi="Arial" w:cs="Arial"/>
          <w:color w:val="000000"/>
          <w:sz w:val="20"/>
        </w:rPr>
        <w:t xml:space="preserve"> his diabetic condition and disability. Schneider never mentioned that his license was suspended because of hypoglycemia caused by his diabetic condition, and there was no reason for Giant's management to assume such a thing without Schneider's informing them. Giant cannot be faulted for failure to provide reasonable accommodations under the ADA where it did not know of Schneider's disability. </w:t>
      </w:r>
      <w:r>
        <w:rPr>
          <w:rFonts w:ascii="Arial" w:eastAsia="Arial" w:hAnsi="Arial" w:cs="Arial"/>
          <w:color w:val="000000"/>
          <w:sz w:val="20"/>
          <w:u w:val="single"/>
        </w:rPr>
        <w:t xml:space="preserve">See </w:t>
      </w:r>
      <w:bookmarkStart w:id="5666" w:name="Bookmark_I50TB8NR0K1MNJ2WR0000400"/>
      <w:bookmarkEnd w:id="5666"/>
      <w:r>
        <w:rPr>
          <w:rFonts w:ascii="Arial" w:eastAsia="Arial" w:hAnsi="Arial" w:cs="Arial"/>
          <w:color w:val="000000"/>
          <w:sz w:val="20"/>
          <w:u w:val="single"/>
        </w:rPr>
        <w:t>Huppenbauer,</w:t>
      </w:r>
      <w:r>
        <w:rPr>
          <w:rFonts w:ascii="Arial" w:eastAsia="Arial" w:hAnsi="Arial" w:cs="Arial"/>
          <w:color w:val="000000"/>
          <w:sz w:val="20"/>
        </w:rPr>
        <w:t xml:space="preserve"> 1996 U.S. App. LEXIS 27480, 1996 WL 607087 at *7 (holding that </w:t>
      </w:r>
      <w:bookmarkStart w:id="5667" w:name="Bookmark_LNHNREFclscc13_18"/>
      <w:bookmarkEnd w:id="5667"/>
      <w:r>
        <w:rPr>
          <w:rFonts w:ascii="Arial" w:eastAsia="Arial" w:hAnsi="Arial" w:cs="Arial"/>
          <w:color w:val="000000"/>
          <w:sz w:val="20"/>
        </w:rPr>
        <w:t xml:space="preserve">"where an employee failed to make a clear request for an accommodation and communicate it to his employer," the employer has not violated the ADA); </w:t>
      </w:r>
      <w:bookmarkStart w:id="5668" w:name="Bookmark_I50TB8NR0K1MNJ2WT0000400"/>
      <w:bookmarkEnd w:id="5668"/>
      <w:r>
        <w:rPr>
          <w:rFonts w:ascii="Arial" w:eastAsia="Arial" w:hAnsi="Arial" w:cs="Arial"/>
          <w:color w:val="000000"/>
          <w:sz w:val="20"/>
          <w:u w:val="single"/>
        </w:rPr>
        <w:t>Larson v. Koch Refining Co.,</w:t>
      </w:r>
      <w:r>
        <w:rPr>
          <w:rFonts w:ascii="Arial" w:eastAsia="Arial" w:hAnsi="Arial" w:cs="Arial"/>
          <w:color w:val="000000"/>
          <w:sz w:val="20"/>
        </w:rPr>
        <w:t xml:space="preserve"> 920 F. Supp. 1000, 1004 (D. Minn. 1996) (holding that providing accommodations is only appropriate where the employer knows that plaintiff is both disabled and in need of accommodation).</w:t>
      </w:r>
    </w:p>
    <w:p w14:paraId="1E6D9838" w14:textId="77777777" w:rsidR="00D041A2" w:rsidRDefault="00000000">
      <w:pPr>
        <w:pStyle w:val="Normal41"/>
        <w:widowControl w:val="0"/>
        <w:spacing w:before="200" w:line="260" w:lineRule="atLeast"/>
        <w:jc w:val="both"/>
      </w:pPr>
      <w:bookmarkStart w:id="5669" w:name="Bookmark_para_43_13"/>
      <w:bookmarkEnd w:id="5669"/>
      <w:r>
        <w:rPr>
          <w:rFonts w:ascii="Arial" w:eastAsia="Arial" w:hAnsi="Arial" w:cs="Arial"/>
          <w:color w:val="000000"/>
          <w:sz w:val="20"/>
        </w:rPr>
        <w:t>In sum, at no time on or before August 2005 did Giant know that  [**21] Schneider had a disability that required accommodation,  [*271]  and the evidence in the record does not support the conclusion that Schneider was disabled under the ADA. Thus, Giant had no obligation to provide reasonable accommodations for Schneider because of his diabetic condition. Therefore, the district court's grant of summary judgment on Schneider's claim that Giant violated the ADA in August 2005 must be affirmed.</w:t>
      </w:r>
    </w:p>
    <w:p w14:paraId="6D7553DD" w14:textId="77777777" w:rsidR="00D041A2" w:rsidRDefault="00000000">
      <w:pPr>
        <w:pStyle w:val="Normal41"/>
        <w:widowControl w:val="0"/>
        <w:spacing w:before="240" w:line="260" w:lineRule="atLeast"/>
      </w:pPr>
      <w:r>
        <w:br/>
      </w:r>
      <w:r>
        <w:rPr>
          <w:rFonts w:ascii="Arial" w:eastAsia="Arial" w:hAnsi="Arial" w:cs="Arial"/>
          <w:color w:val="000000"/>
          <w:sz w:val="20"/>
          <w:u w:val="single"/>
        </w:rPr>
        <w:t>Schneider's diabetic condition in January 2006</w:t>
      </w:r>
    </w:p>
    <w:p w14:paraId="491F35FA" w14:textId="77777777" w:rsidR="00D041A2" w:rsidRDefault="00000000">
      <w:pPr>
        <w:pStyle w:val="Normal41"/>
        <w:widowControl w:val="0"/>
        <w:spacing w:before="200" w:line="260" w:lineRule="atLeast"/>
        <w:jc w:val="both"/>
      </w:pPr>
      <w:bookmarkStart w:id="5670" w:name="Bookmark_para_44_13"/>
      <w:bookmarkEnd w:id="5670"/>
      <w:r>
        <w:rPr>
          <w:rFonts w:ascii="Arial" w:eastAsia="Arial" w:hAnsi="Arial" w:cs="Arial"/>
          <w:color w:val="000000"/>
          <w:sz w:val="20"/>
        </w:rPr>
        <w:t>Schneider also claims that Giant violated the ADA in January 2006 because he requested, but was refused, the reasonable accommodation of being transferred from his pharmacy manager position back to the pharmacy supervisor position so that his diabetic foot ulcers would not worsen. It seems largely undisputed that by January 2006, Schneider was disabled because of his diabetic condition, and that Giant knew about his diabetes. Schneider's foot ulcers, a condition resulting from his diabetes, were exacerbated from the prolonged standing and excessive weight-bearing activities required for his pharmacy manager position. Additionally, his supervisors knew that Schneider's diabetic condition was causing him pain since by January 2006,  [**22] Schneider had spoken to his supervisors about his diabetes and submitted a letter from his podiatrist.</w:t>
      </w:r>
    </w:p>
    <w:p w14:paraId="4D6698DA" w14:textId="77777777" w:rsidR="00D041A2" w:rsidRDefault="00000000">
      <w:pPr>
        <w:pStyle w:val="Normal41"/>
        <w:widowControl w:val="0"/>
        <w:spacing w:before="200" w:line="260" w:lineRule="atLeast"/>
        <w:jc w:val="both"/>
      </w:pPr>
      <w:bookmarkStart w:id="5671" w:name="Bookmark_para_45_13"/>
      <w:bookmarkEnd w:id="5671"/>
      <w:r>
        <w:rPr>
          <w:rFonts w:ascii="Arial" w:eastAsia="Arial" w:hAnsi="Arial" w:cs="Arial"/>
          <w:color w:val="000000"/>
          <w:sz w:val="20"/>
        </w:rPr>
        <w:t>At the same time as his doctor's letter, Schneider also sought an accommodation from Giant for his disability. Schneider's doctor requested in a letter that Schneider be returned to his previous position as a pharmacy supervisor, which did not require standing for 8-12 hours a day. Schneider also sent a letter to the Director of Human Resources at Giant seeking to be reassigned to his previous position, but he never received a response to the letter.</w:t>
      </w:r>
    </w:p>
    <w:p w14:paraId="7402C5A6" w14:textId="77777777" w:rsidR="00D041A2" w:rsidRDefault="00000000">
      <w:pPr>
        <w:pStyle w:val="Normal41"/>
        <w:widowControl w:val="0"/>
        <w:spacing w:before="200" w:line="260" w:lineRule="atLeast"/>
        <w:jc w:val="both"/>
      </w:pPr>
      <w:bookmarkStart w:id="5672" w:name="Bookmark_para_46_12"/>
      <w:bookmarkEnd w:id="5672"/>
      <w:r>
        <w:rPr>
          <w:rFonts w:ascii="Arial" w:eastAsia="Arial" w:hAnsi="Arial" w:cs="Arial"/>
          <w:color w:val="000000"/>
          <w:sz w:val="20"/>
        </w:rPr>
        <w:t>Despite this evidence, Giant's refusal to approve Schneider's request to be restored to his previous position as a pharmacy supervisor does not mean that Giant failed to provide reasonable accommodations in violation of the ADA.</w:t>
      </w:r>
    </w:p>
    <w:p w14:paraId="29656512" w14:textId="77777777" w:rsidR="00D041A2" w:rsidRDefault="00000000">
      <w:pPr>
        <w:pStyle w:val="Normal41"/>
        <w:widowControl w:val="0"/>
        <w:spacing w:before="200" w:line="260" w:lineRule="atLeast"/>
        <w:jc w:val="both"/>
      </w:pPr>
      <w:bookmarkStart w:id="5673" w:name="Bookmark_para_47_11"/>
      <w:bookmarkStart w:id="5674" w:name="Bookmark_I50TB8NR0K1MNJ2X80000400"/>
      <w:bookmarkStart w:id="5675" w:name="Bookmark_LNHNREFclscc14_17"/>
      <w:bookmarkEnd w:id="5673"/>
      <w:bookmarkEnd w:id="5674"/>
      <w:bookmarkEnd w:id="5675"/>
      <w:r>
        <w:rPr>
          <w:rFonts w:ascii="Arial" w:eastAsia="Arial" w:hAnsi="Arial" w:cs="Arial"/>
          <w:color w:val="000000"/>
          <w:sz w:val="20"/>
        </w:rPr>
        <w:t xml:space="preserve">Under the ADA, an employer must make "reasonable accommodations" for a disabled employee, unless the company can demonstrate that the accommodation "would impose an undue hardship on the operation of the business." 42 U.S.C. § 12112(b)(5)(A). </w:t>
      </w:r>
      <w:bookmarkStart w:id="5676" w:name="Bookmark_I50TB8NR0K1MNJ2XB0000400"/>
      <w:bookmarkEnd w:id="5676"/>
      <w:r>
        <w:rPr>
          <w:rFonts w:ascii="Arial" w:eastAsia="Arial" w:hAnsi="Arial" w:cs="Arial"/>
          <w:color w:val="000000"/>
          <w:sz w:val="20"/>
        </w:rPr>
        <w:t xml:space="preserve">The ADA does not require that the employer go out of his way to provide an accommodation for a disabled employee, but only requires that accommodations are "reasonable." </w:t>
      </w:r>
      <w:r>
        <w:rPr>
          <w:rFonts w:ascii="Arial" w:eastAsia="Arial" w:hAnsi="Arial" w:cs="Arial"/>
          <w:color w:val="000000"/>
          <w:sz w:val="20"/>
          <w:u w:val="single"/>
        </w:rPr>
        <w:t>See  [**23] </w:t>
      </w:r>
      <w:bookmarkStart w:id="5677" w:name="Bookmark_I50TB8NR0K1MNJ2X70000400"/>
      <w:bookmarkEnd w:id="5677"/>
      <w:r>
        <w:rPr>
          <w:rFonts w:ascii="Arial" w:eastAsia="Arial" w:hAnsi="Arial" w:cs="Arial"/>
          <w:color w:val="000000"/>
          <w:sz w:val="20"/>
          <w:u w:val="single"/>
        </w:rPr>
        <w:t>Vande Zande v. State of Wis. Dep't of Admin.,</w:t>
      </w:r>
      <w:r>
        <w:rPr>
          <w:rFonts w:ascii="Arial" w:eastAsia="Arial" w:hAnsi="Arial" w:cs="Arial"/>
          <w:color w:val="000000"/>
          <w:sz w:val="20"/>
        </w:rPr>
        <w:t xml:space="preserve"> 44 F.3d 538, 542 (7th Cir. 1995) ("To 'accommodate' a disability is to make some change that will enable the disabled person to work . . . [and] at the very least, the cost could not be disproportionate to the benefit."). </w:t>
      </w:r>
      <w:bookmarkStart w:id="5678" w:name="Bookmark_I50TB8NR0K1MNJ2XB0000400_2"/>
      <w:bookmarkStart w:id="5679" w:name="Bookmark_I50TB8NR0K1MNJ2XK0000400"/>
      <w:bookmarkEnd w:id="5678"/>
      <w:bookmarkEnd w:id="5679"/>
      <w:r>
        <w:rPr>
          <w:rFonts w:ascii="Arial" w:eastAsia="Arial" w:hAnsi="Arial" w:cs="Arial"/>
          <w:color w:val="000000"/>
          <w:sz w:val="20"/>
        </w:rPr>
        <w:t xml:space="preserve">This court has found that the ADA does not require reassignment "when it would mandate that the employer bump another employee out of a particular position." </w:t>
      </w:r>
      <w:bookmarkStart w:id="5680" w:name="Bookmark_I50TB8NR0K1MNJ2X90000400"/>
      <w:bookmarkEnd w:id="5680"/>
      <w:r>
        <w:rPr>
          <w:rFonts w:ascii="Arial" w:eastAsia="Arial" w:hAnsi="Arial" w:cs="Arial"/>
          <w:color w:val="000000"/>
          <w:sz w:val="20"/>
          <w:u w:val="single"/>
        </w:rPr>
        <w:t>E.E.O.C. v. Sara Lee Corp.,</w:t>
      </w:r>
      <w:r>
        <w:rPr>
          <w:rFonts w:ascii="Arial" w:eastAsia="Arial" w:hAnsi="Arial" w:cs="Arial"/>
          <w:color w:val="000000"/>
          <w:sz w:val="20"/>
        </w:rPr>
        <w:t xml:space="preserve"> 237 F.3d 349, 355 (4th Cir. 2001). </w:t>
      </w:r>
      <w:bookmarkStart w:id="5681" w:name="Bookmark_I50TB8NR0K1MNJ2XK0000400_2"/>
      <w:bookmarkEnd w:id="5681"/>
      <w:r>
        <w:rPr>
          <w:rFonts w:ascii="Arial" w:eastAsia="Arial" w:hAnsi="Arial" w:cs="Arial"/>
          <w:color w:val="000000"/>
          <w:sz w:val="20"/>
        </w:rPr>
        <w:t xml:space="preserve">An employer is not required to violate another employee's rights in favor of an employee with a disability in order to give the disabled employee a reasonable accommodation. </w:t>
      </w:r>
      <w:bookmarkStart w:id="5682" w:name="Bookmark_I50TB8NR0K1MNJ2XJ0000400"/>
      <w:bookmarkEnd w:id="5682"/>
      <w:r>
        <w:rPr>
          <w:rFonts w:ascii="Arial" w:eastAsia="Arial" w:hAnsi="Arial" w:cs="Arial"/>
          <w:color w:val="000000"/>
          <w:sz w:val="20"/>
          <w:u w:val="single"/>
        </w:rPr>
        <w:t>Id.</w:t>
      </w:r>
      <w:r>
        <w:rPr>
          <w:rFonts w:ascii="Arial" w:eastAsia="Arial" w:hAnsi="Arial" w:cs="Arial"/>
          <w:color w:val="000000"/>
          <w:sz w:val="20"/>
        </w:rPr>
        <w:t xml:space="preserve"> at 353-54; </w:t>
      </w:r>
      <w:r>
        <w:rPr>
          <w:rFonts w:ascii="Arial" w:eastAsia="Arial" w:hAnsi="Arial" w:cs="Arial"/>
          <w:color w:val="000000"/>
          <w:sz w:val="20"/>
          <w:u w:val="single"/>
        </w:rPr>
        <w:t xml:space="preserve">see also </w:t>
      </w:r>
      <w:bookmarkStart w:id="5683" w:name="Bookmark_I50TB8NR0K1MNJ2XM0000400"/>
      <w:bookmarkEnd w:id="5683"/>
      <w:r>
        <w:rPr>
          <w:rFonts w:ascii="Arial" w:eastAsia="Arial" w:hAnsi="Arial" w:cs="Arial"/>
          <w:color w:val="000000"/>
          <w:sz w:val="20"/>
          <w:u w:val="single"/>
        </w:rPr>
        <w:t>Daugherty v. City of El Paso,</w:t>
      </w:r>
      <w:r>
        <w:rPr>
          <w:rFonts w:ascii="Arial" w:eastAsia="Arial" w:hAnsi="Arial" w:cs="Arial"/>
          <w:color w:val="000000"/>
          <w:sz w:val="20"/>
        </w:rPr>
        <w:t xml:space="preserve"> 56 F.3d 695, 700 (5th Cir. 1995) ("[W]e do not read the ADA as requiring affirmative action in favor of individuals with disabilities, in the sense of requiring that disabled persons be given priority in hiring or reassignment over those who are not disabled").</w:t>
      </w:r>
    </w:p>
    <w:p w14:paraId="31E32F71" w14:textId="77777777" w:rsidR="00D041A2" w:rsidRDefault="00000000">
      <w:pPr>
        <w:pStyle w:val="Normal41"/>
        <w:widowControl w:val="0"/>
        <w:spacing w:before="200" w:line="260" w:lineRule="atLeast"/>
        <w:jc w:val="both"/>
      </w:pPr>
      <w:bookmarkStart w:id="5684" w:name="Bookmark_para_48_11"/>
      <w:bookmarkEnd w:id="5684"/>
      <w:r>
        <w:rPr>
          <w:rFonts w:ascii="Arial" w:eastAsia="Arial" w:hAnsi="Arial" w:cs="Arial"/>
          <w:color w:val="000000"/>
          <w:sz w:val="20"/>
        </w:rPr>
        <w:t>In January 2006, however, Schneider had not asked for any accommodation other than to be re-assigned as a pharmacy supervisor. Giant was not required, though, to place Schneider back into his old position. In fact, Giant had  [**24] since replaced Schneider with another employee  [*272]  because management was unsure when Schneider driver's license would be restored and could not leave the position unfilled. Furthermore, Schneider had not requested any other accommodations for his current position to alleviate the pain in his foot from standing for hours.</w:t>
      </w:r>
    </w:p>
    <w:p w14:paraId="739FDBF6" w14:textId="77777777" w:rsidR="00D041A2" w:rsidRDefault="00000000">
      <w:pPr>
        <w:pStyle w:val="Normal41"/>
        <w:widowControl w:val="0"/>
        <w:spacing w:before="200" w:line="260" w:lineRule="atLeast"/>
        <w:jc w:val="both"/>
      </w:pPr>
      <w:bookmarkStart w:id="5685" w:name="Bookmark_para_49_11"/>
      <w:bookmarkEnd w:id="5685"/>
      <w:r>
        <w:rPr>
          <w:rFonts w:ascii="Arial" w:eastAsia="Arial" w:hAnsi="Arial" w:cs="Arial"/>
          <w:color w:val="000000"/>
          <w:sz w:val="20"/>
        </w:rPr>
        <w:t>Although there may be other alternatives and options that will not require Schneider to be on his feet for his entire work shift in the pharmacy manager position, Schneider neither requested such alternatives, nor requested to discuss any other potential accommodations with his supervisors. The record further reflects that Giant's management knew about and were concerned about Schneider's diabetic neuropathy and the effect that standing would have on his feet, and provided a stool for Schneider to sit on during his shifts. In any event, the mere fact that Giant refused to reassign Schneider to the position of pharmacy supervisor does not show that Giant failed to give Schneider a reasonable accommodation for his disability.</w:t>
      </w:r>
    </w:p>
    <w:p w14:paraId="56C66B5F" w14:textId="77777777" w:rsidR="00D041A2" w:rsidRDefault="00000000">
      <w:pPr>
        <w:pStyle w:val="Normal41"/>
        <w:widowControl w:val="0"/>
        <w:spacing w:before="120" w:line="260" w:lineRule="atLeast"/>
      </w:pPr>
      <w:r>
        <w:rPr>
          <w:rFonts w:ascii="Arial" w:eastAsia="Arial" w:hAnsi="Arial" w:cs="Arial"/>
          <w:color w:val="000000"/>
          <w:sz w:val="20"/>
        </w:rPr>
        <w:t>IV.</w:t>
      </w:r>
    </w:p>
    <w:p w14:paraId="1511F0DC" w14:textId="77777777" w:rsidR="00D041A2" w:rsidRDefault="00000000">
      <w:pPr>
        <w:pStyle w:val="Normal41"/>
        <w:widowControl w:val="0"/>
        <w:spacing w:before="200" w:line="260" w:lineRule="atLeast"/>
        <w:jc w:val="both"/>
      </w:pPr>
      <w:bookmarkStart w:id="5686" w:name="Bookmark_para_50_11"/>
      <w:bookmarkEnd w:id="5686"/>
      <w:r>
        <w:rPr>
          <w:rFonts w:ascii="Arial" w:eastAsia="Arial" w:hAnsi="Arial" w:cs="Arial"/>
          <w:color w:val="000000"/>
          <w:sz w:val="20"/>
        </w:rPr>
        <w:t>For the reasons set forth herein, the judgment of the district court is</w:t>
      </w:r>
    </w:p>
    <w:p w14:paraId="6C51D720" w14:textId="77777777" w:rsidR="00D041A2" w:rsidRDefault="00000000">
      <w:pPr>
        <w:pStyle w:val="Normal41"/>
        <w:widowControl w:val="0"/>
        <w:spacing w:before="200" w:line="260" w:lineRule="atLeast"/>
        <w:jc w:val="both"/>
      </w:pPr>
      <w:bookmarkStart w:id="5687" w:name="Bookmark_para_51_10"/>
      <w:bookmarkEnd w:id="5687"/>
      <w:r>
        <w:rPr>
          <w:rFonts w:ascii="Arial" w:eastAsia="Arial" w:hAnsi="Arial" w:cs="Arial"/>
          <w:color w:val="000000"/>
          <w:sz w:val="20"/>
        </w:rPr>
        <w:t>AFFIRMED.</w:t>
      </w:r>
    </w:p>
    <w:p w14:paraId="1AB6D11A" w14:textId="77777777" w:rsidR="00D041A2" w:rsidRDefault="00D041A2">
      <w:pPr>
        <w:pStyle w:val="Normal41"/>
      </w:pPr>
    </w:p>
    <w:p w14:paraId="72808A44" w14:textId="7C99C882" w:rsidR="00D041A2" w:rsidRDefault="00000000">
      <w:pPr>
        <w:pStyle w:val="Normal41"/>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51424" behindDoc="0" locked="0" layoutInCell="1" allowOverlap="1" wp14:anchorId="3B7C2B5D" wp14:editId="0C1AD63E">
                <wp:simplePos x="0" y="0"/>
                <wp:positionH relativeFrom="column">
                  <wp:posOffset>0</wp:posOffset>
                </wp:positionH>
                <wp:positionV relativeFrom="paragraph">
                  <wp:posOffset>127000</wp:posOffset>
                </wp:positionV>
                <wp:extent cx="6502400" cy="0"/>
                <wp:effectExtent l="9525" t="12700" r="12700" b="6350"/>
                <wp:wrapNone/>
                <wp:docPr id="1835976573"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819F3" id="Line 93"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84538E8" w14:textId="77777777" w:rsidR="00D041A2" w:rsidRDefault="00D041A2">
      <w:pPr>
        <w:pStyle w:val="Normal42"/>
        <w:sectPr w:rsidR="00D041A2">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gutter="0"/>
          <w:cols w:space="720"/>
          <w:titlePg/>
        </w:sectPr>
      </w:pPr>
    </w:p>
    <w:p w14:paraId="22A4ECD5" w14:textId="77777777" w:rsidR="00D041A2" w:rsidRDefault="00D041A2">
      <w:pPr>
        <w:pStyle w:val="Normal42"/>
      </w:pPr>
    </w:p>
    <w:p w14:paraId="2C1E64F9" w14:textId="77777777" w:rsidR="00D041A2" w:rsidRDefault="00000000">
      <w:pPr>
        <w:pStyle w:val="Heading141"/>
        <w:keepNext w:val="0"/>
        <w:widowControl w:val="0"/>
        <w:spacing w:after="200" w:line="340" w:lineRule="atLeast"/>
        <w:jc w:val="center"/>
      </w:pPr>
      <w:r>
        <w:rPr>
          <w:rFonts w:eastAsia="Arial"/>
          <w:color w:val="000000"/>
          <w:sz w:val="28"/>
        </w:rPr>
        <w:t>Peoples v. Discover Fin. Servs.</w:t>
      </w:r>
    </w:p>
    <w:p w14:paraId="251463C6" w14:textId="77777777" w:rsidR="00D041A2" w:rsidRDefault="00000000">
      <w:pPr>
        <w:pStyle w:val="Normal42"/>
        <w:widowControl w:val="0"/>
        <w:spacing w:before="120" w:line="260" w:lineRule="atLeast"/>
        <w:jc w:val="center"/>
      </w:pPr>
      <w:r>
        <w:rPr>
          <w:rFonts w:ascii="Arial" w:eastAsia="Arial" w:hAnsi="Arial" w:cs="Arial"/>
          <w:color w:val="000000"/>
          <w:sz w:val="20"/>
        </w:rPr>
        <w:t>United States Court of Appeals for the Third Circuit</w:t>
      </w:r>
    </w:p>
    <w:p w14:paraId="1A446911" w14:textId="77777777" w:rsidR="00D041A2" w:rsidRDefault="00000000">
      <w:pPr>
        <w:pStyle w:val="Normal42"/>
        <w:widowControl w:val="0"/>
        <w:spacing w:before="120" w:line="260" w:lineRule="atLeast"/>
        <w:jc w:val="center"/>
      </w:pPr>
      <w:r>
        <w:rPr>
          <w:rFonts w:ascii="Arial" w:eastAsia="Arial" w:hAnsi="Arial" w:cs="Arial"/>
          <w:color w:val="000000"/>
          <w:sz w:val="20"/>
        </w:rPr>
        <w:t>July 13, 2010, Submitted Under Third Circuit LAR 34.1(a); July 19, 2010, Filed</w:t>
      </w:r>
    </w:p>
    <w:p w14:paraId="4D7F6540" w14:textId="77777777" w:rsidR="00D041A2" w:rsidRDefault="00000000">
      <w:pPr>
        <w:pStyle w:val="Normal42"/>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09-3991</w:t>
      </w:r>
    </w:p>
    <w:p w14:paraId="2B5C2B4F" w14:textId="77777777" w:rsidR="00D041A2" w:rsidRDefault="00D041A2">
      <w:pPr>
        <w:pStyle w:val="Normal42"/>
        <w:widowControl w:val="0"/>
        <w:spacing w:line="240" w:lineRule="atLeast"/>
        <w:jc w:val="both"/>
      </w:pPr>
      <w:bookmarkStart w:id="5688" w:name="Bookmark_43"/>
      <w:bookmarkEnd w:id="5688"/>
    </w:p>
    <w:p w14:paraId="09F62E20" w14:textId="77777777" w:rsidR="00D041A2" w:rsidRDefault="00000000">
      <w:pPr>
        <w:pStyle w:val="Normal42"/>
        <w:widowControl w:val="0"/>
        <w:spacing w:before="200" w:line="240" w:lineRule="atLeast"/>
      </w:pPr>
      <w:bookmarkStart w:id="5689" w:name="Reporter_41"/>
      <w:bookmarkEnd w:id="5689"/>
      <w:r>
        <w:rPr>
          <w:rFonts w:ascii="Arial" w:eastAsia="Arial" w:hAnsi="Arial" w:cs="Arial"/>
          <w:b/>
          <w:color w:val="000000"/>
          <w:sz w:val="18"/>
        </w:rPr>
        <w:t>Reporter</w:t>
      </w:r>
    </w:p>
    <w:p w14:paraId="44542C7C" w14:textId="77777777" w:rsidR="00D041A2" w:rsidRDefault="00000000">
      <w:pPr>
        <w:pStyle w:val="Normal42"/>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387 Fed. Appx. 179 *; 2010 U.S. App. LEXIS 14702 **; 23 Am. Disabilities Cas. (BNA) 1007</w:t>
      </w:r>
    </w:p>
    <w:p w14:paraId="6C3B66FD" w14:textId="77777777" w:rsidR="00D041A2" w:rsidRDefault="00000000">
      <w:pPr>
        <w:pStyle w:val="Normal42"/>
        <w:widowControl w:val="0"/>
        <w:spacing w:before="120" w:line="260" w:lineRule="atLeast"/>
      </w:pPr>
      <w:r>
        <w:rPr>
          <w:rFonts w:ascii="Arial" w:eastAsia="Arial" w:hAnsi="Arial" w:cs="Arial"/>
          <w:color w:val="000000"/>
          <w:sz w:val="20"/>
        </w:rPr>
        <w:t>JOHN F. PEOPLES, Appellant v. DISCOVER FINANCIAL SERVICES, INC.; DISCOVER CARD SERVICES, INC., trading as Discover Card; GINGER DAYLE; GINGER DAYLE PRODUCTIONS; NEW CITY STAGE COMPANY</w:t>
      </w:r>
    </w:p>
    <w:p w14:paraId="3DEADEDD" w14:textId="77777777" w:rsidR="00D041A2" w:rsidRDefault="00000000">
      <w:pPr>
        <w:pStyle w:val="Normal42"/>
        <w:widowControl w:val="0"/>
        <w:spacing w:before="240" w:line="260" w:lineRule="atLeast"/>
        <w:jc w:val="both"/>
      </w:pPr>
      <w:bookmarkStart w:id="5690" w:name="Notice_26"/>
      <w:bookmarkEnd w:id="5690"/>
      <w:r>
        <w:rPr>
          <w:rFonts w:ascii="Arial" w:eastAsia="Arial" w:hAnsi="Arial" w:cs="Arial"/>
          <w:b/>
          <w:color w:val="000000"/>
          <w:sz w:val="20"/>
        </w:rPr>
        <w:t>Notice:</w:t>
      </w:r>
      <w:r>
        <w:rPr>
          <w:rFonts w:ascii="Arial" w:eastAsia="Arial" w:hAnsi="Arial" w:cs="Arial"/>
          <w:color w:val="000000"/>
          <w:sz w:val="20"/>
        </w:rPr>
        <w:t> </w:t>
      </w:r>
      <w:bookmarkStart w:id="5691" w:name="Bookmark_para_1_41"/>
      <w:bookmarkEnd w:id="5691"/>
      <w:r>
        <w:rPr>
          <w:rFonts w:ascii="Arial" w:eastAsia="Arial" w:hAnsi="Arial" w:cs="Arial"/>
          <w:color w:val="000000"/>
          <w:sz w:val="20"/>
        </w:rPr>
        <w:t>NOT PRECEDENTIAL OPINION UNDER THIRD CIRCUIT INTERNAL OPERATING PROCEDURE RULE 5.7. SUCH OPINIONS ARE NOT REGARDED AS PRECEDENTS WHICH BIND THE COURT.</w:t>
      </w:r>
    </w:p>
    <w:p w14:paraId="76748DF0" w14:textId="77777777" w:rsidR="00D041A2" w:rsidRDefault="00000000">
      <w:pPr>
        <w:pStyle w:val="Normal42"/>
        <w:widowControl w:val="0"/>
        <w:spacing w:before="200" w:line="260" w:lineRule="atLeast"/>
        <w:jc w:val="both"/>
      </w:pPr>
      <w:bookmarkStart w:id="5692" w:name="Bookmark_para_2_41"/>
      <w:bookmarkEnd w:id="5692"/>
      <w:r>
        <w:rPr>
          <w:rFonts w:ascii="Arial" w:eastAsia="Arial" w:hAnsi="Arial" w:cs="Arial"/>
          <w:color w:val="000000"/>
          <w:sz w:val="20"/>
        </w:rPr>
        <w:t>PLEASE REFER TO FEDERAL RULES OF APPELLATE PROCEDURE RULE 32.1 GOVERNING THE CITATION TO UNPUBLISHED OPINIONS.</w:t>
      </w:r>
    </w:p>
    <w:p w14:paraId="70761F3B" w14:textId="77777777" w:rsidR="00D041A2" w:rsidRDefault="00000000">
      <w:pPr>
        <w:pStyle w:val="Normal42"/>
        <w:widowControl w:val="0"/>
        <w:spacing w:before="240" w:line="260" w:lineRule="atLeast"/>
      </w:pPr>
      <w:bookmarkStart w:id="5693" w:name="Subsequent_History_5"/>
      <w:bookmarkEnd w:id="5693"/>
      <w:r>
        <w:rPr>
          <w:rFonts w:ascii="Arial" w:eastAsia="Arial" w:hAnsi="Arial" w:cs="Arial"/>
          <w:b/>
          <w:color w:val="000000"/>
          <w:sz w:val="20"/>
        </w:rPr>
        <w:t>Subsequent History:</w:t>
      </w:r>
      <w:r>
        <w:rPr>
          <w:rFonts w:ascii="Arial" w:eastAsia="Arial" w:hAnsi="Arial" w:cs="Arial"/>
          <w:color w:val="000000"/>
          <w:sz w:val="20"/>
        </w:rPr>
        <w:t> US Supreme Court certiorari denied by Peoples v. Discover Fin. Servs., 2011 U.S. LEXIS 836 (U.S., Jan. 18, 2011)</w:t>
      </w:r>
    </w:p>
    <w:p w14:paraId="7E98FBC3" w14:textId="77777777" w:rsidR="00D041A2" w:rsidRDefault="00000000">
      <w:pPr>
        <w:pStyle w:val="Normal42"/>
        <w:widowControl w:val="0"/>
        <w:spacing w:before="240" w:line="260" w:lineRule="atLeast"/>
        <w:jc w:val="both"/>
      </w:pPr>
      <w:bookmarkStart w:id="5694" w:name="Prior_History_41"/>
      <w:bookmarkEnd w:id="5694"/>
      <w:r>
        <w:rPr>
          <w:rFonts w:ascii="Arial" w:eastAsia="Arial" w:hAnsi="Arial" w:cs="Arial"/>
          <w:b/>
          <w:color w:val="000000"/>
          <w:sz w:val="20"/>
        </w:rPr>
        <w:t>Prior History:</w:t>
      </w:r>
      <w:r>
        <w:rPr>
          <w:rFonts w:ascii="Arial" w:eastAsia="Arial" w:hAnsi="Arial" w:cs="Arial"/>
          <w:color w:val="000000"/>
          <w:sz w:val="20"/>
        </w:rPr>
        <w:t>  [**1] </w:t>
      </w:r>
      <w:bookmarkStart w:id="5695" w:name="Bookmark_para_3_41"/>
      <w:bookmarkEnd w:id="5695"/>
      <w:r>
        <w:rPr>
          <w:rFonts w:ascii="Arial" w:eastAsia="Arial" w:hAnsi="Arial" w:cs="Arial"/>
          <w:color w:val="000000"/>
          <w:sz w:val="20"/>
        </w:rPr>
        <w:t>On Appeal from the United States District Court for the Eastern District of Pennsylvania. (D.C. No. 08-cv-02024). District Judge: Honorable Edmund V. Ludwig.</w:t>
      </w:r>
    </w:p>
    <w:p w14:paraId="4DFF663E" w14:textId="77777777" w:rsidR="00D041A2" w:rsidRDefault="00000000">
      <w:pPr>
        <w:pStyle w:val="Normal42"/>
        <w:widowControl w:val="0"/>
        <w:spacing w:before="120" w:line="260" w:lineRule="atLeast"/>
      </w:pPr>
      <w:r>
        <w:rPr>
          <w:rFonts w:ascii="Arial" w:eastAsia="Arial" w:hAnsi="Arial" w:cs="Arial"/>
          <w:color w:val="000000"/>
          <w:sz w:val="20"/>
        </w:rPr>
        <w:t>Peoples v. Discover Fin. Servs., 2009 U.S. Dist. LEXIS 87184 (E.D. Pa., Sept. 22, 2009)</w:t>
      </w:r>
    </w:p>
    <w:p w14:paraId="5A0242D8" w14:textId="77777777" w:rsidR="00D041A2" w:rsidRDefault="00000000">
      <w:pPr>
        <w:pStyle w:val="Normal42"/>
        <w:widowControl w:val="0"/>
        <w:spacing w:before="240" w:line="260" w:lineRule="atLeast"/>
      </w:pPr>
      <w:bookmarkStart w:id="5696" w:name="Counsel_41"/>
      <w:bookmarkEnd w:id="5696"/>
      <w:r>
        <w:rPr>
          <w:rFonts w:ascii="Arial" w:eastAsia="Arial" w:hAnsi="Arial" w:cs="Arial"/>
          <w:b/>
          <w:color w:val="000000"/>
          <w:sz w:val="20"/>
        </w:rPr>
        <w:t>Counsel:</w:t>
      </w:r>
      <w:r>
        <w:rPr>
          <w:rFonts w:ascii="Arial" w:eastAsia="Arial" w:hAnsi="Arial" w:cs="Arial"/>
          <w:color w:val="000000"/>
          <w:sz w:val="20"/>
        </w:rPr>
        <w:t> For JOHN F. PEOPLES, Plaintiff - Appellant: Stephen H. Cristal, Esq., Law Offices of John F. Peoples, Broomall, PA.</w:t>
      </w:r>
    </w:p>
    <w:p w14:paraId="23CB4F02" w14:textId="77777777" w:rsidR="00D041A2" w:rsidRDefault="00000000">
      <w:pPr>
        <w:pStyle w:val="Normal42"/>
        <w:widowControl w:val="0"/>
        <w:spacing w:before="120" w:line="260" w:lineRule="atLeast"/>
      </w:pPr>
      <w:r>
        <w:rPr>
          <w:rFonts w:ascii="Arial" w:eastAsia="Arial" w:hAnsi="Arial" w:cs="Arial"/>
          <w:color w:val="000000"/>
          <w:sz w:val="20"/>
        </w:rPr>
        <w:t>For DISCOVER FIN SER INC, DISCOVER CARD SER INC, TA Discover Card, Defendant - Appellees: Martin C. Bryce, Jr., Esq., Benjamin M. Schmidt, Esq., Philadelphia, PA.</w:t>
      </w:r>
    </w:p>
    <w:p w14:paraId="49A2C0D7" w14:textId="77777777" w:rsidR="00D041A2" w:rsidRDefault="00000000">
      <w:pPr>
        <w:pStyle w:val="Normal42"/>
        <w:widowControl w:val="0"/>
        <w:spacing w:before="240" w:line="260" w:lineRule="atLeast"/>
      </w:pPr>
      <w:bookmarkStart w:id="5697" w:name="Judges_41"/>
      <w:bookmarkEnd w:id="5697"/>
      <w:r>
        <w:rPr>
          <w:rFonts w:ascii="Arial" w:eastAsia="Arial" w:hAnsi="Arial" w:cs="Arial"/>
          <w:b/>
          <w:color w:val="000000"/>
          <w:sz w:val="20"/>
        </w:rPr>
        <w:t>Judges:</w:t>
      </w:r>
      <w:r>
        <w:rPr>
          <w:rFonts w:ascii="Arial" w:eastAsia="Arial" w:hAnsi="Arial" w:cs="Arial"/>
          <w:color w:val="000000"/>
          <w:sz w:val="20"/>
        </w:rPr>
        <w:t> Before: RENDELL, JORDAN and GREENAWAY, JR., Circuit Judges.</w:t>
      </w:r>
    </w:p>
    <w:p w14:paraId="03CCCC07" w14:textId="77777777" w:rsidR="00D041A2" w:rsidRDefault="00000000">
      <w:pPr>
        <w:pStyle w:val="Normal42"/>
        <w:widowControl w:val="0"/>
        <w:spacing w:before="240" w:line="260" w:lineRule="atLeast"/>
      </w:pPr>
      <w:bookmarkStart w:id="5698" w:name="Opinion_by_23"/>
      <w:bookmarkEnd w:id="5698"/>
      <w:r>
        <w:rPr>
          <w:rFonts w:ascii="Arial" w:eastAsia="Arial" w:hAnsi="Arial" w:cs="Arial"/>
          <w:b/>
          <w:color w:val="000000"/>
          <w:sz w:val="20"/>
        </w:rPr>
        <w:t>Opinion by:</w:t>
      </w:r>
      <w:r>
        <w:rPr>
          <w:rFonts w:ascii="Arial" w:eastAsia="Arial" w:hAnsi="Arial" w:cs="Arial"/>
          <w:color w:val="000000"/>
          <w:sz w:val="20"/>
        </w:rPr>
        <w:t> JORDAN</w:t>
      </w:r>
    </w:p>
    <w:p w14:paraId="62BBECCD" w14:textId="77777777" w:rsidR="00D041A2" w:rsidRDefault="00000000">
      <w:pPr>
        <w:pStyle w:val="Normal42"/>
        <w:keepNext/>
        <w:widowControl w:val="0"/>
        <w:spacing w:before="240" w:line="340" w:lineRule="atLeast"/>
      </w:pPr>
      <w:bookmarkStart w:id="5699" w:name="Opinion_41"/>
      <w:bookmarkEnd w:id="5699"/>
      <w:r>
        <w:rPr>
          <w:rFonts w:ascii="Arial" w:eastAsia="Arial" w:hAnsi="Arial" w:cs="Arial"/>
          <w:b/>
          <w:color w:val="000000"/>
          <w:sz w:val="28"/>
        </w:rPr>
        <w:t>Opinion</w:t>
      </w:r>
    </w:p>
    <w:p w14:paraId="5E786085" w14:textId="4332E33C" w:rsidR="00D041A2" w:rsidRDefault="004D4403">
      <w:pPr>
        <w:pStyle w:val="Normal42"/>
        <w:spacing w:line="60" w:lineRule="exact"/>
      </w:pPr>
      <w:r>
        <w:rPr>
          <w:noProof/>
        </w:rPr>
        <mc:AlternateContent>
          <mc:Choice Requires="wps">
            <w:drawing>
              <wp:anchor distT="0" distB="0" distL="114300" distR="114300" simplePos="0" relativeHeight="251752448" behindDoc="0" locked="0" layoutInCell="1" allowOverlap="1" wp14:anchorId="25986794" wp14:editId="4911994C">
                <wp:simplePos x="0" y="0"/>
                <wp:positionH relativeFrom="column">
                  <wp:posOffset>0</wp:posOffset>
                </wp:positionH>
                <wp:positionV relativeFrom="paragraph">
                  <wp:posOffset>25400</wp:posOffset>
                </wp:positionV>
                <wp:extent cx="3187700" cy="0"/>
                <wp:effectExtent l="19050" t="15875" r="12700" b="12700"/>
                <wp:wrapTopAndBottom/>
                <wp:docPr id="1867409110"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83D7E" id="Line 94"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B1BA54F" w14:textId="77777777" w:rsidR="00D041A2" w:rsidRDefault="00D041A2">
      <w:pPr>
        <w:pStyle w:val="Normal42"/>
        <w:spacing w:line="120" w:lineRule="exact"/>
      </w:pPr>
    </w:p>
    <w:p w14:paraId="7EA19D1D" w14:textId="77777777" w:rsidR="00D041A2" w:rsidRDefault="00000000">
      <w:pPr>
        <w:pStyle w:val="Normal42"/>
        <w:widowControl w:val="0"/>
        <w:spacing w:before="240" w:line="260" w:lineRule="atLeast"/>
      </w:pPr>
      <w:r>
        <w:br/>
      </w:r>
      <w:r>
        <w:rPr>
          <w:rFonts w:ascii="Arial" w:eastAsia="Arial" w:hAnsi="Arial" w:cs="Arial"/>
          <w:color w:val="000000"/>
          <w:sz w:val="20"/>
        </w:rPr>
        <w:t> [*181]  OPINION OF THE COURT</w:t>
      </w:r>
    </w:p>
    <w:p w14:paraId="19156470" w14:textId="77777777" w:rsidR="00D041A2" w:rsidRDefault="00000000">
      <w:pPr>
        <w:pStyle w:val="Normal42"/>
        <w:widowControl w:val="0"/>
        <w:spacing w:before="200" w:line="260" w:lineRule="atLeast"/>
        <w:jc w:val="both"/>
      </w:pPr>
      <w:bookmarkStart w:id="5700" w:name="Bookmark_para_4_41"/>
      <w:bookmarkEnd w:id="5700"/>
      <w:r>
        <w:rPr>
          <w:rFonts w:ascii="Arial" w:eastAsia="Arial" w:hAnsi="Arial" w:cs="Arial"/>
          <w:color w:val="000000"/>
          <w:sz w:val="20"/>
        </w:rPr>
        <w:t xml:space="preserve">JORDAN, </w:t>
      </w:r>
      <w:r>
        <w:rPr>
          <w:rFonts w:ascii="Arial" w:eastAsia="Arial" w:hAnsi="Arial" w:cs="Arial"/>
          <w:i/>
          <w:color w:val="000000"/>
          <w:sz w:val="20"/>
        </w:rPr>
        <w:t>Circuit Judge.</w:t>
      </w:r>
    </w:p>
    <w:p w14:paraId="64BADCC0" w14:textId="77777777" w:rsidR="00D041A2" w:rsidRDefault="00000000">
      <w:pPr>
        <w:pStyle w:val="Normal42"/>
        <w:widowControl w:val="0"/>
        <w:spacing w:before="200" w:line="260" w:lineRule="atLeast"/>
        <w:jc w:val="both"/>
      </w:pPr>
      <w:bookmarkStart w:id="5701" w:name="Bookmark_para_5_41"/>
      <w:bookmarkEnd w:id="5701"/>
      <w:r>
        <w:rPr>
          <w:rFonts w:ascii="Arial" w:eastAsia="Arial" w:hAnsi="Arial" w:cs="Arial"/>
          <w:color w:val="000000"/>
          <w:sz w:val="20"/>
        </w:rPr>
        <w:t>John F. Peoples appeals an order of the United States District Court for the Eastern District of Pennsylvania granting summary judgment in favor of Discovery Financial Services, Inc., now known as DFS Services LLC ("DFS"), on his claims under Title III of the Americans with Disabilities Act, 42 U.S.C. § 12182 ("ADA"), and Section 504 of the Rehabilitation Act of 1973, 29 U.S.C. § 794, as well as on his breach of contract claim against DFS. Peoples claims that DFS violated the ADA and the Rehabilitation Act by failing to provide reasonable accommodations and safeguards to credit card holders with vision impairments. He also claims that DFS breached its  [**2] contract with him by failing to carry out a credit card fraud investigation in a reasonable manner. Because there are no genuine issues of material fact and DFS is entitled to judgment as a matter of law, we will affirm.</w:t>
      </w:r>
    </w:p>
    <w:p w14:paraId="6FB39733" w14:textId="77777777" w:rsidR="00D041A2" w:rsidRDefault="00000000">
      <w:pPr>
        <w:pStyle w:val="Normal42"/>
        <w:widowControl w:val="0"/>
        <w:spacing w:before="240" w:line="260" w:lineRule="atLeast"/>
      </w:pPr>
      <w:r>
        <w:br/>
      </w:r>
      <w:r>
        <w:rPr>
          <w:rFonts w:ascii="Arial" w:eastAsia="Arial" w:hAnsi="Arial" w:cs="Arial"/>
          <w:b/>
          <w:color w:val="000000"/>
          <w:sz w:val="20"/>
        </w:rPr>
        <w:t>I. Background</w:t>
      </w:r>
    </w:p>
    <w:p w14:paraId="57BC7D7B" w14:textId="77777777" w:rsidR="00D041A2" w:rsidRDefault="00000000">
      <w:pPr>
        <w:pStyle w:val="Normal42"/>
        <w:widowControl w:val="0"/>
        <w:spacing w:before="200" w:line="260" w:lineRule="atLeast"/>
        <w:jc w:val="both"/>
      </w:pPr>
      <w:bookmarkStart w:id="5702" w:name="Bookmark_para_6_41"/>
      <w:bookmarkEnd w:id="5702"/>
      <w:r>
        <w:rPr>
          <w:rFonts w:ascii="Arial" w:eastAsia="Arial" w:hAnsi="Arial" w:cs="Arial"/>
          <w:color w:val="000000"/>
          <w:sz w:val="20"/>
        </w:rPr>
        <w:t>Beginning in March 2007, Peoples, who is blind, began using a Discover credit card serviced by DFS to purchase sex from a prostitute named Ginger Dayle, who conducted her business in an apartment in Philadelphia.</w:t>
      </w:r>
      <w:r>
        <w:rPr>
          <w:rFonts w:ascii="Arial" w:eastAsia="Arial" w:hAnsi="Arial" w:cs="Arial"/>
          <w:vertAlign w:val="superscript"/>
        </w:rPr>
        <w:footnoteReference w:customMarkFollows="1" w:id="268"/>
        <w:t>1</w:t>
      </w:r>
      <w:r>
        <w:rPr>
          <w:rFonts w:ascii="Arial" w:eastAsia="Arial" w:hAnsi="Arial" w:cs="Arial"/>
          <w:color w:val="000000"/>
          <w:sz w:val="20"/>
        </w:rPr>
        <w:t xml:space="preserve"> Following each session, Peoples gave his Discover credit card to Dayle, who charged the credit card and prepared a receipt for Peoples to sign.  [*182]  Although he could not see the amount Dayle had charged to his credit card, Peoples signed each receipt and kept a copy for himself. By November 2007, Peoples had purchased prostitution services from Dayle in this manner at least 34 times.</w:t>
      </w:r>
    </w:p>
    <w:p w14:paraId="7526BE8F" w14:textId="77777777" w:rsidR="00D041A2" w:rsidRDefault="00000000">
      <w:pPr>
        <w:pStyle w:val="Normal42"/>
        <w:widowControl w:val="0"/>
        <w:spacing w:before="200" w:line="260" w:lineRule="atLeast"/>
        <w:jc w:val="both"/>
      </w:pPr>
      <w:bookmarkStart w:id="5704" w:name="Bookmark_para_7_41"/>
      <w:bookmarkEnd w:id="5704"/>
      <w:r>
        <w:rPr>
          <w:rFonts w:ascii="Arial" w:eastAsia="Arial" w:hAnsi="Arial" w:cs="Arial"/>
          <w:color w:val="000000"/>
          <w:sz w:val="20"/>
        </w:rPr>
        <w:t>After reviewing his credit card billing statement for the October-November 2007 billing period with the assistance of his mother, Peoples noted eleven transactions for Dayle's services that he believed were over-billed, and, accordingly, he notified DFS of the over-billing. The transactions all occurred between October and November 2007 and included ten charges for $1,100 and one charge for $1,600. For each disputed transaction, Peoples claims that Dayle had told him that the receipt indicated that he was being charged "$375 or $750," when  [**4] he was actually charged $1,100 in ten instances and $1,600 once. (Appellant's Op. Br. at 3.)</w:t>
      </w:r>
      <w:r>
        <w:rPr>
          <w:rFonts w:ascii="Arial" w:eastAsia="Arial" w:hAnsi="Arial" w:cs="Arial"/>
          <w:vertAlign w:val="superscript"/>
        </w:rPr>
        <w:footnoteReference w:customMarkFollows="1" w:id="269"/>
        <w:t>2</w:t>
      </w:r>
      <w:r>
        <w:rPr>
          <w:rFonts w:ascii="Arial" w:eastAsia="Arial" w:hAnsi="Arial" w:cs="Arial"/>
          <w:color w:val="000000"/>
          <w:sz w:val="20"/>
        </w:rPr>
        <w:t xml:space="preserve"> While Peoples disputes those charges from October to November, which allegedly exceeded his expected payments, he does not contest similar charges from March to September, even though he paid for Dayle's services in amounts in excess of $750, including $1,075 twice and $1,100 twice.</w:t>
      </w:r>
      <w:r>
        <w:rPr>
          <w:rFonts w:ascii="Arial" w:eastAsia="Arial" w:hAnsi="Arial" w:cs="Arial"/>
          <w:vertAlign w:val="superscript"/>
        </w:rPr>
        <w:footnoteReference w:customMarkFollows="1" w:id="270"/>
        <w:t>3</w:t>
      </w:r>
      <w:r>
        <w:rPr>
          <w:rFonts w:ascii="Arial" w:eastAsia="Arial" w:hAnsi="Arial" w:cs="Arial"/>
          <w:color w:val="000000"/>
          <w:sz w:val="20"/>
        </w:rPr>
        <w:t xml:space="preserve"> Peoples says that he is seeking to recover only the amount in excess of what he agreed to pay Dayle for sexual services.</w:t>
      </w:r>
      <w:r>
        <w:rPr>
          <w:rFonts w:ascii="Arial" w:eastAsia="Arial" w:hAnsi="Arial" w:cs="Arial"/>
          <w:vertAlign w:val="superscript"/>
        </w:rPr>
        <w:footnoteReference w:customMarkFollows="1" w:id="271"/>
        <w:t>4</w:t>
      </w:r>
    </w:p>
    <w:p w14:paraId="6A695CD9" w14:textId="77777777" w:rsidR="00D041A2" w:rsidRDefault="00000000">
      <w:pPr>
        <w:pStyle w:val="Normal42"/>
        <w:widowControl w:val="0"/>
        <w:spacing w:before="200" w:line="260" w:lineRule="atLeast"/>
        <w:jc w:val="both"/>
      </w:pPr>
      <w:bookmarkStart w:id="5708" w:name="Bookmark_para_8_40"/>
      <w:bookmarkEnd w:id="5708"/>
      <w:r>
        <w:rPr>
          <w:rFonts w:ascii="Arial" w:eastAsia="Arial" w:hAnsi="Arial" w:cs="Arial"/>
          <w:color w:val="000000"/>
          <w:sz w:val="20"/>
        </w:rPr>
        <w:t>DFS investigated Peoples's claims and determined that there was not a sufficient basis to say there had been fraud in the billing.</w:t>
      </w:r>
      <w:r>
        <w:rPr>
          <w:rFonts w:ascii="Arial" w:eastAsia="Arial" w:hAnsi="Arial" w:cs="Arial"/>
          <w:vertAlign w:val="superscript"/>
        </w:rPr>
        <w:footnoteReference w:customMarkFollows="1" w:id="272"/>
        <w:t>5</w:t>
      </w:r>
      <w:r>
        <w:rPr>
          <w:rFonts w:ascii="Arial" w:eastAsia="Arial" w:hAnsi="Arial" w:cs="Arial"/>
          <w:color w:val="000000"/>
          <w:sz w:val="20"/>
        </w:rPr>
        <w:t xml:space="preserve"> It therefore refused to credit his account for the amounts in dispute. Further, DFS noted that there were ways in which Peoples could have quickly found out the amounts that Dayle was billing his credit card. For example, DFS provides a 24-hour telephone service that any card holder can call to hear a list of recent transactions posted to the account by date, amount, and transaction type. In addition, that same telephone service provides callers with the option of connecting directly to a live customer service representative for information about recent transactions and the account in general. A member using that service also has access to pending credit authorizations that are posted as soon as a merchant submits the charge.</w:t>
      </w:r>
    </w:p>
    <w:p w14:paraId="671BD60F" w14:textId="77777777" w:rsidR="00D041A2" w:rsidRDefault="00000000">
      <w:pPr>
        <w:pStyle w:val="Normal42"/>
        <w:widowControl w:val="0"/>
        <w:spacing w:before="200" w:line="260" w:lineRule="atLeast"/>
        <w:jc w:val="both"/>
      </w:pPr>
      <w:bookmarkStart w:id="5710" w:name="Bookmark_para_9_38"/>
      <w:bookmarkEnd w:id="5710"/>
      <w:r>
        <w:rPr>
          <w:rFonts w:ascii="Arial" w:eastAsia="Arial" w:hAnsi="Arial" w:cs="Arial"/>
          <w:color w:val="000000"/>
          <w:sz w:val="20"/>
        </w:rPr>
        <w:t>On April 18, 2008, Peoples filed the present action against DFS, alleging violations of the ADA, the Rehabilitation Act, and breach of contract.</w:t>
      </w:r>
      <w:r>
        <w:rPr>
          <w:rFonts w:ascii="Arial" w:eastAsia="Arial" w:hAnsi="Arial" w:cs="Arial"/>
          <w:vertAlign w:val="superscript"/>
        </w:rPr>
        <w:footnoteReference w:customMarkFollows="1" w:id="273"/>
        <w:t>6</w:t>
      </w:r>
      <w:r>
        <w:rPr>
          <w:rFonts w:ascii="Arial" w:eastAsia="Arial" w:hAnsi="Arial" w:cs="Arial"/>
          <w:color w:val="000000"/>
          <w:sz w:val="20"/>
        </w:rPr>
        <w:t xml:space="preserve"> The parties filed  [*183]  cross-motions for summary judgment, and, on September 22, 2009, the District Court granted summary judgment in favor of DFS and against Peoples on all claims. This timely appeal followed.</w:t>
      </w:r>
    </w:p>
    <w:p w14:paraId="31EFE680" w14:textId="77777777" w:rsidR="00D041A2" w:rsidRDefault="00000000">
      <w:pPr>
        <w:pStyle w:val="Normal42"/>
        <w:widowControl w:val="0"/>
        <w:spacing w:before="240" w:line="260" w:lineRule="atLeast"/>
      </w:pPr>
      <w:r>
        <w:br/>
      </w:r>
      <w:r>
        <w:rPr>
          <w:rFonts w:ascii="Arial" w:eastAsia="Arial" w:hAnsi="Arial" w:cs="Arial"/>
          <w:b/>
          <w:color w:val="000000"/>
          <w:sz w:val="20"/>
        </w:rPr>
        <w:t>II. Discussion</w:t>
      </w:r>
      <w:r>
        <w:rPr>
          <w:rFonts w:ascii="Arial" w:eastAsia="Arial" w:hAnsi="Arial" w:cs="Arial"/>
          <w:vertAlign w:val="superscript"/>
        </w:rPr>
        <w:footnoteReference w:customMarkFollows="1" w:id="274"/>
        <w:t>7</w:t>
      </w:r>
    </w:p>
    <w:p w14:paraId="5B6A894D" w14:textId="77777777" w:rsidR="00D041A2" w:rsidRDefault="00000000">
      <w:pPr>
        <w:pStyle w:val="Normal42"/>
        <w:widowControl w:val="0"/>
        <w:spacing w:before="200" w:line="260" w:lineRule="atLeast"/>
        <w:jc w:val="both"/>
      </w:pPr>
      <w:bookmarkStart w:id="5716" w:name="Bookmark_para_10_38"/>
      <w:bookmarkStart w:id="5717" w:name="Bookmark_I5PTYV99BVD000RG2XT0020N"/>
      <w:bookmarkStart w:id="5718" w:name="Bookmark_I50RD9JT0K1MNJ3DD0000400"/>
      <w:bookmarkStart w:id="5719" w:name="Bookmark_I50RD9JT0K1MNJ3DG0000400"/>
      <w:bookmarkStart w:id="5720" w:name="Bookmark_LNHNREFclscc2_31"/>
      <w:bookmarkEnd w:id="5716"/>
      <w:bookmarkEnd w:id="5717"/>
      <w:bookmarkEnd w:id="5718"/>
      <w:bookmarkEnd w:id="5719"/>
      <w:bookmarkEnd w:id="5720"/>
      <w:r>
        <w:rPr>
          <w:rFonts w:ascii="Arial" w:eastAsia="Arial" w:hAnsi="Arial" w:cs="Arial"/>
          <w:color w:val="000000"/>
          <w:sz w:val="20"/>
        </w:rPr>
        <w:t xml:space="preserve">We exercise plenary review over  [**7] an appeal from a grant of summary judgment, which means that we apply the same standard applicable in the District Court. </w:t>
      </w:r>
      <w:bookmarkStart w:id="5721" w:name="Bookmark_I50RD9JT0K1MNJ3DC0000400"/>
      <w:bookmarkEnd w:id="5721"/>
      <w:r>
        <w:rPr>
          <w:rFonts w:ascii="Arial" w:eastAsia="Arial" w:hAnsi="Arial" w:cs="Arial"/>
          <w:i/>
          <w:color w:val="000000"/>
          <w:sz w:val="20"/>
        </w:rPr>
        <w:t>Lauren v. DeFlaminis,</w:t>
      </w:r>
      <w:r>
        <w:rPr>
          <w:rFonts w:ascii="Arial" w:eastAsia="Arial" w:hAnsi="Arial" w:cs="Arial"/>
          <w:color w:val="000000"/>
          <w:sz w:val="20"/>
        </w:rPr>
        <w:t xml:space="preserve"> 480 F.3d 259, 265-66 (3d Cir. 2007). Thus, we will affirm a grant of summary judgment if our review reveals that there is no genuine issue of material fact and that the moving party is entitled to judgment as a matter of law. </w:t>
      </w:r>
      <w:bookmarkStart w:id="5722" w:name="Bookmark_I50RD9JT0K1MNJ3DF0000400"/>
      <w:bookmarkEnd w:id="5722"/>
      <w:r>
        <w:rPr>
          <w:rFonts w:ascii="Arial" w:eastAsia="Arial" w:hAnsi="Arial" w:cs="Arial"/>
          <w:i/>
          <w:color w:val="000000"/>
          <w:sz w:val="20"/>
        </w:rPr>
        <w:t>Id.</w:t>
      </w:r>
      <w:r>
        <w:rPr>
          <w:rFonts w:ascii="Arial" w:eastAsia="Arial" w:hAnsi="Arial" w:cs="Arial"/>
          <w:color w:val="000000"/>
          <w:sz w:val="20"/>
        </w:rPr>
        <w:t xml:space="preserve"> at 266. In determining whether summary judgment is warranted, we review the facts in the light most favorable to the non-moving party, and draw all reasonable factual inferences in that party's favor. </w:t>
      </w:r>
      <w:r>
        <w:rPr>
          <w:rFonts w:ascii="Arial" w:eastAsia="Arial" w:hAnsi="Arial" w:cs="Arial"/>
          <w:i/>
          <w:color w:val="000000"/>
          <w:sz w:val="20"/>
        </w:rPr>
        <w:t>Id.</w:t>
      </w:r>
    </w:p>
    <w:p w14:paraId="21222FC8" w14:textId="77777777" w:rsidR="00D041A2" w:rsidRDefault="00000000">
      <w:pPr>
        <w:pStyle w:val="Normal42"/>
        <w:widowControl w:val="0"/>
        <w:spacing w:before="240" w:line="260" w:lineRule="atLeast"/>
      </w:pPr>
      <w:r>
        <w:br/>
      </w:r>
      <w:r>
        <w:rPr>
          <w:rFonts w:ascii="Arial" w:eastAsia="Arial" w:hAnsi="Arial" w:cs="Arial"/>
          <w:i/>
          <w:color w:val="000000"/>
          <w:sz w:val="20"/>
        </w:rPr>
        <w:t>A. The ADA Claim</w:t>
      </w:r>
    </w:p>
    <w:p w14:paraId="378FD935" w14:textId="77777777" w:rsidR="00D041A2" w:rsidRDefault="00000000">
      <w:pPr>
        <w:pStyle w:val="Normal42"/>
        <w:widowControl w:val="0"/>
        <w:spacing w:before="200" w:line="260" w:lineRule="atLeast"/>
        <w:jc w:val="both"/>
      </w:pPr>
      <w:bookmarkStart w:id="5723" w:name="Bookmark_para_11_36"/>
      <w:bookmarkStart w:id="5724" w:name="Bookmark_LNHNREFclscc3_29"/>
      <w:bookmarkEnd w:id="5723"/>
      <w:bookmarkEnd w:id="5724"/>
      <w:r>
        <w:rPr>
          <w:rFonts w:ascii="Arial" w:eastAsia="Arial" w:hAnsi="Arial" w:cs="Arial"/>
          <w:color w:val="000000"/>
          <w:sz w:val="20"/>
        </w:rPr>
        <w:t>Title III of the ADA states that "no individual shall be discriminated against on the basis of disability in the full and equal enjoyment of the goods, services, facilities, privileges, advantages, or accommodations of any place of public accommodation by any person who owns, leases, leases to, or operates a place of public accommodation." 42 U.S.C. § 12182(a). Peoples claims that DFS discriminated against him by failing to consider his blindness when addressing his fraud claim.</w:t>
      </w:r>
    </w:p>
    <w:p w14:paraId="248CA005" w14:textId="77777777" w:rsidR="00D041A2" w:rsidRDefault="00000000">
      <w:pPr>
        <w:pStyle w:val="Normal42"/>
        <w:widowControl w:val="0"/>
        <w:spacing w:before="200" w:line="260" w:lineRule="atLeast"/>
        <w:jc w:val="both"/>
      </w:pPr>
      <w:bookmarkStart w:id="5725" w:name="Bookmark_para_12_35"/>
      <w:bookmarkStart w:id="5726" w:name="Bookmark_I5PTYV99GNJ000RG2XT0020P"/>
      <w:bookmarkStart w:id="5727" w:name="Bookmark_I5PTYV99MGP000RG2XT0020R"/>
      <w:bookmarkStart w:id="5728" w:name="Bookmark_I5PTYV99TKJ000RG2XT0020S"/>
      <w:bookmarkStart w:id="5729" w:name="Bookmark_I5PTYV99YDP000RG2XT0020T"/>
      <w:bookmarkStart w:id="5730" w:name="Bookmark_I5PTYV9B37V000RG2XT0020V"/>
      <w:bookmarkStart w:id="5731" w:name="Bookmark_I50RD9JT0K1MNJ3DJ0000400"/>
      <w:bookmarkStart w:id="5732" w:name="Bookmark_LNHNREFclscc4_28"/>
      <w:bookmarkEnd w:id="5725"/>
      <w:bookmarkEnd w:id="5726"/>
      <w:bookmarkEnd w:id="5727"/>
      <w:bookmarkEnd w:id="5728"/>
      <w:bookmarkEnd w:id="5729"/>
      <w:bookmarkEnd w:id="5730"/>
      <w:bookmarkEnd w:id="5731"/>
      <w:bookmarkEnd w:id="5732"/>
      <w:r>
        <w:rPr>
          <w:rFonts w:ascii="Arial" w:eastAsia="Arial" w:hAnsi="Arial" w:cs="Arial"/>
          <w:color w:val="000000"/>
          <w:sz w:val="20"/>
        </w:rPr>
        <w:t xml:space="preserve">The Courts of Appeals are split on whether the term "public accommodation," as used in the ADA, refers to an actual physical  [**8] structure or whether it has some broader meaning. </w:t>
      </w:r>
      <w:bookmarkStart w:id="5733" w:name="Bookmark_I50RD9JT0K1MNJ3FG0000400"/>
      <w:bookmarkEnd w:id="5733"/>
      <w:r>
        <w:rPr>
          <w:rFonts w:ascii="Arial" w:eastAsia="Arial" w:hAnsi="Arial" w:cs="Arial"/>
          <w:i/>
          <w:color w:val="000000"/>
          <w:sz w:val="20"/>
        </w:rPr>
        <w:t xml:space="preserve">Compare </w:t>
      </w:r>
      <w:bookmarkStart w:id="5734" w:name="Bookmark_I50RD9JT0K1MNJ3DH0000400"/>
      <w:bookmarkEnd w:id="5734"/>
      <w:r>
        <w:rPr>
          <w:rFonts w:ascii="Arial" w:eastAsia="Arial" w:hAnsi="Arial" w:cs="Arial"/>
          <w:i/>
          <w:color w:val="000000"/>
          <w:sz w:val="20"/>
        </w:rPr>
        <w:t>Weyer v. Twentieth Century Fox Film Corp.,</w:t>
      </w:r>
      <w:r>
        <w:rPr>
          <w:rFonts w:ascii="Arial" w:eastAsia="Arial" w:hAnsi="Arial" w:cs="Arial"/>
          <w:color w:val="000000"/>
          <w:sz w:val="20"/>
        </w:rPr>
        <w:t xml:space="preserve"> 198 F.3d 1104, 1115 (9th Cir. 2000) (holding that an insurance company administering an employer-provided disability plan is not a place of public accommodation), </w:t>
      </w:r>
      <w:r>
        <w:rPr>
          <w:rFonts w:ascii="Arial" w:eastAsia="Arial" w:hAnsi="Arial" w:cs="Arial"/>
          <w:i/>
          <w:color w:val="000000"/>
          <w:sz w:val="20"/>
        </w:rPr>
        <w:t xml:space="preserve">and </w:t>
      </w:r>
      <w:bookmarkStart w:id="5735" w:name="Bookmark_I50RD9JT0K1MNJ3DK0000400"/>
      <w:bookmarkEnd w:id="5735"/>
      <w:r>
        <w:rPr>
          <w:rFonts w:ascii="Arial" w:eastAsia="Arial" w:hAnsi="Arial" w:cs="Arial"/>
          <w:i/>
          <w:color w:val="000000"/>
          <w:sz w:val="20"/>
        </w:rPr>
        <w:t>Ford v. Schering-Plough Corp.,</w:t>
      </w:r>
      <w:r>
        <w:rPr>
          <w:rFonts w:ascii="Arial" w:eastAsia="Arial" w:hAnsi="Arial" w:cs="Arial"/>
          <w:color w:val="000000"/>
          <w:sz w:val="20"/>
        </w:rPr>
        <w:t xml:space="preserve"> 145 F.3d 601, 612 (3d Cir. 1998) ("The plain meaning of Title III is that a public accommodation is a place ... ."), </w:t>
      </w:r>
      <w:r>
        <w:rPr>
          <w:rFonts w:ascii="Arial" w:eastAsia="Arial" w:hAnsi="Arial" w:cs="Arial"/>
          <w:i/>
          <w:color w:val="000000"/>
          <w:sz w:val="20"/>
        </w:rPr>
        <w:t xml:space="preserve">and </w:t>
      </w:r>
      <w:bookmarkStart w:id="5736" w:name="Bookmark_I50RD9JT0K1MNJ3F10000400"/>
      <w:bookmarkEnd w:id="5736"/>
      <w:r>
        <w:rPr>
          <w:rFonts w:ascii="Arial" w:eastAsia="Arial" w:hAnsi="Arial" w:cs="Arial"/>
          <w:i/>
          <w:color w:val="000000"/>
          <w:sz w:val="20"/>
        </w:rPr>
        <w:t>Parker v. Metro. Life Ins. Co.,</w:t>
      </w:r>
      <w:r>
        <w:rPr>
          <w:rFonts w:ascii="Arial" w:eastAsia="Arial" w:hAnsi="Arial" w:cs="Arial"/>
          <w:color w:val="000000"/>
          <w:sz w:val="20"/>
        </w:rPr>
        <w:t xml:space="preserve"> 121 F.3d 1006, 1014 (6th Cir. 1997) (holding that "a public accommodation is a physical place") </w:t>
      </w:r>
      <w:r>
        <w:rPr>
          <w:rFonts w:ascii="Arial" w:eastAsia="Arial" w:hAnsi="Arial" w:cs="Arial"/>
          <w:i/>
          <w:color w:val="000000"/>
          <w:sz w:val="20"/>
        </w:rPr>
        <w:t xml:space="preserve">with </w:t>
      </w:r>
      <w:bookmarkStart w:id="5737" w:name="Bookmark_I50RD9JT0K1MNJ3F30000400"/>
      <w:bookmarkEnd w:id="5737"/>
      <w:r>
        <w:rPr>
          <w:rFonts w:ascii="Arial" w:eastAsia="Arial" w:hAnsi="Arial" w:cs="Arial"/>
          <w:i/>
          <w:color w:val="000000"/>
          <w:sz w:val="20"/>
        </w:rPr>
        <w:t>Morgan v. Joint Admin. Bd., Ret. Plan of the Pillsbury Co.,</w:t>
      </w:r>
      <w:r>
        <w:rPr>
          <w:rFonts w:ascii="Arial" w:eastAsia="Arial" w:hAnsi="Arial" w:cs="Arial"/>
          <w:color w:val="000000"/>
          <w:sz w:val="20"/>
        </w:rPr>
        <w:t xml:space="preserve"> 268 F.3d 456, 459 (7th Cir. 2001) (refusing to interpret "public accommodation" literally, so as to "denot[e] a physical site"), </w:t>
      </w:r>
      <w:r>
        <w:rPr>
          <w:rFonts w:ascii="Arial" w:eastAsia="Arial" w:hAnsi="Arial" w:cs="Arial"/>
          <w:i/>
          <w:color w:val="000000"/>
          <w:sz w:val="20"/>
        </w:rPr>
        <w:t xml:space="preserve">and </w:t>
      </w:r>
      <w:bookmarkStart w:id="5738" w:name="Bookmark_I50RD9JT0K1MNJ3F50000400"/>
      <w:bookmarkEnd w:id="5738"/>
      <w:r>
        <w:rPr>
          <w:rFonts w:ascii="Arial" w:eastAsia="Arial" w:hAnsi="Arial" w:cs="Arial"/>
          <w:i/>
          <w:color w:val="000000"/>
          <w:sz w:val="20"/>
        </w:rPr>
        <w:t>Carparts Distribution Ctr., Inc. v. Auto. Wholesalers Ass'n of New England, Inc.,</w:t>
      </w:r>
      <w:r>
        <w:rPr>
          <w:rFonts w:ascii="Arial" w:eastAsia="Arial" w:hAnsi="Arial" w:cs="Arial"/>
          <w:color w:val="000000"/>
          <w:sz w:val="20"/>
        </w:rPr>
        <w:t xml:space="preserve"> 37 F.3d 12, 19 (1st Cir. 1994) (holding that public accommodations are not limited to physical structures). Our court is among those that have taken the position that the term is limited to physical accommodations. </w:t>
      </w:r>
      <w:bookmarkStart w:id="5739" w:name="Bookmark_I50RD9JT0K1MNJ3FG0000400_2"/>
      <w:bookmarkStart w:id="5740" w:name="Bookmark_I5PTYV9B730000RG2XT0020W"/>
      <w:bookmarkStart w:id="5741" w:name="Bookmark_I50RD9JT0K1MNJ3FJ0000400"/>
      <w:bookmarkStart w:id="5742" w:name="Bookmark_I50RD9JT0K1MNJ3FF0000400"/>
      <w:bookmarkEnd w:id="5739"/>
      <w:bookmarkEnd w:id="5740"/>
      <w:bookmarkEnd w:id="5741"/>
      <w:bookmarkEnd w:id="5742"/>
      <w:r>
        <w:rPr>
          <w:rFonts w:ascii="Arial" w:eastAsia="Arial" w:hAnsi="Arial" w:cs="Arial"/>
          <w:i/>
          <w:color w:val="000000"/>
          <w:sz w:val="20"/>
        </w:rPr>
        <w:t>Ford,</w:t>
      </w:r>
      <w:r>
        <w:rPr>
          <w:rFonts w:ascii="Arial" w:eastAsia="Arial" w:hAnsi="Arial" w:cs="Arial"/>
          <w:color w:val="000000"/>
          <w:sz w:val="20"/>
        </w:rPr>
        <w:t xml:space="preserve"> 145 F.3d at 612. </w:t>
      </w:r>
      <w:bookmarkStart w:id="5743" w:name="Bookmark_I50RD9JT0K1MNJ3FJ0000400_2"/>
      <w:bookmarkEnd w:id="5743"/>
      <w:r>
        <w:rPr>
          <w:rFonts w:ascii="Arial" w:eastAsia="Arial" w:hAnsi="Arial" w:cs="Arial"/>
          <w:color w:val="000000"/>
          <w:sz w:val="20"/>
        </w:rPr>
        <w:t xml:space="preserve">Despite Peoples's request that we "clarify or reconsider" our holding in </w:t>
      </w:r>
      <w:r>
        <w:rPr>
          <w:rFonts w:ascii="Arial" w:eastAsia="Arial" w:hAnsi="Arial" w:cs="Arial"/>
          <w:i/>
          <w:color w:val="000000"/>
          <w:sz w:val="20"/>
        </w:rPr>
        <w:t>Ford</w:t>
      </w:r>
      <w:r>
        <w:rPr>
          <w:rFonts w:ascii="Arial" w:eastAsia="Arial" w:hAnsi="Arial" w:cs="Arial"/>
          <w:color w:val="000000"/>
          <w:sz w:val="20"/>
        </w:rPr>
        <w:t xml:space="preserve"> and extend our interpretation of public accommodations to  [**9] include things other than physical places (Appellant's Op. Br. at 27), we are bound by our precedent. </w:t>
      </w:r>
      <w:r>
        <w:rPr>
          <w:rFonts w:ascii="Arial" w:eastAsia="Arial" w:hAnsi="Arial" w:cs="Arial"/>
          <w:i/>
          <w:color w:val="000000"/>
          <w:sz w:val="20"/>
        </w:rPr>
        <w:t xml:space="preserve">See </w:t>
      </w:r>
      <w:bookmarkStart w:id="5744" w:name="Bookmark_I50RD9JT0K1MNJ3FH0000400"/>
      <w:bookmarkEnd w:id="5744"/>
      <w:r>
        <w:rPr>
          <w:rFonts w:ascii="Arial" w:eastAsia="Arial" w:hAnsi="Arial" w:cs="Arial"/>
          <w:i/>
          <w:color w:val="000000"/>
          <w:sz w:val="20"/>
        </w:rPr>
        <w:t>Pa. Ass'n of Edwards Heirs v. Rightenour,</w:t>
      </w:r>
      <w:r>
        <w:rPr>
          <w:rFonts w:ascii="Arial" w:eastAsia="Arial" w:hAnsi="Arial" w:cs="Arial"/>
          <w:color w:val="000000"/>
          <w:sz w:val="20"/>
        </w:rPr>
        <w:t xml:space="preserve"> 235 F.3d 839, 844 (3d Cir. 2000) (</w:t>
      </w:r>
      <w:bookmarkStart w:id="5745" w:name="Bookmark_LNHNREFclscc5_28"/>
      <w:bookmarkEnd w:id="5745"/>
      <w:r>
        <w:rPr>
          <w:rFonts w:ascii="Arial" w:eastAsia="Arial" w:hAnsi="Arial" w:cs="Arial"/>
          <w:color w:val="000000"/>
          <w:sz w:val="20"/>
        </w:rPr>
        <w:t>"Under this Court's Internal Operating Procedures, we are bound by, and lack the authority to overrule, a published decision by a prior panel ... .") (citation omitted).</w:t>
      </w:r>
    </w:p>
    <w:p w14:paraId="41E3AA85" w14:textId="77777777" w:rsidR="00D041A2" w:rsidRDefault="00000000">
      <w:pPr>
        <w:pStyle w:val="Normal42"/>
        <w:widowControl w:val="0"/>
        <w:spacing w:before="200" w:line="260" w:lineRule="atLeast"/>
        <w:jc w:val="both"/>
      </w:pPr>
      <w:bookmarkStart w:id="5746" w:name="Bookmark_para_13_33"/>
      <w:bookmarkStart w:id="5747" w:name="Bookmark_I5PTYV9BJ10000RG2XT0020Y"/>
      <w:bookmarkStart w:id="5748" w:name="Bookmark_I50RD9JT0K1MNJ3FT0000400"/>
      <w:bookmarkEnd w:id="5746"/>
      <w:bookmarkEnd w:id="5747"/>
      <w:bookmarkEnd w:id="5748"/>
      <w:r>
        <w:rPr>
          <w:rFonts w:ascii="Arial" w:eastAsia="Arial" w:hAnsi="Arial" w:cs="Arial"/>
          <w:color w:val="000000"/>
          <w:sz w:val="20"/>
        </w:rPr>
        <w:t xml:space="preserve">Under </w:t>
      </w:r>
      <w:r>
        <w:rPr>
          <w:rFonts w:ascii="Arial" w:eastAsia="Arial" w:hAnsi="Arial" w:cs="Arial"/>
          <w:i/>
          <w:color w:val="000000"/>
          <w:sz w:val="20"/>
        </w:rPr>
        <w:t>Ford,</w:t>
      </w:r>
      <w:r>
        <w:rPr>
          <w:rFonts w:ascii="Arial" w:eastAsia="Arial" w:hAnsi="Arial" w:cs="Arial"/>
          <w:color w:val="000000"/>
          <w:sz w:val="20"/>
        </w:rPr>
        <w:t xml:space="preserve"> Peoples's argument fails because the communication between Dayle's credit card processing terminal and DFS is not a "public accommodation" within the meaning of the ADA. </w:t>
      </w:r>
      <w:r>
        <w:rPr>
          <w:rFonts w:ascii="Arial" w:eastAsia="Arial" w:hAnsi="Arial" w:cs="Arial"/>
          <w:i/>
          <w:color w:val="000000"/>
          <w:sz w:val="20"/>
        </w:rPr>
        <w:t>See</w:t>
      </w:r>
      <w:r>
        <w:rPr>
          <w:rFonts w:ascii="Arial" w:eastAsia="Arial" w:hAnsi="Arial" w:cs="Arial"/>
          <w:color w:val="000000"/>
          <w:sz w:val="20"/>
        </w:rPr>
        <w:t xml:space="preserve"> </w:t>
      </w:r>
      <w:bookmarkStart w:id="5749" w:name="Bookmark_I50RD9JT0K1MNJ3FS0000400"/>
      <w:bookmarkEnd w:id="5749"/>
      <w:r>
        <w:rPr>
          <w:rFonts w:ascii="Arial" w:eastAsia="Arial" w:hAnsi="Arial" w:cs="Arial"/>
          <w:color w:val="000000"/>
          <w:sz w:val="20"/>
        </w:rPr>
        <w:t>145 F.3d at 612 (holding that "[t]he plain  [*184]  meaning of Title III is that a public accommodation is a place ..."). As the District Court noted, "[t]he evidence is that [Peoples] used his Discover Card to pay for the transactions with Dayle at her apartment," and, "[t]hough [DFS's] credit services can be used by cardmembers at a merchant's place of accommodation, DFS itself does not own, lease or operate those locations." (App. at 6.) Thus, because DFS's alleged discrimination (i.e., the supposedly insufficient investigation of Peoples's fraud claim) in no way relates to the equal enjoyment of goods, services, facilities, privileges, advantages, or accommodations  [**10] on physical property that DFS, rather than Dayle, owns, leases, or operates, the District Court correctly granted summary judgment against Peoples on his ADA claim.</w:t>
      </w:r>
      <w:r>
        <w:rPr>
          <w:rFonts w:ascii="Arial" w:eastAsia="Arial" w:hAnsi="Arial" w:cs="Arial"/>
          <w:vertAlign w:val="superscript"/>
        </w:rPr>
        <w:footnoteReference w:customMarkFollows="1" w:id="275"/>
        <w:t>8</w:t>
      </w:r>
    </w:p>
    <w:p w14:paraId="56118DD3" w14:textId="77777777" w:rsidR="00D041A2" w:rsidRDefault="00000000">
      <w:pPr>
        <w:pStyle w:val="Normal42"/>
        <w:widowControl w:val="0"/>
        <w:spacing w:before="240" w:line="260" w:lineRule="atLeast"/>
      </w:pPr>
      <w:r>
        <w:br/>
      </w:r>
      <w:r>
        <w:rPr>
          <w:rFonts w:ascii="Arial" w:eastAsia="Arial" w:hAnsi="Arial" w:cs="Arial"/>
          <w:i/>
          <w:color w:val="000000"/>
          <w:sz w:val="20"/>
        </w:rPr>
        <w:t>B. The Rehabilitation Act Claim</w:t>
      </w:r>
    </w:p>
    <w:p w14:paraId="7A7ACBDD" w14:textId="77777777" w:rsidR="00D041A2" w:rsidRDefault="00000000">
      <w:pPr>
        <w:pStyle w:val="Normal42"/>
        <w:widowControl w:val="0"/>
        <w:spacing w:before="200" w:line="260" w:lineRule="atLeast"/>
        <w:jc w:val="both"/>
      </w:pPr>
      <w:bookmarkStart w:id="5751" w:name="Bookmark_para_14_29"/>
      <w:bookmarkStart w:id="5752" w:name="Bookmark_I50RD9JT0K1MNJ3FW0000400"/>
      <w:bookmarkStart w:id="5753" w:name="Bookmark_LNHNREFclscc6_28"/>
      <w:bookmarkEnd w:id="5751"/>
      <w:bookmarkEnd w:id="5752"/>
      <w:bookmarkEnd w:id="5753"/>
      <w:r>
        <w:rPr>
          <w:rFonts w:ascii="Arial" w:eastAsia="Arial" w:hAnsi="Arial" w:cs="Arial"/>
          <w:color w:val="000000"/>
          <w:sz w:val="20"/>
        </w:rPr>
        <w:t xml:space="preserve">Section 504 of the Rehabilitation Act provides that "[n]o otherwise qualified individual with a disability in the United States ... shall, solely by reason of his or her disability, be excluded from the participation in, be denied the benefits of, or be subjected to discrimination under any program or activity receiving Federal financial assistance or under any program or activity conducted by any Executive agency or by the United States Postal Service." 29 U.S.C. § 794(a); </w:t>
      </w:r>
      <w:r>
        <w:rPr>
          <w:rFonts w:ascii="Arial" w:eastAsia="Arial" w:hAnsi="Arial" w:cs="Arial"/>
          <w:i/>
          <w:color w:val="000000"/>
          <w:sz w:val="20"/>
        </w:rPr>
        <w:t xml:space="preserve">see also </w:t>
      </w:r>
      <w:bookmarkStart w:id="5754" w:name="Bookmark_I50RD9JT0K1MNJ3FV0000400"/>
      <w:bookmarkEnd w:id="5754"/>
      <w:r>
        <w:rPr>
          <w:rFonts w:ascii="Arial" w:eastAsia="Arial" w:hAnsi="Arial" w:cs="Arial"/>
          <w:i/>
          <w:color w:val="000000"/>
          <w:sz w:val="20"/>
        </w:rPr>
        <w:t>Disabled in Action v. Sykes,</w:t>
      </w:r>
      <w:r>
        <w:rPr>
          <w:rFonts w:ascii="Arial" w:eastAsia="Arial" w:hAnsi="Arial" w:cs="Arial"/>
          <w:color w:val="000000"/>
          <w:sz w:val="20"/>
        </w:rPr>
        <w:t xml:space="preserve"> 833 F.2d 1113, 1116 n.5 (3d Cir. 1987) ("Section 504 provides a private right of action to handicapped persons who are excluded from federally funded programs"). </w:t>
      </w:r>
      <w:bookmarkStart w:id="5755" w:name="Bookmark_I50RD9JT0K1MNJ3G40000400"/>
      <w:bookmarkEnd w:id="5755"/>
      <w:r>
        <w:rPr>
          <w:rFonts w:ascii="Arial" w:eastAsia="Arial" w:hAnsi="Arial" w:cs="Arial"/>
          <w:color w:val="000000"/>
          <w:sz w:val="20"/>
        </w:rPr>
        <w:t>The District Court correctly granted summary judgment in favor of DFS on Peoples's claim under Section 504 of  [**11] the Rehabilitation Act because Peoples failed to present any evidence showing that DFS is related to an executive agency or the United States Postal Service, or that it receives federal funds. Peoples claims for the first time on appeal that because "Discover Card"</w:t>
      </w:r>
      <w:r>
        <w:rPr>
          <w:rFonts w:ascii="Arial" w:eastAsia="Arial" w:hAnsi="Arial" w:cs="Arial"/>
          <w:vertAlign w:val="superscript"/>
        </w:rPr>
        <w:footnoteReference w:customMarkFollows="1" w:id="276"/>
        <w:t>9</w:t>
      </w:r>
      <w:r>
        <w:rPr>
          <w:rFonts w:ascii="Arial" w:eastAsia="Arial" w:hAnsi="Arial" w:cs="Arial"/>
          <w:color w:val="000000"/>
          <w:sz w:val="20"/>
        </w:rPr>
        <w:t xml:space="preserve"> received funds in 2009 from the government's financial sector bailout package, the company falls within the purview of Section 504. </w:t>
      </w:r>
      <w:bookmarkStart w:id="5757" w:name="Bookmark_I50RD9JT0K1MNJ3G40000400_2"/>
      <w:bookmarkEnd w:id="5757"/>
      <w:r>
        <w:rPr>
          <w:rFonts w:ascii="Arial" w:eastAsia="Arial" w:hAnsi="Arial" w:cs="Arial"/>
          <w:color w:val="000000"/>
          <w:sz w:val="20"/>
        </w:rPr>
        <w:t xml:space="preserve">However, </w:t>
      </w:r>
      <w:bookmarkStart w:id="5758" w:name="Bookmark_LNHNREFclscc7_27"/>
      <w:bookmarkEnd w:id="5758"/>
      <w:r>
        <w:rPr>
          <w:rFonts w:ascii="Arial" w:eastAsia="Arial" w:hAnsi="Arial" w:cs="Arial"/>
          <w:color w:val="000000"/>
          <w:sz w:val="20"/>
        </w:rPr>
        <w:t xml:space="preserve">it is well established that "absent exceptional circumstances, issues not raised before the district court are waived on appeal." </w:t>
      </w:r>
      <w:bookmarkStart w:id="5759" w:name="Bookmark_I50RD9JT0K1MNJ3FX0000400"/>
      <w:bookmarkEnd w:id="5759"/>
      <w:r>
        <w:rPr>
          <w:rFonts w:ascii="Arial" w:eastAsia="Arial" w:hAnsi="Arial" w:cs="Arial"/>
          <w:i/>
          <w:color w:val="000000"/>
          <w:sz w:val="20"/>
        </w:rPr>
        <w:t>Fletcher-Harlee Corp. v. Pote Concrete Contractors, Inc.,</w:t>
      </w:r>
      <w:r>
        <w:rPr>
          <w:rFonts w:ascii="Arial" w:eastAsia="Arial" w:hAnsi="Arial" w:cs="Arial"/>
          <w:color w:val="000000"/>
          <w:sz w:val="20"/>
        </w:rPr>
        <w:t xml:space="preserve"> 482 F.3d 247, 253 (3d Cir. 2007). There are no exceptional circumstances here. Peoples could have - but did not - present that argument to the District Court, although the information he relied on is dated eight months prior to the District Court's decision. We therefore decline to consider his argument in that regard and will affirm the District Court's grant of summary judgment against him on his Rehabilitation Act claim.</w:t>
      </w:r>
    </w:p>
    <w:p w14:paraId="53EBD2EC" w14:textId="77777777" w:rsidR="00D041A2" w:rsidRDefault="00000000">
      <w:pPr>
        <w:pStyle w:val="Normal42"/>
        <w:widowControl w:val="0"/>
        <w:spacing w:before="240" w:line="260" w:lineRule="atLeast"/>
      </w:pPr>
      <w:r>
        <w:br/>
      </w:r>
      <w:r>
        <w:rPr>
          <w:rFonts w:ascii="Arial" w:eastAsia="Arial" w:hAnsi="Arial" w:cs="Arial"/>
          <w:i/>
          <w:color w:val="000000"/>
          <w:sz w:val="20"/>
        </w:rPr>
        <w:t>C. The Breach of Contract Claim</w:t>
      </w:r>
    </w:p>
    <w:p w14:paraId="19078878" w14:textId="77777777" w:rsidR="00D041A2" w:rsidRDefault="00000000">
      <w:pPr>
        <w:pStyle w:val="Normal42"/>
        <w:widowControl w:val="0"/>
        <w:spacing w:before="200" w:line="260" w:lineRule="atLeast"/>
        <w:jc w:val="both"/>
      </w:pPr>
      <w:bookmarkStart w:id="5760" w:name="Bookmark_para_15_28"/>
      <w:bookmarkStart w:id="5761" w:name="Bookmark_I5PTYV9BNV4000RG2XT00210"/>
      <w:bookmarkStart w:id="5762" w:name="Bookmark_I5PTYV9BTN8000RG2XT00211"/>
      <w:bookmarkStart w:id="5763" w:name="Bookmark_I50RD9JT0K1MNJ3G60000400"/>
      <w:bookmarkStart w:id="5764" w:name="Bookmark_LNHNREFclscc8_27"/>
      <w:bookmarkEnd w:id="5760"/>
      <w:bookmarkEnd w:id="5761"/>
      <w:bookmarkEnd w:id="5762"/>
      <w:bookmarkEnd w:id="5763"/>
      <w:bookmarkEnd w:id="5764"/>
      <w:r>
        <w:rPr>
          <w:rFonts w:ascii="Arial" w:eastAsia="Arial" w:hAnsi="Arial" w:cs="Arial"/>
          <w:color w:val="000000"/>
          <w:sz w:val="20"/>
        </w:rPr>
        <w:t xml:space="preserve">To establish a breach of contract claim in Pennsylvania, a plaintiff "must establish '(1) the existence of a contract, including its essential terms, (2) a breach of a duty imposed by the contract[,] and (3) resultant damages.'" </w:t>
      </w:r>
      <w:bookmarkStart w:id="5765" w:name="Bookmark_I50RD9JT0K1MNJ3G50000400"/>
      <w:bookmarkEnd w:id="5765"/>
      <w:r>
        <w:rPr>
          <w:rFonts w:ascii="Arial" w:eastAsia="Arial" w:hAnsi="Arial" w:cs="Arial"/>
          <w:i/>
          <w:color w:val="000000"/>
          <w:sz w:val="20"/>
        </w:rPr>
        <w:t>Ware v. Rodale Press, Inc.,</w:t>
      </w:r>
      <w:r>
        <w:rPr>
          <w:rFonts w:ascii="Arial" w:eastAsia="Arial" w:hAnsi="Arial" w:cs="Arial"/>
          <w:color w:val="000000"/>
          <w:sz w:val="20"/>
        </w:rPr>
        <w:t xml:space="preserve"> 322 F.3d 218, 225 (3d Cir. 2003) (quoting </w:t>
      </w:r>
      <w:bookmarkStart w:id="5766" w:name="Bookmark_I50RD9JT0K1MNJ3G70000400"/>
      <w:bookmarkEnd w:id="5766"/>
      <w:r>
        <w:rPr>
          <w:rFonts w:ascii="Arial" w:eastAsia="Arial" w:hAnsi="Arial" w:cs="Arial"/>
          <w:i/>
          <w:color w:val="000000"/>
          <w:sz w:val="20"/>
        </w:rPr>
        <w:t>CoreStates Bank, N.A. v. Cutillo,</w:t>
      </w:r>
      <w:r>
        <w:rPr>
          <w:rFonts w:ascii="Arial" w:eastAsia="Arial" w:hAnsi="Arial" w:cs="Arial"/>
          <w:color w:val="000000"/>
          <w:sz w:val="20"/>
        </w:rPr>
        <w:t xml:space="preserve"> 1999 PA Super 14, 723 A.2d 1053, 1058 (Pa. Super. Ct. 1999)). When Peoples obtained a Discover credit card, he and DFS entered into a contract known as the "cardmember agreement."  [*185]  In claiming that DFS did not conduct a reasonable investigation of the disputed transactions, Peoples does not point to any specific section of that agreement that DFS breached.</w:t>
      </w:r>
      <w:r>
        <w:rPr>
          <w:rFonts w:ascii="Arial" w:eastAsia="Arial" w:hAnsi="Arial" w:cs="Arial"/>
          <w:vertAlign w:val="superscript"/>
        </w:rPr>
        <w:footnoteReference w:customMarkFollows="1" w:id="277"/>
        <w:t>10</w:t>
      </w:r>
      <w:r>
        <w:rPr>
          <w:rFonts w:ascii="Arial" w:eastAsia="Arial" w:hAnsi="Arial" w:cs="Arial"/>
          <w:color w:val="000000"/>
          <w:sz w:val="20"/>
        </w:rPr>
        <w:t xml:space="preserve"> Presumably, he is relying on the provision pursuant to which DFS agreed that "[i]f a merchant fails to provide [a customer's] purchase to [his] satisfaction and [he] request[s] a credit to [his] Account, [DFS] will investigate the dispute." (App. at 76 (cardmember agreement at 10, under heading "Claims and Disputes").) In particular, he claims that DFS's investigation was unreasonable because it "appl[ied] its 'signed receipt' rule in an overly  [**13] strict way that did not take account of obvious facts," including his blindness.</w:t>
      </w:r>
      <w:r>
        <w:rPr>
          <w:rFonts w:ascii="Arial" w:eastAsia="Arial" w:hAnsi="Arial" w:cs="Arial"/>
          <w:vertAlign w:val="superscript"/>
        </w:rPr>
        <w:footnoteReference w:customMarkFollows="1" w:id="278"/>
        <w:t>11</w:t>
      </w:r>
      <w:r>
        <w:rPr>
          <w:rFonts w:ascii="Arial" w:eastAsia="Arial" w:hAnsi="Arial" w:cs="Arial"/>
          <w:color w:val="000000"/>
          <w:sz w:val="20"/>
        </w:rPr>
        <w:t xml:space="preserve"> (Appellant's Op. Br. at 9.)</w:t>
      </w:r>
    </w:p>
    <w:p w14:paraId="510B2A2D" w14:textId="77777777" w:rsidR="00D041A2" w:rsidRDefault="00000000">
      <w:pPr>
        <w:pStyle w:val="Normal42"/>
        <w:widowControl w:val="0"/>
        <w:spacing w:before="200" w:line="260" w:lineRule="atLeast"/>
        <w:jc w:val="both"/>
      </w:pPr>
      <w:bookmarkStart w:id="5769" w:name="Bookmark_para_16_27"/>
      <w:bookmarkEnd w:id="5769"/>
      <w:r>
        <w:rPr>
          <w:rFonts w:ascii="Arial" w:eastAsia="Arial" w:hAnsi="Arial" w:cs="Arial"/>
          <w:color w:val="000000"/>
          <w:sz w:val="20"/>
        </w:rPr>
        <w:t xml:space="preserve">As an initial matter, it is questionable whether Peoples has any claim for breach of contract, given that he himself breached the cardmember agreement when he used his account to pay for prostitution in Pennsylvania. Pursuant to the cardmember agreement, he agreed not to use his account to pay "for any transactions that are unlawful where [he] reside[d] or where [he was] physically located when [he] use[d] the Account to initiate the transaction ('Prohibited Transactions')." (App. at 72.) </w:t>
      </w:r>
      <w:bookmarkStart w:id="5770" w:name="Bookmark_I50RD9JT0K1MNJ3GB0000400"/>
      <w:bookmarkStart w:id="5771" w:name="Bookmark_LNHNREFclscc9_26"/>
      <w:bookmarkEnd w:id="5770"/>
      <w:bookmarkEnd w:id="5771"/>
      <w:r>
        <w:rPr>
          <w:rFonts w:ascii="Arial" w:eastAsia="Arial" w:hAnsi="Arial" w:cs="Arial"/>
          <w:color w:val="000000"/>
          <w:sz w:val="20"/>
        </w:rPr>
        <w:t>In Pennsylvania, patronizing a prostitute is illegal. 18 P</w:t>
      </w:r>
      <w:r>
        <w:rPr>
          <w:rFonts w:ascii="Arial" w:eastAsia="Arial" w:hAnsi="Arial" w:cs="Arial"/>
          <w:smallCaps/>
          <w:color w:val="000000"/>
          <w:sz w:val="20"/>
        </w:rPr>
        <w:t>A</w:t>
      </w:r>
      <w:r>
        <w:rPr>
          <w:rFonts w:ascii="Arial" w:eastAsia="Arial" w:hAnsi="Arial" w:cs="Arial"/>
          <w:color w:val="000000"/>
          <w:sz w:val="20"/>
        </w:rPr>
        <w:t>. C</w:t>
      </w:r>
      <w:r>
        <w:rPr>
          <w:rFonts w:ascii="Arial" w:eastAsia="Arial" w:hAnsi="Arial" w:cs="Arial"/>
          <w:smallCaps/>
          <w:color w:val="000000"/>
          <w:sz w:val="20"/>
        </w:rPr>
        <w:t>ONS</w:t>
      </w:r>
      <w:r>
        <w:rPr>
          <w:rFonts w:ascii="Arial" w:eastAsia="Arial" w:hAnsi="Arial" w:cs="Arial"/>
          <w:color w:val="000000"/>
          <w:sz w:val="20"/>
        </w:rPr>
        <w:t>. S</w:t>
      </w:r>
      <w:r>
        <w:rPr>
          <w:rFonts w:ascii="Arial" w:eastAsia="Arial" w:hAnsi="Arial" w:cs="Arial"/>
          <w:smallCaps/>
          <w:color w:val="000000"/>
          <w:sz w:val="20"/>
        </w:rPr>
        <w:t>TAT</w:t>
      </w:r>
      <w:r>
        <w:rPr>
          <w:rFonts w:ascii="Arial" w:eastAsia="Arial" w:hAnsi="Arial" w:cs="Arial"/>
          <w:color w:val="000000"/>
          <w:sz w:val="20"/>
        </w:rPr>
        <w:t xml:space="preserve">. § 5902(e).  [**14] Thus, even if DFS had breached its contract with Peoples by failing to reasonably investigate the disputed transactions, Peoples is arguably in no position to enforce the contract against DFS because he breached the contract prior to disputing the charges. </w:t>
      </w:r>
      <w:r>
        <w:rPr>
          <w:rFonts w:ascii="Arial" w:eastAsia="Arial" w:hAnsi="Arial" w:cs="Arial"/>
          <w:i/>
          <w:color w:val="000000"/>
          <w:sz w:val="20"/>
        </w:rPr>
        <w:t xml:space="preserve">Cf. </w:t>
      </w:r>
      <w:bookmarkStart w:id="5772" w:name="Bookmark_I50RD9JT0K1MNJ3G90000400"/>
      <w:bookmarkEnd w:id="5772"/>
      <w:r>
        <w:rPr>
          <w:rFonts w:ascii="Arial" w:eastAsia="Arial" w:hAnsi="Arial" w:cs="Arial"/>
          <w:i/>
          <w:color w:val="000000"/>
          <w:sz w:val="20"/>
        </w:rPr>
        <w:t>LJL Transp., Inc. v. Pilot Air Freight Corp.,</w:t>
      </w:r>
      <w:r>
        <w:rPr>
          <w:rFonts w:ascii="Arial" w:eastAsia="Arial" w:hAnsi="Arial" w:cs="Arial"/>
          <w:color w:val="000000"/>
          <w:sz w:val="20"/>
        </w:rPr>
        <w:t xml:space="preserve"> 599 Pa. 546, 962 A.2d 639, 648 (Pa. 2009) (</w:t>
      </w:r>
      <w:bookmarkStart w:id="5773" w:name="Bookmark_LNHNREFclscc10_24"/>
      <w:bookmarkEnd w:id="5773"/>
      <w:r>
        <w:rPr>
          <w:rFonts w:ascii="Arial" w:eastAsia="Arial" w:hAnsi="Arial" w:cs="Arial"/>
          <w:color w:val="000000"/>
          <w:sz w:val="20"/>
        </w:rPr>
        <w:t xml:space="preserve">"It is ... well established that '[a] party also may not insist upon performance of the contract when he himself is guilty of a material breach of the contract.'" (second alteration in original) (quoting </w:t>
      </w:r>
      <w:bookmarkStart w:id="5774" w:name="Bookmark_I50RD9JT0K1MNJ3GC0000400"/>
      <w:bookmarkEnd w:id="5774"/>
      <w:r>
        <w:rPr>
          <w:rFonts w:ascii="Arial" w:eastAsia="Arial" w:hAnsi="Arial" w:cs="Arial"/>
          <w:i/>
          <w:color w:val="000000"/>
          <w:sz w:val="20"/>
        </w:rPr>
        <w:t>Ott v. Buehler Lumber,</w:t>
      </w:r>
      <w:r>
        <w:rPr>
          <w:rFonts w:ascii="Arial" w:eastAsia="Arial" w:hAnsi="Arial" w:cs="Arial"/>
          <w:color w:val="000000"/>
          <w:sz w:val="20"/>
        </w:rPr>
        <w:t xml:space="preserve"> 373 Pa. Super. 515, 541 A.2d 1143, 1145 (Pa. 1988))).</w:t>
      </w:r>
    </w:p>
    <w:p w14:paraId="345DDE3C" w14:textId="77777777" w:rsidR="00D041A2" w:rsidRDefault="00000000">
      <w:pPr>
        <w:pStyle w:val="Normal42"/>
        <w:widowControl w:val="0"/>
        <w:spacing w:before="200" w:line="260" w:lineRule="atLeast"/>
        <w:jc w:val="both"/>
      </w:pPr>
      <w:bookmarkStart w:id="5775" w:name="Bookmark_para_17_26"/>
      <w:bookmarkEnd w:id="5775"/>
      <w:r>
        <w:rPr>
          <w:rFonts w:ascii="Arial" w:eastAsia="Arial" w:hAnsi="Arial" w:cs="Arial"/>
          <w:color w:val="000000"/>
          <w:sz w:val="20"/>
        </w:rPr>
        <w:t>Setting that aside, there is no indication that DFS did not properly conduct its investigation. When Peoples reported the dispute to DFS, the case initially went to a customer service section within the company that investigates disputes arising from alleged over-billing. As part of its investigation, a customer service representative contacted Dayle about the disputed transactions and received signed sales receipts and a contract showing that Peoples had engaged her to provide yoga or pilates services. The receipts showed that Peoples's account had been charged ten times for $1,100 and once for  [**15] $1,600. Those amounts resembled other charges Peoples had previously paid for Dayle's services, which he was not contesting. Indeed, the record reflects that from March to September, Peoples paid $375 once, $750 eighteen times, $1,075 twice, and $1,100 twice. DFS thus concluded that the transactions Peoples complained about - and which he acknowledged had taken place - were sufficiently documented and consistent with prior usage of the account that there was an inadequate basis to declare that the amounts charged were fraudulent. Because Peoples continued to dispute the transactions, the investigation was re-opened by DFS's fraud investigation department.  [*186]  However, since DFS's definition of fraud is a charge that the customer did not authorize, or from which the customer received no benefit, the fraud unit likewise determined that no fraud occurred because Peoples clearly authorized Dayle to place a charge on his card and he acknowledged receiving some benefit. As a result, DFS refused to credit Peoples's account for the alleged overcharges.</w:t>
      </w:r>
      <w:r>
        <w:rPr>
          <w:rFonts w:ascii="Arial" w:eastAsia="Arial" w:hAnsi="Arial" w:cs="Arial"/>
          <w:vertAlign w:val="superscript"/>
        </w:rPr>
        <w:footnoteReference w:customMarkFollows="1" w:id="279"/>
        <w:t>12</w:t>
      </w:r>
    </w:p>
    <w:p w14:paraId="10236E21" w14:textId="77777777" w:rsidR="00D041A2" w:rsidRDefault="00000000">
      <w:pPr>
        <w:pStyle w:val="Normal42"/>
        <w:widowControl w:val="0"/>
        <w:spacing w:before="200" w:line="260" w:lineRule="atLeast"/>
        <w:jc w:val="both"/>
      </w:pPr>
      <w:bookmarkStart w:id="5777" w:name="Bookmark_para_18_24"/>
      <w:bookmarkEnd w:id="5777"/>
      <w:r>
        <w:rPr>
          <w:rFonts w:ascii="Arial" w:eastAsia="Arial" w:hAnsi="Arial" w:cs="Arial"/>
          <w:color w:val="000000"/>
          <w:sz w:val="20"/>
        </w:rPr>
        <w:t>Peoples has provided no evidence, beyond his say-so, that the sums he was charged were not agreed to. But, even assuming the facts were as he contends, that is beside the point. What is at issue is DFS's obligation to investigate a dispute between a "merchant" and a customer. Even with all inferences drawn in his favor, Peoples has not shown that DFS failed to reasonably inquire into the dispute.</w:t>
      </w:r>
    </w:p>
    <w:p w14:paraId="3A44A2A8" w14:textId="77777777" w:rsidR="00D041A2" w:rsidRDefault="00000000">
      <w:pPr>
        <w:pStyle w:val="Normal42"/>
        <w:widowControl w:val="0"/>
        <w:spacing w:before="200" w:line="260" w:lineRule="atLeast"/>
        <w:jc w:val="both"/>
      </w:pPr>
      <w:bookmarkStart w:id="5778" w:name="Bookmark_para_19_24"/>
      <w:bookmarkEnd w:id="5778"/>
      <w:r>
        <w:rPr>
          <w:rFonts w:ascii="Arial" w:eastAsia="Arial" w:hAnsi="Arial" w:cs="Arial"/>
          <w:color w:val="000000"/>
          <w:sz w:val="20"/>
        </w:rPr>
        <w:t>In sum, Peoples has adduced no evidence to show that DFS failed to investigate his claim in a reasonable manner and in accordance with the company's established policies and procedures. We therefore agree with the District Court that there is no evidence that DFS breached a contractual duty to Peoples.</w:t>
      </w:r>
    </w:p>
    <w:p w14:paraId="7620E97C" w14:textId="77777777" w:rsidR="00D041A2" w:rsidRDefault="00000000">
      <w:pPr>
        <w:pStyle w:val="Normal42"/>
        <w:widowControl w:val="0"/>
        <w:spacing w:before="240" w:line="260" w:lineRule="atLeast"/>
      </w:pPr>
      <w:r>
        <w:br/>
      </w:r>
      <w:r>
        <w:rPr>
          <w:rFonts w:ascii="Arial" w:eastAsia="Arial" w:hAnsi="Arial" w:cs="Arial"/>
          <w:b/>
          <w:color w:val="000000"/>
          <w:sz w:val="20"/>
        </w:rPr>
        <w:t>III. Conclusion</w:t>
      </w:r>
    </w:p>
    <w:p w14:paraId="67AA2DCF" w14:textId="77777777" w:rsidR="00D041A2" w:rsidRDefault="00000000">
      <w:pPr>
        <w:pStyle w:val="Normal42"/>
        <w:widowControl w:val="0"/>
        <w:spacing w:before="200" w:line="260" w:lineRule="atLeast"/>
        <w:jc w:val="both"/>
      </w:pPr>
      <w:bookmarkStart w:id="5779" w:name="Bookmark_para_20_24"/>
      <w:bookmarkEnd w:id="5779"/>
      <w:r>
        <w:rPr>
          <w:rFonts w:ascii="Arial" w:eastAsia="Arial" w:hAnsi="Arial" w:cs="Arial"/>
          <w:color w:val="000000"/>
          <w:sz w:val="20"/>
        </w:rPr>
        <w:t>For the foregoing reasons, we will affirm the judgment of the District Court.</w:t>
      </w:r>
    </w:p>
    <w:p w14:paraId="06AC5078" w14:textId="77777777" w:rsidR="00D041A2" w:rsidRDefault="00D041A2">
      <w:pPr>
        <w:pStyle w:val="Normal42"/>
      </w:pPr>
    </w:p>
    <w:p w14:paraId="1B97BF26" w14:textId="166F54FD" w:rsidR="00D041A2" w:rsidRDefault="00000000">
      <w:pPr>
        <w:pStyle w:val="Normal42"/>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53472" behindDoc="0" locked="0" layoutInCell="1" allowOverlap="1" wp14:anchorId="62CA559B" wp14:editId="200261D1">
                <wp:simplePos x="0" y="0"/>
                <wp:positionH relativeFrom="column">
                  <wp:posOffset>0</wp:posOffset>
                </wp:positionH>
                <wp:positionV relativeFrom="paragraph">
                  <wp:posOffset>127000</wp:posOffset>
                </wp:positionV>
                <wp:extent cx="6502400" cy="0"/>
                <wp:effectExtent l="9525" t="12700" r="12700" b="6350"/>
                <wp:wrapNone/>
                <wp:docPr id="14666179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98E36" id="Line 95"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78CC715" w14:textId="77777777" w:rsidR="00D041A2" w:rsidRDefault="00D041A2">
      <w:pPr>
        <w:pStyle w:val="Normal43"/>
        <w:sectPr w:rsidR="00D041A2">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gutter="0"/>
          <w:cols w:space="720"/>
          <w:titlePg/>
        </w:sectPr>
      </w:pPr>
    </w:p>
    <w:p w14:paraId="5EBE45E5" w14:textId="77777777" w:rsidR="00D041A2" w:rsidRDefault="00D041A2">
      <w:pPr>
        <w:pStyle w:val="Normal43"/>
      </w:pPr>
    </w:p>
    <w:p w14:paraId="448C5728" w14:textId="77777777" w:rsidR="00D041A2" w:rsidRDefault="00000000">
      <w:pPr>
        <w:pStyle w:val="Heading142"/>
        <w:keepNext w:val="0"/>
        <w:widowControl w:val="0"/>
        <w:spacing w:after="200" w:line="340" w:lineRule="atLeast"/>
        <w:jc w:val="center"/>
      </w:pPr>
      <w:r>
        <w:rPr>
          <w:rFonts w:eastAsia="Arial"/>
          <w:color w:val="000000"/>
          <w:sz w:val="28"/>
        </w:rPr>
        <w:t>Wilkerson v. Shinseki</w:t>
      </w:r>
    </w:p>
    <w:p w14:paraId="56F861C3" w14:textId="77777777" w:rsidR="00D041A2" w:rsidRDefault="00000000">
      <w:pPr>
        <w:pStyle w:val="Normal43"/>
        <w:widowControl w:val="0"/>
        <w:spacing w:before="120" w:line="260" w:lineRule="atLeast"/>
        <w:jc w:val="center"/>
      </w:pPr>
      <w:r>
        <w:rPr>
          <w:rFonts w:ascii="Arial" w:eastAsia="Arial" w:hAnsi="Arial" w:cs="Arial"/>
          <w:color w:val="000000"/>
          <w:sz w:val="20"/>
        </w:rPr>
        <w:t>United States Court of Appeals for the Tenth Circuit</w:t>
      </w:r>
    </w:p>
    <w:p w14:paraId="11CB5394" w14:textId="77777777" w:rsidR="00D041A2" w:rsidRDefault="00000000">
      <w:pPr>
        <w:pStyle w:val="Normal43"/>
        <w:widowControl w:val="0"/>
        <w:spacing w:before="120" w:line="260" w:lineRule="atLeast"/>
        <w:jc w:val="center"/>
      </w:pPr>
      <w:r>
        <w:rPr>
          <w:rFonts w:ascii="Arial" w:eastAsia="Arial" w:hAnsi="Arial" w:cs="Arial"/>
          <w:color w:val="000000"/>
          <w:sz w:val="20"/>
        </w:rPr>
        <w:t>June 2, 2010, Filed</w:t>
      </w:r>
    </w:p>
    <w:p w14:paraId="40521128" w14:textId="77777777" w:rsidR="00D041A2" w:rsidRDefault="00000000">
      <w:pPr>
        <w:pStyle w:val="Normal43"/>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09-8027</w:t>
      </w:r>
    </w:p>
    <w:p w14:paraId="276914CF" w14:textId="77777777" w:rsidR="00D041A2" w:rsidRDefault="00D041A2">
      <w:pPr>
        <w:pStyle w:val="Normal43"/>
        <w:widowControl w:val="0"/>
        <w:spacing w:line="240" w:lineRule="atLeast"/>
        <w:jc w:val="both"/>
      </w:pPr>
      <w:bookmarkStart w:id="5780" w:name="Bookmark_44"/>
      <w:bookmarkEnd w:id="5780"/>
    </w:p>
    <w:p w14:paraId="0550048C" w14:textId="77777777" w:rsidR="00D041A2" w:rsidRDefault="00000000">
      <w:pPr>
        <w:pStyle w:val="Normal43"/>
        <w:widowControl w:val="0"/>
        <w:spacing w:before="200" w:line="240" w:lineRule="atLeast"/>
      </w:pPr>
      <w:bookmarkStart w:id="5781" w:name="Reporter_42"/>
      <w:bookmarkEnd w:id="5781"/>
      <w:r>
        <w:rPr>
          <w:rFonts w:ascii="Arial" w:eastAsia="Arial" w:hAnsi="Arial" w:cs="Arial"/>
          <w:b/>
          <w:color w:val="000000"/>
          <w:sz w:val="18"/>
        </w:rPr>
        <w:t>Reporter</w:t>
      </w:r>
    </w:p>
    <w:p w14:paraId="69CB1CF0" w14:textId="77777777" w:rsidR="00D041A2" w:rsidRDefault="00000000">
      <w:pPr>
        <w:pStyle w:val="Normal43"/>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606 F.3d 1256 *; 2010 U.S. App. LEXIS 11135 **; 109 Fair Empl. Prac. Cas. (BNA) 660; 93 Empl. Prac. Dec. (CCH) P43,904; 23 Am. Disabilities Cas. (BNA) 321</w:t>
      </w:r>
    </w:p>
    <w:p w14:paraId="3022183A" w14:textId="77777777" w:rsidR="00D041A2" w:rsidRDefault="00000000">
      <w:pPr>
        <w:pStyle w:val="Normal43"/>
        <w:widowControl w:val="0"/>
        <w:spacing w:before="120" w:line="260" w:lineRule="atLeast"/>
      </w:pPr>
      <w:r>
        <w:rPr>
          <w:rFonts w:ascii="Arial" w:eastAsia="Arial" w:hAnsi="Arial" w:cs="Arial"/>
          <w:color w:val="000000"/>
          <w:sz w:val="20"/>
        </w:rPr>
        <w:t xml:space="preserve">FLOYD WILKERSON, Plaintiff-Appellant, v. ERIC K. SHINSEKI, </w:t>
      </w:r>
      <w:r>
        <w:rPr>
          <w:rFonts w:ascii="Arial" w:eastAsia="Arial" w:hAnsi="Arial" w:cs="Arial"/>
          <w:vertAlign w:val="superscript"/>
        </w:rPr>
        <w:footnoteReference w:customMarkFollows="1" w:id="280"/>
        <w:t>1</w:t>
      </w:r>
      <w:r>
        <w:rPr>
          <w:rFonts w:ascii="Arial" w:eastAsia="Arial" w:hAnsi="Arial" w:cs="Arial"/>
          <w:color w:val="000000"/>
          <w:sz w:val="20"/>
        </w:rPr>
        <w:t xml:space="preserve"> Secretary, United States Department of Veterans Affairs, Defendant-Appellee.</w:t>
      </w:r>
    </w:p>
    <w:p w14:paraId="27083845" w14:textId="77777777" w:rsidR="00D041A2" w:rsidRDefault="00000000">
      <w:pPr>
        <w:pStyle w:val="Normal43"/>
        <w:widowControl w:val="0"/>
        <w:spacing w:before="240" w:line="260" w:lineRule="atLeast"/>
        <w:jc w:val="both"/>
      </w:pPr>
      <w:bookmarkStart w:id="5783" w:name="Prior_History_42"/>
      <w:bookmarkEnd w:id="5783"/>
      <w:r>
        <w:rPr>
          <w:rFonts w:ascii="Arial" w:eastAsia="Arial" w:hAnsi="Arial" w:cs="Arial"/>
          <w:b/>
          <w:color w:val="000000"/>
          <w:sz w:val="20"/>
        </w:rPr>
        <w:t>Prior History:</w:t>
      </w:r>
      <w:r>
        <w:rPr>
          <w:rFonts w:ascii="Arial" w:eastAsia="Arial" w:hAnsi="Arial" w:cs="Arial"/>
          <w:color w:val="000000"/>
          <w:sz w:val="20"/>
        </w:rPr>
        <w:t>  [**1] </w:t>
      </w:r>
      <w:bookmarkStart w:id="5784" w:name="Bookmark_para_1_42"/>
      <w:bookmarkEnd w:id="5784"/>
      <w:r>
        <w:rPr>
          <w:rFonts w:ascii="Arial" w:eastAsia="Arial" w:hAnsi="Arial" w:cs="Arial"/>
          <w:color w:val="000000"/>
          <w:sz w:val="20"/>
        </w:rPr>
        <w:t>APPEAL FROM THE UNITED STATES DISTRICT COURT FOR THE DISTRICT OF WYOMING. (D.C. No. 2:08-CV-00115-CAB).</w:t>
      </w:r>
    </w:p>
    <w:p w14:paraId="016388AF" w14:textId="77777777" w:rsidR="00D041A2" w:rsidRDefault="00000000">
      <w:pPr>
        <w:pStyle w:val="Normal43"/>
        <w:widowControl w:val="0"/>
        <w:spacing w:before="240" w:line="260" w:lineRule="atLeast"/>
      </w:pPr>
      <w:bookmarkStart w:id="5785" w:name="Counsel_42"/>
      <w:bookmarkEnd w:id="5785"/>
      <w:r>
        <w:rPr>
          <w:rFonts w:ascii="Arial" w:eastAsia="Arial" w:hAnsi="Arial" w:cs="Arial"/>
          <w:b/>
          <w:color w:val="000000"/>
          <w:sz w:val="20"/>
        </w:rPr>
        <w:t>Counsel:</w:t>
      </w:r>
      <w:r>
        <w:rPr>
          <w:rFonts w:ascii="Arial" w:eastAsia="Arial" w:hAnsi="Arial" w:cs="Arial"/>
          <w:color w:val="000000"/>
          <w:sz w:val="20"/>
        </w:rPr>
        <w:t> Bruce T. Moats, Law Office of Bruce T. Moats, Cheyenne, Wyoming, for Appellant.</w:t>
      </w:r>
    </w:p>
    <w:p w14:paraId="627F5E57" w14:textId="77777777" w:rsidR="00D041A2" w:rsidRDefault="00000000">
      <w:pPr>
        <w:pStyle w:val="Normal43"/>
        <w:widowControl w:val="0"/>
        <w:spacing w:before="120" w:line="260" w:lineRule="atLeast"/>
      </w:pPr>
      <w:r>
        <w:rPr>
          <w:rFonts w:ascii="Arial" w:eastAsia="Arial" w:hAnsi="Arial" w:cs="Arial"/>
          <w:color w:val="000000"/>
          <w:sz w:val="20"/>
        </w:rPr>
        <w:t>Joseph H. Azbell, Assistant United States Attorney (Kelly H. Rankin, United States Attorney, and Carol A. Statkus, Assistant United States Attorney, with him on the brief), Cheyenne, Wyoming, for Appellee.</w:t>
      </w:r>
    </w:p>
    <w:p w14:paraId="4B53155C" w14:textId="77777777" w:rsidR="00D041A2" w:rsidRDefault="00000000">
      <w:pPr>
        <w:pStyle w:val="Normal43"/>
        <w:widowControl w:val="0"/>
        <w:spacing w:before="240" w:line="260" w:lineRule="atLeast"/>
      </w:pPr>
      <w:bookmarkStart w:id="5786" w:name="Judges_42"/>
      <w:bookmarkEnd w:id="5786"/>
      <w:r>
        <w:rPr>
          <w:rFonts w:ascii="Arial" w:eastAsia="Arial" w:hAnsi="Arial" w:cs="Arial"/>
          <w:b/>
          <w:color w:val="000000"/>
          <w:sz w:val="20"/>
        </w:rPr>
        <w:t>Judges:</w:t>
      </w:r>
      <w:r>
        <w:rPr>
          <w:rFonts w:ascii="Arial" w:eastAsia="Arial" w:hAnsi="Arial" w:cs="Arial"/>
          <w:color w:val="000000"/>
          <w:sz w:val="20"/>
        </w:rPr>
        <w:t> Before TACHA, HENRY, and HARTZ, Circuit Judges.</w:t>
      </w:r>
    </w:p>
    <w:p w14:paraId="4D6742FD" w14:textId="77777777" w:rsidR="00D041A2" w:rsidRDefault="00000000">
      <w:pPr>
        <w:pStyle w:val="Normal43"/>
        <w:widowControl w:val="0"/>
        <w:spacing w:before="240" w:line="260" w:lineRule="atLeast"/>
      </w:pPr>
      <w:bookmarkStart w:id="5787" w:name="Opinion_by_24"/>
      <w:bookmarkEnd w:id="5787"/>
      <w:r>
        <w:rPr>
          <w:rFonts w:ascii="Arial" w:eastAsia="Arial" w:hAnsi="Arial" w:cs="Arial"/>
          <w:b/>
          <w:color w:val="000000"/>
          <w:sz w:val="20"/>
        </w:rPr>
        <w:t>Opinion by:</w:t>
      </w:r>
      <w:r>
        <w:rPr>
          <w:rFonts w:ascii="Arial" w:eastAsia="Arial" w:hAnsi="Arial" w:cs="Arial"/>
          <w:color w:val="000000"/>
          <w:sz w:val="20"/>
        </w:rPr>
        <w:t> HENRY</w:t>
      </w:r>
    </w:p>
    <w:p w14:paraId="0D81B237" w14:textId="77777777" w:rsidR="00D041A2" w:rsidRDefault="00000000">
      <w:pPr>
        <w:pStyle w:val="Normal43"/>
        <w:keepNext/>
        <w:widowControl w:val="0"/>
        <w:spacing w:before="240" w:line="340" w:lineRule="atLeast"/>
      </w:pPr>
      <w:bookmarkStart w:id="5788" w:name="Opinion_42"/>
      <w:bookmarkEnd w:id="5788"/>
      <w:r>
        <w:rPr>
          <w:rFonts w:ascii="Arial" w:eastAsia="Arial" w:hAnsi="Arial" w:cs="Arial"/>
          <w:b/>
          <w:color w:val="000000"/>
          <w:sz w:val="28"/>
        </w:rPr>
        <w:t>Opinion</w:t>
      </w:r>
    </w:p>
    <w:p w14:paraId="439E9457" w14:textId="601023B6" w:rsidR="00D041A2" w:rsidRDefault="004D4403">
      <w:pPr>
        <w:pStyle w:val="Normal43"/>
        <w:spacing w:line="60" w:lineRule="exact"/>
      </w:pPr>
      <w:r>
        <w:rPr>
          <w:noProof/>
        </w:rPr>
        <mc:AlternateContent>
          <mc:Choice Requires="wps">
            <w:drawing>
              <wp:anchor distT="0" distB="0" distL="114300" distR="114300" simplePos="0" relativeHeight="251754496" behindDoc="0" locked="0" layoutInCell="1" allowOverlap="1" wp14:anchorId="07430809" wp14:editId="2EB7E670">
                <wp:simplePos x="0" y="0"/>
                <wp:positionH relativeFrom="column">
                  <wp:posOffset>0</wp:posOffset>
                </wp:positionH>
                <wp:positionV relativeFrom="paragraph">
                  <wp:posOffset>25400</wp:posOffset>
                </wp:positionV>
                <wp:extent cx="3187700" cy="0"/>
                <wp:effectExtent l="19050" t="15875" r="12700" b="12700"/>
                <wp:wrapTopAndBottom/>
                <wp:docPr id="892767591"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3FD6E8" id="Line 96"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5AD9576" w14:textId="77777777" w:rsidR="00D041A2" w:rsidRDefault="00D041A2">
      <w:pPr>
        <w:pStyle w:val="Normal43"/>
      </w:pPr>
    </w:p>
    <w:p w14:paraId="5F4BB11F" w14:textId="77777777" w:rsidR="00D041A2" w:rsidRDefault="00000000">
      <w:pPr>
        <w:pStyle w:val="Normal43"/>
        <w:widowControl w:val="0"/>
        <w:spacing w:before="200" w:line="260" w:lineRule="atLeast"/>
        <w:jc w:val="both"/>
      </w:pPr>
      <w:bookmarkStart w:id="5789" w:name="Bookmark_para_2_42"/>
      <w:bookmarkEnd w:id="5789"/>
      <w:r>
        <w:rPr>
          <w:rFonts w:ascii="Arial" w:eastAsia="Arial" w:hAnsi="Arial" w:cs="Arial"/>
          <w:color w:val="000000"/>
          <w:sz w:val="20"/>
        </w:rPr>
        <w:t xml:space="preserve"> [*1260]  </w:t>
      </w:r>
      <w:r>
        <w:rPr>
          <w:rFonts w:ascii="Arial" w:eastAsia="Arial" w:hAnsi="Arial" w:cs="Arial"/>
          <w:b/>
          <w:color w:val="000000"/>
          <w:sz w:val="20"/>
        </w:rPr>
        <w:t>HENRY</w:t>
      </w:r>
      <w:r>
        <w:rPr>
          <w:rFonts w:ascii="Arial" w:eastAsia="Arial" w:hAnsi="Arial" w:cs="Arial"/>
          <w:color w:val="000000"/>
          <w:sz w:val="20"/>
        </w:rPr>
        <w:t>, Circuit Judge.</w:t>
      </w:r>
    </w:p>
    <w:p w14:paraId="75D6E99F" w14:textId="77777777" w:rsidR="00D041A2" w:rsidRDefault="00000000">
      <w:pPr>
        <w:pStyle w:val="Normal43"/>
        <w:widowControl w:val="0"/>
        <w:spacing w:before="200" w:line="260" w:lineRule="atLeast"/>
        <w:jc w:val="both"/>
      </w:pPr>
      <w:bookmarkStart w:id="5790" w:name="Bookmark_para_3_42"/>
      <w:bookmarkEnd w:id="5790"/>
      <w:r>
        <w:rPr>
          <w:rFonts w:ascii="Arial" w:eastAsia="Arial" w:hAnsi="Arial" w:cs="Arial"/>
          <w:color w:val="000000"/>
          <w:sz w:val="20"/>
        </w:rPr>
        <w:t xml:space="preserve">Floyd Wilkerson worked on a temporary basis at the Cheyenne Veteran Affairs Medical Center as a boiler plant operator. Following a failed physical examination, the human resources manager notified him that he was reassigned to a lower paid position. Mr. Wilkerson brought suit against the Secretary of the U.S. Department of Veterans Affairs (the "VA"), claiming that this reassignment discriminated against him based on his obesity and diabetes, in violation of the Rehabilitation Act of 1973, 29 U.S.C. § 791 </w:t>
      </w:r>
      <w:r>
        <w:rPr>
          <w:rFonts w:ascii="Arial" w:eastAsia="Arial" w:hAnsi="Arial" w:cs="Arial"/>
          <w:i/>
          <w:color w:val="000000"/>
          <w:sz w:val="20"/>
        </w:rPr>
        <w:t>et seq</w:t>
      </w:r>
      <w:r>
        <w:rPr>
          <w:rFonts w:ascii="Arial" w:eastAsia="Arial" w:hAnsi="Arial" w:cs="Arial"/>
          <w:color w:val="000000"/>
          <w:sz w:val="20"/>
        </w:rPr>
        <w:t>., and that age discrimination played a role in his reassignment in violation of the Age Discrimination in Employment Act (the "ADEA"), 29 U.S.C. §§ 626 and 633a(a). Mr. Wilkerson later tried to amend his complaint to allege  [**2] that his health records were illegally accessed in violation of the Privacy Act, 5 U.S.C. § 552a. The district court granted summary judgment for the VA on all counts and denied Mr. Wilkerson's motion for leave to amend the complaint to allege the Privacy Act claim.</w:t>
      </w:r>
    </w:p>
    <w:p w14:paraId="50CD6029" w14:textId="77777777" w:rsidR="00D041A2" w:rsidRDefault="00000000">
      <w:pPr>
        <w:pStyle w:val="Normal43"/>
        <w:widowControl w:val="0"/>
        <w:spacing w:before="200" w:line="260" w:lineRule="atLeast"/>
        <w:jc w:val="both"/>
      </w:pPr>
      <w:bookmarkStart w:id="5791" w:name="Bookmark_para_4_42"/>
      <w:bookmarkEnd w:id="5791"/>
      <w:r>
        <w:rPr>
          <w:rFonts w:ascii="Arial" w:eastAsia="Arial" w:hAnsi="Arial" w:cs="Arial"/>
          <w:color w:val="000000"/>
          <w:sz w:val="20"/>
        </w:rPr>
        <w:t>Because we find that Mr. Wilkerson was not otherwise qualified to hold the position as required by the Rehabilitation Act, we affirm the grant of summaryjudgment as to this claim. We also affirm the district court's grant of summary judgment as to his age discrimination claim because the VA had a non-discriminatory reason for removing Mr. Wilkerson that was not pretextual. Finally, because Mr. Wilkerson has not alleged that the accessing of the records was intentional misconduct, as required by the Privacy Act, we affirm the district court's denial of leave to amend the complaint.</w:t>
      </w:r>
    </w:p>
    <w:p w14:paraId="71EEF835" w14:textId="77777777" w:rsidR="00D041A2" w:rsidRDefault="00000000">
      <w:pPr>
        <w:pStyle w:val="Normal43"/>
        <w:widowControl w:val="0"/>
        <w:spacing w:before="120" w:line="260" w:lineRule="atLeast"/>
      </w:pPr>
      <w:r>
        <w:rPr>
          <w:rFonts w:ascii="Arial" w:eastAsia="Arial" w:hAnsi="Arial" w:cs="Arial"/>
          <w:color w:val="000000"/>
          <w:sz w:val="20"/>
        </w:rPr>
        <w:t xml:space="preserve">I. </w:t>
      </w:r>
      <w:r>
        <w:rPr>
          <w:rFonts w:ascii="Arial" w:eastAsia="Arial" w:hAnsi="Arial" w:cs="Arial"/>
          <w:color w:val="000000"/>
          <w:sz w:val="20"/>
          <w:u w:val="single"/>
        </w:rPr>
        <w:t>BACKGROUND</w:t>
      </w:r>
    </w:p>
    <w:p w14:paraId="77B4F7FF" w14:textId="77777777" w:rsidR="00D041A2" w:rsidRDefault="00000000">
      <w:pPr>
        <w:pStyle w:val="Normal43"/>
        <w:widowControl w:val="0"/>
        <w:spacing w:before="200" w:line="260" w:lineRule="atLeast"/>
        <w:jc w:val="both"/>
      </w:pPr>
      <w:bookmarkStart w:id="5792" w:name="Bookmark_para_5_42"/>
      <w:bookmarkEnd w:id="5792"/>
      <w:r>
        <w:rPr>
          <w:rFonts w:ascii="Arial" w:eastAsia="Arial" w:hAnsi="Arial" w:cs="Arial"/>
          <w:color w:val="000000"/>
          <w:sz w:val="20"/>
        </w:rPr>
        <w:t>Mr. Wilkerson is employed by the Department of Veterans Affairs in Cheyenne, Wyoming. In February 2003, he began work at the VA as a boiler plant operator under a temporary appointment. When that appointment ended in July 2003, the VA hired Mr. Wilkerson as a full-time permanent employee in housekeeping. In February 2005, Mr. Wilkerson  [**3] was temporarily reassigned once again to work as a boiler plant operator due to a shortage of employees.</w:t>
      </w:r>
    </w:p>
    <w:p w14:paraId="749ADD75" w14:textId="77777777" w:rsidR="00D041A2" w:rsidRDefault="00000000">
      <w:pPr>
        <w:pStyle w:val="Normal43"/>
        <w:widowControl w:val="0"/>
        <w:spacing w:before="200" w:line="260" w:lineRule="atLeast"/>
        <w:jc w:val="both"/>
      </w:pPr>
      <w:bookmarkStart w:id="5793" w:name="Bookmark_para_6_42"/>
      <w:bookmarkEnd w:id="5793"/>
      <w:r>
        <w:rPr>
          <w:rFonts w:ascii="Arial" w:eastAsia="Arial" w:hAnsi="Arial" w:cs="Arial"/>
          <w:color w:val="000000"/>
          <w:sz w:val="20"/>
        </w:rPr>
        <w:t>VA directives require that all boiler plant operators complete an annual fitness exam. In early 2007, because of an apparent oversight, the VA discovered that Mr. Wilkerson had not completed an annual fitness exam up to this point. Nurse Practitioner Ann Enlow conducted Mr. Wilkerson's physical examination on February 1, 2007. The exam results noted that Mr. Wilkerson was obese (at 6'3", Mr. Wilkerson weighed 338 pounds) and had diabetes. Ms. Enlow forwarded her report to Dr. James Johnson, an employee health physician at the VA. After reviewing Ms. Enlow's report, Dr. Johnson accessed Mr. Wilkerson's electronic patient records (Mr. Wilkerson had sought medical treatment at the VA for numerous years). From these records and Ms. Enlow's report, Dr. Johnson concluded that Mr. Wilkerson's diabetes was largely uncontrolled and uncontrollable.</w:t>
      </w:r>
    </w:p>
    <w:p w14:paraId="742EBA07" w14:textId="77777777" w:rsidR="00D041A2" w:rsidRDefault="00000000">
      <w:pPr>
        <w:pStyle w:val="Normal43"/>
        <w:widowControl w:val="0"/>
        <w:spacing w:before="200" w:line="260" w:lineRule="atLeast"/>
        <w:jc w:val="both"/>
      </w:pPr>
      <w:bookmarkStart w:id="5794" w:name="Bookmark_para_7_42"/>
      <w:bookmarkEnd w:id="5794"/>
      <w:r>
        <w:rPr>
          <w:rFonts w:ascii="Arial" w:eastAsia="Arial" w:hAnsi="Arial" w:cs="Arial"/>
          <w:color w:val="000000"/>
          <w:sz w:val="20"/>
        </w:rPr>
        <w:t>Dr. Johnson spoke to the boiler room supervisors about the physical requirements of the job, as well as with members of the engineering department and human resources. Ultimately, Dr. Johnson concluded that Mr. Wilkerson was unable to meet the minimum  [**4] requirements of the boiler plant operator position.</w:t>
      </w:r>
    </w:p>
    <w:p w14:paraId="3FA3875E" w14:textId="77777777" w:rsidR="00D041A2" w:rsidRDefault="00000000">
      <w:pPr>
        <w:pStyle w:val="Normal43"/>
        <w:widowControl w:val="0"/>
        <w:spacing w:before="200" w:line="260" w:lineRule="atLeast"/>
        <w:jc w:val="both"/>
      </w:pPr>
      <w:bookmarkStart w:id="5795" w:name="Bookmark_para_8_41"/>
      <w:bookmarkEnd w:id="5795"/>
      <w:r>
        <w:rPr>
          <w:rFonts w:ascii="Arial" w:eastAsia="Arial" w:hAnsi="Arial" w:cs="Arial"/>
          <w:color w:val="000000"/>
          <w:sz w:val="20"/>
        </w:rPr>
        <w:t> [*1261]  The VA Center for Engineering &amp; Occupational Safety and Health (CEOSH) has established guidelines for work as a boiler plant operator at a VA facility. The guidelines state that "Applicants for all boiler plant operators and heating and boiler plant equipment mechanic positions must demonstrate to the Occupational Health Provider's satisfaction that they are capable of arduous physical exertion." Aple's App. at 00092. Such employees, the guidelines report:</w:t>
      </w:r>
    </w:p>
    <w:p w14:paraId="7F8CFF7B" w14:textId="77777777" w:rsidR="00D041A2" w:rsidRDefault="00000000">
      <w:pPr>
        <w:pStyle w:val="Normal43"/>
        <w:widowControl w:val="0"/>
        <w:spacing w:line="260" w:lineRule="atLeast"/>
        <w:ind w:left="400"/>
        <w:jc w:val="both"/>
      </w:pPr>
      <w:bookmarkStart w:id="5796" w:name="Bookmark_para_9_39"/>
      <w:bookmarkEnd w:id="5796"/>
      <w:r>
        <w:rPr>
          <w:rFonts w:ascii="Arial" w:eastAsia="Arial" w:hAnsi="Arial" w:cs="Arial"/>
          <w:color w:val="000000"/>
          <w:sz w:val="20"/>
        </w:rPr>
        <w:t>frequently work in confined areas in and around boilers and support equipment. The work requires moderate to strenuous effort and long periods of walking, standing, climbing, bending and crouching. Workers frequently lift and carry boiler parts and chemical supplies weighing up to 40 pounds unassisted and occasionally items weighing over 40 pounds with assistance of other workers or weight-handling equipment.</w:t>
      </w:r>
    </w:p>
    <w:p w14:paraId="5F3205D2" w14:textId="77777777" w:rsidR="00D041A2" w:rsidRDefault="00000000">
      <w:pPr>
        <w:pStyle w:val="Normal43"/>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The guidelines then state that any "structural or functional limitation or defect that interferes materially with a high degree of physical activity will disqualify the individual" and sets a number of criteria that are "exclusionary," among these are "[u]ncontrolled or poorly  [**5] controlled insulin-dependent diabetes." </w:t>
      </w:r>
      <w:r>
        <w:rPr>
          <w:rFonts w:ascii="Arial" w:eastAsia="Arial" w:hAnsi="Arial" w:cs="Arial"/>
          <w:i/>
          <w:color w:val="000000"/>
          <w:sz w:val="20"/>
        </w:rPr>
        <w:t>Id</w:t>
      </w:r>
      <w:r>
        <w:rPr>
          <w:rFonts w:ascii="Arial" w:eastAsia="Arial" w:hAnsi="Arial" w:cs="Arial"/>
          <w:color w:val="000000"/>
          <w:sz w:val="20"/>
        </w:rPr>
        <w:t xml:space="preserve">. at 00092, 00093. Finally, "boiler plant operators must have annual physical examinations to ensure physical fitness to perform assigned duties." </w:t>
      </w:r>
      <w:r>
        <w:rPr>
          <w:rFonts w:ascii="Arial" w:eastAsia="Arial" w:hAnsi="Arial" w:cs="Arial"/>
          <w:i/>
          <w:color w:val="000000"/>
          <w:sz w:val="20"/>
        </w:rPr>
        <w:t>Id</w:t>
      </w:r>
      <w:r>
        <w:rPr>
          <w:rFonts w:ascii="Arial" w:eastAsia="Arial" w:hAnsi="Arial" w:cs="Arial"/>
          <w:color w:val="000000"/>
          <w:sz w:val="20"/>
        </w:rPr>
        <w:t>.</w:t>
      </w:r>
    </w:p>
    <w:p w14:paraId="1D16381C" w14:textId="77777777" w:rsidR="00D041A2" w:rsidRDefault="00000000">
      <w:pPr>
        <w:pStyle w:val="Normal43"/>
        <w:widowControl w:val="0"/>
        <w:spacing w:before="200" w:line="260" w:lineRule="atLeast"/>
        <w:jc w:val="both"/>
      </w:pPr>
      <w:bookmarkStart w:id="5797" w:name="Bookmark_para_10_39"/>
      <w:bookmarkEnd w:id="5797"/>
      <w:r>
        <w:rPr>
          <w:rFonts w:ascii="Arial" w:eastAsia="Arial" w:hAnsi="Arial" w:cs="Arial"/>
          <w:color w:val="000000"/>
          <w:sz w:val="20"/>
        </w:rPr>
        <w:t xml:space="preserve">Accordingly, Dr. Johnson called Sandra Willoughby, the Human Resources Officer for the VA at the time, and told her that Mr. Wilkerson had failed his physical, noting Mr. Wilkerson's uncontrolled diabetes and his concern about Mr. Wilkerson's ability to perform challenging physical tasks. Ms. Willoughby told Mr. Wilkerson that he failed his physical, and that he no longer met the environmental requirements for a boiler plant operator because he weighed over 300 pounds and the ladders in the boiler plant only supported up to 300 pounds. After he received the letter, Mr. Wilkerson requested that special accommodations be made for his weight; specifically he asked that the VA purchase ladders that would support his weight. According to the deposition testimony of Ms. Willoughby, the VA considered this option but dismissed it because the other issues raised by the physical would still preclude his safe employment. </w:t>
      </w:r>
      <w:r>
        <w:rPr>
          <w:rFonts w:ascii="Arial" w:eastAsia="Arial" w:hAnsi="Arial" w:cs="Arial"/>
          <w:i/>
          <w:color w:val="000000"/>
          <w:sz w:val="20"/>
        </w:rPr>
        <w:t>Id</w:t>
      </w:r>
      <w:r>
        <w:rPr>
          <w:rFonts w:ascii="Arial" w:eastAsia="Arial" w:hAnsi="Arial" w:cs="Arial"/>
          <w:color w:val="000000"/>
          <w:sz w:val="20"/>
        </w:rPr>
        <w:t xml:space="preserve">. at 00066 (Deposition of Ms. Willoughby). Ms. Willoughby informed Mr. Wilkerson that  [**6] the VA was reassigning him back to housekeeping, effective the next day. </w:t>
      </w:r>
      <w:r>
        <w:rPr>
          <w:rFonts w:ascii="Arial" w:eastAsia="Arial" w:hAnsi="Arial" w:cs="Arial"/>
          <w:i/>
          <w:color w:val="000000"/>
          <w:sz w:val="20"/>
        </w:rPr>
        <w:t>Id</w:t>
      </w:r>
      <w:r>
        <w:rPr>
          <w:rFonts w:ascii="Arial" w:eastAsia="Arial" w:hAnsi="Arial" w:cs="Arial"/>
          <w:color w:val="000000"/>
          <w:sz w:val="20"/>
        </w:rPr>
        <w:t>. at 00032.</w:t>
      </w:r>
    </w:p>
    <w:p w14:paraId="78735672" w14:textId="77777777" w:rsidR="00D041A2" w:rsidRDefault="00000000">
      <w:pPr>
        <w:pStyle w:val="Normal43"/>
        <w:widowControl w:val="0"/>
        <w:spacing w:before="200" w:line="260" w:lineRule="atLeast"/>
        <w:jc w:val="both"/>
      </w:pPr>
      <w:bookmarkStart w:id="5798" w:name="Bookmark_para_11_37"/>
      <w:bookmarkEnd w:id="5798"/>
      <w:r>
        <w:rPr>
          <w:rFonts w:ascii="Arial" w:eastAsia="Arial" w:hAnsi="Arial" w:cs="Arial"/>
          <w:color w:val="000000"/>
          <w:sz w:val="20"/>
        </w:rPr>
        <w:t>After Mr. Wilkerson's reassignment to housekeeping, his pay grade fell eight levels, from WG-10 to WG-2, and his hourly pay decreased from $ 21.98 an hour to $ 12.51 an hour.</w:t>
      </w:r>
    </w:p>
    <w:p w14:paraId="7BC8502B" w14:textId="77777777" w:rsidR="00D041A2" w:rsidRDefault="00000000">
      <w:pPr>
        <w:pStyle w:val="Normal43"/>
        <w:widowControl w:val="0"/>
        <w:spacing w:before="200" w:line="260" w:lineRule="atLeast"/>
        <w:jc w:val="both"/>
      </w:pPr>
      <w:bookmarkStart w:id="5799" w:name="Bookmark_para_12_36"/>
      <w:bookmarkEnd w:id="5799"/>
      <w:r>
        <w:rPr>
          <w:rFonts w:ascii="Arial" w:eastAsia="Arial" w:hAnsi="Arial" w:cs="Arial"/>
          <w:color w:val="000000"/>
          <w:sz w:val="20"/>
        </w:rPr>
        <w:t xml:space="preserve">Mr. Wilkerson brought suit against the Department of Veterans Affairs Secretary, James B. Peake, alleging that the VA had discriminated against him in violation of the Rehabilitation Act, 29 U.S.C. §§ 791, 794, that the VA failed to accommodate his disability, 42 U.S.C. § 12112 </w:t>
      </w:r>
      <w:r>
        <w:rPr>
          <w:rFonts w:ascii="Arial" w:eastAsia="Arial" w:hAnsi="Arial" w:cs="Arial"/>
          <w:i/>
          <w:color w:val="000000"/>
          <w:sz w:val="20"/>
        </w:rPr>
        <w:t>et seq</w:t>
      </w:r>
      <w:r>
        <w:rPr>
          <w:rFonts w:ascii="Arial" w:eastAsia="Arial" w:hAnsi="Arial" w:cs="Arial"/>
          <w:color w:val="000000"/>
          <w:sz w:val="20"/>
        </w:rPr>
        <w:t>., and that he was unlawfully discriminated against based on his age in violation of the ADEA, 29 U.S.C. § 626 and 633a(a). While the VA's summaryjudgment motions were pending, Mr. Wilkerson asked for leave to amend his complaint to include a violation of the Privacy Act, 5 U.S.C. § 552a, alleging that Dr. Johnson wrongfully accessed Mr. Wilkerson's private medical records.</w:t>
      </w:r>
    </w:p>
    <w:p w14:paraId="4EB86C18" w14:textId="77777777" w:rsidR="00D041A2" w:rsidRDefault="00000000">
      <w:pPr>
        <w:pStyle w:val="Normal43"/>
        <w:widowControl w:val="0"/>
        <w:spacing w:before="200" w:line="260" w:lineRule="atLeast"/>
        <w:jc w:val="both"/>
      </w:pPr>
      <w:bookmarkStart w:id="5800" w:name="Bookmark_para_13_34"/>
      <w:bookmarkEnd w:id="5800"/>
      <w:r>
        <w:rPr>
          <w:rFonts w:ascii="Arial" w:eastAsia="Arial" w:hAnsi="Arial" w:cs="Arial"/>
          <w:color w:val="000000"/>
          <w:sz w:val="20"/>
        </w:rPr>
        <w:t>The district court granted summaryjudgment for the VA as to all of Mr. Wilkerson's claims. The district court also denied Mr. Wilkerson's motion for leave to file his amended complaint, ruling that any amendment would be futile. Mr. Wilkerson now appeals.</w:t>
      </w:r>
    </w:p>
    <w:p w14:paraId="1417B2E8" w14:textId="77777777" w:rsidR="00D041A2" w:rsidRDefault="00000000">
      <w:pPr>
        <w:pStyle w:val="Normal43"/>
        <w:widowControl w:val="0"/>
        <w:spacing w:before="240" w:line="260" w:lineRule="atLeast"/>
      </w:pPr>
      <w:r>
        <w:br/>
      </w:r>
      <w:r>
        <w:rPr>
          <w:rFonts w:ascii="Arial" w:eastAsia="Arial" w:hAnsi="Arial" w:cs="Arial"/>
          <w:color w:val="000000"/>
          <w:sz w:val="20"/>
        </w:rPr>
        <w:t xml:space="preserve"> [*1262]  II. </w:t>
      </w:r>
      <w:r>
        <w:rPr>
          <w:rFonts w:ascii="Arial" w:eastAsia="Arial" w:hAnsi="Arial" w:cs="Arial"/>
          <w:color w:val="000000"/>
          <w:sz w:val="20"/>
          <w:u w:val="single"/>
        </w:rPr>
        <w:t>ANALYSIS</w:t>
      </w:r>
    </w:p>
    <w:p w14:paraId="6C372E1E" w14:textId="77777777" w:rsidR="00D041A2" w:rsidRDefault="00000000">
      <w:pPr>
        <w:pStyle w:val="Normal43"/>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Rehabilitation  [**7] Act claim</w:t>
      </w:r>
    </w:p>
    <w:p w14:paraId="1BF12BD0" w14:textId="77777777" w:rsidR="00D041A2" w:rsidRDefault="00000000">
      <w:pPr>
        <w:pStyle w:val="Normal43"/>
        <w:widowControl w:val="0"/>
        <w:spacing w:before="200" w:line="260" w:lineRule="atLeast"/>
        <w:jc w:val="both"/>
      </w:pPr>
      <w:bookmarkStart w:id="5801" w:name="Bookmark_para_14_30"/>
      <w:bookmarkStart w:id="5802" w:name="Bookmark_I50CCPPK0K1MNJ2DS0000400"/>
      <w:bookmarkEnd w:id="5801"/>
      <w:bookmarkEnd w:id="5802"/>
      <w:r>
        <w:rPr>
          <w:rFonts w:ascii="Arial" w:eastAsia="Arial" w:hAnsi="Arial" w:cs="Arial"/>
          <w:color w:val="000000"/>
          <w:sz w:val="20"/>
        </w:rPr>
        <w:t xml:space="preserve">Mr. Wilkerson alleges that he was reassigned based on his diabetes and obesity, in violation of the Rehabilitation Act. </w:t>
      </w:r>
      <w:bookmarkStart w:id="5803" w:name="Bookmark_LNHNREFclscc1_32"/>
      <w:bookmarkEnd w:id="5803"/>
      <w:r>
        <w:rPr>
          <w:rFonts w:ascii="Arial" w:eastAsia="Arial" w:hAnsi="Arial" w:cs="Arial"/>
          <w:color w:val="000000"/>
          <w:sz w:val="20"/>
        </w:rPr>
        <w:t xml:space="preserve">We review the district court's grant of summary judgment de novo, applying the same legal standard used by the district court. </w:t>
      </w:r>
      <w:bookmarkStart w:id="5804" w:name="Bookmark_I50CCPPK0K1MNJ2DV0000400"/>
      <w:bookmarkStart w:id="5805" w:name="Bookmark_I50CCPPK0K1MNJ2DR0000400"/>
      <w:bookmarkEnd w:id="5804"/>
      <w:bookmarkEnd w:id="5805"/>
      <w:r>
        <w:rPr>
          <w:rFonts w:ascii="Arial" w:eastAsia="Arial" w:hAnsi="Arial" w:cs="Arial"/>
          <w:i/>
          <w:color w:val="000000"/>
          <w:sz w:val="20"/>
        </w:rPr>
        <w:t>Somoza v. Univ. of Denver</w:t>
      </w:r>
      <w:r>
        <w:rPr>
          <w:rFonts w:ascii="Arial" w:eastAsia="Arial" w:hAnsi="Arial" w:cs="Arial"/>
          <w:color w:val="000000"/>
          <w:sz w:val="20"/>
        </w:rPr>
        <w:t xml:space="preserve">, 513 F.3d 1206, 1211 (10th Cir. 2008). </w:t>
      </w:r>
      <w:bookmarkStart w:id="5806" w:name="Bookmark_LNHNREFclscc2_32"/>
      <w:bookmarkStart w:id="5807" w:name="Bookmark_I50CCPPK0K1MNJ2DV0000400_2"/>
      <w:bookmarkEnd w:id="5806"/>
      <w:bookmarkEnd w:id="5807"/>
      <w:r>
        <w:rPr>
          <w:rFonts w:ascii="Arial" w:eastAsia="Arial" w:hAnsi="Arial" w:cs="Arial"/>
          <w:color w:val="000000"/>
          <w:sz w:val="20"/>
        </w:rPr>
        <w:t xml:space="preserve">"Summary judgment is appropriate 'if the pleadings, the discovery and disclosure materials on file, and any affidavits show that there is no genuine issue as to any material fact and that the movant is entitled to judgment as a matter of law.'" </w:t>
      </w:r>
      <w:r>
        <w:rPr>
          <w:rFonts w:ascii="Arial" w:eastAsia="Arial" w:hAnsi="Arial" w:cs="Arial"/>
          <w:i/>
          <w:color w:val="000000"/>
          <w:sz w:val="20"/>
        </w:rPr>
        <w:t>Id</w:t>
      </w:r>
      <w:r>
        <w:rPr>
          <w:rFonts w:ascii="Arial" w:eastAsia="Arial" w:hAnsi="Arial" w:cs="Arial"/>
          <w:color w:val="000000"/>
          <w:sz w:val="20"/>
        </w:rPr>
        <w:t>. (quoting Fed. R. Civ. P. 56(c)).</w:t>
      </w:r>
      <w:bookmarkStart w:id="5808" w:name="Bookmark_LNHNREFclscc3_30"/>
      <w:bookmarkEnd w:id="5808"/>
      <w:r>
        <w:rPr>
          <w:rFonts w:ascii="Arial" w:eastAsia="Arial" w:hAnsi="Arial" w:cs="Arial"/>
          <w:color w:val="000000"/>
          <w:sz w:val="20"/>
        </w:rPr>
        <w:t xml:space="preserve"> "When applying this standard, we examine the factual record in the light most favorable to the party opposing summary judgment." </w:t>
      </w:r>
      <w:bookmarkStart w:id="5809" w:name="Bookmark_I50CCPPK0K1MNJ2DT0000400"/>
      <w:bookmarkEnd w:id="5809"/>
      <w:r>
        <w:rPr>
          <w:rFonts w:ascii="Arial" w:eastAsia="Arial" w:hAnsi="Arial" w:cs="Arial"/>
          <w:i/>
          <w:color w:val="000000"/>
          <w:sz w:val="20"/>
        </w:rPr>
        <w:t>Belhomme v. Widnall</w:t>
      </w:r>
      <w:r>
        <w:rPr>
          <w:rFonts w:ascii="Arial" w:eastAsia="Arial" w:hAnsi="Arial" w:cs="Arial"/>
          <w:color w:val="000000"/>
          <w:sz w:val="20"/>
        </w:rPr>
        <w:t>, 127 F.3d 1214, 1216 (10th Cir. 1997).</w:t>
      </w:r>
    </w:p>
    <w:p w14:paraId="0E2A883B" w14:textId="77777777" w:rsidR="00D041A2" w:rsidRDefault="00000000">
      <w:pPr>
        <w:pStyle w:val="Normal43"/>
        <w:widowControl w:val="0"/>
        <w:spacing w:before="200" w:line="260" w:lineRule="atLeast"/>
        <w:jc w:val="both"/>
      </w:pPr>
      <w:bookmarkStart w:id="5810" w:name="Bookmark_para_15_29"/>
      <w:bookmarkStart w:id="5811" w:name="Bookmark_LNHNREFclscc4_29"/>
      <w:bookmarkStart w:id="5812" w:name="Bookmark_I53M0SSSRG900053NV4001TS"/>
      <w:bookmarkStart w:id="5813" w:name="Bookmark_I50CCPPK0K1MNJ2J90000400"/>
      <w:bookmarkStart w:id="5814" w:name="Bookmark_I50CCPPK0K1MNJ2JC0000400"/>
      <w:bookmarkEnd w:id="5810"/>
      <w:bookmarkEnd w:id="5811"/>
      <w:bookmarkEnd w:id="5812"/>
      <w:bookmarkEnd w:id="5813"/>
      <w:bookmarkEnd w:id="5814"/>
      <w:r>
        <w:rPr>
          <w:rFonts w:ascii="Arial" w:eastAsia="Arial" w:hAnsi="Arial" w:cs="Arial"/>
          <w:color w:val="000000"/>
          <w:sz w:val="20"/>
        </w:rPr>
        <w:t xml:space="preserve">To make out a prima facie case for discrimination in violation of the Rehabilitation Act, Mr. Wilkerson must establish: "(1) that [he] is disabled under the Act; (2) that he would be 'otherwise qualified' to participate in the program; (3) that the program receives federal financial assistance (or is a federal agency . . .); and (4) that the program has discriminated against the plaintiff." </w:t>
      </w:r>
      <w:bookmarkStart w:id="5815" w:name="Bookmark_I50CCPPK0K1MNJ2DW0000400"/>
      <w:bookmarkEnd w:id="5815"/>
      <w:r>
        <w:rPr>
          <w:rFonts w:ascii="Arial" w:eastAsia="Arial" w:hAnsi="Arial" w:cs="Arial"/>
          <w:i/>
          <w:color w:val="000000"/>
          <w:sz w:val="20"/>
        </w:rPr>
        <w:t>McGeshick v. Principi</w:t>
      </w:r>
      <w:r>
        <w:rPr>
          <w:rFonts w:ascii="Arial" w:eastAsia="Arial" w:hAnsi="Arial" w:cs="Arial"/>
          <w:color w:val="000000"/>
          <w:sz w:val="20"/>
        </w:rPr>
        <w:t>, 357 F.3d 1146, 1150 (10th Cir. 2004).  [**8] </w:t>
      </w:r>
      <w:bookmarkStart w:id="5816" w:name="Bookmark_LNHNREFclscc5_29"/>
      <w:bookmarkEnd w:id="5816"/>
      <w:r>
        <w:rPr>
          <w:rFonts w:ascii="Arial" w:eastAsia="Arial" w:hAnsi="Arial" w:cs="Arial"/>
          <w:color w:val="000000"/>
          <w:sz w:val="20"/>
        </w:rPr>
        <w:t xml:space="preserve">We apply the standards from the American with Disabilities Act in analyzing a Rehabilitation Act claim. 29 U.S.C. § 791(g); </w:t>
      </w:r>
      <w:bookmarkStart w:id="5817" w:name="Bookmark_I50CCPPK0K1MNJ2JB0000400"/>
      <w:bookmarkEnd w:id="5817"/>
      <w:r>
        <w:rPr>
          <w:rFonts w:ascii="Arial" w:eastAsia="Arial" w:hAnsi="Arial" w:cs="Arial"/>
          <w:i/>
          <w:color w:val="000000"/>
          <w:sz w:val="20"/>
        </w:rPr>
        <w:t>Jarvis v. Potter</w:t>
      </w:r>
      <w:r>
        <w:rPr>
          <w:rFonts w:ascii="Arial" w:eastAsia="Arial" w:hAnsi="Arial" w:cs="Arial"/>
          <w:color w:val="000000"/>
          <w:sz w:val="20"/>
        </w:rPr>
        <w:t>, 500 F.3d 1113, 1121 (10th Cir. 2007) ("We . . . look to the ADA for guidance in resolving Rehabilitation Act claims.").</w:t>
      </w:r>
    </w:p>
    <w:p w14:paraId="10B905B8" w14:textId="77777777" w:rsidR="00D041A2" w:rsidRDefault="00000000">
      <w:pPr>
        <w:pStyle w:val="Normal43"/>
        <w:widowControl w:val="0"/>
        <w:spacing w:before="200" w:line="260" w:lineRule="atLeast"/>
        <w:jc w:val="both"/>
      </w:pPr>
      <w:bookmarkStart w:id="5818" w:name="Bookmark_para_16_28"/>
      <w:bookmarkEnd w:id="5818"/>
      <w:r>
        <w:rPr>
          <w:rFonts w:ascii="Arial" w:eastAsia="Arial" w:hAnsi="Arial" w:cs="Arial"/>
          <w:color w:val="000000"/>
          <w:sz w:val="20"/>
        </w:rPr>
        <w:t xml:space="preserve">1. </w:t>
      </w:r>
      <w:r>
        <w:rPr>
          <w:rFonts w:ascii="Arial" w:eastAsia="Arial" w:hAnsi="Arial" w:cs="Arial"/>
          <w:color w:val="000000"/>
          <w:sz w:val="20"/>
          <w:u w:val="single"/>
        </w:rPr>
        <w:t>Is Mr. Wilkerson disabled under the Act</w:t>
      </w:r>
    </w:p>
    <w:p w14:paraId="251D25DC" w14:textId="77777777" w:rsidR="00D041A2" w:rsidRDefault="00000000">
      <w:pPr>
        <w:pStyle w:val="Normal43"/>
        <w:widowControl w:val="0"/>
        <w:spacing w:before="200" w:line="260" w:lineRule="atLeast"/>
        <w:jc w:val="both"/>
      </w:pPr>
      <w:bookmarkStart w:id="5819" w:name="Bookmark_para_17_27"/>
      <w:bookmarkEnd w:id="5819"/>
      <w:r>
        <w:rPr>
          <w:rFonts w:ascii="Arial" w:eastAsia="Arial" w:hAnsi="Arial" w:cs="Arial"/>
          <w:color w:val="000000"/>
          <w:sz w:val="20"/>
        </w:rPr>
        <w:t xml:space="preserve">The first factor under the Rehabilitation Act is that the plaintiff must have a disability. </w:t>
      </w:r>
      <w:bookmarkStart w:id="5820" w:name="Bookmark_LNHNREFclscc6_29"/>
      <w:bookmarkEnd w:id="5820"/>
      <w:r>
        <w:rPr>
          <w:rFonts w:ascii="Arial" w:eastAsia="Arial" w:hAnsi="Arial" w:cs="Arial"/>
          <w:color w:val="000000"/>
          <w:sz w:val="20"/>
        </w:rPr>
        <w:t>The Rehabilitation Act defines the term "disability" to mean any of the following:</w:t>
      </w:r>
    </w:p>
    <w:p w14:paraId="6A421D5F" w14:textId="77777777" w:rsidR="00D041A2" w:rsidRDefault="00000000">
      <w:pPr>
        <w:pStyle w:val="Normal43"/>
        <w:widowControl w:val="0"/>
        <w:spacing w:line="260" w:lineRule="atLeast"/>
        <w:ind w:left="400"/>
        <w:jc w:val="both"/>
      </w:pPr>
      <w:bookmarkStart w:id="5821" w:name="Bookmark_para_18_25"/>
      <w:bookmarkEnd w:id="5821"/>
      <w:r>
        <w:rPr>
          <w:rFonts w:ascii="Arial" w:eastAsia="Arial" w:hAnsi="Arial" w:cs="Arial"/>
          <w:color w:val="000000"/>
          <w:sz w:val="20"/>
        </w:rPr>
        <w:t>(A) a physical or mental impairment that substantially limits one or more of the major life activities of such individual;</w:t>
      </w:r>
    </w:p>
    <w:p w14:paraId="056DA50D" w14:textId="77777777" w:rsidR="00D041A2" w:rsidRDefault="00000000">
      <w:pPr>
        <w:pStyle w:val="Normal43"/>
        <w:widowControl w:val="0"/>
        <w:spacing w:line="260" w:lineRule="atLeast"/>
        <w:ind w:left="400"/>
        <w:jc w:val="both"/>
      </w:pPr>
      <w:bookmarkStart w:id="5822" w:name="Bookmark_para_19_25"/>
      <w:bookmarkEnd w:id="5822"/>
      <w:r>
        <w:rPr>
          <w:rFonts w:ascii="Arial" w:eastAsia="Arial" w:hAnsi="Arial" w:cs="Arial"/>
          <w:color w:val="000000"/>
          <w:sz w:val="20"/>
        </w:rPr>
        <w:t>(B) a record of such an impairment; or</w:t>
      </w:r>
    </w:p>
    <w:p w14:paraId="5A618789" w14:textId="77777777" w:rsidR="00D041A2" w:rsidRDefault="00000000">
      <w:pPr>
        <w:pStyle w:val="Normal43"/>
        <w:widowControl w:val="0"/>
        <w:spacing w:line="260" w:lineRule="atLeast"/>
        <w:ind w:left="400"/>
        <w:jc w:val="both"/>
      </w:pPr>
      <w:bookmarkStart w:id="5823" w:name="Bookmark_para_20_25"/>
      <w:bookmarkStart w:id="5824" w:name="Bookmark_I50CCPPK0K1MNJ2JF0000400"/>
      <w:bookmarkEnd w:id="5823"/>
      <w:bookmarkEnd w:id="5824"/>
      <w:r>
        <w:rPr>
          <w:rFonts w:ascii="Arial" w:eastAsia="Arial" w:hAnsi="Arial" w:cs="Arial"/>
          <w:color w:val="000000"/>
          <w:sz w:val="20"/>
        </w:rPr>
        <w:t>(C) being regarded as having such an impairment.</w:t>
      </w:r>
    </w:p>
    <w:p w14:paraId="6A998C3A" w14:textId="77777777" w:rsidR="00D041A2" w:rsidRDefault="00000000">
      <w:pPr>
        <w:pStyle w:val="Normal43"/>
        <w:widowControl w:val="0"/>
        <w:spacing w:before="200" w:line="260" w:lineRule="atLeast"/>
        <w:jc w:val="both"/>
      </w:pPr>
      <w:bookmarkStart w:id="5825" w:name="Bookmark_I50CCPPK0K1MNJ2JF0000400_2"/>
      <w:bookmarkStart w:id="5826" w:name="Bookmark_I50CCPPK0K1MNJ2KY0000400"/>
      <w:bookmarkEnd w:id="5825"/>
      <w:bookmarkEnd w:id="5826"/>
      <w:r>
        <w:rPr>
          <w:rFonts w:ascii="Arial" w:eastAsia="Arial" w:hAnsi="Arial" w:cs="Arial"/>
          <w:color w:val="000000"/>
          <w:sz w:val="20"/>
        </w:rPr>
        <w:t xml:space="preserve">42 U.S.C. § 12102(2); </w:t>
      </w:r>
      <w:r>
        <w:rPr>
          <w:rFonts w:ascii="Arial" w:eastAsia="Arial" w:hAnsi="Arial" w:cs="Arial"/>
          <w:i/>
          <w:color w:val="000000"/>
          <w:sz w:val="20"/>
        </w:rPr>
        <w:t>see also EEOC Interpretive Guidelines for the Rehabilitation Act</w:t>
      </w:r>
      <w:r>
        <w:rPr>
          <w:rFonts w:ascii="Arial" w:eastAsia="Arial" w:hAnsi="Arial" w:cs="Arial"/>
          <w:color w:val="000000"/>
          <w:sz w:val="20"/>
        </w:rPr>
        <w:t xml:space="preserve">, 29 C.F.R. § 1614.203(b). </w:t>
      </w:r>
      <w:bookmarkStart w:id="5827" w:name="Bookmark_LNHNREFclscc7_28"/>
      <w:bookmarkEnd w:id="5827"/>
      <w:r>
        <w:rPr>
          <w:rFonts w:ascii="Arial" w:eastAsia="Arial" w:hAnsi="Arial" w:cs="Arial"/>
          <w:color w:val="000000"/>
          <w:sz w:val="20"/>
        </w:rPr>
        <w:t xml:space="preserve">To be substantially limited in a major life activity, "an individual must have an impairment that prevents or severely restricts the individual from doing activities that are of central importance to most people's daily lives." </w:t>
      </w:r>
      <w:bookmarkStart w:id="5828" w:name="Bookmark_I50CCPPK0K1MNJ2JD0000400"/>
      <w:bookmarkEnd w:id="5828"/>
      <w:r>
        <w:rPr>
          <w:rFonts w:ascii="Arial" w:eastAsia="Arial" w:hAnsi="Arial" w:cs="Arial"/>
          <w:i/>
          <w:color w:val="000000"/>
          <w:sz w:val="20"/>
        </w:rPr>
        <w:t>Toyota Motor Mfg., Ky., Inc. v. Williams</w:t>
      </w:r>
      <w:r>
        <w:rPr>
          <w:rFonts w:ascii="Arial" w:eastAsia="Arial" w:hAnsi="Arial" w:cs="Arial"/>
          <w:color w:val="000000"/>
          <w:sz w:val="20"/>
        </w:rPr>
        <w:t xml:space="preserve">, 534 U.S. 184, 198, 122 S. Ct. 681, 151 L. Ed. 2d 615 (2002). </w:t>
      </w:r>
      <w:bookmarkStart w:id="5829" w:name="Bookmark_I50CCPPK0K1MNJ2KY0000400_2"/>
      <w:bookmarkEnd w:id="5829"/>
      <w:r>
        <w:rPr>
          <w:rFonts w:ascii="Arial" w:eastAsia="Arial" w:hAnsi="Arial" w:cs="Arial"/>
          <w:color w:val="000000"/>
          <w:sz w:val="20"/>
        </w:rPr>
        <w:t xml:space="preserve">The impairment's impact must "be permanent or long term." </w:t>
      </w:r>
      <w:r>
        <w:rPr>
          <w:rFonts w:ascii="Arial" w:eastAsia="Arial" w:hAnsi="Arial" w:cs="Arial"/>
          <w:i/>
          <w:color w:val="000000"/>
          <w:sz w:val="20"/>
        </w:rPr>
        <w:t>Id</w:t>
      </w:r>
      <w:r>
        <w:rPr>
          <w:rFonts w:ascii="Arial" w:eastAsia="Arial" w:hAnsi="Arial" w:cs="Arial"/>
          <w:color w:val="000000"/>
          <w:sz w:val="20"/>
        </w:rPr>
        <w:t xml:space="preserve">. In analyzing whether something is a disability  [**9] the court looks to whether it is a "physiological disorder or condition affecting one or more body systems, or any mental or psychological disorder." </w:t>
      </w:r>
      <w:bookmarkStart w:id="5830" w:name="Bookmark_I50CCPPK0K1MNJ2KX0000400"/>
      <w:bookmarkEnd w:id="5830"/>
      <w:r>
        <w:rPr>
          <w:rFonts w:ascii="Arial" w:eastAsia="Arial" w:hAnsi="Arial" w:cs="Arial"/>
          <w:i/>
          <w:color w:val="000000"/>
          <w:sz w:val="20"/>
        </w:rPr>
        <w:t>Enwonwu v. Fulton-Dekalb Hosp. Auth</w:t>
      </w:r>
      <w:r>
        <w:rPr>
          <w:rFonts w:ascii="Arial" w:eastAsia="Arial" w:hAnsi="Arial" w:cs="Arial"/>
          <w:color w:val="000000"/>
          <w:sz w:val="20"/>
        </w:rPr>
        <w:t xml:space="preserve">., 286 F. App'x 586, 603 (11th Cir. 2008) (citing 29 C.F.R. § 1630.2(h)(1), (2)). A medical diagnosis is insufficient, rather, "the ADA requires plaintiffs to offer evidence that the extent of the limitation caused by their impairment in terms of their own experience is substantial." </w:t>
      </w:r>
      <w:r>
        <w:rPr>
          <w:rFonts w:ascii="Arial" w:eastAsia="Arial" w:hAnsi="Arial" w:cs="Arial"/>
          <w:i/>
          <w:color w:val="000000"/>
          <w:sz w:val="20"/>
        </w:rPr>
        <w:t>Id</w:t>
      </w:r>
      <w:r>
        <w:rPr>
          <w:rFonts w:ascii="Arial" w:eastAsia="Arial" w:hAnsi="Arial" w:cs="Arial"/>
          <w:color w:val="000000"/>
          <w:sz w:val="20"/>
        </w:rPr>
        <w:t>.</w:t>
      </w:r>
    </w:p>
    <w:p w14:paraId="1FA577C5" w14:textId="77777777" w:rsidR="00D041A2" w:rsidRDefault="00000000">
      <w:pPr>
        <w:pStyle w:val="Normal43"/>
        <w:widowControl w:val="0"/>
        <w:spacing w:before="200" w:line="260" w:lineRule="atLeast"/>
        <w:jc w:val="both"/>
      </w:pPr>
      <w:bookmarkStart w:id="5831" w:name="Bookmark_para_21_24"/>
      <w:bookmarkEnd w:id="5831"/>
      <w:r>
        <w:rPr>
          <w:rFonts w:ascii="Arial" w:eastAsia="Arial" w:hAnsi="Arial" w:cs="Arial"/>
          <w:color w:val="000000"/>
          <w:sz w:val="20"/>
        </w:rPr>
        <w:t>Here there are two potentially qualifying disabilities: obesity and diabetes. The question of whether the defendant is disabled was not decided by the district court. The district court stated that: "For the sole purpose of determining whether summary judgment is appropriate in this case, this Court will . . . assume that Plaintiff has met his burden in proving that he is a disabled person." Aplt's App. at 8. On appeal, neither side has fully briefed this question nor is there a record on which to base a decision on whether Mr. Wilkerson is disabled. Further, we find other aspects  [*1263]  of the analysis dispositive. Thus, like the district court, we will assume that Mr. Wilkerson has met this prong of the analysis.</w:t>
      </w:r>
    </w:p>
    <w:p w14:paraId="29F08D38" w14:textId="77777777" w:rsidR="00D041A2" w:rsidRDefault="00000000">
      <w:pPr>
        <w:pStyle w:val="Normal43"/>
        <w:widowControl w:val="0"/>
        <w:spacing w:before="200" w:line="260" w:lineRule="atLeast"/>
        <w:jc w:val="both"/>
      </w:pPr>
      <w:bookmarkStart w:id="5832" w:name="Bookmark_para_22_24"/>
      <w:bookmarkEnd w:id="5832"/>
      <w:r>
        <w:rPr>
          <w:rFonts w:ascii="Arial" w:eastAsia="Arial" w:hAnsi="Arial" w:cs="Arial"/>
          <w:color w:val="000000"/>
          <w:sz w:val="20"/>
        </w:rPr>
        <w:t xml:space="preserve">2. </w:t>
      </w:r>
      <w:r>
        <w:rPr>
          <w:rFonts w:ascii="Arial" w:eastAsia="Arial" w:hAnsi="Arial" w:cs="Arial"/>
          <w:color w:val="000000"/>
          <w:sz w:val="20"/>
          <w:u w:val="single"/>
        </w:rPr>
        <w:t>Is Mr.  [**10] Wilkerson otherwise qualified</w:t>
      </w:r>
    </w:p>
    <w:p w14:paraId="0C667038" w14:textId="77777777" w:rsidR="00D041A2" w:rsidRDefault="00000000">
      <w:pPr>
        <w:pStyle w:val="Normal43"/>
        <w:widowControl w:val="0"/>
        <w:spacing w:before="200" w:line="260" w:lineRule="atLeast"/>
        <w:jc w:val="both"/>
      </w:pPr>
      <w:bookmarkStart w:id="5833" w:name="Bookmark_para_23_23"/>
      <w:bookmarkStart w:id="5834" w:name="Bookmark_LNHNREFclscc8_28"/>
      <w:bookmarkStart w:id="5835" w:name="Bookmark_I50CCPPK0K1MNJ2M10000400"/>
      <w:bookmarkEnd w:id="5833"/>
      <w:bookmarkEnd w:id="5834"/>
      <w:bookmarkEnd w:id="5835"/>
      <w:r>
        <w:rPr>
          <w:rFonts w:ascii="Arial" w:eastAsia="Arial" w:hAnsi="Arial" w:cs="Arial"/>
          <w:color w:val="000000"/>
          <w:sz w:val="20"/>
        </w:rPr>
        <w:t xml:space="preserve">The Rehabilitation Act and the ADA provide relief only to disabled persons who are "otherwise qualified" to perform the functions of the job. 29 U.S.C. § 794(a). The Equal Employment Opportunity Commission (EEOC) is authorized by 42 U.S.C. § 12116 to promulgate regulations to implement the provisions of the ADA. </w:t>
      </w:r>
      <w:r>
        <w:rPr>
          <w:rFonts w:ascii="Arial" w:eastAsia="Arial" w:hAnsi="Arial" w:cs="Arial"/>
          <w:i/>
          <w:color w:val="000000"/>
          <w:sz w:val="20"/>
        </w:rPr>
        <w:t>See</w:t>
      </w:r>
      <w:r>
        <w:rPr>
          <w:rFonts w:ascii="Arial" w:eastAsia="Arial" w:hAnsi="Arial" w:cs="Arial"/>
          <w:color w:val="000000"/>
          <w:sz w:val="20"/>
        </w:rPr>
        <w:t xml:space="preserve"> 29 C.F.R. § 1630.1-.16. </w:t>
      </w:r>
      <w:bookmarkStart w:id="5836" w:name="Bookmark_I50CCPPK0K1MNJ2N70000400"/>
      <w:bookmarkEnd w:id="5836"/>
      <w:r>
        <w:rPr>
          <w:rFonts w:ascii="Arial" w:eastAsia="Arial" w:hAnsi="Arial" w:cs="Arial"/>
          <w:color w:val="000000"/>
          <w:sz w:val="20"/>
        </w:rPr>
        <w:t xml:space="preserve">We give these regulations "a great deal of deference." </w:t>
      </w:r>
      <w:bookmarkStart w:id="5837" w:name="Bookmark_I50CCPPK0K1MNJ2M00000400"/>
      <w:bookmarkEnd w:id="5837"/>
      <w:r>
        <w:rPr>
          <w:rFonts w:ascii="Arial" w:eastAsia="Arial" w:hAnsi="Arial" w:cs="Arial"/>
          <w:i/>
          <w:color w:val="000000"/>
          <w:sz w:val="20"/>
        </w:rPr>
        <w:t>Smith v. Midland Brake, Inc</w:t>
      </w:r>
      <w:r>
        <w:rPr>
          <w:rFonts w:ascii="Arial" w:eastAsia="Arial" w:hAnsi="Arial" w:cs="Arial"/>
          <w:color w:val="000000"/>
          <w:sz w:val="20"/>
        </w:rPr>
        <w:t xml:space="preserve">., 180 F.3d 1154, 1165 n.5 (10th Cir. 1999) (citation omitted); </w:t>
      </w:r>
      <w:r>
        <w:rPr>
          <w:rFonts w:ascii="Arial" w:eastAsia="Arial" w:hAnsi="Arial" w:cs="Arial"/>
          <w:i/>
          <w:color w:val="000000"/>
          <w:sz w:val="20"/>
        </w:rPr>
        <w:t xml:space="preserve">see </w:t>
      </w:r>
      <w:bookmarkStart w:id="5838" w:name="Bookmark_I50CCPPK0K1MNJ2M20000400"/>
      <w:bookmarkEnd w:id="5838"/>
      <w:r>
        <w:rPr>
          <w:rFonts w:ascii="Arial" w:eastAsia="Arial" w:hAnsi="Arial" w:cs="Arial"/>
          <w:i/>
          <w:color w:val="000000"/>
          <w:sz w:val="20"/>
        </w:rPr>
        <w:t>Sutton v. United Air Lines, Inc</w:t>
      </w:r>
      <w:r>
        <w:rPr>
          <w:rFonts w:ascii="Arial" w:eastAsia="Arial" w:hAnsi="Arial" w:cs="Arial"/>
          <w:color w:val="000000"/>
          <w:sz w:val="20"/>
        </w:rPr>
        <w:t xml:space="preserve">., 130 F.3d 893, 899 n.3 (10th Cir. 1997). </w:t>
      </w:r>
      <w:bookmarkStart w:id="5839" w:name="Bookmark_LNHNREFclscc9_27"/>
      <w:bookmarkStart w:id="5840" w:name="Bookmark_I50CCPPK0K1MNJ2N70000400_2"/>
      <w:bookmarkStart w:id="5841" w:name="Bookmark_I50CCPPK0K1MNJ2PF0000400"/>
      <w:bookmarkEnd w:id="5839"/>
      <w:bookmarkEnd w:id="5840"/>
      <w:bookmarkEnd w:id="5841"/>
      <w:r>
        <w:rPr>
          <w:rFonts w:ascii="Arial" w:eastAsia="Arial" w:hAnsi="Arial" w:cs="Arial"/>
          <w:color w:val="000000"/>
          <w:sz w:val="20"/>
        </w:rPr>
        <w:t xml:space="preserve">Under these regulations, employers may set skill, experience, education and other job related requirements, including physical qualifications for the employment position. </w:t>
      </w:r>
      <w:bookmarkStart w:id="5842" w:name="Bookmark_I50CCPPK0K1MNJ2N60000400"/>
      <w:bookmarkEnd w:id="5842"/>
      <w:r>
        <w:rPr>
          <w:rFonts w:ascii="Arial" w:eastAsia="Arial" w:hAnsi="Arial" w:cs="Arial"/>
          <w:i/>
          <w:color w:val="000000"/>
          <w:sz w:val="20"/>
        </w:rPr>
        <w:t>Tate v. Farmland Indus. Inc</w:t>
      </w:r>
      <w:r>
        <w:rPr>
          <w:rFonts w:ascii="Arial" w:eastAsia="Arial" w:hAnsi="Arial" w:cs="Arial"/>
          <w:color w:val="000000"/>
          <w:sz w:val="20"/>
        </w:rPr>
        <w:t xml:space="preserve">., 268 F.3d 989, 993 (10th Cir. 2001); </w:t>
      </w:r>
      <w:bookmarkStart w:id="5843" w:name="Bookmark_I50CCPPK0K1MNJ2N80000400"/>
      <w:bookmarkEnd w:id="5843"/>
      <w:r>
        <w:rPr>
          <w:rFonts w:ascii="Arial" w:eastAsia="Arial" w:hAnsi="Arial" w:cs="Arial"/>
          <w:i/>
          <w:color w:val="000000"/>
          <w:sz w:val="20"/>
        </w:rPr>
        <w:t>Southeastern Cmty. Coll. v. Davis</w:t>
      </w:r>
      <w:r>
        <w:rPr>
          <w:rFonts w:ascii="Arial" w:eastAsia="Arial" w:hAnsi="Arial" w:cs="Arial"/>
          <w:color w:val="000000"/>
          <w:sz w:val="20"/>
        </w:rPr>
        <w:t xml:space="preserve">, 442 U.S. 397, 406, 99 S. Ct. 2361, 60 L. Ed. 2d 980 (1979) ("An otherwise qualified person is one who is able to meet all of the program's requirements in spite of his handicap."). </w:t>
      </w:r>
      <w:bookmarkStart w:id="5844" w:name="Bookmark_I50CCPPK0K1MNJ2PF0000400_2"/>
      <w:bookmarkStart w:id="5845" w:name="Bookmark_I50CCPPK0K1MNJ2PH0000400"/>
      <w:bookmarkEnd w:id="5844"/>
      <w:bookmarkEnd w:id="5845"/>
      <w:r>
        <w:rPr>
          <w:rFonts w:ascii="Arial" w:eastAsia="Arial" w:hAnsi="Arial" w:cs="Arial"/>
          <w:color w:val="000000"/>
          <w:sz w:val="20"/>
        </w:rPr>
        <w:t xml:space="preserve">An employer, however, may not: "us[e] qualification standards, employment tests or other selection criteria that screen out or tend to screen out an individual with a disability or a class  [**11] of individuals with disabilities unless the standard, test or other selection criteria, as used by the covered entity, is shown to be job-related for the position in question and is consistent with business necessity." 42 U.S.C. § 12112(b)(6); </w:t>
      </w:r>
      <w:r>
        <w:rPr>
          <w:rFonts w:ascii="Arial" w:eastAsia="Arial" w:hAnsi="Arial" w:cs="Arial"/>
          <w:i/>
          <w:color w:val="000000"/>
          <w:sz w:val="20"/>
        </w:rPr>
        <w:t xml:space="preserve">see also </w:t>
      </w:r>
      <w:bookmarkStart w:id="5846" w:name="Bookmark_I50CCPPK0K1MNJ2PD0000400"/>
      <w:bookmarkEnd w:id="5846"/>
      <w:r>
        <w:rPr>
          <w:rFonts w:ascii="Arial" w:eastAsia="Arial" w:hAnsi="Arial" w:cs="Arial"/>
          <w:i/>
          <w:color w:val="000000"/>
          <w:sz w:val="20"/>
        </w:rPr>
        <w:t>E.E.O.C. v. Exxon Corp</w:t>
      </w:r>
      <w:r>
        <w:rPr>
          <w:rFonts w:ascii="Arial" w:eastAsia="Arial" w:hAnsi="Arial" w:cs="Arial"/>
          <w:color w:val="000000"/>
          <w:sz w:val="20"/>
        </w:rPr>
        <w:t xml:space="preserve">., 203 F.3d 871, 872 (5th Cir. 2000) ("The ADA prohibits an employer from using qualification standards that screen out a disabled individual or class." (citing 42 U.S.C. § 12112(b)(6) (1999)). </w:t>
      </w:r>
      <w:bookmarkStart w:id="5847" w:name="Bookmark_I50CCPPK0K1MNJ2PH0000400_2"/>
      <w:bookmarkStart w:id="5848" w:name="Bookmark_I50CCPPK0K1MNJ2R40000400"/>
      <w:bookmarkEnd w:id="5847"/>
      <w:bookmarkEnd w:id="5848"/>
      <w:r>
        <w:rPr>
          <w:rFonts w:ascii="Arial" w:eastAsia="Arial" w:hAnsi="Arial" w:cs="Arial"/>
          <w:color w:val="000000"/>
          <w:sz w:val="20"/>
        </w:rPr>
        <w:t xml:space="preserve">Additionally, any job requirement must be uniformly enforced. </w:t>
      </w:r>
      <w:bookmarkStart w:id="5849" w:name="Bookmark_I50CCPPK0K1MNJ2PG0000400"/>
      <w:bookmarkEnd w:id="5849"/>
      <w:r>
        <w:rPr>
          <w:rFonts w:ascii="Arial" w:eastAsia="Arial" w:hAnsi="Arial" w:cs="Arial"/>
          <w:i/>
          <w:color w:val="000000"/>
          <w:sz w:val="20"/>
        </w:rPr>
        <w:t>Tate</w:t>
      </w:r>
      <w:r>
        <w:rPr>
          <w:rFonts w:ascii="Arial" w:eastAsia="Arial" w:hAnsi="Arial" w:cs="Arial"/>
          <w:color w:val="000000"/>
          <w:sz w:val="20"/>
        </w:rPr>
        <w:t xml:space="preserve">, 268 F.3d at 993. </w:t>
      </w:r>
      <w:bookmarkStart w:id="5850" w:name="Bookmark_I50CCPPK0K1MNJ2R40000400_2"/>
      <w:bookmarkEnd w:id="5850"/>
      <w:r>
        <w:rPr>
          <w:rFonts w:ascii="Arial" w:eastAsia="Arial" w:hAnsi="Arial" w:cs="Arial"/>
          <w:color w:val="000000"/>
          <w:sz w:val="20"/>
        </w:rPr>
        <w:t xml:space="preserve">Assuming these requirements are met, we defer to employment guidelines as "constituting a body of experience and informed judgment." </w:t>
      </w:r>
      <w:bookmarkStart w:id="5851" w:name="Bookmark_I50CCPPK0K1MNJ2PJ0000400"/>
      <w:bookmarkEnd w:id="5851"/>
      <w:r>
        <w:rPr>
          <w:rFonts w:ascii="Arial" w:eastAsia="Arial" w:hAnsi="Arial" w:cs="Arial"/>
          <w:i/>
          <w:color w:val="000000"/>
          <w:sz w:val="20"/>
        </w:rPr>
        <w:t>Id</w:t>
      </w:r>
      <w:r>
        <w:rPr>
          <w:rFonts w:ascii="Arial" w:eastAsia="Arial" w:hAnsi="Arial" w:cs="Arial"/>
          <w:color w:val="000000"/>
          <w:sz w:val="20"/>
        </w:rPr>
        <w:t xml:space="preserve">. at 994 (quoting </w:t>
      </w:r>
      <w:bookmarkStart w:id="5852" w:name="Bookmark_I50CCPPK0K1MNJ2R50000400"/>
      <w:bookmarkEnd w:id="5852"/>
      <w:r>
        <w:rPr>
          <w:rFonts w:ascii="Arial" w:eastAsia="Arial" w:hAnsi="Arial" w:cs="Arial"/>
          <w:i/>
          <w:color w:val="000000"/>
          <w:sz w:val="20"/>
        </w:rPr>
        <w:t>United States v. Mead Corp</w:t>
      </w:r>
      <w:r>
        <w:rPr>
          <w:rFonts w:ascii="Arial" w:eastAsia="Arial" w:hAnsi="Arial" w:cs="Arial"/>
          <w:color w:val="000000"/>
          <w:sz w:val="20"/>
        </w:rPr>
        <w:t xml:space="preserve">., 533 U.S. 218, 121 S. Ct. 2164, 150 L. Ed. 2d 292 (2001) (quoting </w:t>
      </w:r>
      <w:bookmarkStart w:id="5853" w:name="Bookmark_I50CCPPK0K1MNJ2R70000400"/>
      <w:bookmarkEnd w:id="5853"/>
      <w:r>
        <w:rPr>
          <w:rFonts w:ascii="Arial" w:eastAsia="Arial" w:hAnsi="Arial" w:cs="Arial"/>
          <w:i/>
          <w:color w:val="000000"/>
          <w:sz w:val="20"/>
        </w:rPr>
        <w:t>Skidmore v. Swift &amp; Co</w:t>
      </w:r>
      <w:r>
        <w:rPr>
          <w:rFonts w:ascii="Arial" w:eastAsia="Arial" w:hAnsi="Arial" w:cs="Arial"/>
          <w:color w:val="000000"/>
          <w:sz w:val="20"/>
        </w:rPr>
        <w:t xml:space="preserve">., 323 U.S. 134, 139-40, 65 S. Ct. 161, 89 L. Ed. 124 (1944))). </w:t>
      </w:r>
      <w:r>
        <w:rPr>
          <w:rFonts w:ascii="Arial" w:eastAsia="Arial" w:hAnsi="Arial" w:cs="Arial"/>
          <w:vertAlign w:val="superscript"/>
        </w:rPr>
        <w:footnoteReference w:customMarkFollows="1" w:id="281"/>
        <w:t>2</w:t>
      </w:r>
      <w:r>
        <w:rPr>
          <w:rFonts w:ascii="Arial" w:eastAsia="Arial" w:hAnsi="Arial" w:cs="Arial"/>
          <w:color w:val="000000"/>
          <w:sz w:val="20"/>
        </w:rPr>
        <w:t xml:space="preserve"> </w:t>
      </w:r>
    </w:p>
    <w:p w14:paraId="50EBC3C6" w14:textId="77777777" w:rsidR="00D041A2" w:rsidRDefault="00000000">
      <w:pPr>
        <w:pStyle w:val="Normal43"/>
        <w:widowControl w:val="0"/>
        <w:spacing w:before="200" w:line="260" w:lineRule="atLeast"/>
        <w:jc w:val="both"/>
      </w:pPr>
      <w:bookmarkStart w:id="5855" w:name="Bookmark_para_24_22"/>
      <w:bookmarkEnd w:id="5855"/>
      <w:r>
        <w:rPr>
          <w:rFonts w:ascii="Arial" w:eastAsia="Arial" w:hAnsi="Arial" w:cs="Arial"/>
          <w:color w:val="000000"/>
          <w:sz w:val="20"/>
        </w:rPr>
        <w:t>The district court found that Mr. Wilkerson was not otherwise qualified for employment as a boiler room operator: "Although the Court assumes  [**12] that the Plaintiff is disabled, the Court finds that summaryjudgment is appropriate in this case because Plaintiff was not 'otherwise qualified' for the position of boiler plant operator. . . . Plaintiff was not discriminated against because of his weight. He simply failed to meet the minimum physical requirements of the position. Because he could not meet these requirements, Plaintiff was not 'otherwise qualified' to be a boiler plant operator at the VA." Aplt's App. at 13 (citations omitted). We agree.</w:t>
      </w:r>
    </w:p>
    <w:p w14:paraId="7FC25BF1" w14:textId="77777777" w:rsidR="00D041A2" w:rsidRDefault="00000000">
      <w:pPr>
        <w:pStyle w:val="Normal43"/>
        <w:widowControl w:val="0"/>
        <w:spacing w:before="200" w:line="260" w:lineRule="atLeast"/>
        <w:jc w:val="both"/>
      </w:pPr>
      <w:bookmarkStart w:id="5856" w:name="Bookmark_para_25_22"/>
      <w:bookmarkEnd w:id="5856"/>
      <w:r>
        <w:rPr>
          <w:rFonts w:ascii="Arial" w:eastAsia="Arial" w:hAnsi="Arial" w:cs="Arial"/>
          <w:color w:val="000000"/>
          <w:sz w:val="20"/>
        </w:rPr>
        <w:t xml:space="preserve">CEOSH's guidelines for who could work as a boiler plant operator set a number of criteria that are "exclusionary," and among these are "[u]ncontrolled or poorly controlled insulin-dependent diabetes." Aple's App. at 00093. The job requires an operator who might be able at all times to respond to an emergency with some degree of physical agility. </w:t>
      </w:r>
      <w:r>
        <w:rPr>
          <w:rFonts w:ascii="Arial" w:eastAsia="Arial" w:hAnsi="Arial" w:cs="Arial"/>
          <w:i/>
          <w:color w:val="000000"/>
          <w:sz w:val="20"/>
        </w:rPr>
        <w:t>Id</w:t>
      </w:r>
      <w:r>
        <w:rPr>
          <w:rFonts w:ascii="Arial" w:eastAsia="Arial" w:hAnsi="Arial" w:cs="Arial"/>
          <w:color w:val="000000"/>
          <w:sz w:val="20"/>
        </w:rPr>
        <w:t xml:space="preserve">. at 00092. </w:t>
      </w:r>
      <w:bookmarkStart w:id="5857" w:name="Bookmark_I53M0SSSW9F00053NV4001BD"/>
      <w:bookmarkStart w:id="5858" w:name="Bookmark_I50CCPPK0K1MNJ2SS0000400"/>
      <w:bookmarkEnd w:id="5857"/>
      <w:bookmarkEnd w:id="5858"/>
      <w:r>
        <w:rPr>
          <w:rFonts w:ascii="Arial" w:eastAsia="Arial" w:hAnsi="Arial" w:cs="Arial"/>
          <w:color w:val="000000"/>
          <w:sz w:val="20"/>
        </w:rPr>
        <w:t xml:space="preserve">Moreover, the job requires a fair amount of heavy lifting, bending, agility in movement [*1264]  and so forth. </w:t>
      </w:r>
      <w:r>
        <w:rPr>
          <w:rFonts w:ascii="Arial" w:eastAsia="Arial" w:hAnsi="Arial" w:cs="Arial"/>
          <w:i/>
          <w:color w:val="000000"/>
          <w:sz w:val="20"/>
        </w:rPr>
        <w:t>Id</w:t>
      </w:r>
      <w:r>
        <w:rPr>
          <w:rFonts w:ascii="Arial" w:eastAsia="Arial" w:hAnsi="Arial" w:cs="Arial"/>
          <w:color w:val="000000"/>
          <w:sz w:val="20"/>
        </w:rPr>
        <w:t xml:space="preserve">. at 00092, 00094 ("Boiler Plant Operator Physical Requirements"). Thus, </w:t>
      </w:r>
      <w:bookmarkStart w:id="5859" w:name="Bookmark_LNHNREFclscc10_25"/>
      <w:bookmarkEnd w:id="5859"/>
      <w:r>
        <w:rPr>
          <w:rFonts w:ascii="Arial" w:eastAsia="Arial" w:hAnsi="Arial" w:cs="Arial"/>
          <w:color w:val="000000"/>
          <w:sz w:val="20"/>
        </w:rPr>
        <w:t xml:space="preserve">the question becomes whether these requirements are (1) job-related, (2) uniformly enforced, and (3) consistent with business necessity, </w:t>
      </w:r>
      <w:bookmarkStart w:id="5860" w:name="Bookmark_I50CCPPK0K1MNJ2SR0000400"/>
      <w:bookmarkEnd w:id="5860"/>
      <w:r>
        <w:rPr>
          <w:rFonts w:ascii="Arial" w:eastAsia="Arial" w:hAnsi="Arial" w:cs="Arial"/>
          <w:i/>
          <w:color w:val="000000"/>
          <w:sz w:val="20"/>
        </w:rPr>
        <w:t>Tate</w:t>
      </w:r>
      <w:r>
        <w:rPr>
          <w:rFonts w:ascii="Arial" w:eastAsia="Arial" w:hAnsi="Arial" w:cs="Arial"/>
          <w:color w:val="000000"/>
          <w:sz w:val="20"/>
        </w:rPr>
        <w:t>, 268 F.3d at 993;  [**13] if so, the employer has the right to establish what is required to satisfactorily perform the job.</w:t>
      </w:r>
    </w:p>
    <w:p w14:paraId="5E4E24A9" w14:textId="77777777" w:rsidR="00D041A2" w:rsidRDefault="00000000">
      <w:pPr>
        <w:pStyle w:val="Normal43"/>
        <w:widowControl w:val="0"/>
        <w:spacing w:before="200" w:line="260" w:lineRule="atLeast"/>
        <w:jc w:val="both"/>
      </w:pPr>
      <w:bookmarkStart w:id="5861" w:name="Bookmark_para_26_21"/>
      <w:bookmarkEnd w:id="5861"/>
      <w:r>
        <w:rPr>
          <w:rFonts w:ascii="Arial" w:eastAsia="Arial" w:hAnsi="Arial" w:cs="Arial"/>
          <w:color w:val="000000"/>
          <w:sz w:val="20"/>
        </w:rPr>
        <w:t xml:space="preserve">All three elements for a valid physical fitness requirement are satisfied here. First, the guidelines are undisputedly job-related: they describe the duties of the job and then establish categories of individuals who are excluded based on this. For example, in the case of a shutdown or an emergency, an operator needs to be able to react swiftly to any emergency, such as an increase in pressure. Aple's App. at 00041 (Deposition of Elvin Wrede) (describing the process in case a shutdown is needed). Further the daily responsibilities require that an operator "be able to (1) utilize pipe wrenches of varying sizes for removal or tightening of pipe fittings; (2) go up and down ladders to perform any required maintenance such as re-packing or tightening the packing on the valves, change relief valves, replace gaskets and tighten bolts on steam line flanges; and (3) react instantly to any dangerous situations that might occur." </w:t>
      </w:r>
      <w:r>
        <w:rPr>
          <w:rFonts w:ascii="Arial" w:eastAsia="Arial" w:hAnsi="Arial" w:cs="Arial"/>
          <w:i/>
          <w:color w:val="000000"/>
          <w:sz w:val="20"/>
        </w:rPr>
        <w:t>Id</w:t>
      </w:r>
      <w:r>
        <w:rPr>
          <w:rFonts w:ascii="Arial" w:eastAsia="Arial" w:hAnsi="Arial" w:cs="Arial"/>
          <w:color w:val="000000"/>
          <w:sz w:val="20"/>
        </w:rPr>
        <w:t>. at 00028 (Declaration of Elvin Wrede).</w:t>
      </w:r>
    </w:p>
    <w:p w14:paraId="76E147D3" w14:textId="77777777" w:rsidR="00D041A2" w:rsidRDefault="00000000">
      <w:pPr>
        <w:pStyle w:val="Normal43"/>
        <w:widowControl w:val="0"/>
        <w:spacing w:before="200" w:line="260" w:lineRule="atLeast"/>
        <w:jc w:val="both"/>
      </w:pPr>
      <w:bookmarkStart w:id="5862" w:name="Bookmark_para_27_21"/>
      <w:bookmarkEnd w:id="5862"/>
      <w:r>
        <w:rPr>
          <w:rFonts w:ascii="Arial" w:eastAsia="Arial" w:hAnsi="Arial" w:cs="Arial"/>
          <w:color w:val="000000"/>
          <w:sz w:val="20"/>
        </w:rPr>
        <w:t xml:space="preserve">Next, the VA uniformly enforced the boiler room operator guidelines: "The VA requires that all boiler room operators undergo an  [**14] annual physical examination" and those who fail are subject to removal. Aple's App. at 00031 (Declaration of Sandra Willoughby), 00029 (Declaration of Elvin Wrede), 00037 (Deposition of Elvin Wrede); </w:t>
      </w:r>
      <w:r>
        <w:rPr>
          <w:rFonts w:ascii="Arial" w:eastAsia="Arial" w:hAnsi="Arial" w:cs="Arial"/>
          <w:i/>
          <w:color w:val="000000"/>
          <w:sz w:val="20"/>
        </w:rPr>
        <w:t>see also id</w:t>
      </w:r>
      <w:r>
        <w:rPr>
          <w:rFonts w:ascii="Arial" w:eastAsia="Arial" w:hAnsi="Arial" w:cs="Arial"/>
          <w:color w:val="000000"/>
          <w:sz w:val="20"/>
        </w:rPr>
        <w:t>. at 00040 (describing another employee who failed to meet the physical requirements and who was removed from boiler room duties). Indeed, Mr. Wilkerson makes no real argument that the VA treated others in his situation differently.</w:t>
      </w:r>
    </w:p>
    <w:p w14:paraId="3B8D6117" w14:textId="77777777" w:rsidR="00D041A2" w:rsidRDefault="00000000">
      <w:pPr>
        <w:pStyle w:val="Normal43"/>
        <w:widowControl w:val="0"/>
        <w:spacing w:before="200" w:line="260" w:lineRule="atLeast"/>
        <w:jc w:val="both"/>
      </w:pPr>
      <w:bookmarkStart w:id="5863" w:name="Bookmark_para_28_20"/>
      <w:bookmarkEnd w:id="5863"/>
      <w:r>
        <w:rPr>
          <w:rFonts w:ascii="Arial" w:eastAsia="Arial" w:hAnsi="Arial" w:cs="Arial"/>
          <w:color w:val="000000"/>
          <w:sz w:val="20"/>
        </w:rPr>
        <w:t xml:space="preserve">Finally, the guidelines are a business necessity. The requirements are minimal physical standards that a boiler room operator must meet. Mr. Wilkerson's supervisors testified that his responsibilities included being able "to respond to warning bells and gauges, and that he 'needed to be able to climb ladders and go up and down stairs quickly.'" Aplt's App. at 76. Although Mr. Wilkerson testified that 95% of his work was "[l]ight duty," and he was only occasionally required to climb on ladders, in times of crisis, he might need to act quickly and move with dispatch. </w:t>
      </w:r>
      <w:r>
        <w:rPr>
          <w:rFonts w:ascii="Arial" w:eastAsia="Arial" w:hAnsi="Arial" w:cs="Arial"/>
          <w:i/>
          <w:color w:val="000000"/>
          <w:sz w:val="20"/>
        </w:rPr>
        <w:t>Id</w:t>
      </w:r>
      <w:r>
        <w:rPr>
          <w:rFonts w:ascii="Arial" w:eastAsia="Arial" w:hAnsi="Arial" w:cs="Arial"/>
          <w:color w:val="000000"/>
          <w:sz w:val="20"/>
        </w:rPr>
        <w:t>. at 116-17. The VA was within its power when it passed these guidelines and it is understandable for administrative ease and to ensure the uniformity of standards that it would desire  [**15] to have guidelines that establish a limited class of individuals who do not qualify to work in boiler rooms at their facilities.</w:t>
      </w:r>
    </w:p>
    <w:p w14:paraId="39D27783" w14:textId="77777777" w:rsidR="00D041A2" w:rsidRDefault="00000000">
      <w:pPr>
        <w:pStyle w:val="Normal43"/>
        <w:widowControl w:val="0"/>
        <w:spacing w:before="200" w:line="260" w:lineRule="atLeast"/>
        <w:jc w:val="both"/>
      </w:pPr>
      <w:bookmarkStart w:id="5864" w:name="Bookmark_para_29_19"/>
      <w:bookmarkEnd w:id="5864"/>
      <w:r>
        <w:rPr>
          <w:rFonts w:ascii="Arial" w:eastAsia="Arial" w:hAnsi="Arial" w:cs="Arial"/>
          <w:color w:val="000000"/>
          <w:sz w:val="20"/>
        </w:rPr>
        <w:t xml:space="preserve">We acknowledge that Mr. Wilkerson worked for two years at this position without incident. Of course, Mr. Wilkerson's weight and health status during all of this time is unknown; we only know that information as of February 2007. </w:t>
      </w:r>
      <w:bookmarkStart w:id="5865" w:name="Bookmark_I50CCPPK0K1MNJ2SV0000400"/>
      <w:bookmarkEnd w:id="5865"/>
      <w:r>
        <w:rPr>
          <w:rFonts w:ascii="Arial" w:eastAsia="Arial" w:hAnsi="Arial" w:cs="Arial"/>
          <w:color w:val="000000"/>
          <w:sz w:val="20"/>
        </w:rPr>
        <w:t xml:space="preserve">But in any event, the requirements are there in case of an extraordinary but possible emergency, not necessarily to determine the ability to perform day-to-day routine boiler plant operations. The fact that no such emergency occurred during Mr. Wilkerson's tenure and that he was able to perform his job is fortuitous; but an employer may set standards not only for the mundane work but also for the exceptional. </w:t>
      </w:r>
      <w:bookmarkStart w:id="5866" w:name="Bookmark_LNHNREFclscc11_21"/>
      <w:bookmarkEnd w:id="5866"/>
      <w:r>
        <w:rPr>
          <w:rFonts w:ascii="Arial" w:eastAsia="Arial" w:hAnsi="Arial" w:cs="Arial"/>
          <w:color w:val="000000"/>
          <w:sz w:val="20"/>
        </w:rPr>
        <w:t xml:space="preserve">As long as the need to perform in an emergency is a realistic component of the job, the employer should be able to "establish reasonable physical qualifications" to ensure that an emergency situation can be dealt with safely and efficiently by the employee, especially  [*1265]  in situations like here, where the physical safety of others may be at risk. </w:t>
      </w:r>
      <w:bookmarkStart w:id="5867" w:name="Bookmark_I50CCPPK0K1MNJ2ST0000400"/>
      <w:bookmarkEnd w:id="5867"/>
      <w:r>
        <w:rPr>
          <w:rFonts w:ascii="Arial" w:eastAsia="Arial" w:hAnsi="Arial" w:cs="Arial"/>
          <w:i/>
          <w:color w:val="000000"/>
          <w:sz w:val="20"/>
        </w:rPr>
        <w:t>Southeastern Cmty. Coll. v. Davis</w:t>
      </w:r>
      <w:r>
        <w:rPr>
          <w:rFonts w:ascii="Arial" w:eastAsia="Arial" w:hAnsi="Arial" w:cs="Arial"/>
          <w:color w:val="000000"/>
          <w:sz w:val="20"/>
        </w:rPr>
        <w:t>, 442 U.S. at 414.</w:t>
      </w:r>
    </w:p>
    <w:p w14:paraId="5A3FB35B" w14:textId="77777777" w:rsidR="00D041A2" w:rsidRDefault="00000000">
      <w:pPr>
        <w:pStyle w:val="Normal43"/>
        <w:widowControl w:val="0"/>
        <w:spacing w:before="200" w:line="260" w:lineRule="atLeast"/>
        <w:jc w:val="both"/>
      </w:pPr>
      <w:bookmarkStart w:id="5868" w:name="Bookmark_para_30_19"/>
      <w:bookmarkEnd w:id="5868"/>
      <w:r>
        <w:rPr>
          <w:rFonts w:ascii="Arial" w:eastAsia="Arial" w:hAnsi="Arial" w:cs="Arial"/>
          <w:color w:val="000000"/>
          <w:sz w:val="20"/>
        </w:rPr>
        <w:t>The record indicates that Mr. Wilkerson  [**16] would pose a danger to himself and others should he fall from a ladder. It also warns of potentially disastrous effects if he was unable to shut down a boiler if it malfunctions, leading to a possible explosion. For example, Mr. Wilkerson's supervisor, Elvin Wrede, stated that if one of the boilers was to explode from improper maintenance or operation, "the force would bring down the entire building that houses them." Aple's App. at 28 (Declaration of Elvin Wrede). Thus, we agree with the district court that because Mr. Wilkerson failed to meet the VA's boiler room operator safety standards he was not "otherwise qualified" as required by the Rehabilitation Act.</w:t>
      </w:r>
    </w:p>
    <w:p w14:paraId="58D090EF" w14:textId="77777777" w:rsidR="00D041A2" w:rsidRDefault="00000000">
      <w:pPr>
        <w:pStyle w:val="Normal43"/>
        <w:widowControl w:val="0"/>
        <w:spacing w:before="200" w:line="260" w:lineRule="atLeast"/>
        <w:jc w:val="both"/>
      </w:pPr>
      <w:bookmarkStart w:id="5869" w:name="Bookmark_para_31_18"/>
      <w:bookmarkStart w:id="5870" w:name="Bookmark_I50CCPPK0K1MNJ2TF0000400"/>
      <w:bookmarkStart w:id="5871" w:name="Bookmark_I50CCPPK0K1MNJ2TH0000400"/>
      <w:bookmarkEnd w:id="5869"/>
      <w:bookmarkEnd w:id="5870"/>
      <w:bookmarkEnd w:id="5871"/>
      <w:r>
        <w:rPr>
          <w:rFonts w:ascii="Arial" w:eastAsia="Arial" w:hAnsi="Arial" w:cs="Arial"/>
          <w:color w:val="000000"/>
          <w:sz w:val="20"/>
        </w:rPr>
        <w:t xml:space="preserve">We have established that </w:t>
      </w:r>
      <w:bookmarkStart w:id="5872" w:name="Bookmark_LNHNREFclscc12_20"/>
      <w:bookmarkEnd w:id="5872"/>
      <w:r>
        <w:rPr>
          <w:rFonts w:ascii="Arial" w:eastAsia="Arial" w:hAnsi="Arial" w:cs="Arial"/>
          <w:color w:val="000000"/>
          <w:sz w:val="20"/>
        </w:rPr>
        <w:t xml:space="preserve">before an individual can be deemed not "otherwise qualified" the employer must make an effort to accommodate the employee's disability. </w:t>
      </w:r>
      <w:r>
        <w:rPr>
          <w:rFonts w:ascii="Arial" w:eastAsia="Arial" w:hAnsi="Arial" w:cs="Arial"/>
          <w:i/>
          <w:color w:val="000000"/>
          <w:sz w:val="20"/>
        </w:rPr>
        <w:t xml:space="preserve">See </w:t>
      </w:r>
      <w:bookmarkStart w:id="5873" w:name="Bookmark_I50CCPPK0K1MNJ2SW0000400"/>
      <w:bookmarkEnd w:id="5873"/>
      <w:r>
        <w:rPr>
          <w:rFonts w:ascii="Arial" w:eastAsia="Arial" w:hAnsi="Arial" w:cs="Arial"/>
          <w:i/>
          <w:color w:val="000000"/>
          <w:sz w:val="20"/>
        </w:rPr>
        <w:t>Woodman v. Runyon</w:t>
      </w:r>
      <w:r>
        <w:rPr>
          <w:rFonts w:ascii="Arial" w:eastAsia="Arial" w:hAnsi="Arial" w:cs="Arial"/>
          <w:color w:val="000000"/>
          <w:sz w:val="20"/>
        </w:rPr>
        <w:t xml:space="preserve">, 132 F.3d 1330 (10th Cir. 1997); 42 U.S.C. § 12112(b)(5)(A). We have held that federal employers, like the VA, "must play a considerable role in ensuring that every reasonable effort is made to find suitable jobs for disabled employees." </w:t>
      </w:r>
      <w:r>
        <w:rPr>
          <w:rFonts w:ascii="Arial" w:eastAsia="Arial" w:hAnsi="Arial" w:cs="Arial"/>
          <w:i/>
          <w:color w:val="000000"/>
          <w:sz w:val="20"/>
        </w:rPr>
        <w:t xml:space="preserve">See </w:t>
      </w:r>
      <w:bookmarkStart w:id="5874" w:name="Bookmark_I50CCPPK0K1MNJ2TG0000400"/>
      <w:bookmarkEnd w:id="5874"/>
      <w:r>
        <w:rPr>
          <w:rFonts w:ascii="Arial" w:eastAsia="Arial" w:hAnsi="Arial" w:cs="Arial"/>
          <w:i/>
          <w:color w:val="000000"/>
          <w:sz w:val="20"/>
        </w:rPr>
        <w:t>Woodman</w:t>
      </w:r>
      <w:r>
        <w:rPr>
          <w:rFonts w:ascii="Arial" w:eastAsia="Arial" w:hAnsi="Arial" w:cs="Arial"/>
          <w:color w:val="000000"/>
          <w:sz w:val="20"/>
        </w:rPr>
        <w:t xml:space="preserve">, 132 F.3d at 1334. </w:t>
      </w:r>
      <w:bookmarkStart w:id="5875" w:name="Bookmark_I50CCPPK0K1MNJ2TK0000400"/>
      <w:bookmarkEnd w:id="5875"/>
      <w:r>
        <w:rPr>
          <w:rFonts w:ascii="Arial" w:eastAsia="Arial" w:hAnsi="Arial" w:cs="Arial"/>
          <w:color w:val="000000"/>
          <w:sz w:val="20"/>
        </w:rPr>
        <w:t xml:space="preserve">"There are two components to the reasonable accommodation analysis. </w:t>
      </w:r>
      <w:bookmarkStart w:id="5876" w:name="Bookmark_I50CCPPK0K1MNJ2W30000400"/>
      <w:bookmarkEnd w:id="5876"/>
      <w:r>
        <w:rPr>
          <w:rFonts w:ascii="Arial" w:eastAsia="Arial" w:hAnsi="Arial" w:cs="Arial"/>
          <w:i/>
          <w:color w:val="000000"/>
          <w:sz w:val="20"/>
        </w:rPr>
        <w:t>First</w:t>
      </w:r>
      <w:r>
        <w:rPr>
          <w:rFonts w:ascii="Arial" w:eastAsia="Arial" w:hAnsi="Arial" w:cs="Arial"/>
          <w:color w:val="000000"/>
          <w:sz w:val="20"/>
        </w:rPr>
        <w:t xml:space="preserve">, whether  [**17] a reasonable accommodation would enable the employee to do the particular job. Additional training might be a reasonable accommodation for this purpose. </w:t>
      </w:r>
      <w:r>
        <w:rPr>
          <w:rFonts w:ascii="Arial" w:eastAsia="Arial" w:hAnsi="Arial" w:cs="Arial"/>
          <w:i/>
          <w:color w:val="000000"/>
          <w:sz w:val="20"/>
        </w:rPr>
        <w:t>Second</w:t>
      </w:r>
      <w:r>
        <w:rPr>
          <w:rFonts w:ascii="Arial" w:eastAsia="Arial" w:hAnsi="Arial" w:cs="Arial"/>
          <w:color w:val="000000"/>
          <w:sz w:val="20"/>
        </w:rPr>
        <w:t xml:space="preserve">, whether the employee could be transferred to other work which could be done with or without accommodation." </w:t>
      </w:r>
      <w:bookmarkStart w:id="5877" w:name="Bookmark_I50CCPPK0K1MNJ2TJ0000400"/>
      <w:bookmarkEnd w:id="5877"/>
      <w:r>
        <w:rPr>
          <w:rFonts w:ascii="Arial" w:eastAsia="Arial" w:hAnsi="Arial" w:cs="Arial"/>
          <w:i/>
          <w:color w:val="000000"/>
          <w:sz w:val="20"/>
        </w:rPr>
        <w:t>Gonzagowski v. Widnall</w:t>
      </w:r>
      <w:r>
        <w:rPr>
          <w:rFonts w:ascii="Arial" w:eastAsia="Arial" w:hAnsi="Arial" w:cs="Arial"/>
          <w:color w:val="000000"/>
          <w:sz w:val="20"/>
        </w:rPr>
        <w:t xml:space="preserve">, 115 F.3d 744, 747 (10th Cir. 1997) (emphasis in original). </w:t>
      </w:r>
      <w:bookmarkStart w:id="5878" w:name="Bookmark_I50CCPPK0K1MNJ2W30000400_2"/>
      <w:bookmarkEnd w:id="5878"/>
      <w:r>
        <w:rPr>
          <w:rFonts w:ascii="Arial" w:eastAsia="Arial" w:hAnsi="Arial" w:cs="Arial"/>
          <w:color w:val="000000"/>
          <w:sz w:val="20"/>
        </w:rPr>
        <w:t xml:space="preserve">"The federal regulations implementing the ADA envision an interactive process that requires participation by both parties." </w:t>
      </w:r>
      <w:bookmarkStart w:id="5879" w:name="Bookmark_I50CCPPK0K1MNJ2W20000400"/>
      <w:bookmarkEnd w:id="5879"/>
      <w:r>
        <w:rPr>
          <w:rFonts w:ascii="Arial" w:eastAsia="Arial" w:hAnsi="Arial" w:cs="Arial"/>
          <w:i/>
          <w:color w:val="000000"/>
          <w:sz w:val="20"/>
        </w:rPr>
        <w:t>Templeton v. Neodata Servs., Inc</w:t>
      </w:r>
      <w:r>
        <w:rPr>
          <w:rFonts w:ascii="Arial" w:eastAsia="Arial" w:hAnsi="Arial" w:cs="Arial"/>
          <w:color w:val="000000"/>
          <w:sz w:val="20"/>
        </w:rPr>
        <w:t>., 162 F.3d 617, 619 (10th Cir. 1998) (quotation marks and citations omitted).</w:t>
      </w:r>
    </w:p>
    <w:p w14:paraId="545509B9" w14:textId="77777777" w:rsidR="00D041A2" w:rsidRDefault="00000000">
      <w:pPr>
        <w:pStyle w:val="Normal43"/>
        <w:widowControl w:val="0"/>
        <w:spacing w:before="200" w:line="260" w:lineRule="atLeast"/>
        <w:jc w:val="both"/>
      </w:pPr>
      <w:bookmarkStart w:id="5880" w:name="Bookmark_para_32_18"/>
      <w:bookmarkStart w:id="5881" w:name="Bookmark_I50CCPPK0K1MNJ2W50000400"/>
      <w:bookmarkEnd w:id="5880"/>
      <w:bookmarkEnd w:id="5881"/>
      <w:r>
        <w:rPr>
          <w:rFonts w:ascii="Arial" w:eastAsia="Arial" w:hAnsi="Arial" w:cs="Arial"/>
          <w:color w:val="000000"/>
          <w:sz w:val="20"/>
        </w:rPr>
        <w:t xml:space="preserve">We hold that the VA made reasonable accommodations under the circumstances. </w:t>
      </w:r>
      <w:bookmarkStart w:id="5882" w:name="Bookmark_I53M0SSW00900053NV4001BW"/>
      <w:bookmarkStart w:id="5883" w:name="Bookmark_I50CCPPK0K1MNJ2XX0000400"/>
      <w:bookmarkEnd w:id="5882"/>
      <w:bookmarkEnd w:id="5883"/>
      <w:r>
        <w:rPr>
          <w:rFonts w:ascii="Arial" w:eastAsia="Arial" w:hAnsi="Arial" w:cs="Arial"/>
          <w:color w:val="000000"/>
          <w:sz w:val="20"/>
        </w:rPr>
        <w:t xml:space="preserve">The VA reassigned Mr. Wilkerson to another position, albeit a lower-paid one. As we previously stated, </w:t>
      </w:r>
      <w:bookmarkStart w:id="5884" w:name="Bookmark_LNHNREFclscc13_19"/>
      <w:bookmarkEnd w:id="5884"/>
      <w:r>
        <w:rPr>
          <w:rFonts w:ascii="Arial" w:eastAsia="Arial" w:hAnsi="Arial" w:cs="Arial"/>
          <w:color w:val="000000"/>
          <w:sz w:val="20"/>
        </w:rPr>
        <w:t xml:space="preserve">"reassignment of an employee to a vacant position in a company is one of the range of reasonable accommodations which must be considered and, if appropriate, offered if the employee is unable to perform his or her existing job." </w:t>
      </w:r>
      <w:bookmarkStart w:id="5885" w:name="Bookmark_I50CCPPK0K1MNJ2W40000400"/>
      <w:bookmarkEnd w:id="5885"/>
      <w:r>
        <w:rPr>
          <w:rFonts w:ascii="Arial" w:eastAsia="Arial" w:hAnsi="Arial" w:cs="Arial"/>
          <w:i/>
          <w:color w:val="000000"/>
          <w:sz w:val="20"/>
        </w:rPr>
        <w:t>Smith</w:t>
      </w:r>
      <w:r>
        <w:rPr>
          <w:rFonts w:ascii="Arial" w:eastAsia="Arial" w:hAnsi="Arial" w:cs="Arial"/>
          <w:color w:val="000000"/>
          <w:sz w:val="20"/>
        </w:rPr>
        <w:t xml:space="preserve">, 180 F.3d at 1167. However, when such an offer involves lower pay or benefits, it only satisfies the employer's duty to accommodate if there are no reasonable accommodations either in the old job or in  [**18] another vacant lateral position. </w:t>
      </w:r>
      <w:bookmarkStart w:id="5886" w:name="Bookmark_I50CCPPK0K1MNJ2XX0000400_2"/>
      <w:bookmarkStart w:id="5887" w:name="Bookmark_I50CCPPK0K1MNJ2W60000400"/>
      <w:bookmarkEnd w:id="5886"/>
      <w:bookmarkEnd w:id="5887"/>
      <w:r>
        <w:rPr>
          <w:rFonts w:ascii="Arial" w:eastAsia="Arial" w:hAnsi="Arial" w:cs="Arial"/>
          <w:i/>
          <w:color w:val="000000"/>
          <w:sz w:val="20"/>
        </w:rPr>
        <w:t>Id</w:t>
      </w:r>
      <w:r>
        <w:rPr>
          <w:rFonts w:ascii="Arial" w:eastAsia="Arial" w:hAnsi="Arial" w:cs="Arial"/>
          <w:color w:val="000000"/>
          <w:sz w:val="20"/>
        </w:rPr>
        <w:t xml:space="preserve">. We hold that under the circumstances there were no reasonable accommodations that would have allowed Mr. Wilkerson to remain employed in the boiler room and thus the transfer to the lower paid position was reasonable. </w:t>
      </w:r>
      <w:r>
        <w:rPr>
          <w:rFonts w:ascii="Arial" w:eastAsia="Arial" w:hAnsi="Arial" w:cs="Arial"/>
          <w:vertAlign w:val="superscript"/>
        </w:rPr>
        <w:footnoteReference w:customMarkFollows="1" w:id="282"/>
        <w:t>3</w:t>
      </w:r>
      <w:r>
        <w:rPr>
          <w:rFonts w:ascii="Arial" w:eastAsia="Arial" w:hAnsi="Arial" w:cs="Arial"/>
          <w:color w:val="000000"/>
          <w:sz w:val="20"/>
        </w:rPr>
        <w:t xml:space="preserve"> For example, Mr. Wilkerson's request that the VA purchase a special ladder to accommodate for his weight was a reasonable request and the VA considered it. The VA, however, concluded that such action would not relieve all of the concerns of keeping Mr. Wilkerson in the boiler room. </w:t>
      </w:r>
      <w:r>
        <w:rPr>
          <w:rFonts w:ascii="Arial" w:eastAsia="Arial" w:hAnsi="Arial" w:cs="Arial"/>
          <w:i/>
          <w:color w:val="000000"/>
          <w:sz w:val="20"/>
        </w:rPr>
        <w:t>See</w:t>
      </w:r>
      <w:r>
        <w:rPr>
          <w:rFonts w:ascii="Arial" w:eastAsia="Arial" w:hAnsi="Arial" w:cs="Arial"/>
          <w:color w:val="000000"/>
          <w:sz w:val="20"/>
        </w:rPr>
        <w:t xml:space="preserve"> Aple's App. at 00066 (Deposition of Sandra Willoughby) (stating that the VA would have been willing to purchase such a ladder but that the VA had too many other concerns that Mr. Wilkerson would not have been qualified even with such a purchase).</w:t>
      </w:r>
    </w:p>
    <w:p w14:paraId="5D62E36F" w14:textId="77777777" w:rsidR="00D041A2" w:rsidRDefault="00000000">
      <w:pPr>
        <w:pStyle w:val="Normal43"/>
        <w:widowControl w:val="0"/>
        <w:spacing w:before="200" w:line="260" w:lineRule="atLeast"/>
        <w:jc w:val="both"/>
      </w:pPr>
      <w:bookmarkStart w:id="5889" w:name="Bookmark_para_33_18"/>
      <w:bookmarkStart w:id="5890" w:name="Bookmark_I50CCPPK0K1MNJ2Y00000400"/>
      <w:bookmarkStart w:id="5891" w:name="Bookmark_I50CCPPK0K1MNJ2Y20000400"/>
      <w:bookmarkEnd w:id="5889"/>
      <w:bookmarkEnd w:id="5890"/>
      <w:bookmarkEnd w:id="5891"/>
      <w:r>
        <w:rPr>
          <w:rFonts w:ascii="Arial" w:eastAsia="Arial" w:hAnsi="Arial" w:cs="Arial"/>
          <w:color w:val="000000"/>
          <w:sz w:val="20"/>
        </w:rPr>
        <w:t xml:space="preserve"> [*1266]  We have also held that </w:t>
      </w:r>
      <w:bookmarkStart w:id="5892" w:name="Bookmark_LNHNREFclscc14_18"/>
      <w:bookmarkEnd w:id="5892"/>
      <w:r>
        <w:rPr>
          <w:rFonts w:ascii="Arial" w:eastAsia="Arial" w:hAnsi="Arial" w:cs="Arial"/>
          <w:color w:val="000000"/>
          <w:sz w:val="20"/>
        </w:rPr>
        <w:t xml:space="preserve">the Rehabilitation Act "requires an 'interactive process.'" </w:t>
      </w:r>
      <w:bookmarkStart w:id="5893" w:name="Bookmark_I50CCPPK0K1MNJ2XY0000400"/>
      <w:bookmarkEnd w:id="5893"/>
      <w:r>
        <w:rPr>
          <w:rFonts w:ascii="Arial" w:eastAsia="Arial" w:hAnsi="Arial" w:cs="Arial"/>
          <w:i/>
          <w:color w:val="000000"/>
          <w:sz w:val="20"/>
        </w:rPr>
        <w:t>Woodman</w:t>
      </w:r>
      <w:r>
        <w:rPr>
          <w:rFonts w:ascii="Arial" w:eastAsia="Arial" w:hAnsi="Arial" w:cs="Arial"/>
          <w:color w:val="000000"/>
          <w:sz w:val="20"/>
        </w:rPr>
        <w:t xml:space="preserve">, 132 F.3d at 1345 n.16 (reasonable accommodation "is best determined through a flexible, interactive process that involves both the employer and the qualified individual with a disability" (quoting 29 C.F.R. Pt. 1630,  [**19] App. § 1630.9 (1996))). "The obligation to engage in an interactive process is inherent in the statutory obligation to offer a reasonable accommodation to an otherwise qualified disabled employee. The interactive process is typically an essential component of the process by which a reasonable accommodation can be determined." </w:t>
      </w:r>
      <w:bookmarkStart w:id="5894" w:name="Bookmark_I50CCPPK0K1MNJ2Y10000400"/>
      <w:bookmarkEnd w:id="5894"/>
      <w:r>
        <w:rPr>
          <w:rFonts w:ascii="Arial" w:eastAsia="Arial" w:hAnsi="Arial" w:cs="Arial"/>
          <w:i/>
          <w:color w:val="000000"/>
          <w:sz w:val="20"/>
        </w:rPr>
        <w:t>Smith</w:t>
      </w:r>
      <w:r>
        <w:rPr>
          <w:rFonts w:ascii="Arial" w:eastAsia="Arial" w:hAnsi="Arial" w:cs="Arial"/>
          <w:color w:val="000000"/>
          <w:sz w:val="20"/>
        </w:rPr>
        <w:t>, 180 F.3d at 1172. Here, although there was not a face-to-face meeting between the parties to discuss accommodations, Mr. Wilkerson requested an accommodation that the VA considered and denied. Based on the circumstances in this case, it was reasonable for the VA to conclude that any further interactive process would be futile and that no reasonable accommodation was possible that would allow Mr. Wilkerson to work in the boiler room.</w:t>
      </w:r>
    </w:p>
    <w:p w14:paraId="35BC0260" w14:textId="77777777" w:rsidR="00D041A2" w:rsidRDefault="00000000">
      <w:pPr>
        <w:pStyle w:val="Normal43"/>
        <w:widowControl w:val="0"/>
        <w:spacing w:before="200" w:line="260" w:lineRule="atLeast"/>
        <w:jc w:val="both"/>
      </w:pPr>
      <w:bookmarkStart w:id="5895" w:name="Bookmark_para_34_18"/>
      <w:bookmarkEnd w:id="5895"/>
      <w:r>
        <w:rPr>
          <w:rFonts w:ascii="Arial" w:eastAsia="Arial" w:hAnsi="Arial" w:cs="Arial"/>
          <w:color w:val="000000"/>
          <w:sz w:val="20"/>
        </w:rPr>
        <w:t>Thus, we hold that Mr. Wilkerson is not otherwise qualified to serve in the boiler room and there was no reasonable accommodation that would have allowed him to continue. Accordingly, summary judgment is appropriate as to this claim, and we affirm the district court's grant of summary judgment for the defendant, the VA.</w:t>
      </w:r>
    </w:p>
    <w:p w14:paraId="08B3E9AE" w14:textId="77777777" w:rsidR="00D041A2" w:rsidRDefault="00000000">
      <w:pPr>
        <w:pStyle w:val="Normal43"/>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Age Discrimination Employment Act claim</w:t>
      </w:r>
    </w:p>
    <w:p w14:paraId="791872A7" w14:textId="77777777" w:rsidR="00D041A2" w:rsidRDefault="00000000">
      <w:pPr>
        <w:pStyle w:val="Normal43"/>
        <w:widowControl w:val="0"/>
        <w:spacing w:before="200" w:line="260" w:lineRule="atLeast"/>
        <w:jc w:val="both"/>
      </w:pPr>
      <w:bookmarkStart w:id="5896" w:name="Bookmark_para_35_18"/>
      <w:bookmarkEnd w:id="5896"/>
      <w:r>
        <w:rPr>
          <w:rFonts w:ascii="Arial" w:eastAsia="Arial" w:hAnsi="Arial" w:cs="Arial"/>
          <w:color w:val="000000"/>
          <w:sz w:val="20"/>
        </w:rPr>
        <w:t xml:space="preserve">Mr. </w:t>
      </w:r>
      <w:bookmarkStart w:id="5897" w:name="Bookmark_I50CCPPK0K1MNJ30H0000400"/>
      <w:bookmarkEnd w:id="5897"/>
      <w:r>
        <w:rPr>
          <w:rFonts w:ascii="Arial" w:eastAsia="Arial" w:hAnsi="Arial" w:cs="Arial"/>
          <w:color w:val="000000"/>
          <w:sz w:val="20"/>
        </w:rPr>
        <w:t xml:space="preserve">Wilkerson next argues that he was discriminated against on the  [**20] basis of his age, in violation of the ADEA, 29 U.S.C. §§ 626 and 633a(a). The district court granted summary judgment as to this claim, which we review de novo applying the same legal standard as above. </w:t>
      </w:r>
      <w:bookmarkStart w:id="5898" w:name="Bookmark_I50CCPPK0K1MNJ30G0000400"/>
      <w:bookmarkEnd w:id="5898"/>
      <w:r>
        <w:rPr>
          <w:rFonts w:ascii="Arial" w:eastAsia="Arial" w:hAnsi="Arial" w:cs="Arial"/>
          <w:i/>
          <w:color w:val="000000"/>
          <w:sz w:val="20"/>
        </w:rPr>
        <w:t>Somoza</w:t>
      </w:r>
      <w:r>
        <w:rPr>
          <w:rFonts w:ascii="Arial" w:eastAsia="Arial" w:hAnsi="Arial" w:cs="Arial"/>
          <w:color w:val="000000"/>
          <w:sz w:val="20"/>
        </w:rPr>
        <w:t xml:space="preserve">, 513 F.3d at 1211. "Summary judgment is appropriate 'if the pleadings, the discovery and disclosure materials on file, and any affidavits show that there is no genuine issue as to any material fact and that the movant is entitled to judgment as a matter of law.'" </w:t>
      </w:r>
      <w:r>
        <w:rPr>
          <w:rFonts w:ascii="Arial" w:eastAsia="Arial" w:hAnsi="Arial" w:cs="Arial"/>
          <w:i/>
          <w:color w:val="000000"/>
          <w:sz w:val="20"/>
        </w:rPr>
        <w:t>Id</w:t>
      </w:r>
      <w:r>
        <w:rPr>
          <w:rFonts w:ascii="Arial" w:eastAsia="Arial" w:hAnsi="Arial" w:cs="Arial"/>
          <w:color w:val="000000"/>
          <w:sz w:val="20"/>
        </w:rPr>
        <w:t>. (quoting Fed. R. Civ. P. 56(c)).</w:t>
      </w:r>
    </w:p>
    <w:p w14:paraId="39F36495" w14:textId="77777777" w:rsidR="00D041A2" w:rsidRDefault="00000000">
      <w:pPr>
        <w:pStyle w:val="Normal43"/>
        <w:widowControl w:val="0"/>
        <w:spacing w:before="200" w:line="260" w:lineRule="atLeast"/>
        <w:jc w:val="both"/>
      </w:pPr>
      <w:bookmarkStart w:id="5899" w:name="Bookmark_para_36_17"/>
      <w:bookmarkStart w:id="5900" w:name="Bookmark_LNHNREFclscc15_16"/>
      <w:bookmarkStart w:id="5901" w:name="Bookmark_I53M0SST2D900053NV4001TW"/>
      <w:bookmarkStart w:id="5902" w:name="Bookmark_I50CCPPK0K1MNJ30K0000400"/>
      <w:bookmarkEnd w:id="5899"/>
      <w:bookmarkEnd w:id="5900"/>
      <w:bookmarkEnd w:id="5901"/>
      <w:bookmarkEnd w:id="5902"/>
      <w:r>
        <w:rPr>
          <w:rFonts w:ascii="Arial" w:eastAsia="Arial" w:hAnsi="Arial" w:cs="Arial"/>
          <w:color w:val="000000"/>
          <w:sz w:val="20"/>
        </w:rPr>
        <w:t xml:space="preserve">To establish a prima facie case for age discrimination, the plaintiff must prove that he was (1) within the protected class of individuals 40 or older, (2) performed satisfactory work; (3) terminated from employment; and (4) replaced by a younger person. </w:t>
      </w:r>
      <w:bookmarkStart w:id="5903" w:name="Bookmark_I53M0SST7H500053NV4001TX"/>
      <w:bookmarkStart w:id="5904" w:name="Bookmark_I50CCPPK0K1MNJ3110000400"/>
      <w:bookmarkStart w:id="5905" w:name="Bookmark_I50CCPPK0K1MNJ30J0000400"/>
      <w:bookmarkEnd w:id="5903"/>
      <w:bookmarkEnd w:id="5904"/>
      <w:bookmarkEnd w:id="5905"/>
      <w:r>
        <w:rPr>
          <w:rFonts w:ascii="Arial" w:eastAsia="Arial" w:hAnsi="Arial" w:cs="Arial"/>
          <w:i/>
          <w:color w:val="000000"/>
          <w:sz w:val="20"/>
        </w:rPr>
        <w:t>Adamson v. Multi-Cmty. Diversified Servs., Inc</w:t>
      </w:r>
      <w:r>
        <w:rPr>
          <w:rFonts w:ascii="Arial" w:eastAsia="Arial" w:hAnsi="Arial" w:cs="Arial"/>
          <w:color w:val="000000"/>
          <w:sz w:val="20"/>
        </w:rPr>
        <w:t xml:space="preserve">., 514 F.3d 1136, 1146 (10th Cir. 2008). Once a prima facie case is established, the burden shifts to the VA to articulate a legitimate, nondiscriminatory reason for its actions. </w:t>
      </w:r>
      <w:bookmarkStart w:id="5906" w:name="Bookmark_I50CCPPK0K1MNJ3110000400_2"/>
      <w:bookmarkStart w:id="5907" w:name="Bookmark_I53M0SSTJF500053NV4001V0"/>
      <w:bookmarkStart w:id="5908" w:name="Bookmark_I50CCPPK0K1MNJ3130000400"/>
      <w:bookmarkStart w:id="5909" w:name="Bookmark_I50CCPPK0K1MNJ30M0000400"/>
      <w:bookmarkEnd w:id="5906"/>
      <w:bookmarkEnd w:id="5907"/>
      <w:bookmarkEnd w:id="5908"/>
      <w:bookmarkEnd w:id="5909"/>
      <w:r>
        <w:rPr>
          <w:rFonts w:ascii="Arial" w:eastAsia="Arial" w:hAnsi="Arial" w:cs="Arial"/>
          <w:i/>
          <w:color w:val="000000"/>
          <w:sz w:val="20"/>
        </w:rPr>
        <w:t>Id</w:t>
      </w:r>
      <w:r>
        <w:rPr>
          <w:rFonts w:ascii="Arial" w:eastAsia="Arial" w:hAnsi="Arial" w:cs="Arial"/>
          <w:color w:val="000000"/>
          <w:sz w:val="20"/>
        </w:rPr>
        <w:t xml:space="preserve">. at 1145. </w:t>
      </w:r>
      <w:bookmarkStart w:id="5910" w:name="Bookmark_I50CCPPK0K1MNJ3130000400_2"/>
      <w:bookmarkEnd w:id="5910"/>
      <w:r>
        <w:rPr>
          <w:rFonts w:ascii="Arial" w:eastAsia="Arial" w:hAnsi="Arial" w:cs="Arial"/>
          <w:color w:val="000000"/>
          <w:sz w:val="20"/>
        </w:rPr>
        <w:t xml:space="preserve">If the VA does so, the burden returns to Mr. Wilkerson to show either that the VA's asserted reason was pretextual, or to show that age was nonetheless a determinative factor in the VA's employment decision. </w:t>
      </w:r>
      <w:bookmarkStart w:id="5911" w:name="Bookmark_I53M0SSTWC500053NV4001V3"/>
      <w:bookmarkStart w:id="5912" w:name="Bookmark_I50CCPPK0K1MNJ3150000400"/>
      <w:bookmarkEnd w:id="5911"/>
      <w:bookmarkEnd w:id="5912"/>
      <w:r>
        <w:rPr>
          <w:rFonts w:ascii="Arial" w:eastAsia="Arial" w:hAnsi="Arial" w:cs="Arial"/>
          <w:color w:val="000000"/>
          <w:sz w:val="20"/>
        </w:rPr>
        <w:t> [**21] </w:t>
      </w:r>
      <w:bookmarkStart w:id="5913" w:name="Bookmark_I50CCPPK0K1MNJ3120000400"/>
      <w:bookmarkEnd w:id="5913"/>
      <w:r>
        <w:rPr>
          <w:rFonts w:ascii="Arial" w:eastAsia="Arial" w:hAnsi="Arial" w:cs="Arial"/>
          <w:i/>
          <w:color w:val="000000"/>
          <w:sz w:val="20"/>
        </w:rPr>
        <w:t>Id</w:t>
      </w:r>
      <w:r>
        <w:rPr>
          <w:rFonts w:ascii="Arial" w:eastAsia="Arial" w:hAnsi="Arial" w:cs="Arial"/>
          <w:color w:val="000000"/>
          <w:sz w:val="20"/>
        </w:rPr>
        <w:t xml:space="preserve">. at 1145. </w:t>
      </w:r>
      <w:bookmarkStart w:id="5914" w:name="Bookmark_I50CCPPK0K1MNJ3150000400_2"/>
      <w:bookmarkEnd w:id="5914"/>
      <w:r>
        <w:rPr>
          <w:rFonts w:ascii="Arial" w:eastAsia="Arial" w:hAnsi="Arial" w:cs="Arial"/>
          <w:color w:val="000000"/>
          <w:sz w:val="20"/>
        </w:rPr>
        <w:t xml:space="preserve">Under the ADEA, a "plaintiff is not required to show that age was the sole motivating factor in the employment decision. Thus a plaintiff need not prove that the reasons offered by the defendant are false if he proves that age was also a reason, and that age was the factor that made a difference." </w:t>
      </w:r>
      <w:bookmarkStart w:id="5915" w:name="Bookmark_I50CCPPK0K1MNJ3140000400"/>
      <w:bookmarkEnd w:id="5915"/>
      <w:r>
        <w:rPr>
          <w:rFonts w:ascii="Arial" w:eastAsia="Arial" w:hAnsi="Arial" w:cs="Arial"/>
          <w:i/>
          <w:color w:val="000000"/>
          <w:sz w:val="20"/>
        </w:rPr>
        <w:t>EEOC v. Prudential Fed. Sav. &amp; Loan Ass'n</w:t>
      </w:r>
      <w:r>
        <w:rPr>
          <w:rFonts w:ascii="Arial" w:eastAsia="Arial" w:hAnsi="Arial" w:cs="Arial"/>
          <w:color w:val="000000"/>
          <w:sz w:val="20"/>
        </w:rPr>
        <w:t>, 763 F.2d 1166, 1170 (10th Cir. 1985) (citations omitted).</w:t>
      </w:r>
    </w:p>
    <w:p w14:paraId="496681F8" w14:textId="77777777" w:rsidR="00D041A2" w:rsidRDefault="00000000">
      <w:pPr>
        <w:pStyle w:val="Normal43"/>
        <w:widowControl w:val="0"/>
        <w:spacing w:before="200" w:line="260" w:lineRule="atLeast"/>
        <w:jc w:val="both"/>
      </w:pPr>
      <w:bookmarkStart w:id="5916" w:name="Bookmark_para_37_16"/>
      <w:bookmarkEnd w:id="5916"/>
      <w:r>
        <w:rPr>
          <w:rFonts w:ascii="Arial" w:eastAsia="Arial" w:hAnsi="Arial" w:cs="Arial"/>
          <w:color w:val="000000"/>
          <w:sz w:val="20"/>
        </w:rPr>
        <w:t xml:space="preserve">Mr. Wilkerson presents three main arguments in support of his age discrimination claim. First, he states the VA denied consideration of his applications for two boiler room positions that opened in 2007 and the VA filled both of these positions with employees younger than him. Second, he points to comments made by Mr. Wrede, his direct supervisor. Another employee reported that Mr. Wrede expressed frustration with having to complete a work schedule when so many operators were on extended medical leave, and  [*1267]  that maybe he should hire younger workers. </w:t>
      </w:r>
      <w:bookmarkStart w:id="5917" w:name="Bookmark_I50CCPPK0K1MNJ31S0000400"/>
      <w:bookmarkEnd w:id="5917"/>
      <w:r>
        <w:rPr>
          <w:rFonts w:ascii="Arial" w:eastAsia="Arial" w:hAnsi="Arial" w:cs="Arial"/>
          <w:color w:val="000000"/>
          <w:sz w:val="20"/>
        </w:rPr>
        <w:t xml:space="preserve">Aplt's App. at 108 (Declaration of Robert Reed). Third, Mr. Wilkerson claims that the VA's inconsistencies and contradictory rationale demonstrate pretext. </w:t>
      </w:r>
      <w:r>
        <w:rPr>
          <w:rFonts w:ascii="Arial" w:eastAsia="Arial" w:hAnsi="Arial" w:cs="Arial"/>
          <w:i/>
          <w:color w:val="000000"/>
          <w:sz w:val="20"/>
        </w:rPr>
        <w:t xml:space="preserve">See </w:t>
      </w:r>
      <w:bookmarkStart w:id="5918" w:name="Bookmark_I50CCPPK0K1MNJ31R0000400"/>
      <w:bookmarkEnd w:id="5918"/>
      <w:r>
        <w:rPr>
          <w:rFonts w:ascii="Arial" w:eastAsia="Arial" w:hAnsi="Arial" w:cs="Arial"/>
          <w:i/>
          <w:color w:val="000000"/>
          <w:sz w:val="20"/>
        </w:rPr>
        <w:t>Bryant v. Farmers Ins. Exch</w:t>
      </w:r>
      <w:r>
        <w:rPr>
          <w:rFonts w:ascii="Arial" w:eastAsia="Arial" w:hAnsi="Arial" w:cs="Arial"/>
          <w:color w:val="000000"/>
          <w:sz w:val="20"/>
        </w:rPr>
        <w:t>., 432 F.3d 1114, 1125 (10th Cir. 2005) ("[W]eaknesses,  [**22] implausibilities, inconsistencies, incoherencies or contradictions in the employer's proffered legitimate reasons for its action that a reasonable factfinder could rationally find them unworthy of credence and hence infer that the employer did not act for the asserted non-discriminatory reasons.").</w:t>
      </w:r>
    </w:p>
    <w:p w14:paraId="7C94D8C3" w14:textId="77777777" w:rsidR="00D041A2" w:rsidRDefault="00000000">
      <w:pPr>
        <w:pStyle w:val="Normal43"/>
        <w:widowControl w:val="0"/>
        <w:spacing w:before="200" w:line="260" w:lineRule="atLeast"/>
        <w:jc w:val="both"/>
      </w:pPr>
      <w:bookmarkStart w:id="5919" w:name="Bookmark_para_38_16"/>
      <w:bookmarkEnd w:id="5919"/>
      <w:r>
        <w:rPr>
          <w:rFonts w:ascii="Arial" w:eastAsia="Arial" w:hAnsi="Arial" w:cs="Arial"/>
          <w:color w:val="000000"/>
          <w:sz w:val="20"/>
        </w:rPr>
        <w:t>Mr. Wilkerson has properly alleged all the elements to establish a prima facie case. He is over the age of forty, he was performing satisfactory work, he was terminated from this position, and, finally, he was replaced by employees who were younger. Aple's App. at 00022 (alleging that the VA hired two employees to replace him who were ages 47 and 37). The VA, however, has asserted a non-age related justification for its actions--Mr. Wilkerson failed the mandated physical and that it believed that Mr. Wilkerson was unable to perform the essential functions required of a boiler room operator.</w:t>
      </w:r>
    </w:p>
    <w:p w14:paraId="754CB097" w14:textId="77777777" w:rsidR="00D041A2" w:rsidRDefault="00000000">
      <w:pPr>
        <w:pStyle w:val="Normal43"/>
        <w:widowControl w:val="0"/>
        <w:spacing w:before="200" w:line="260" w:lineRule="atLeast"/>
        <w:jc w:val="both"/>
      </w:pPr>
      <w:bookmarkStart w:id="5920" w:name="Bookmark_para_39_16"/>
      <w:bookmarkStart w:id="5921" w:name="Bookmark_I53M0SSV69500053NV4001V5"/>
      <w:bookmarkStart w:id="5922" w:name="Bookmark_I50CCPPK0K1MNJ31V0000400"/>
      <w:bookmarkEnd w:id="5920"/>
      <w:bookmarkEnd w:id="5921"/>
      <w:bookmarkEnd w:id="5922"/>
      <w:r>
        <w:rPr>
          <w:rFonts w:ascii="Arial" w:eastAsia="Arial" w:hAnsi="Arial" w:cs="Arial"/>
          <w:color w:val="000000"/>
          <w:sz w:val="20"/>
        </w:rPr>
        <w:t xml:space="preserve">Thus, the burden shifts back to Mr. Wilkerson to allege facts sufficient to show that the VA's justification was a pretext or that age was a determinative factor. Even if we accept everything Mr. Wilkerson asserts as true, he could not prove that "age was a factor that made the difference" or that the VA's  [**23] justification was pretextual. </w:t>
      </w:r>
      <w:bookmarkStart w:id="5923" w:name="Bookmark_I50CCPPK0K1MNJ31T0000400"/>
      <w:bookmarkEnd w:id="5923"/>
      <w:r>
        <w:rPr>
          <w:rFonts w:ascii="Arial" w:eastAsia="Arial" w:hAnsi="Arial" w:cs="Arial"/>
          <w:i/>
          <w:color w:val="000000"/>
          <w:sz w:val="20"/>
        </w:rPr>
        <w:t>Prudential Federal Sav. &amp; Loan Ass'n</w:t>
      </w:r>
      <w:r>
        <w:rPr>
          <w:rFonts w:ascii="Arial" w:eastAsia="Arial" w:hAnsi="Arial" w:cs="Arial"/>
          <w:color w:val="000000"/>
          <w:sz w:val="20"/>
        </w:rPr>
        <w:t>, 763 F.2d at 1170. The record supports the VA's stated rationale for transferring Mr. Wilkerson--that he could not meet the physical qualifications. At best, Mr. Wilkerson had a one time, offhand, and fairly ambiguous comment by a supervisor--not directed toward Mr. Wilkerson--who did not even make the ultimate decision with respect to his employment. Given that there are no disputed facts, and the evidence that exists could not support a claim under the ADEA, we agree with the district court that summaryjudgment in favor of the VA is appropriate on this claim.</w:t>
      </w:r>
    </w:p>
    <w:p w14:paraId="1A1F8585" w14:textId="77777777" w:rsidR="00D041A2" w:rsidRDefault="00000000">
      <w:pPr>
        <w:pStyle w:val="Normal43"/>
        <w:widowControl w:val="0"/>
        <w:spacing w:before="120" w:line="260" w:lineRule="atLeast"/>
      </w:pPr>
      <w:r>
        <w:rPr>
          <w:rFonts w:ascii="Arial" w:eastAsia="Arial" w:hAnsi="Arial" w:cs="Arial"/>
          <w:color w:val="000000"/>
          <w:sz w:val="20"/>
        </w:rPr>
        <w:t xml:space="preserve">C. </w:t>
      </w:r>
      <w:r>
        <w:rPr>
          <w:rFonts w:ascii="Arial" w:eastAsia="Arial" w:hAnsi="Arial" w:cs="Arial"/>
          <w:color w:val="000000"/>
          <w:sz w:val="20"/>
          <w:u w:val="single"/>
        </w:rPr>
        <w:t>Privacy Act claim</w:t>
      </w:r>
    </w:p>
    <w:p w14:paraId="4652121D" w14:textId="77777777" w:rsidR="00D041A2" w:rsidRDefault="00000000">
      <w:pPr>
        <w:pStyle w:val="Normal43"/>
        <w:widowControl w:val="0"/>
        <w:spacing w:before="200" w:line="260" w:lineRule="atLeast"/>
        <w:jc w:val="both"/>
      </w:pPr>
      <w:bookmarkStart w:id="5924" w:name="Bookmark_para_40_16"/>
      <w:bookmarkEnd w:id="5924"/>
      <w:r>
        <w:rPr>
          <w:rFonts w:ascii="Arial" w:eastAsia="Arial" w:hAnsi="Arial" w:cs="Arial"/>
          <w:color w:val="000000"/>
          <w:sz w:val="20"/>
        </w:rPr>
        <w:t xml:space="preserve">Mr. </w:t>
      </w:r>
      <w:bookmarkStart w:id="5925" w:name="Bookmark_I53M0SSVB4900053NV4001V6"/>
      <w:bookmarkStart w:id="5926" w:name="Bookmark_I50CCPPK0K1MNJ32F0000400"/>
      <w:bookmarkEnd w:id="5925"/>
      <w:bookmarkEnd w:id="5926"/>
      <w:r>
        <w:rPr>
          <w:rFonts w:ascii="Arial" w:eastAsia="Arial" w:hAnsi="Arial" w:cs="Arial"/>
          <w:color w:val="000000"/>
          <w:sz w:val="20"/>
        </w:rPr>
        <w:t xml:space="preserve">Wilkerson argues Dr. Johnson's accessing of Mr. Wilkerson's health records violated his privacy rights. </w:t>
      </w:r>
      <w:bookmarkStart w:id="5927" w:name="Bookmark_I53M0SSVH7500053NV4001BS"/>
      <w:bookmarkStart w:id="5928" w:name="Bookmark_I50CCPPK0K1MNJ32H0000400"/>
      <w:bookmarkEnd w:id="5927"/>
      <w:bookmarkEnd w:id="5928"/>
      <w:r>
        <w:rPr>
          <w:rFonts w:ascii="Arial" w:eastAsia="Arial" w:hAnsi="Arial" w:cs="Arial"/>
          <w:color w:val="000000"/>
          <w:sz w:val="20"/>
        </w:rPr>
        <w:t xml:space="preserve">The district court denied Mr. Wilkerson's motion for leave to amend his complaint to allege a Privacy Act violation, 5 U.S.C. § 552a. </w:t>
      </w:r>
      <w:r>
        <w:rPr>
          <w:rFonts w:ascii="Arial" w:eastAsia="Arial" w:hAnsi="Arial" w:cs="Arial"/>
          <w:vertAlign w:val="superscript"/>
        </w:rPr>
        <w:footnoteReference w:customMarkFollows="1" w:id="283"/>
        <w:t>4</w:t>
      </w:r>
      <w:r>
        <w:rPr>
          <w:rFonts w:ascii="Arial" w:eastAsia="Arial" w:hAnsi="Arial" w:cs="Arial"/>
          <w:color w:val="000000"/>
          <w:sz w:val="20"/>
        </w:rPr>
        <w:t xml:space="preserve"> </w:t>
      </w:r>
      <w:bookmarkStart w:id="5932" w:name="Bookmark_LNHNREFclscc16_13"/>
      <w:bookmarkEnd w:id="5932"/>
      <w:r>
        <w:rPr>
          <w:rFonts w:ascii="Arial" w:eastAsia="Arial" w:hAnsi="Arial" w:cs="Arial"/>
          <w:color w:val="000000"/>
          <w:sz w:val="20"/>
        </w:rPr>
        <w:t xml:space="preserve">We review the district court's decision to deny leave to amend a complaint for an abuse of discretion. </w:t>
      </w:r>
      <w:bookmarkStart w:id="5933" w:name="Bookmark_I50CCPPK0K1MNJ31W0000400"/>
      <w:bookmarkEnd w:id="5933"/>
      <w:r>
        <w:rPr>
          <w:rFonts w:ascii="Arial" w:eastAsia="Arial" w:hAnsi="Arial" w:cs="Arial"/>
          <w:i/>
          <w:color w:val="000000"/>
          <w:sz w:val="20"/>
        </w:rPr>
        <w:t>Hertz v. Luzenac Group</w:t>
      </w:r>
      <w:r>
        <w:rPr>
          <w:rFonts w:ascii="Arial" w:eastAsia="Arial" w:hAnsi="Arial" w:cs="Arial"/>
          <w:color w:val="000000"/>
          <w:sz w:val="20"/>
        </w:rPr>
        <w:t xml:space="preserve">, 576 F.3d 1103, 1117 (10th Cir. 2009). </w:t>
      </w:r>
      <w:bookmarkStart w:id="5934" w:name="Bookmark_I50CCPPK0K1MNJ32H0000400_2"/>
      <w:bookmarkEnd w:id="5934"/>
      <w:r>
        <w:rPr>
          <w:rFonts w:ascii="Arial" w:eastAsia="Arial" w:hAnsi="Arial" w:cs="Arial"/>
          <w:color w:val="000000"/>
          <w:sz w:val="20"/>
        </w:rPr>
        <w:t xml:space="preserve">A district court should refuse leave to amend "only [upon] a showing of undue delay, undue prejudice to the opposing party, bad faith or  [**24] dilatory motive, failure to cure deficiencies by amendments previously allowed, or futility of amendment." </w:t>
      </w:r>
      <w:bookmarkStart w:id="5935" w:name="Bookmark_I50CCPPK0K1MNJ32G0000400"/>
      <w:bookmarkEnd w:id="5935"/>
      <w:r>
        <w:rPr>
          <w:rFonts w:ascii="Arial" w:eastAsia="Arial" w:hAnsi="Arial" w:cs="Arial"/>
          <w:i/>
          <w:color w:val="000000"/>
          <w:sz w:val="20"/>
        </w:rPr>
        <w:t>Duncan v. Manager, Dep't of Safety, City &amp; County of Denv</w:t>
      </w:r>
      <w:r>
        <w:rPr>
          <w:rFonts w:ascii="Arial" w:eastAsia="Arial" w:hAnsi="Arial" w:cs="Arial"/>
          <w:color w:val="000000"/>
          <w:sz w:val="20"/>
        </w:rPr>
        <w:t>., 397 F.3d 1300, 1315 (10th Cir. 2005).</w:t>
      </w:r>
    </w:p>
    <w:p w14:paraId="558DB15C" w14:textId="77777777" w:rsidR="00D041A2" w:rsidRDefault="00000000">
      <w:pPr>
        <w:pStyle w:val="Normal43"/>
        <w:widowControl w:val="0"/>
        <w:spacing w:before="200" w:line="260" w:lineRule="atLeast"/>
        <w:jc w:val="both"/>
      </w:pPr>
      <w:bookmarkStart w:id="5936" w:name="Bookmark_para_41_15"/>
      <w:bookmarkStart w:id="5937" w:name="Bookmark_LNHNREFclscc17_12"/>
      <w:bookmarkStart w:id="5938" w:name="Bookmark_I53M0SSVV5500053NV4001BV"/>
      <w:bookmarkStart w:id="5939" w:name="Bookmark_I50CCPPK0K1MNJ3410000400"/>
      <w:bookmarkEnd w:id="5936"/>
      <w:bookmarkEnd w:id="5937"/>
      <w:bookmarkEnd w:id="5938"/>
      <w:bookmarkEnd w:id="5939"/>
      <w:r>
        <w:rPr>
          <w:rFonts w:ascii="Arial" w:eastAsia="Arial" w:hAnsi="Arial" w:cs="Arial"/>
          <w:color w:val="000000"/>
          <w:sz w:val="20"/>
        </w:rPr>
        <w:t xml:space="preserve">The Privacy Act provides that: "No agency shall disclose any record which is contained in a system of records by any means of communication to any person, or to another agency, except pursuant to a written request by, or with the prior written  [*1268]  consent of, the individual to whom the record pertains." 5 U.S.C. § 552a(g)(1)(D). For a plaintiff to succeed on a Privacy Act claim, he must demonstrate the following four elements: (1) the information is a record within a system of records, (2) the agency disclosed the  [**25] information, (3) the disclosure adversely affected the plaintiff, and (4) the disclosure was willful or intentional. </w:t>
      </w:r>
      <w:bookmarkStart w:id="5940" w:name="Bookmark_I50CCPPK0K1MNJ3400000400"/>
      <w:bookmarkEnd w:id="5940"/>
      <w:r>
        <w:rPr>
          <w:rFonts w:ascii="Arial" w:eastAsia="Arial" w:hAnsi="Arial" w:cs="Arial"/>
          <w:i/>
          <w:color w:val="000000"/>
          <w:sz w:val="20"/>
        </w:rPr>
        <w:t>Pierce v. Dep't of U.S. Air Force</w:t>
      </w:r>
      <w:r>
        <w:rPr>
          <w:rFonts w:ascii="Arial" w:eastAsia="Arial" w:hAnsi="Arial" w:cs="Arial"/>
          <w:color w:val="000000"/>
          <w:sz w:val="20"/>
        </w:rPr>
        <w:t xml:space="preserve">, 512 F.3d 184 (5th Cir. 2007). Of course, certain disclosures are authorized and do not give rise to a Privacy Act claim. </w:t>
      </w:r>
      <w:r>
        <w:rPr>
          <w:rFonts w:ascii="Arial" w:eastAsia="Arial" w:hAnsi="Arial" w:cs="Arial"/>
          <w:i/>
          <w:color w:val="000000"/>
          <w:sz w:val="20"/>
        </w:rPr>
        <w:t>See</w:t>
      </w:r>
      <w:r>
        <w:rPr>
          <w:rFonts w:ascii="Arial" w:eastAsia="Arial" w:hAnsi="Arial" w:cs="Arial"/>
          <w:color w:val="000000"/>
          <w:sz w:val="20"/>
        </w:rPr>
        <w:t xml:space="preserve"> 5 C.F.R. § 297.401 (1996).</w:t>
      </w:r>
    </w:p>
    <w:p w14:paraId="37D9F38F" w14:textId="77777777" w:rsidR="00D041A2" w:rsidRDefault="00000000">
      <w:pPr>
        <w:pStyle w:val="Normal43"/>
        <w:widowControl w:val="0"/>
        <w:spacing w:before="200" w:line="260" w:lineRule="atLeast"/>
        <w:jc w:val="both"/>
      </w:pPr>
      <w:bookmarkStart w:id="5941" w:name="Bookmark_para_42_14"/>
      <w:bookmarkEnd w:id="5941"/>
      <w:r>
        <w:rPr>
          <w:rFonts w:ascii="Arial" w:eastAsia="Arial" w:hAnsi="Arial" w:cs="Arial"/>
          <w:color w:val="000000"/>
          <w:sz w:val="20"/>
        </w:rPr>
        <w:t>Mr. Wilkerson's medical records are undisputedly an applicable record; these files were not part of his employee medical file. Similarly, the parties do not dispute that the VA's disclosure of the information adversely affected Mr. Wilkerson.</w:t>
      </w:r>
    </w:p>
    <w:p w14:paraId="3F618652" w14:textId="77777777" w:rsidR="00D041A2" w:rsidRDefault="00000000">
      <w:pPr>
        <w:pStyle w:val="Normal43"/>
        <w:widowControl w:val="0"/>
        <w:spacing w:before="200" w:line="260" w:lineRule="atLeast"/>
        <w:jc w:val="both"/>
      </w:pPr>
      <w:bookmarkStart w:id="5942" w:name="Bookmark_para_43_14"/>
      <w:bookmarkStart w:id="5943" w:name="Bookmark_I50CCPPK0K1MNJ3430000400"/>
      <w:bookmarkEnd w:id="5942"/>
      <w:bookmarkEnd w:id="5943"/>
      <w:r>
        <w:rPr>
          <w:rFonts w:ascii="Arial" w:eastAsia="Arial" w:hAnsi="Arial" w:cs="Arial"/>
          <w:color w:val="000000"/>
          <w:sz w:val="20"/>
        </w:rPr>
        <w:t xml:space="preserve">As to element (2), whether there was a disclosure, </w:t>
      </w:r>
      <w:bookmarkStart w:id="5944" w:name="Bookmark_LNHNREFclscc18_10"/>
      <w:bookmarkEnd w:id="5944"/>
      <w:r>
        <w:rPr>
          <w:rFonts w:ascii="Arial" w:eastAsia="Arial" w:hAnsi="Arial" w:cs="Arial"/>
          <w:color w:val="000000"/>
          <w:sz w:val="20"/>
        </w:rPr>
        <w:t xml:space="preserve">"[a]lthough 'disclosure' is not defined in the text of the Privacy Act, the Office of Personnel Management ('OPM') has defined 'disclosure' under the Privacy Act to mean 'providing personal review of a record, or a copy thereof, to someone other than the data subject or the data subject's authorized representative.'" </w:t>
      </w:r>
      <w:bookmarkStart w:id="5945" w:name="Bookmark_I50CCPPK0K1MNJ3420000400"/>
      <w:bookmarkEnd w:id="5945"/>
      <w:r>
        <w:rPr>
          <w:rFonts w:ascii="Arial" w:eastAsia="Arial" w:hAnsi="Arial" w:cs="Arial"/>
          <w:i/>
          <w:color w:val="000000"/>
          <w:sz w:val="20"/>
        </w:rPr>
        <w:t>Pippinger v. Rubin</w:t>
      </w:r>
      <w:r>
        <w:rPr>
          <w:rFonts w:ascii="Arial" w:eastAsia="Arial" w:hAnsi="Arial" w:cs="Arial"/>
          <w:color w:val="000000"/>
          <w:sz w:val="20"/>
        </w:rPr>
        <w:t xml:space="preserve">, 129 F.3d 519, 528 (10th Cir. 1997) (quoting 5 C.F.R. § 297.102 (1997)). We have also interpreted this definition liberally to include not only the physical disclosure of the records, but also the accessing of private records. </w:t>
      </w:r>
      <w:r>
        <w:rPr>
          <w:rFonts w:ascii="Arial" w:eastAsia="Arial" w:hAnsi="Arial" w:cs="Arial"/>
          <w:i/>
          <w:color w:val="000000"/>
          <w:sz w:val="20"/>
        </w:rPr>
        <w:t>Id</w:t>
      </w:r>
      <w:r>
        <w:rPr>
          <w:rFonts w:ascii="Arial" w:eastAsia="Arial" w:hAnsi="Arial" w:cs="Arial"/>
          <w:color w:val="000000"/>
          <w:sz w:val="20"/>
        </w:rPr>
        <w:t>. When the VA revealed the information  [**26] to Dr. Johnson, the VA disclosed information covered by the Privacy Act. The VA disclosed the information in the record to Dr. Johnson, who, under the law, constituted a person other than the data subject or the subject's authorized representative. The VA does not dispute that the disclosure adversely affected Mr. Wilkerson. Thus, the claim turns on prong (4) whether the disclosure was willful or intentional.</w:t>
      </w:r>
    </w:p>
    <w:p w14:paraId="1B6ADBAC" w14:textId="77777777" w:rsidR="00D041A2" w:rsidRDefault="00000000">
      <w:pPr>
        <w:pStyle w:val="Normal43"/>
        <w:widowControl w:val="0"/>
        <w:spacing w:before="200" w:line="260" w:lineRule="atLeast"/>
        <w:jc w:val="both"/>
      </w:pPr>
      <w:bookmarkStart w:id="5946" w:name="Bookmark_para_44_14"/>
      <w:bookmarkStart w:id="5947" w:name="Bookmark_LNHNREFclscc19_9"/>
      <w:bookmarkStart w:id="5948" w:name="Bookmark_I50CCPPK0K1MNJ35B0000400"/>
      <w:bookmarkEnd w:id="5946"/>
      <w:bookmarkEnd w:id="5947"/>
      <w:bookmarkEnd w:id="5948"/>
      <w:r>
        <w:rPr>
          <w:rFonts w:ascii="Arial" w:eastAsia="Arial" w:hAnsi="Arial" w:cs="Arial"/>
          <w:color w:val="000000"/>
          <w:sz w:val="20"/>
        </w:rPr>
        <w:t xml:space="preserve">A disclosure is considered "intentional or willful" under the Privacy Act only if the "action [was] so patently egregious and unlawful that anyone undertaking the conduct should have known it unlawful, or conduct committed without grounds for believing it to be lawful or action flagrantly disregarding others' rights under the Act." </w:t>
      </w:r>
      <w:bookmarkStart w:id="5949" w:name="Bookmark_I50CCPPK0K1MNJ3440000400"/>
      <w:bookmarkEnd w:id="5949"/>
      <w:r>
        <w:rPr>
          <w:rFonts w:ascii="Arial" w:eastAsia="Arial" w:hAnsi="Arial" w:cs="Arial"/>
          <w:i/>
          <w:color w:val="000000"/>
          <w:sz w:val="20"/>
        </w:rPr>
        <w:t>Andrews v. Veterans Admin</w:t>
      </w:r>
      <w:r>
        <w:rPr>
          <w:rFonts w:ascii="Arial" w:eastAsia="Arial" w:hAnsi="Arial" w:cs="Arial"/>
          <w:color w:val="000000"/>
          <w:sz w:val="20"/>
        </w:rPr>
        <w:t xml:space="preserve">., 838 F.2d 418, 425 (10th Cir. 1998) (internal quotation marks and citations omitted). Such conduct must amount to reckless behavior, gross negligence is insufficient. </w:t>
      </w:r>
      <w:r>
        <w:rPr>
          <w:rFonts w:ascii="Arial" w:eastAsia="Arial" w:hAnsi="Arial" w:cs="Arial"/>
          <w:i/>
          <w:color w:val="000000"/>
          <w:sz w:val="20"/>
        </w:rPr>
        <w:t>Id</w:t>
      </w:r>
      <w:r>
        <w:rPr>
          <w:rFonts w:ascii="Arial" w:eastAsia="Arial" w:hAnsi="Arial" w:cs="Arial"/>
          <w:color w:val="000000"/>
          <w:sz w:val="20"/>
        </w:rPr>
        <w:t>.</w:t>
      </w:r>
    </w:p>
    <w:p w14:paraId="6D7A0DD4" w14:textId="77777777" w:rsidR="00D041A2" w:rsidRDefault="00000000">
      <w:pPr>
        <w:pStyle w:val="Normal43"/>
        <w:widowControl w:val="0"/>
        <w:spacing w:before="200" w:line="260" w:lineRule="atLeast"/>
        <w:jc w:val="both"/>
      </w:pPr>
      <w:bookmarkStart w:id="5950" w:name="Bookmark_para_45_14"/>
      <w:bookmarkStart w:id="5951" w:name="Bookmark_I50CCPPK0K1MNJ35D0000400"/>
      <w:bookmarkEnd w:id="5950"/>
      <w:bookmarkEnd w:id="5951"/>
      <w:r>
        <w:rPr>
          <w:rFonts w:ascii="Arial" w:eastAsia="Arial" w:hAnsi="Arial" w:cs="Arial"/>
          <w:color w:val="000000"/>
          <w:sz w:val="20"/>
        </w:rPr>
        <w:t xml:space="preserve">There is no indication that the conduct in this case rises to the level to be considered "willful or intentional," nor does Mr. Wilkerson cite any. Dr. Johnson testified in his deposition that he thought he could access the record so long as he had a "need  [**27] to know." Aplt's App. at 74; </w:t>
      </w:r>
      <w:r>
        <w:rPr>
          <w:rFonts w:ascii="Arial" w:eastAsia="Arial" w:hAnsi="Arial" w:cs="Arial"/>
          <w:i/>
          <w:color w:val="000000"/>
          <w:sz w:val="20"/>
        </w:rPr>
        <w:t xml:space="preserve">see </w:t>
      </w:r>
      <w:bookmarkStart w:id="5952" w:name="Bookmark_I50CCPPK0K1MNJ35C0000400"/>
      <w:bookmarkEnd w:id="5952"/>
      <w:r>
        <w:rPr>
          <w:rFonts w:ascii="Arial" w:eastAsia="Arial" w:hAnsi="Arial" w:cs="Arial"/>
          <w:i/>
          <w:color w:val="000000"/>
          <w:sz w:val="20"/>
        </w:rPr>
        <w:t>Hernandez v. Alexander</w:t>
      </w:r>
      <w:r>
        <w:rPr>
          <w:rFonts w:ascii="Arial" w:eastAsia="Arial" w:hAnsi="Arial" w:cs="Arial"/>
          <w:color w:val="000000"/>
          <w:sz w:val="20"/>
        </w:rPr>
        <w:t xml:space="preserve">, 671 F.2d 402, 410 (10th Cir. 1982) (concluding that </w:t>
      </w:r>
      <w:bookmarkStart w:id="5953" w:name="Bookmark_LNHNREFclscc20_7"/>
      <w:bookmarkEnd w:id="5953"/>
      <w:r>
        <w:rPr>
          <w:rFonts w:ascii="Arial" w:eastAsia="Arial" w:hAnsi="Arial" w:cs="Arial"/>
          <w:color w:val="000000"/>
          <w:sz w:val="20"/>
        </w:rPr>
        <w:t>the "need to know" exception authorizes disclosure where records are necessary to make a disciplinary decision). There is no testimony in the records nor is there any other evidence to the contrary. And given that Mr. Wilkerson's health records were relevant to whether he could continue working at the VA, Dr. Johnson's belief was reasonable. Thus, we hold that the district court did not abuse its discretion in denying leave to amend the complaint to allege a violation of the Privacy Act as any attempt to amend the complaint would be futile, thus summary judgment is appropriate as to this claim.</w:t>
      </w:r>
    </w:p>
    <w:p w14:paraId="7E716EA1" w14:textId="77777777" w:rsidR="00D041A2" w:rsidRDefault="00000000">
      <w:pPr>
        <w:pStyle w:val="Normal43"/>
        <w:widowControl w:val="0"/>
        <w:spacing w:before="120" w:line="260" w:lineRule="atLeast"/>
      </w:pPr>
      <w:r>
        <w:rPr>
          <w:rFonts w:ascii="Arial" w:eastAsia="Arial" w:hAnsi="Arial" w:cs="Arial"/>
          <w:color w:val="000000"/>
          <w:sz w:val="20"/>
        </w:rPr>
        <w:t xml:space="preserve">III. </w:t>
      </w:r>
      <w:r>
        <w:rPr>
          <w:rFonts w:ascii="Arial" w:eastAsia="Arial" w:hAnsi="Arial" w:cs="Arial"/>
          <w:color w:val="000000"/>
          <w:sz w:val="20"/>
          <w:u w:val="single"/>
        </w:rPr>
        <w:t>CONCLUSION</w:t>
      </w:r>
    </w:p>
    <w:p w14:paraId="60AE16FD" w14:textId="77777777" w:rsidR="00D041A2" w:rsidRDefault="00000000">
      <w:pPr>
        <w:pStyle w:val="Normal43"/>
        <w:widowControl w:val="0"/>
        <w:spacing w:before="200" w:line="260" w:lineRule="atLeast"/>
        <w:jc w:val="both"/>
      </w:pPr>
      <w:bookmarkStart w:id="5954" w:name="Bookmark_para_46_13"/>
      <w:bookmarkEnd w:id="5954"/>
      <w:r>
        <w:rPr>
          <w:rFonts w:ascii="Arial" w:eastAsia="Arial" w:hAnsi="Arial" w:cs="Arial"/>
          <w:color w:val="000000"/>
          <w:sz w:val="20"/>
        </w:rPr>
        <w:t>Mr. Wilkerson's frustration over his reassignment, after over two years working as the boiler room operator without incident is understandable. However, given these facts, we cannot penalize an employer for following its regulations regarding  [*1269]  its reasonable medical health requirements, even if the employer acts belatedly. Thus, for the foregoing reasons, we affirm the district court's grant of summary judgment as to Mr. Wilkerson's Rehabilitation Act and ADEA claims and  [**28] affirm the district court's denial of Mr. Wilkerson's motion for leave to amend his complaint to allege a violation of the Privacy Act.</w:t>
      </w:r>
    </w:p>
    <w:p w14:paraId="11B4D589" w14:textId="77777777" w:rsidR="00D041A2" w:rsidRDefault="00D041A2">
      <w:pPr>
        <w:pStyle w:val="Normal43"/>
      </w:pPr>
    </w:p>
    <w:p w14:paraId="61709247" w14:textId="7DD5501D" w:rsidR="00D041A2" w:rsidRDefault="00000000">
      <w:pPr>
        <w:pStyle w:val="Normal43"/>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55520" behindDoc="0" locked="0" layoutInCell="1" allowOverlap="1" wp14:anchorId="3197E3E3" wp14:editId="3341C953">
                <wp:simplePos x="0" y="0"/>
                <wp:positionH relativeFrom="column">
                  <wp:posOffset>0</wp:posOffset>
                </wp:positionH>
                <wp:positionV relativeFrom="paragraph">
                  <wp:posOffset>127000</wp:posOffset>
                </wp:positionV>
                <wp:extent cx="6502400" cy="0"/>
                <wp:effectExtent l="9525" t="12700" r="12700" b="6350"/>
                <wp:wrapNone/>
                <wp:docPr id="1429511051"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F6259" id="Line 97"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6A89FC3" w14:textId="77777777" w:rsidR="00D041A2" w:rsidRDefault="00D041A2">
      <w:pPr>
        <w:pStyle w:val="Normal44"/>
        <w:sectPr w:rsidR="00D041A2">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gutter="0"/>
          <w:cols w:space="720"/>
          <w:titlePg/>
        </w:sectPr>
      </w:pPr>
    </w:p>
    <w:p w14:paraId="7E05B9E1" w14:textId="77777777" w:rsidR="00D041A2" w:rsidRDefault="00D041A2">
      <w:pPr>
        <w:pStyle w:val="Normal44"/>
      </w:pPr>
    </w:p>
    <w:p w14:paraId="3CB8D5DD" w14:textId="77777777" w:rsidR="00D041A2" w:rsidRDefault="00000000">
      <w:pPr>
        <w:pStyle w:val="Heading143"/>
        <w:keepNext w:val="0"/>
        <w:widowControl w:val="0"/>
        <w:spacing w:after="200" w:line="340" w:lineRule="atLeast"/>
        <w:jc w:val="center"/>
      </w:pPr>
      <w:r>
        <w:rPr>
          <w:rFonts w:eastAsia="Arial"/>
          <w:color w:val="000000"/>
          <w:sz w:val="28"/>
        </w:rPr>
        <w:t>Ariz. ex rel. Goddard v. Harkins Amusement Enters.</w:t>
      </w:r>
    </w:p>
    <w:p w14:paraId="19F15322" w14:textId="77777777" w:rsidR="00D041A2" w:rsidRDefault="00000000">
      <w:pPr>
        <w:pStyle w:val="Normal44"/>
        <w:widowControl w:val="0"/>
        <w:spacing w:before="120" w:line="260" w:lineRule="atLeast"/>
        <w:jc w:val="center"/>
      </w:pPr>
      <w:r>
        <w:rPr>
          <w:rFonts w:ascii="Arial" w:eastAsia="Arial" w:hAnsi="Arial" w:cs="Arial"/>
          <w:color w:val="000000"/>
          <w:sz w:val="20"/>
        </w:rPr>
        <w:t>United States Court of Appeals for the Ninth Circuit</w:t>
      </w:r>
    </w:p>
    <w:p w14:paraId="5A0EFCA4" w14:textId="77777777" w:rsidR="00D041A2" w:rsidRDefault="00000000">
      <w:pPr>
        <w:pStyle w:val="Normal44"/>
        <w:widowControl w:val="0"/>
        <w:spacing w:before="120" w:line="260" w:lineRule="atLeast"/>
        <w:jc w:val="center"/>
      </w:pPr>
      <w:r>
        <w:rPr>
          <w:rFonts w:ascii="Arial" w:eastAsia="Arial" w:hAnsi="Arial" w:cs="Arial"/>
          <w:color w:val="000000"/>
          <w:sz w:val="20"/>
        </w:rPr>
        <w:t>January 13, 2010, Argued and Submitted, San Francisco, California; April 30, 2010, Filed</w:t>
      </w:r>
    </w:p>
    <w:p w14:paraId="0BFF0FC0" w14:textId="77777777" w:rsidR="00D041A2" w:rsidRDefault="00000000">
      <w:pPr>
        <w:pStyle w:val="Normal44"/>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08-16075</w:t>
      </w:r>
    </w:p>
    <w:p w14:paraId="530BE901" w14:textId="77777777" w:rsidR="00D041A2" w:rsidRDefault="00D041A2">
      <w:pPr>
        <w:pStyle w:val="Normal44"/>
        <w:widowControl w:val="0"/>
        <w:spacing w:line="240" w:lineRule="atLeast"/>
        <w:jc w:val="both"/>
      </w:pPr>
      <w:bookmarkStart w:id="5955" w:name="Bookmark_45"/>
      <w:bookmarkEnd w:id="5955"/>
    </w:p>
    <w:p w14:paraId="0AF6A44F" w14:textId="77777777" w:rsidR="00D041A2" w:rsidRDefault="00000000">
      <w:pPr>
        <w:pStyle w:val="Normal44"/>
        <w:widowControl w:val="0"/>
        <w:spacing w:before="200" w:line="240" w:lineRule="atLeast"/>
      </w:pPr>
      <w:bookmarkStart w:id="5956" w:name="Reporter_43"/>
      <w:bookmarkEnd w:id="5956"/>
      <w:r>
        <w:rPr>
          <w:rFonts w:ascii="Arial" w:eastAsia="Arial" w:hAnsi="Arial" w:cs="Arial"/>
          <w:b/>
          <w:color w:val="000000"/>
          <w:sz w:val="18"/>
        </w:rPr>
        <w:t>Reporter</w:t>
      </w:r>
    </w:p>
    <w:p w14:paraId="330A0F1E" w14:textId="77777777" w:rsidR="00D041A2" w:rsidRDefault="00000000">
      <w:pPr>
        <w:pStyle w:val="Normal44"/>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603 F.3d 666 *; 2010 U.S. App. LEXIS 9042 **; 23 Am. Disabilities Cas. (BNA) 335</w:t>
      </w:r>
    </w:p>
    <w:p w14:paraId="23F2B004" w14:textId="77777777" w:rsidR="00D041A2" w:rsidRDefault="00000000">
      <w:pPr>
        <w:pStyle w:val="Normal44"/>
        <w:widowControl w:val="0"/>
        <w:spacing w:before="120" w:line="260" w:lineRule="atLeast"/>
      </w:pPr>
      <w:r>
        <w:rPr>
          <w:rFonts w:ascii="Arial" w:eastAsia="Arial" w:hAnsi="Arial" w:cs="Arial"/>
          <w:color w:val="000000"/>
          <w:sz w:val="20"/>
        </w:rPr>
        <w:t>STATE OF ARIZONA, ex rel. Terry Goddard, the Attorney General, and THE CIVIL RIGHTS DIVISION OF THE ARIZONA DEPARTMENT OF LAW, Plaintiffs-Appellants, and FREDERICK LINDSTROM by and through his legal guardian, RACHEL LINDSTROM, and LARRY WANGER, Plaintiff-Intervenors-Appellants. v. HARKINS AMUSEMENT ENTERPRISES, INC.; HARKINS ENTERPRISES INC.; HARKINS CAMEL VIEW THEATRES, INC.; HARKINS THEATRES, INC.; HARKINS CENTERPOINT, INC.; HARKINS SHEA CINEMAS, LLC; HARKINS SEDONA CINEMAS, LLC; HARKINS CINEMAS, LLC; HARKINS ARIZONA MILLS CINEMAS, LLC; HARKINS METRO CENTER CINEMAS, LLC; HARKINS REEL DEALS, LLC; HARKINS PHOENIX CINEMAS, LLC; HARKINS CHANDLER FASHION CENTER CINEMAS, LLC; HARKINS SCOTTSDALE 101 CINEMAS, LLC; HARKINS YUMA PALMS, LLC; HARKINS TEMPE MARKETPLACE, LLC; HARKINS ADMINISTRATIVE SERVICES, INC.; RED'S MOVIOLA I, LLC; RED'S MOVIOLA, INC.; HARKINS SPECTRUM, LLC; HARKINS CASA GRANDE, LLC; HARKINS INVESTMENTS, LLC; HARKINS PARKE WEST, LLC; HARKINS SANTAN VILLAGE, LLC; HARKINS TUCSON SPECTRUM, LLC; HARKINS CHANDLER CROSSROADS, LLC; HARKINS NORTERRA, LLC, Defendants-Appellees.</w:t>
      </w:r>
    </w:p>
    <w:p w14:paraId="3057532F" w14:textId="77777777" w:rsidR="00D041A2" w:rsidRDefault="00000000">
      <w:pPr>
        <w:pStyle w:val="Normal44"/>
        <w:widowControl w:val="0"/>
        <w:spacing w:before="240" w:line="260" w:lineRule="atLeast"/>
        <w:jc w:val="both"/>
      </w:pPr>
      <w:bookmarkStart w:id="5957" w:name="Prior_History_43"/>
      <w:bookmarkEnd w:id="5957"/>
      <w:r>
        <w:rPr>
          <w:rFonts w:ascii="Arial" w:eastAsia="Arial" w:hAnsi="Arial" w:cs="Arial"/>
          <w:b/>
          <w:color w:val="000000"/>
          <w:sz w:val="20"/>
        </w:rPr>
        <w:t>Prior History:</w:t>
      </w:r>
      <w:r>
        <w:rPr>
          <w:rFonts w:ascii="Arial" w:eastAsia="Arial" w:hAnsi="Arial" w:cs="Arial"/>
          <w:color w:val="000000"/>
          <w:sz w:val="20"/>
        </w:rPr>
        <w:t>  [**1] </w:t>
      </w:r>
      <w:bookmarkStart w:id="5958" w:name="Bookmark_para_1_43"/>
      <w:bookmarkEnd w:id="5958"/>
      <w:r>
        <w:rPr>
          <w:rFonts w:ascii="Arial" w:eastAsia="Arial" w:hAnsi="Arial" w:cs="Arial"/>
          <w:color w:val="000000"/>
          <w:sz w:val="20"/>
        </w:rPr>
        <w:t>Appeal from the United States District Court for the District of Arizona. D.C. No. 2:07-cv-00703-ROS. Roslyn O. Silver, District Judge, Presiding.</w:t>
      </w:r>
    </w:p>
    <w:p w14:paraId="211F01BA" w14:textId="77777777" w:rsidR="00D041A2" w:rsidRDefault="00000000">
      <w:pPr>
        <w:pStyle w:val="Normal44"/>
        <w:widowControl w:val="0"/>
        <w:spacing w:before="120" w:line="260" w:lineRule="atLeast"/>
      </w:pPr>
      <w:r>
        <w:rPr>
          <w:rFonts w:ascii="Arial" w:eastAsia="Arial" w:hAnsi="Arial" w:cs="Arial"/>
          <w:color w:val="000000"/>
          <w:sz w:val="20"/>
        </w:rPr>
        <w:t>Arizona ex rel. Goddard v. Harkins Amusement Enters., 548 F. Supp. 2d 723, 2008 U.S. Dist. LEXIS 56235 (D. Ariz., 2008)</w:t>
      </w:r>
    </w:p>
    <w:p w14:paraId="3D91F345" w14:textId="77777777" w:rsidR="00D041A2" w:rsidRDefault="00000000">
      <w:pPr>
        <w:pStyle w:val="Normal44"/>
        <w:widowControl w:val="0"/>
        <w:spacing w:before="240" w:line="260" w:lineRule="atLeast"/>
        <w:jc w:val="both"/>
      </w:pPr>
      <w:bookmarkStart w:id="5959" w:name="Disposition_14"/>
      <w:bookmarkEnd w:id="5959"/>
      <w:r>
        <w:rPr>
          <w:rFonts w:ascii="Arial" w:eastAsia="Arial" w:hAnsi="Arial" w:cs="Arial"/>
          <w:b/>
          <w:color w:val="000000"/>
          <w:sz w:val="20"/>
        </w:rPr>
        <w:t>Disposition:</w:t>
      </w:r>
      <w:r>
        <w:rPr>
          <w:rFonts w:ascii="Arial" w:eastAsia="Arial" w:hAnsi="Arial" w:cs="Arial"/>
          <w:color w:val="000000"/>
          <w:sz w:val="20"/>
        </w:rPr>
        <w:t> </w:t>
      </w:r>
      <w:bookmarkStart w:id="5960" w:name="Bookmark_clspara_5_7"/>
      <w:bookmarkEnd w:id="5960"/>
      <w:r>
        <w:rPr>
          <w:rFonts w:ascii="Arial" w:eastAsia="Arial" w:hAnsi="Arial" w:cs="Arial"/>
          <w:color w:val="000000"/>
          <w:sz w:val="20"/>
        </w:rPr>
        <w:t>AFFIRMED IN PART AND REVERSED IN PART.</w:t>
      </w:r>
    </w:p>
    <w:p w14:paraId="232E6879" w14:textId="77777777" w:rsidR="00D041A2" w:rsidRDefault="00000000">
      <w:pPr>
        <w:pStyle w:val="Normal44"/>
        <w:widowControl w:val="0"/>
        <w:spacing w:before="240" w:line="260" w:lineRule="atLeast"/>
      </w:pPr>
      <w:bookmarkStart w:id="5961" w:name="Counsel_43"/>
      <w:bookmarkEnd w:id="5961"/>
      <w:r>
        <w:rPr>
          <w:rFonts w:ascii="Arial" w:eastAsia="Arial" w:hAnsi="Arial" w:cs="Arial"/>
          <w:b/>
          <w:color w:val="000000"/>
          <w:sz w:val="20"/>
        </w:rPr>
        <w:t>Counsel:</w:t>
      </w:r>
      <w:r>
        <w:rPr>
          <w:rFonts w:ascii="Arial" w:eastAsia="Arial" w:hAnsi="Arial" w:cs="Arial"/>
          <w:color w:val="000000"/>
          <w:sz w:val="20"/>
        </w:rPr>
        <w:t> Rose A. Daly-Rooney and Cathleen M. Dooley, Assistant Attorneys General, Tucson, Arizona, for the appellants. Jose de Jesus V. Rico, Arizona Center for Disability Law, Tucson, Arizona, for the appellants-intervenors.</w:t>
      </w:r>
    </w:p>
    <w:p w14:paraId="466AAB98" w14:textId="77777777" w:rsidR="00D041A2" w:rsidRDefault="00000000">
      <w:pPr>
        <w:pStyle w:val="Normal44"/>
        <w:widowControl w:val="0"/>
        <w:spacing w:before="120" w:line="260" w:lineRule="atLeast"/>
      </w:pPr>
      <w:r>
        <w:rPr>
          <w:rFonts w:ascii="Arial" w:eastAsia="Arial" w:hAnsi="Arial" w:cs="Arial"/>
          <w:color w:val="000000"/>
          <w:sz w:val="20"/>
        </w:rPr>
        <w:t>John J. Egbert, The Collier Center, Phoenix, Arizona, and Richard Lustiger, General Counsel, Harkins Theatres, Scottsdale, Arizona, for the appellees.</w:t>
      </w:r>
    </w:p>
    <w:p w14:paraId="0545C48F" w14:textId="77777777" w:rsidR="00D041A2" w:rsidRDefault="00000000">
      <w:pPr>
        <w:pStyle w:val="Normal44"/>
        <w:widowControl w:val="0"/>
        <w:spacing w:before="120" w:line="260" w:lineRule="atLeast"/>
      </w:pPr>
      <w:r>
        <w:rPr>
          <w:rFonts w:ascii="Arial" w:eastAsia="Arial" w:hAnsi="Arial" w:cs="Arial"/>
          <w:color w:val="000000"/>
          <w:sz w:val="20"/>
        </w:rPr>
        <w:t>Brian East, Advocacy, Inc., Austin, Texas; Linda M. Dardarian, Goldstein, Demchak, Baller, Borgen &amp; Dardarian, Oakland, California; John F. Stanton, Howrey LLP, Washington, D.C.; John F. Waldo, Washington State Communication Access Project, Bainbridge Island, Washington; Marc P. Charmatz, National Association of the Deaf Law and Advocacy Center, Silver Spring, Maryland; Angela M. Miller, Attorney, Civil Rights Division, Department of Justice, Washington, D.C.; M. Brett Burns, Hunton &amp; Williams LLP, San Francisco, California; Steven John Fellman, GKG Law, PC, Washington, D.C., for the amici curiae.</w:t>
      </w:r>
    </w:p>
    <w:p w14:paraId="6092495C" w14:textId="77777777" w:rsidR="00D041A2" w:rsidRDefault="00000000">
      <w:pPr>
        <w:pStyle w:val="Normal44"/>
        <w:widowControl w:val="0"/>
        <w:spacing w:before="240" w:line="260" w:lineRule="atLeast"/>
      </w:pPr>
      <w:bookmarkStart w:id="5962" w:name="Judges_43"/>
      <w:bookmarkEnd w:id="5962"/>
      <w:r>
        <w:rPr>
          <w:rFonts w:ascii="Arial" w:eastAsia="Arial" w:hAnsi="Arial" w:cs="Arial"/>
          <w:b/>
          <w:color w:val="000000"/>
          <w:sz w:val="20"/>
        </w:rPr>
        <w:t>Judges:</w:t>
      </w:r>
      <w:r>
        <w:rPr>
          <w:rFonts w:ascii="Arial" w:eastAsia="Arial" w:hAnsi="Arial" w:cs="Arial"/>
          <w:color w:val="000000"/>
          <w:sz w:val="20"/>
        </w:rPr>
        <w:t> Before: Alex Kozinski, Chief Judge, Procter Hug,  [**2] Jr. and Richard R. Clifton, Circuit Judges. Opinion by Judge Hug.</w:t>
      </w:r>
    </w:p>
    <w:p w14:paraId="67153D17" w14:textId="77777777" w:rsidR="00D041A2" w:rsidRDefault="00000000">
      <w:pPr>
        <w:pStyle w:val="Normal44"/>
        <w:widowControl w:val="0"/>
        <w:spacing w:before="240" w:line="260" w:lineRule="atLeast"/>
      </w:pPr>
      <w:bookmarkStart w:id="5963" w:name="Opinion_by_25"/>
      <w:bookmarkEnd w:id="5963"/>
      <w:r>
        <w:rPr>
          <w:rFonts w:ascii="Arial" w:eastAsia="Arial" w:hAnsi="Arial" w:cs="Arial"/>
          <w:b/>
          <w:color w:val="000000"/>
          <w:sz w:val="20"/>
        </w:rPr>
        <w:t>Opinion by:</w:t>
      </w:r>
      <w:r>
        <w:rPr>
          <w:rFonts w:ascii="Arial" w:eastAsia="Arial" w:hAnsi="Arial" w:cs="Arial"/>
          <w:color w:val="000000"/>
          <w:sz w:val="20"/>
        </w:rPr>
        <w:t> Procter Hug</w:t>
      </w:r>
    </w:p>
    <w:p w14:paraId="34D5800F" w14:textId="77777777" w:rsidR="00D041A2" w:rsidRDefault="00000000">
      <w:pPr>
        <w:pStyle w:val="Normal44"/>
        <w:keepNext/>
        <w:widowControl w:val="0"/>
        <w:spacing w:before="240" w:line="340" w:lineRule="atLeast"/>
      </w:pPr>
      <w:bookmarkStart w:id="5964" w:name="Opinion_43"/>
      <w:bookmarkEnd w:id="5964"/>
      <w:r>
        <w:rPr>
          <w:rFonts w:ascii="Arial" w:eastAsia="Arial" w:hAnsi="Arial" w:cs="Arial"/>
          <w:b/>
          <w:color w:val="000000"/>
          <w:sz w:val="28"/>
        </w:rPr>
        <w:t>Opinion</w:t>
      </w:r>
    </w:p>
    <w:p w14:paraId="7D9E9E15" w14:textId="17866458" w:rsidR="00D041A2" w:rsidRDefault="004D4403">
      <w:pPr>
        <w:pStyle w:val="Normal44"/>
        <w:spacing w:line="60" w:lineRule="exact"/>
      </w:pPr>
      <w:r>
        <w:rPr>
          <w:noProof/>
        </w:rPr>
        <mc:AlternateContent>
          <mc:Choice Requires="wps">
            <w:drawing>
              <wp:anchor distT="0" distB="0" distL="114300" distR="114300" simplePos="0" relativeHeight="251756544" behindDoc="0" locked="0" layoutInCell="1" allowOverlap="1" wp14:anchorId="2B0E5229" wp14:editId="2B2DCFB7">
                <wp:simplePos x="0" y="0"/>
                <wp:positionH relativeFrom="column">
                  <wp:posOffset>0</wp:posOffset>
                </wp:positionH>
                <wp:positionV relativeFrom="paragraph">
                  <wp:posOffset>25400</wp:posOffset>
                </wp:positionV>
                <wp:extent cx="3187700" cy="0"/>
                <wp:effectExtent l="19050" t="15875" r="12700" b="12700"/>
                <wp:wrapTopAndBottom/>
                <wp:docPr id="2049756068"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67302" id="Line 98"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9237547" w14:textId="77777777" w:rsidR="00D041A2" w:rsidRDefault="00D041A2">
      <w:pPr>
        <w:pStyle w:val="Normal44"/>
      </w:pPr>
    </w:p>
    <w:p w14:paraId="70570320" w14:textId="77777777" w:rsidR="00D041A2" w:rsidRDefault="00000000">
      <w:pPr>
        <w:pStyle w:val="Normal44"/>
        <w:widowControl w:val="0"/>
        <w:spacing w:before="200" w:line="260" w:lineRule="atLeast"/>
        <w:jc w:val="both"/>
      </w:pPr>
      <w:bookmarkStart w:id="5965" w:name="Bookmark_para_2_43"/>
      <w:bookmarkEnd w:id="5965"/>
      <w:r>
        <w:rPr>
          <w:rFonts w:ascii="Arial" w:eastAsia="Arial" w:hAnsi="Arial" w:cs="Arial"/>
          <w:color w:val="000000"/>
          <w:sz w:val="20"/>
        </w:rPr>
        <w:t> [*668]  HUG, Circuit Judge:</w:t>
      </w:r>
    </w:p>
    <w:p w14:paraId="551FD6C3" w14:textId="77777777" w:rsidR="00D041A2" w:rsidRDefault="00000000">
      <w:pPr>
        <w:pStyle w:val="Normal44"/>
        <w:widowControl w:val="0"/>
        <w:spacing w:before="200" w:line="260" w:lineRule="atLeast"/>
        <w:jc w:val="both"/>
      </w:pPr>
      <w:bookmarkStart w:id="5966" w:name="Bookmark_para_3_43"/>
      <w:bookmarkEnd w:id="5966"/>
      <w:r>
        <w:rPr>
          <w:rFonts w:ascii="Arial" w:eastAsia="Arial" w:hAnsi="Arial" w:cs="Arial"/>
          <w:color w:val="000000"/>
          <w:sz w:val="20"/>
        </w:rPr>
        <w:t xml:space="preserve">The State of Arizona and Plaintiff-Intervenors Frederick Lindstrom and Larry Wanger brought this suit under the Americans with Disabilities Act ("ADA"), 42 U.S.C. §§ 12101-12213, and the Arizonans with Disabilities Act ("AzDA"), Ariz. Rev. Stat., §§ 41-1492-41-1492.11, to remedy what they allege are discriminatory accommodations at movie theaters owned by Harkins Amusement Enterprises, Inc. and its affiliates ("Harkins"). Plaintiffs contend that Harkins's failure to provide (1) open or closed captioning for hearing impaired patrons and (2) audio descriptions of a movie's visual elements for visually impaired patrons violates the ADA and the AzDA. The district court granted Harkins's motion to dismiss for failure to state a claim on the basis that the ADA and the AzDA do not require movie theaters to alter the content of their services. Because </w:t>
      </w:r>
      <w:bookmarkStart w:id="5967" w:name="Bookmark_LNHNREFclscc1_33"/>
      <w:bookmarkEnd w:id="5967"/>
      <w:r>
        <w:rPr>
          <w:rFonts w:ascii="Arial" w:eastAsia="Arial" w:hAnsi="Arial" w:cs="Arial"/>
          <w:color w:val="000000"/>
          <w:sz w:val="20"/>
        </w:rPr>
        <w:t>closed captioning and audio descriptions are correctly classified as "auxiliary aids and services" that a movie theater may be required to provide under the ADA, we conclude the district court erred in finding that these services are foreclosed as a  [**3] matter of law.</w:t>
      </w:r>
    </w:p>
    <w:p w14:paraId="417EE5A9" w14:textId="77777777" w:rsidR="00D041A2" w:rsidRDefault="00000000">
      <w:pPr>
        <w:pStyle w:val="Normal44"/>
        <w:widowControl w:val="0"/>
        <w:spacing w:before="200" w:line="260" w:lineRule="atLeast"/>
        <w:jc w:val="both"/>
      </w:pPr>
      <w:bookmarkStart w:id="5968" w:name="Bookmark_para_4_43"/>
      <w:bookmarkEnd w:id="5968"/>
      <w:r>
        <w:rPr>
          <w:rFonts w:ascii="Arial" w:eastAsia="Arial" w:hAnsi="Arial" w:cs="Arial"/>
          <w:b/>
          <w:color w:val="000000"/>
          <w:sz w:val="20"/>
        </w:rPr>
        <w:t>I</w:t>
      </w:r>
      <w:r>
        <w:rPr>
          <w:rFonts w:ascii="Arial" w:eastAsia="Arial" w:hAnsi="Arial" w:cs="Arial"/>
          <w:color w:val="000000"/>
          <w:sz w:val="20"/>
        </w:rPr>
        <w:t>.</w:t>
      </w:r>
    </w:p>
    <w:p w14:paraId="3C3D50AC" w14:textId="77777777" w:rsidR="00D041A2" w:rsidRDefault="00000000">
      <w:pPr>
        <w:pStyle w:val="Normal44"/>
        <w:widowControl w:val="0"/>
        <w:spacing w:before="200" w:line="260" w:lineRule="atLeast"/>
        <w:jc w:val="both"/>
      </w:pPr>
      <w:bookmarkStart w:id="5969" w:name="Bookmark_para_5_43"/>
      <w:bookmarkEnd w:id="5969"/>
      <w:r>
        <w:rPr>
          <w:rFonts w:ascii="Arial" w:eastAsia="Arial" w:hAnsi="Arial" w:cs="Arial"/>
          <w:color w:val="000000"/>
          <w:sz w:val="20"/>
        </w:rPr>
        <w:t>Plaintiff-Intervenor Frederick Lindstrom has hearing loss so severe that he cannot hear or discriminate speech. Because of his hearing loss, Lindstrom does not fully appreciate a movie's soundtrack. Lindstrom alleges that three technologies would allow him to more fully enjoy movies despite his hearing impairment.</w:t>
      </w:r>
    </w:p>
    <w:p w14:paraId="174CACE1" w14:textId="77777777" w:rsidR="00D041A2" w:rsidRDefault="00000000">
      <w:pPr>
        <w:pStyle w:val="Normal44"/>
        <w:widowControl w:val="0"/>
        <w:spacing w:before="200" w:line="260" w:lineRule="atLeast"/>
        <w:jc w:val="both"/>
      </w:pPr>
      <w:bookmarkStart w:id="5970" w:name="Bookmark_para_6_43"/>
      <w:bookmarkEnd w:id="5970"/>
      <w:r>
        <w:rPr>
          <w:rFonts w:ascii="Arial" w:eastAsia="Arial" w:hAnsi="Arial" w:cs="Arial"/>
          <w:color w:val="000000"/>
          <w:sz w:val="20"/>
        </w:rPr>
        <w:t>The first two technologies employ open captioning, a technique that displays captions on a movie screen for an entire audience. One type of open captioning is achieved by engraving text onto each individual frame of a film. Only a limited number of films are engraved with captions. A second method of open captioning uses open caption projection systems, which project captions through a separate projector onto a movie screen. Movie theaters may turn open captioning projection systems on or off, depending on whether a patron has requested captions.</w:t>
      </w:r>
    </w:p>
    <w:p w14:paraId="7390F7C5" w14:textId="77777777" w:rsidR="00D041A2" w:rsidRDefault="00000000">
      <w:pPr>
        <w:pStyle w:val="Normal44"/>
        <w:widowControl w:val="0"/>
        <w:spacing w:before="200" w:line="260" w:lineRule="atLeast"/>
        <w:jc w:val="both"/>
      </w:pPr>
      <w:bookmarkStart w:id="5971" w:name="Bookmark_para_7_43"/>
      <w:bookmarkEnd w:id="5971"/>
      <w:r>
        <w:rPr>
          <w:rFonts w:ascii="Arial" w:eastAsia="Arial" w:hAnsi="Arial" w:cs="Arial"/>
          <w:color w:val="000000"/>
          <w:sz w:val="20"/>
        </w:rPr>
        <w:t>The third technology employs closed captioning, a technique that displays captions to individual viewers using a seat-based captioning device. One brand of seat-based captioning is Rear Window Captioning, which displays captions from a computer disc that is synchronized with a movie. As a movie appears on a theater's  [**4] screen, captions are transmitted to an LED data panel installed on the rear wall of a theater, where the text is reversed. Patrons use portable, clear reflector panels that make the captions appear superimposed on or beneath the movie screen. There are other seat-based captioning systems as well, such as wearable caption displays.</w:t>
      </w:r>
    </w:p>
    <w:p w14:paraId="1B7E3E13" w14:textId="77777777" w:rsidR="00D041A2" w:rsidRDefault="00000000">
      <w:pPr>
        <w:pStyle w:val="Normal44"/>
        <w:widowControl w:val="0"/>
        <w:spacing w:before="200" w:line="260" w:lineRule="atLeast"/>
        <w:jc w:val="both"/>
      </w:pPr>
      <w:bookmarkStart w:id="5972" w:name="Bookmark_para_8_42"/>
      <w:bookmarkEnd w:id="5972"/>
      <w:r>
        <w:rPr>
          <w:rFonts w:ascii="Arial" w:eastAsia="Arial" w:hAnsi="Arial" w:cs="Arial"/>
          <w:color w:val="000000"/>
          <w:sz w:val="20"/>
        </w:rPr>
        <w:t>Major movie studios distribute a significant number of wide-release movies with captions for use with Rear Window Captioning and open caption projection systems. However, accessibility to these services is limited to theaters that have equipment for Rear Window Captioning or open caption projection systems.</w:t>
      </w:r>
    </w:p>
    <w:p w14:paraId="55201BF8" w14:textId="77777777" w:rsidR="00D041A2" w:rsidRDefault="00000000">
      <w:pPr>
        <w:pStyle w:val="Normal44"/>
        <w:widowControl w:val="0"/>
        <w:spacing w:before="200" w:line="260" w:lineRule="atLeast"/>
        <w:jc w:val="both"/>
      </w:pPr>
      <w:bookmarkStart w:id="5973" w:name="Bookmark_para_9_40"/>
      <w:bookmarkEnd w:id="5973"/>
      <w:r>
        <w:rPr>
          <w:rFonts w:ascii="Arial" w:eastAsia="Arial" w:hAnsi="Arial" w:cs="Arial"/>
          <w:color w:val="000000"/>
          <w:sz w:val="20"/>
        </w:rPr>
        <w:t>Plaintiff-Intervenor Larry Wanger is totally blind in his right eye and has corrected visual acuity of less than 20/400 in his left eye. Because of his impairment, Wanger cannot see the visual aspects of a  [*669]  movie. Wanger alleges that a technology known as "descriptive narration" would allow him to appreciate visual aspects of a movie by using a headset. Descriptive narration enables people to hear information about key visual aspects of a movie through descriptions of scenery, facial expressions, costumes, action settings, and scene changes during natural  [**5] pauses in dialogue. Major movie studios distribute wide-release movies with descriptive narration capability, but accessibility to this service is limited to theaters that have equipment for audio descriptions.</w:t>
      </w:r>
    </w:p>
    <w:p w14:paraId="4BDDD45B" w14:textId="77777777" w:rsidR="00D041A2" w:rsidRDefault="00000000">
      <w:pPr>
        <w:pStyle w:val="Normal44"/>
        <w:widowControl w:val="0"/>
        <w:spacing w:before="200" w:line="260" w:lineRule="atLeast"/>
        <w:jc w:val="both"/>
      </w:pPr>
      <w:bookmarkStart w:id="5974" w:name="Bookmark_para_10_40"/>
      <w:bookmarkEnd w:id="5974"/>
      <w:r>
        <w:rPr>
          <w:rFonts w:ascii="Arial" w:eastAsia="Arial" w:hAnsi="Arial" w:cs="Arial"/>
          <w:color w:val="000000"/>
          <w:sz w:val="20"/>
        </w:rPr>
        <w:t>Harkins owns and operates 21 theaters with 262 auditoriums in Arizona. Harkins shows movies with engraved open captioning, but only at limited times at two theater locations. None of Harkins's Arizona theaters have equipment for descriptive narration.</w:t>
      </w:r>
    </w:p>
    <w:p w14:paraId="18288A0B" w14:textId="77777777" w:rsidR="00D041A2" w:rsidRDefault="00000000">
      <w:pPr>
        <w:pStyle w:val="Normal44"/>
        <w:widowControl w:val="0"/>
        <w:spacing w:before="200" w:line="260" w:lineRule="atLeast"/>
        <w:jc w:val="both"/>
      </w:pPr>
      <w:bookmarkStart w:id="5975" w:name="Bookmark_para_11_38"/>
      <w:bookmarkEnd w:id="5975"/>
      <w:r>
        <w:rPr>
          <w:rFonts w:ascii="Arial" w:eastAsia="Arial" w:hAnsi="Arial" w:cs="Arial"/>
          <w:color w:val="000000"/>
          <w:sz w:val="20"/>
        </w:rPr>
        <w:t xml:space="preserve">In August 2005, Larry Wanger visited Harkins's North Valley 16 Theaters to see a movie with descriptive narration. A Harkins employee informed him that the theater did not have descriptive narration. On December 14, 2005, Rachel Lindstrom, Frederick Lindstrom's mother, called the box office of North Valley 16 Theaters to find a captioned showing of </w:t>
      </w:r>
      <w:r>
        <w:rPr>
          <w:rFonts w:ascii="Arial" w:eastAsia="Arial" w:hAnsi="Arial" w:cs="Arial"/>
          <w:i/>
          <w:color w:val="000000"/>
          <w:sz w:val="20"/>
        </w:rPr>
        <w:t>King Kong</w:t>
      </w:r>
      <w:r>
        <w:rPr>
          <w:rFonts w:ascii="Arial" w:eastAsia="Arial" w:hAnsi="Arial" w:cs="Arial"/>
          <w:color w:val="000000"/>
          <w:sz w:val="20"/>
        </w:rPr>
        <w:t xml:space="preserve">. Ms. Lindstrom was told that there were no open-captioned showings of </w:t>
      </w:r>
      <w:r>
        <w:rPr>
          <w:rFonts w:ascii="Arial" w:eastAsia="Arial" w:hAnsi="Arial" w:cs="Arial"/>
          <w:i/>
          <w:color w:val="000000"/>
          <w:sz w:val="20"/>
        </w:rPr>
        <w:t>King Kong</w:t>
      </w:r>
      <w:r>
        <w:rPr>
          <w:rFonts w:ascii="Arial" w:eastAsia="Arial" w:hAnsi="Arial" w:cs="Arial"/>
          <w:color w:val="000000"/>
          <w:sz w:val="20"/>
        </w:rPr>
        <w:t xml:space="preserve"> or auxiliary aids to display closed captioning at any of the theater's auditoriums.</w:t>
      </w:r>
    </w:p>
    <w:p w14:paraId="66447972" w14:textId="77777777" w:rsidR="00D041A2" w:rsidRDefault="00000000">
      <w:pPr>
        <w:pStyle w:val="Normal44"/>
        <w:widowControl w:val="0"/>
        <w:spacing w:before="200" w:line="260" w:lineRule="atLeast"/>
        <w:jc w:val="both"/>
      </w:pPr>
      <w:bookmarkStart w:id="5976" w:name="Bookmark_para_12_37"/>
      <w:bookmarkEnd w:id="5976"/>
      <w:r>
        <w:rPr>
          <w:rFonts w:ascii="Arial" w:eastAsia="Arial" w:hAnsi="Arial" w:cs="Arial"/>
          <w:color w:val="000000"/>
          <w:sz w:val="20"/>
        </w:rPr>
        <w:t>Larry Wanger and Rachel Lindstrom, on behalf of her son, filed complaints of public accommodation discrimination with Arizona's Civil Rights Division. After an investigation, the Division found that there was reasonable  [**6] cause to believe that Harkins discriminated against Frederick Lindstrom and Larry Wanger by denying full and equal enjoyment of Harkins's services in violation of the AzDA.</w:t>
      </w:r>
    </w:p>
    <w:p w14:paraId="6BF4061E" w14:textId="77777777" w:rsidR="00D041A2" w:rsidRDefault="00000000">
      <w:pPr>
        <w:pStyle w:val="Normal44"/>
        <w:widowControl w:val="0"/>
        <w:spacing w:before="200" w:line="260" w:lineRule="atLeast"/>
        <w:jc w:val="both"/>
      </w:pPr>
      <w:bookmarkStart w:id="5977" w:name="Bookmark_para_13_35"/>
      <w:bookmarkStart w:id="5978" w:name="Bookmark_I5051SBW0K1MNJ3HM0000400"/>
      <w:bookmarkEnd w:id="5977"/>
      <w:bookmarkEnd w:id="5978"/>
      <w:r>
        <w:rPr>
          <w:rFonts w:ascii="Arial" w:eastAsia="Arial" w:hAnsi="Arial" w:cs="Arial"/>
          <w:color w:val="000000"/>
          <w:sz w:val="20"/>
        </w:rPr>
        <w:t xml:space="preserve">The State of Arizona subsequently filed suit in Arizona Superior Court alleging violations of the AzDA on behalf of Frederick Lindstrom, Larry Wanger, and a putative class of similarly situated persons. Lindstrom and Wanger also joined the suit as plaintiff-intervenors alleging violations of the ADA and AzDA. Harkins removed the case to the United States District Court for the District of Arizona and moved to dismiss the case pursuant to Federal Rule of Civil Procedure 12(b)(6) for failure to state a claim. The district court granted the motion in a published March 28, 2008, order, </w:t>
      </w:r>
      <w:bookmarkStart w:id="5979" w:name="Bookmark_I5051SBW0K1MNJ3HK0000400"/>
      <w:bookmarkEnd w:id="5979"/>
      <w:r>
        <w:rPr>
          <w:rFonts w:ascii="Arial" w:eastAsia="Arial" w:hAnsi="Arial" w:cs="Arial"/>
          <w:i/>
          <w:color w:val="000000"/>
          <w:sz w:val="20"/>
        </w:rPr>
        <w:t>Arizona v. Harkins Amusement Enterprises, Inc</w:t>
      </w:r>
      <w:r>
        <w:rPr>
          <w:rFonts w:ascii="Arial" w:eastAsia="Arial" w:hAnsi="Arial" w:cs="Arial"/>
          <w:color w:val="000000"/>
          <w:sz w:val="20"/>
        </w:rPr>
        <w:t>., 548 F. Supp. 2d 723 (D. Ariz. 2008), which Plaintiffs now appeal.</w:t>
      </w:r>
    </w:p>
    <w:p w14:paraId="0B9BA8D5" w14:textId="77777777" w:rsidR="00D041A2" w:rsidRDefault="00000000">
      <w:pPr>
        <w:pStyle w:val="Normal44"/>
        <w:widowControl w:val="0"/>
        <w:spacing w:before="200" w:line="260" w:lineRule="atLeast"/>
        <w:jc w:val="both"/>
      </w:pPr>
      <w:bookmarkStart w:id="5980" w:name="Bookmark_para_14_31"/>
      <w:bookmarkEnd w:id="5980"/>
      <w:r>
        <w:rPr>
          <w:rFonts w:ascii="Arial" w:eastAsia="Arial" w:hAnsi="Arial" w:cs="Arial"/>
          <w:b/>
          <w:color w:val="000000"/>
          <w:sz w:val="20"/>
        </w:rPr>
        <w:t>II</w:t>
      </w:r>
      <w:r>
        <w:rPr>
          <w:rFonts w:ascii="Arial" w:eastAsia="Arial" w:hAnsi="Arial" w:cs="Arial"/>
          <w:color w:val="000000"/>
          <w:sz w:val="20"/>
        </w:rPr>
        <w:t>.</w:t>
      </w:r>
    </w:p>
    <w:p w14:paraId="6DA8B7A3" w14:textId="77777777" w:rsidR="00D041A2" w:rsidRDefault="00000000">
      <w:pPr>
        <w:pStyle w:val="Normal44"/>
        <w:widowControl w:val="0"/>
        <w:spacing w:before="200" w:line="260" w:lineRule="atLeast"/>
        <w:jc w:val="both"/>
      </w:pPr>
      <w:bookmarkStart w:id="5981" w:name="Bookmark_para_15_30"/>
      <w:bookmarkStart w:id="5982" w:name="Bookmark_LNHNREFclscc2_33"/>
      <w:bookmarkStart w:id="5983" w:name="Bookmark_I5051SBW0K1MNJ3HP0000400"/>
      <w:bookmarkEnd w:id="5981"/>
      <w:bookmarkEnd w:id="5982"/>
      <w:bookmarkEnd w:id="5983"/>
      <w:r>
        <w:rPr>
          <w:rFonts w:ascii="Arial" w:eastAsia="Arial" w:hAnsi="Arial" w:cs="Arial"/>
          <w:color w:val="000000"/>
          <w:sz w:val="20"/>
        </w:rPr>
        <w:t xml:space="preserve">We review de novo the district court's dismissal for failure to state a claim. </w:t>
      </w:r>
      <w:bookmarkStart w:id="5984" w:name="Bookmark_I5051SBW0K1MNJ3HN0000400"/>
      <w:bookmarkEnd w:id="5984"/>
      <w:r>
        <w:rPr>
          <w:rFonts w:ascii="Arial" w:eastAsia="Arial" w:hAnsi="Arial" w:cs="Arial"/>
          <w:i/>
          <w:color w:val="000000"/>
          <w:sz w:val="20"/>
        </w:rPr>
        <w:t>Siracusano v. Matrixx Initiatives, Inc</w:t>
      </w:r>
      <w:r>
        <w:rPr>
          <w:rFonts w:ascii="Arial" w:eastAsia="Arial" w:hAnsi="Arial" w:cs="Arial"/>
          <w:color w:val="000000"/>
          <w:sz w:val="20"/>
        </w:rPr>
        <w:t xml:space="preserve">., 585 F.3d 1167, 1177 (9th Cir. 2009). We accept the Plaintiffs' allegations as true and construe them in the light most favorable to Plaintiffs. </w:t>
      </w:r>
      <w:r>
        <w:rPr>
          <w:rFonts w:ascii="Arial" w:eastAsia="Arial" w:hAnsi="Arial" w:cs="Arial"/>
          <w:i/>
          <w:color w:val="000000"/>
          <w:sz w:val="20"/>
        </w:rPr>
        <w:t>Id</w:t>
      </w:r>
      <w:r>
        <w:rPr>
          <w:rFonts w:ascii="Arial" w:eastAsia="Arial" w:hAnsi="Arial" w:cs="Arial"/>
          <w:color w:val="000000"/>
          <w:sz w:val="20"/>
        </w:rPr>
        <w:t xml:space="preserve">. Dismissal is inappropriate unless Plaintiffs' complaint  [**7] fails to state a claim for relief that is plausible on its face. </w:t>
      </w:r>
      <w:r>
        <w:rPr>
          <w:rFonts w:ascii="Arial" w:eastAsia="Arial" w:hAnsi="Arial" w:cs="Arial"/>
          <w:i/>
          <w:color w:val="000000"/>
          <w:sz w:val="20"/>
        </w:rPr>
        <w:t>Id</w:t>
      </w:r>
      <w:r>
        <w:rPr>
          <w:rFonts w:ascii="Arial" w:eastAsia="Arial" w:hAnsi="Arial" w:cs="Arial"/>
          <w:color w:val="000000"/>
          <w:sz w:val="20"/>
        </w:rPr>
        <w:t>.</w:t>
      </w:r>
    </w:p>
    <w:p w14:paraId="7C99D442" w14:textId="77777777" w:rsidR="00D041A2" w:rsidRDefault="00000000">
      <w:pPr>
        <w:pStyle w:val="Normal44"/>
        <w:widowControl w:val="0"/>
        <w:spacing w:before="240" w:line="260" w:lineRule="atLeast"/>
      </w:pPr>
      <w:r>
        <w:br/>
      </w:r>
      <w:r>
        <w:rPr>
          <w:rFonts w:ascii="Arial" w:eastAsia="Arial" w:hAnsi="Arial" w:cs="Arial"/>
          <w:b/>
          <w:color w:val="000000"/>
          <w:sz w:val="20"/>
        </w:rPr>
        <w:t>A. Americans with Disabilities Act</w:t>
      </w:r>
    </w:p>
    <w:p w14:paraId="3470E57C" w14:textId="77777777" w:rsidR="00D041A2" w:rsidRDefault="00000000">
      <w:pPr>
        <w:pStyle w:val="Normal44"/>
        <w:widowControl w:val="0"/>
        <w:spacing w:before="200" w:line="260" w:lineRule="atLeast"/>
        <w:jc w:val="both"/>
      </w:pPr>
      <w:bookmarkStart w:id="5985" w:name="Bookmark_para_16_29"/>
      <w:bookmarkStart w:id="5986" w:name="Bookmark_LNHNREFclscc3_31"/>
      <w:bookmarkEnd w:id="5985"/>
      <w:bookmarkEnd w:id="5986"/>
      <w:r>
        <w:rPr>
          <w:rFonts w:ascii="Arial" w:eastAsia="Arial" w:hAnsi="Arial" w:cs="Arial"/>
          <w:color w:val="000000"/>
          <w:sz w:val="20"/>
        </w:rPr>
        <w:t xml:space="preserve">Congress enacted the ADA "to provide clear, strong, consistent, enforceable standards addressing discrimination against individuals with disabilities . . . ." 42 U.S.C. § 12101(b)(2). </w:t>
      </w:r>
      <w:bookmarkStart w:id="5987" w:name="Bookmark_LNHNREFclscc4_30"/>
      <w:bookmarkEnd w:id="5987"/>
      <w:r>
        <w:rPr>
          <w:rFonts w:ascii="Arial" w:eastAsia="Arial" w:hAnsi="Arial" w:cs="Arial"/>
          <w:color w:val="000000"/>
          <w:sz w:val="20"/>
        </w:rPr>
        <w:t>Title III of the ADA prohibits discrimination by public accommodations, prescribing generally that</w:t>
      </w:r>
    </w:p>
    <w:p w14:paraId="6A20831C" w14:textId="77777777" w:rsidR="00D041A2" w:rsidRDefault="00000000">
      <w:pPr>
        <w:pStyle w:val="Normal44"/>
        <w:widowControl w:val="0"/>
        <w:spacing w:line="260" w:lineRule="atLeast"/>
        <w:ind w:left="400"/>
        <w:jc w:val="both"/>
      </w:pPr>
      <w:bookmarkStart w:id="5988" w:name="Bookmark_para_17_28"/>
      <w:bookmarkEnd w:id="5988"/>
      <w:r>
        <w:rPr>
          <w:rFonts w:ascii="Arial" w:eastAsia="Arial" w:hAnsi="Arial" w:cs="Arial"/>
          <w:color w:val="000000"/>
          <w:sz w:val="20"/>
        </w:rPr>
        <w:t>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14:paraId="7C52CACB" w14:textId="77777777" w:rsidR="00D041A2" w:rsidRDefault="00000000">
      <w:pPr>
        <w:pStyle w:val="Normal44"/>
        <w:widowControl w:val="0"/>
        <w:spacing w:before="200" w:line="260" w:lineRule="atLeast"/>
        <w:jc w:val="both"/>
      </w:pPr>
      <w:r>
        <w:rPr>
          <w:rFonts w:ascii="Arial" w:eastAsia="Arial" w:hAnsi="Arial" w:cs="Arial"/>
          <w:color w:val="000000"/>
          <w:sz w:val="20"/>
        </w:rPr>
        <w:t xml:space="preserve"> [*670]  </w:t>
      </w:r>
      <w:bookmarkStart w:id="5989" w:name="Bookmark_I418113BDY6000RKDM800002"/>
      <w:bookmarkStart w:id="5990" w:name="Bookmark_I5051SBW0K1MNJ3JB0000400"/>
      <w:bookmarkEnd w:id="5989"/>
      <w:bookmarkEnd w:id="5990"/>
      <w:r>
        <w:rPr>
          <w:rFonts w:ascii="Arial" w:eastAsia="Arial" w:hAnsi="Arial" w:cs="Arial"/>
          <w:color w:val="000000"/>
          <w:sz w:val="20"/>
        </w:rPr>
        <w:t xml:space="preserve">42 U.S.C. § 12182(a). To prevail on a discrimination claim under Title III, a plaintiff must show that: (1) he is disabled within the meaning of the ADA; (2) the defendant is a private entity that owns, leases, or operates a place of public accommodation; and (3) the plaintiff was denied public accommodations by the defendant because of his disability. </w:t>
      </w:r>
      <w:bookmarkStart w:id="5991" w:name="Bookmark_I5051SBW0K1MNJ3HR0000400"/>
      <w:bookmarkEnd w:id="5991"/>
      <w:r>
        <w:rPr>
          <w:rFonts w:ascii="Arial" w:eastAsia="Arial" w:hAnsi="Arial" w:cs="Arial"/>
          <w:i/>
          <w:color w:val="000000"/>
          <w:sz w:val="20"/>
        </w:rPr>
        <w:t>Molski v. M.J. Cable, Inc</w:t>
      </w:r>
      <w:r>
        <w:rPr>
          <w:rFonts w:ascii="Arial" w:eastAsia="Arial" w:hAnsi="Arial" w:cs="Arial"/>
          <w:color w:val="000000"/>
          <w:sz w:val="20"/>
        </w:rPr>
        <w:t>., 481 F.3d 724, 730 (9th Cir. 2007). The parties do not dispute that Plaintiffs Lingstrom and Wanger are disabled or that Harkins  [**8] owns a place of public accommodation. This appeal centers on whether Plaintiffs have plausibly alleged that Harkins discriminated against them on account of their disabilities.</w:t>
      </w:r>
    </w:p>
    <w:p w14:paraId="0F3AD718" w14:textId="77777777" w:rsidR="00D041A2" w:rsidRDefault="00000000">
      <w:pPr>
        <w:pStyle w:val="Normal44"/>
        <w:widowControl w:val="0"/>
        <w:spacing w:before="200" w:line="260" w:lineRule="atLeast"/>
        <w:jc w:val="both"/>
      </w:pPr>
      <w:bookmarkStart w:id="5992" w:name="Bookmark_para_18_26"/>
      <w:bookmarkEnd w:id="5992"/>
      <w:r>
        <w:rPr>
          <w:rFonts w:ascii="Arial" w:eastAsia="Arial" w:hAnsi="Arial" w:cs="Arial"/>
          <w:color w:val="000000"/>
          <w:sz w:val="20"/>
        </w:rPr>
        <w:t xml:space="preserve">Title </w:t>
      </w:r>
      <w:bookmarkStart w:id="5993" w:name="Bookmark_LNHNREFclscc5_30"/>
      <w:bookmarkEnd w:id="5993"/>
      <w:r>
        <w:rPr>
          <w:rFonts w:ascii="Arial" w:eastAsia="Arial" w:hAnsi="Arial" w:cs="Arial"/>
          <w:color w:val="000000"/>
          <w:sz w:val="20"/>
        </w:rPr>
        <w:t>42 U.S.C. § 12182(b)(2)(A)(iii) provides that discrimination by public accommodations includes "a failure to take such steps as may be necessary to ensure that no individual with a disability is excluded, denied services, segregated or otherwise treated differently than other individuals because of the absence of auxiliary aids and services, unless the entity can demonstrate that taking such steps would fundamentally alter the nature of the good, service, facility, privilege, advantage, or accommodation being offered or would result in an undue burden."</w:t>
      </w:r>
    </w:p>
    <w:p w14:paraId="5F5A653F" w14:textId="77777777" w:rsidR="00D041A2" w:rsidRDefault="00000000">
      <w:pPr>
        <w:pStyle w:val="Normal44"/>
        <w:widowControl w:val="0"/>
        <w:spacing w:before="200" w:line="260" w:lineRule="atLeast"/>
        <w:jc w:val="both"/>
      </w:pPr>
      <w:bookmarkStart w:id="5994" w:name="Bookmark_para_19_26"/>
      <w:bookmarkStart w:id="5995" w:name="Bookmark_LNHNREFclscc6_30"/>
      <w:bookmarkEnd w:id="5994"/>
      <w:bookmarkEnd w:id="5995"/>
      <w:r>
        <w:rPr>
          <w:rFonts w:ascii="Arial" w:eastAsia="Arial" w:hAnsi="Arial" w:cs="Arial"/>
          <w:color w:val="000000"/>
          <w:sz w:val="20"/>
        </w:rPr>
        <w:t>The ADA defines "auxiliary aids and services": The term "auxiliary aids and services" includes--</w:t>
      </w:r>
    </w:p>
    <w:p w14:paraId="29EAFE33" w14:textId="77777777" w:rsidR="00D041A2" w:rsidRDefault="00000000">
      <w:pPr>
        <w:pStyle w:val="Normal44"/>
        <w:widowControl w:val="0"/>
        <w:spacing w:before="200" w:line="260" w:lineRule="atLeast"/>
        <w:ind w:left="400"/>
        <w:jc w:val="both"/>
      </w:pPr>
      <w:bookmarkStart w:id="5996" w:name="Bookmark_para_20_26"/>
      <w:bookmarkEnd w:id="5996"/>
      <w:r>
        <w:rPr>
          <w:rFonts w:ascii="Arial" w:eastAsia="Arial" w:hAnsi="Arial" w:cs="Arial"/>
          <w:color w:val="000000"/>
          <w:sz w:val="20"/>
        </w:rPr>
        <w:t xml:space="preserve">(A) qualified interpreters </w:t>
      </w:r>
      <w:r>
        <w:rPr>
          <w:rFonts w:ascii="Arial" w:eastAsia="Arial" w:hAnsi="Arial" w:cs="Arial"/>
          <w:i/>
          <w:color w:val="000000"/>
          <w:sz w:val="20"/>
        </w:rPr>
        <w:t>or other effective methods of making aurally delivered materials available to individuals with hearing impairments</w:t>
      </w:r>
      <w:r>
        <w:rPr>
          <w:rFonts w:ascii="Arial" w:eastAsia="Arial" w:hAnsi="Arial" w:cs="Arial"/>
          <w:color w:val="000000"/>
          <w:sz w:val="20"/>
        </w:rPr>
        <w:t>;</w:t>
      </w:r>
    </w:p>
    <w:p w14:paraId="3726BBFA" w14:textId="77777777" w:rsidR="00D041A2" w:rsidRDefault="00000000">
      <w:pPr>
        <w:pStyle w:val="Normal44"/>
        <w:widowControl w:val="0"/>
        <w:spacing w:before="200" w:line="260" w:lineRule="atLeast"/>
        <w:ind w:left="400"/>
        <w:jc w:val="both"/>
      </w:pPr>
      <w:bookmarkStart w:id="5997" w:name="Bookmark_para_21_25"/>
      <w:bookmarkEnd w:id="5997"/>
      <w:r>
        <w:rPr>
          <w:rFonts w:ascii="Arial" w:eastAsia="Arial" w:hAnsi="Arial" w:cs="Arial"/>
          <w:color w:val="000000"/>
          <w:sz w:val="20"/>
        </w:rPr>
        <w:t xml:space="preserve">(B) qualified readers, taped texts, </w:t>
      </w:r>
      <w:r>
        <w:rPr>
          <w:rFonts w:ascii="Arial" w:eastAsia="Arial" w:hAnsi="Arial" w:cs="Arial"/>
          <w:i/>
          <w:color w:val="000000"/>
          <w:sz w:val="20"/>
        </w:rPr>
        <w:t>or other effective methods of making visually delivered materials available to individuals with visual impairments</w:t>
      </w:r>
      <w:r>
        <w:rPr>
          <w:rFonts w:ascii="Arial" w:eastAsia="Arial" w:hAnsi="Arial" w:cs="Arial"/>
          <w:color w:val="000000"/>
          <w:sz w:val="20"/>
        </w:rPr>
        <w:t>;</w:t>
      </w:r>
    </w:p>
    <w:p w14:paraId="64062A4E" w14:textId="77777777" w:rsidR="00D041A2" w:rsidRDefault="00000000">
      <w:pPr>
        <w:pStyle w:val="Normal44"/>
        <w:widowControl w:val="0"/>
        <w:spacing w:line="260" w:lineRule="atLeast"/>
        <w:ind w:left="400"/>
        <w:jc w:val="both"/>
      </w:pPr>
      <w:bookmarkStart w:id="5998" w:name="Bookmark_para_22_25"/>
      <w:bookmarkEnd w:id="5998"/>
      <w:r>
        <w:rPr>
          <w:rFonts w:ascii="Arial" w:eastAsia="Arial" w:hAnsi="Arial" w:cs="Arial"/>
          <w:color w:val="000000"/>
          <w:sz w:val="20"/>
        </w:rPr>
        <w:t>(C) acquisition or modification of equipment or devices; and</w:t>
      </w:r>
    </w:p>
    <w:p w14:paraId="5B91CCEC" w14:textId="77777777" w:rsidR="00D041A2" w:rsidRDefault="00000000">
      <w:pPr>
        <w:pStyle w:val="Normal44"/>
        <w:widowControl w:val="0"/>
        <w:spacing w:before="200" w:line="260" w:lineRule="atLeast"/>
        <w:ind w:left="400"/>
        <w:jc w:val="both"/>
      </w:pPr>
      <w:bookmarkStart w:id="5999" w:name="Bookmark_para_23_24"/>
      <w:bookmarkEnd w:id="5999"/>
      <w:r>
        <w:rPr>
          <w:rFonts w:ascii="Arial" w:eastAsia="Arial" w:hAnsi="Arial" w:cs="Arial"/>
          <w:color w:val="000000"/>
          <w:sz w:val="20"/>
        </w:rPr>
        <w:t xml:space="preserve">(D) </w:t>
      </w:r>
      <w:r>
        <w:rPr>
          <w:rFonts w:ascii="Arial" w:eastAsia="Arial" w:hAnsi="Arial" w:cs="Arial"/>
          <w:i/>
          <w:color w:val="000000"/>
          <w:sz w:val="20"/>
        </w:rPr>
        <w:t>other  [**9] similar services and actions</w:t>
      </w:r>
      <w:r>
        <w:rPr>
          <w:rFonts w:ascii="Arial" w:eastAsia="Arial" w:hAnsi="Arial" w:cs="Arial"/>
          <w:color w:val="000000"/>
          <w:sz w:val="20"/>
        </w:rPr>
        <w:t>.</w:t>
      </w:r>
    </w:p>
    <w:p w14:paraId="036F6ABB" w14:textId="77777777" w:rsidR="00D041A2" w:rsidRDefault="00000000">
      <w:pPr>
        <w:pStyle w:val="Normal44"/>
        <w:widowControl w:val="0"/>
        <w:spacing w:line="260" w:lineRule="atLeast"/>
        <w:jc w:val="both"/>
      </w:pPr>
      <w:r>
        <w:rPr>
          <w:rFonts w:ascii="Arial" w:eastAsia="Arial" w:hAnsi="Arial" w:cs="Arial"/>
          <w:color w:val="000000"/>
          <w:sz w:val="20"/>
        </w:rPr>
        <w:t>42 U.S.C. § 12103(1) (emphases added). Federal regulations provide more examples:</w:t>
      </w:r>
    </w:p>
    <w:p w14:paraId="645E381C" w14:textId="77777777" w:rsidR="00D041A2" w:rsidRDefault="00000000">
      <w:pPr>
        <w:pStyle w:val="Normal44"/>
        <w:widowControl w:val="0"/>
        <w:spacing w:line="260" w:lineRule="atLeast"/>
        <w:ind w:left="400"/>
        <w:jc w:val="both"/>
      </w:pPr>
      <w:bookmarkStart w:id="6000" w:name="Bookmark_para_24_23"/>
      <w:bookmarkEnd w:id="6000"/>
      <w:r>
        <w:rPr>
          <w:rFonts w:ascii="Arial" w:eastAsia="Arial" w:hAnsi="Arial" w:cs="Arial"/>
          <w:color w:val="000000"/>
          <w:sz w:val="20"/>
        </w:rPr>
        <w:t>The term "auxiliary aids and services" includes--</w:t>
      </w:r>
    </w:p>
    <w:p w14:paraId="0D9B8283" w14:textId="77777777" w:rsidR="00D041A2" w:rsidRDefault="00000000">
      <w:pPr>
        <w:pStyle w:val="Normal44"/>
        <w:widowControl w:val="0"/>
        <w:spacing w:before="200" w:line="260" w:lineRule="atLeast"/>
        <w:ind w:left="400"/>
        <w:jc w:val="both"/>
      </w:pPr>
      <w:bookmarkStart w:id="6001" w:name="Bookmark_para_25_23"/>
      <w:bookmarkEnd w:id="6001"/>
      <w:r>
        <w:rPr>
          <w:rFonts w:ascii="Arial" w:eastAsia="Arial" w:hAnsi="Arial" w:cs="Arial"/>
          <w:color w:val="000000"/>
          <w:sz w:val="20"/>
        </w:rPr>
        <w:t xml:space="preserve">(1) </w:t>
      </w:r>
      <w:r>
        <w:rPr>
          <w:rFonts w:ascii="Arial" w:eastAsia="Arial" w:hAnsi="Arial" w:cs="Arial"/>
          <w:i/>
          <w:color w:val="000000"/>
          <w:sz w:val="20"/>
        </w:rPr>
        <w:t>Qualified interpreters, notetakers, computer-aided transcription services</w:t>
      </w:r>
      <w:r>
        <w:rPr>
          <w:rFonts w:ascii="Arial" w:eastAsia="Arial" w:hAnsi="Arial" w:cs="Arial"/>
          <w:color w:val="000000"/>
          <w:sz w:val="20"/>
        </w:rPr>
        <w:t xml:space="preserve">, written materials, telephone handset amplifiers, assistive listening devices, assistive listening systems, telephones compatible with hearing aids, </w:t>
      </w:r>
      <w:r>
        <w:rPr>
          <w:rFonts w:ascii="Arial" w:eastAsia="Arial" w:hAnsi="Arial" w:cs="Arial"/>
          <w:i/>
          <w:color w:val="000000"/>
          <w:sz w:val="20"/>
        </w:rPr>
        <w:t>closed caption decoders, open and closed captioning</w:t>
      </w:r>
      <w:r>
        <w:rPr>
          <w:rFonts w:ascii="Arial" w:eastAsia="Arial" w:hAnsi="Arial" w:cs="Arial"/>
          <w:color w:val="000000"/>
          <w:sz w:val="20"/>
        </w:rPr>
        <w:t xml:space="preserve">, telecommunications devices for deaf persons (TDD's), </w:t>
      </w:r>
      <w:r>
        <w:rPr>
          <w:rFonts w:ascii="Arial" w:eastAsia="Arial" w:hAnsi="Arial" w:cs="Arial"/>
          <w:i/>
          <w:color w:val="000000"/>
          <w:sz w:val="20"/>
        </w:rPr>
        <w:t>videotext displays, or other effective methods of making aurally delivered materials available to individuals with hearing impairments</w:t>
      </w:r>
      <w:r>
        <w:rPr>
          <w:rFonts w:ascii="Arial" w:eastAsia="Arial" w:hAnsi="Arial" w:cs="Arial"/>
          <w:color w:val="000000"/>
          <w:sz w:val="20"/>
        </w:rPr>
        <w:t>;</w:t>
      </w:r>
    </w:p>
    <w:p w14:paraId="21EA8421" w14:textId="77777777" w:rsidR="00D041A2" w:rsidRDefault="00000000">
      <w:pPr>
        <w:pStyle w:val="Normal44"/>
        <w:widowControl w:val="0"/>
        <w:spacing w:before="200" w:line="260" w:lineRule="atLeast"/>
        <w:ind w:left="400"/>
        <w:jc w:val="both"/>
      </w:pPr>
      <w:bookmarkStart w:id="6002" w:name="Bookmark_para_26_22"/>
      <w:bookmarkEnd w:id="6002"/>
      <w:r>
        <w:rPr>
          <w:rFonts w:ascii="Arial" w:eastAsia="Arial" w:hAnsi="Arial" w:cs="Arial"/>
          <w:color w:val="000000"/>
          <w:sz w:val="20"/>
        </w:rPr>
        <w:t xml:space="preserve">(2) </w:t>
      </w:r>
      <w:r>
        <w:rPr>
          <w:rFonts w:ascii="Arial" w:eastAsia="Arial" w:hAnsi="Arial" w:cs="Arial"/>
          <w:i/>
          <w:color w:val="000000"/>
          <w:sz w:val="20"/>
        </w:rPr>
        <w:t>Qualified readers, taped texts, audio recordings</w:t>
      </w:r>
      <w:r>
        <w:rPr>
          <w:rFonts w:ascii="Arial" w:eastAsia="Arial" w:hAnsi="Arial" w:cs="Arial"/>
          <w:color w:val="000000"/>
          <w:sz w:val="20"/>
        </w:rPr>
        <w:t xml:space="preserve">, Brailled materials, large print materials, </w:t>
      </w:r>
      <w:r>
        <w:rPr>
          <w:rFonts w:ascii="Arial" w:eastAsia="Arial" w:hAnsi="Arial" w:cs="Arial"/>
          <w:i/>
          <w:color w:val="000000"/>
          <w:sz w:val="20"/>
        </w:rPr>
        <w:t>or other effective methods of making visually delivered materials available to individuals with visual impairments</w:t>
      </w:r>
      <w:r>
        <w:rPr>
          <w:rFonts w:ascii="Arial" w:eastAsia="Arial" w:hAnsi="Arial" w:cs="Arial"/>
          <w:color w:val="000000"/>
          <w:sz w:val="20"/>
        </w:rPr>
        <w:t>;</w:t>
      </w:r>
    </w:p>
    <w:p w14:paraId="3CDBA3BB" w14:textId="77777777" w:rsidR="00D041A2" w:rsidRDefault="00000000">
      <w:pPr>
        <w:pStyle w:val="Normal44"/>
        <w:widowControl w:val="0"/>
        <w:spacing w:line="260" w:lineRule="atLeast"/>
        <w:ind w:left="400"/>
        <w:jc w:val="both"/>
      </w:pPr>
      <w:bookmarkStart w:id="6003" w:name="Bookmark_para_27_22"/>
      <w:bookmarkEnd w:id="6003"/>
      <w:r>
        <w:rPr>
          <w:rFonts w:ascii="Arial" w:eastAsia="Arial" w:hAnsi="Arial" w:cs="Arial"/>
          <w:color w:val="000000"/>
          <w:sz w:val="20"/>
        </w:rPr>
        <w:t>(3) Acquisition or modification of equipment or devices; and</w:t>
      </w:r>
    </w:p>
    <w:p w14:paraId="51250A2F" w14:textId="77777777" w:rsidR="00D041A2" w:rsidRDefault="00000000">
      <w:pPr>
        <w:pStyle w:val="Normal44"/>
        <w:widowControl w:val="0"/>
        <w:spacing w:before="200" w:line="260" w:lineRule="atLeast"/>
        <w:ind w:left="400"/>
        <w:jc w:val="both"/>
      </w:pPr>
      <w:bookmarkStart w:id="6004" w:name="Bookmark_para_28_21"/>
      <w:bookmarkEnd w:id="6004"/>
      <w:r>
        <w:rPr>
          <w:rFonts w:ascii="Arial" w:eastAsia="Arial" w:hAnsi="Arial" w:cs="Arial"/>
          <w:color w:val="000000"/>
          <w:sz w:val="20"/>
        </w:rPr>
        <w:t xml:space="preserve">(4) </w:t>
      </w:r>
      <w:r>
        <w:rPr>
          <w:rFonts w:ascii="Arial" w:eastAsia="Arial" w:hAnsi="Arial" w:cs="Arial"/>
          <w:i/>
          <w:color w:val="000000"/>
          <w:sz w:val="20"/>
        </w:rPr>
        <w:t>Other similar services and actions</w:t>
      </w:r>
      <w:r>
        <w:rPr>
          <w:rFonts w:ascii="Arial" w:eastAsia="Arial" w:hAnsi="Arial" w:cs="Arial"/>
          <w:color w:val="000000"/>
          <w:sz w:val="20"/>
        </w:rPr>
        <w:t>.</w:t>
      </w:r>
    </w:p>
    <w:p w14:paraId="15049155" w14:textId="77777777" w:rsidR="00D041A2" w:rsidRDefault="00000000">
      <w:pPr>
        <w:pStyle w:val="Normal44"/>
        <w:widowControl w:val="0"/>
        <w:spacing w:line="260" w:lineRule="atLeast"/>
        <w:jc w:val="both"/>
      </w:pPr>
      <w:r>
        <w:rPr>
          <w:rFonts w:ascii="Arial" w:eastAsia="Arial" w:hAnsi="Arial" w:cs="Arial"/>
          <w:color w:val="000000"/>
          <w:sz w:val="20"/>
        </w:rPr>
        <w:t>28 C.F.R. § 36.303(b) (emphases added).</w:t>
      </w:r>
    </w:p>
    <w:p w14:paraId="6B481EB3" w14:textId="77777777" w:rsidR="00D041A2" w:rsidRDefault="00000000">
      <w:pPr>
        <w:pStyle w:val="Normal44"/>
        <w:widowControl w:val="0"/>
        <w:spacing w:before="200" w:line="260" w:lineRule="atLeast"/>
        <w:jc w:val="both"/>
      </w:pPr>
      <w:bookmarkStart w:id="6005" w:name="Bookmark_para_29_20"/>
      <w:bookmarkStart w:id="6006" w:name="Bookmark_LNHNREFclscc7_29"/>
      <w:bookmarkStart w:id="6007" w:name="Bookmark_I5051SBW0K1MNJ3JD0000400"/>
      <w:bookmarkEnd w:id="6005"/>
      <w:bookmarkEnd w:id="6006"/>
      <w:bookmarkEnd w:id="6007"/>
      <w:r>
        <w:rPr>
          <w:rFonts w:ascii="Arial" w:eastAsia="Arial" w:hAnsi="Arial" w:cs="Arial"/>
          <w:color w:val="000000"/>
          <w:sz w:val="20"/>
        </w:rPr>
        <w:t xml:space="preserve">Movie captioning and audio descriptions clearly are auxiliary aids and services. </w:t>
      </w:r>
      <w:bookmarkStart w:id="6008" w:name="Bookmark_I5051SBW0K1MNJ3JG0000400"/>
      <w:bookmarkEnd w:id="6008"/>
      <w:r>
        <w:rPr>
          <w:rFonts w:ascii="Arial" w:eastAsia="Arial" w:hAnsi="Arial" w:cs="Arial"/>
          <w:color w:val="000000"/>
          <w:sz w:val="20"/>
        </w:rPr>
        <w:t xml:space="preserve">Captioning and audio descriptions are "effective methods of making [aurally or visually] delivered materials available to individuals with [hearing  [**10] and visual] impairments." 42 U.S.C. § 12103(1)(A)-(B); 28 C.F.R. § 36.303(b)(1)-(2); </w:t>
      </w:r>
      <w:r>
        <w:rPr>
          <w:rFonts w:ascii="Arial" w:eastAsia="Arial" w:hAnsi="Arial" w:cs="Arial"/>
          <w:i/>
          <w:color w:val="000000"/>
          <w:sz w:val="20"/>
        </w:rPr>
        <w:t xml:space="preserve">see </w:t>
      </w:r>
      <w:bookmarkStart w:id="6009" w:name="Bookmark_I5051SBW0K1MNJ3JC0000400"/>
      <w:bookmarkEnd w:id="6009"/>
      <w:r>
        <w:rPr>
          <w:rFonts w:ascii="Arial" w:eastAsia="Arial" w:hAnsi="Arial" w:cs="Arial"/>
          <w:i/>
          <w:color w:val="000000"/>
          <w:sz w:val="20"/>
        </w:rPr>
        <w:t>Duvall v. County of Kitsap</w:t>
      </w:r>
      <w:r>
        <w:rPr>
          <w:rFonts w:ascii="Arial" w:eastAsia="Arial" w:hAnsi="Arial" w:cs="Arial"/>
          <w:color w:val="000000"/>
          <w:sz w:val="20"/>
        </w:rPr>
        <w:t xml:space="preserve">, 260 F.3d 1124, 1138 (9th Cir. 2001) (hearing-impaired plaintiff survives summary judgment with claim that superior court failed to provide real-time captioning of oral testimony). </w:t>
      </w:r>
      <w:bookmarkStart w:id="6010" w:name="Bookmark_I5051SBW0K1MNJ3K50000400"/>
      <w:bookmarkEnd w:id="6010"/>
      <w:r>
        <w:rPr>
          <w:rFonts w:ascii="Arial" w:eastAsia="Arial" w:hAnsi="Arial" w:cs="Arial"/>
          <w:color w:val="000000"/>
          <w:sz w:val="20"/>
        </w:rPr>
        <w:t xml:space="preserve">Indeed, "open and closed captioning" and "audio recordings" are listed as examples of auxiliary aids and services in the regulations. </w:t>
      </w:r>
      <w:bookmarkStart w:id="6011" w:name="Bookmark_I5051SBW0K1MNJ3K50000400_2"/>
      <w:bookmarkStart w:id="6012" w:name="Bookmark_I5051SBW0K1MNJ3JG0000400_2"/>
      <w:bookmarkEnd w:id="6011"/>
      <w:bookmarkEnd w:id="6012"/>
      <w:r>
        <w:rPr>
          <w:rFonts w:ascii="Arial" w:eastAsia="Arial" w:hAnsi="Arial" w:cs="Arial"/>
          <w:color w:val="000000"/>
          <w:sz w:val="20"/>
        </w:rPr>
        <w:t xml:space="preserve">The district court reasoned that captioning and descriptive narration do  [*671]  not fall within § 12182(b)(2)(A)(iii)'s mandate because, under </w:t>
      </w:r>
      <w:bookmarkStart w:id="6013" w:name="Bookmark_I5051SBW0K1MNJ3JF0000400"/>
      <w:bookmarkEnd w:id="6013"/>
      <w:r>
        <w:rPr>
          <w:rFonts w:ascii="Arial" w:eastAsia="Arial" w:hAnsi="Arial" w:cs="Arial"/>
          <w:i/>
          <w:color w:val="000000"/>
          <w:sz w:val="20"/>
        </w:rPr>
        <w:t>Weyer v. Twentieth Century Fox Film Corp</w:t>
      </w:r>
      <w:r>
        <w:rPr>
          <w:rFonts w:ascii="Arial" w:eastAsia="Arial" w:hAnsi="Arial" w:cs="Arial"/>
          <w:color w:val="000000"/>
          <w:sz w:val="20"/>
        </w:rPr>
        <w:t xml:space="preserve">., 198 F.3d 1104, 1115 (9th Cir. 2000), "the scope of the ADA's prohibition against discrimination under § 12182(a) is limited to the goods and services offered by an entity." </w:t>
      </w:r>
      <w:bookmarkStart w:id="6014" w:name="Bookmark_I5051SBW0K1MNJ3K20000400"/>
      <w:bookmarkEnd w:id="6014"/>
      <w:r>
        <w:rPr>
          <w:rFonts w:ascii="Arial" w:eastAsia="Arial" w:hAnsi="Arial" w:cs="Arial"/>
          <w:i/>
          <w:color w:val="000000"/>
          <w:sz w:val="20"/>
        </w:rPr>
        <w:t>Harkins</w:t>
      </w:r>
      <w:r>
        <w:rPr>
          <w:rFonts w:ascii="Arial" w:eastAsia="Arial" w:hAnsi="Arial" w:cs="Arial"/>
          <w:color w:val="000000"/>
          <w:sz w:val="20"/>
        </w:rPr>
        <w:t xml:space="preserve">, 548 F. Supp. 2d at 727-28 (internal quotation marks omitted). In other words, the ADA "does not require provision of different goods or services, just nondiscriminatory enjoyment of those that are provided." </w:t>
      </w:r>
      <w:bookmarkStart w:id="6015" w:name="Bookmark_I5051SBW0K1MNJ3K40000400"/>
      <w:bookmarkEnd w:id="6015"/>
      <w:r>
        <w:rPr>
          <w:rFonts w:ascii="Arial" w:eastAsia="Arial" w:hAnsi="Arial" w:cs="Arial"/>
          <w:i/>
          <w:color w:val="000000"/>
          <w:sz w:val="20"/>
        </w:rPr>
        <w:t>Weyer</w:t>
      </w:r>
      <w:r>
        <w:rPr>
          <w:rFonts w:ascii="Arial" w:eastAsia="Arial" w:hAnsi="Arial" w:cs="Arial"/>
          <w:color w:val="000000"/>
          <w:sz w:val="20"/>
        </w:rPr>
        <w:t xml:space="preserve">, 198 F.3d at 1115. We now turn to </w:t>
      </w:r>
      <w:r>
        <w:rPr>
          <w:rFonts w:ascii="Arial" w:eastAsia="Arial" w:hAnsi="Arial" w:cs="Arial"/>
          <w:i/>
          <w:color w:val="000000"/>
          <w:sz w:val="20"/>
        </w:rPr>
        <w:t>Weyer</w:t>
      </w:r>
      <w:r>
        <w:rPr>
          <w:rFonts w:ascii="Arial" w:eastAsia="Arial" w:hAnsi="Arial" w:cs="Arial"/>
          <w:color w:val="000000"/>
          <w:sz w:val="20"/>
        </w:rPr>
        <w:t xml:space="preserve"> and its bearing on this case.</w:t>
      </w:r>
    </w:p>
    <w:p w14:paraId="48CEBB67" w14:textId="77777777" w:rsidR="00D041A2" w:rsidRDefault="00000000">
      <w:pPr>
        <w:pStyle w:val="Normal44"/>
        <w:widowControl w:val="0"/>
        <w:spacing w:before="200" w:line="260" w:lineRule="atLeast"/>
        <w:jc w:val="both"/>
      </w:pPr>
      <w:bookmarkStart w:id="6016" w:name="Bookmark_para_30_20"/>
      <w:bookmarkStart w:id="6017" w:name="Bookmark_I5051SBW0K1MNJ3KY0000400"/>
      <w:bookmarkStart w:id="6018" w:name="Bookmark_I5051SBW0K1MNJ3M10000400"/>
      <w:bookmarkEnd w:id="6016"/>
      <w:bookmarkEnd w:id="6017"/>
      <w:bookmarkEnd w:id="6018"/>
      <w:r>
        <w:rPr>
          <w:rFonts w:ascii="Arial" w:eastAsia="Arial" w:hAnsi="Arial" w:cs="Arial"/>
          <w:i/>
          <w:color w:val="000000"/>
          <w:sz w:val="20"/>
        </w:rPr>
        <w:t>Weyer</w:t>
      </w:r>
      <w:r>
        <w:rPr>
          <w:rFonts w:ascii="Arial" w:eastAsia="Arial" w:hAnsi="Arial" w:cs="Arial"/>
          <w:color w:val="000000"/>
          <w:sz w:val="20"/>
        </w:rPr>
        <w:t xml:space="preserve"> concerned an insured's challenge to her long-term disability insurance policy's limit on mental illness benefits that did  [**11] not similarly limit non-mental illness benefits. </w:t>
      </w:r>
      <w:bookmarkStart w:id="6019" w:name="Bookmark_I5051SBW0K1MNJ3K60000400"/>
      <w:bookmarkEnd w:id="6019"/>
      <w:r>
        <w:rPr>
          <w:rFonts w:ascii="Arial" w:eastAsia="Arial" w:hAnsi="Arial" w:cs="Arial"/>
          <w:color w:val="000000"/>
          <w:sz w:val="20"/>
        </w:rPr>
        <w:t xml:space="preserve">198 F.3d at 1107-08. </w:t>
      </w:r>
      <w:bookmarkStart w:id="6020" w:name="Bookmark_I5051SBW0K1MNJ3M30000400"/>
      <w:bookmarkEnd w:id="6020"/>
      <w:r>
        <w:rPr>
          <w:rFonts w:ascii="Arial" w:eastAsia="Arial" w:hAnsi="Arial" w:cs="Arial"/>
          <w:color w:val="000000"/>
          <w:sz w:val="20"/>
        </w:rPr>
        <w:t xml:space="preserve">The plaintiff alleged that the insurer and her employer violated the ADA by offering and administering a plan that discriminated against those with mental disabilities. </w:t>
      </w:r>
      <w:bookmarkStart w:id="6021" w:name="Bookmark_I5051SBW0K1MNJ3M00000400"/>
      <w:bookmarkEnd w:id="6021"/>
      <w:r>
        <w:rPr>
          <w:rFonts w:ascii="Arial" w:eastAsia="Arial" w:hAnsi="Arial" w:cs="Arial"/>
          <w:i/>
          <w:color w:val="000000"/>
          <w:sz w:val="20"/>
        </w:rPr>
        <w:t>Id</w:t>
      </w:r>
      <w:r>
        <w:rPr>
          <w:rFonts w:ascii="Arial" w:eastAsia="Arial" w:hAnsi="Arial" w:cs="Arial"/>
          <w:color w:val="000000"/>
          <w:sz w:val="20"/>
        </w:rPr>
        <w:t xml:space="preserve">. at 1108. </w:t>
      </w:r>
      <w:bookmarkStart w:id="6022" w:name="Bookmark_I5051SBW0K1MNJ3M30000400_2"/>
      <w:bookmarkEnd w:id="6022"/>
      <w:r>
        <w:rPr>
          <w:rFonts w:ascii="Arial" w:eastAsia="Arial" w:hAnsi="Arial" w:cs="Arial"/>
          <w:color w:val="000000"/>
          <w:sz w:val="20"/>
        </w:rPr>
        <w:t xml:space="preserve">Affirming the district court's grant of summary judgment, we held that the insurer could not be held liable under Title III because, among other reasons, Title III does not address the terms of policies that the insurer sold. </w:t>
      </w:r>
      <w:bookmarkStart w:id="6023" w:name="Bookmark_I5051SBW0K1MNJ3M20000400"/>
      <w:bookmarkEnd w:id="6023"/>
      <w:r>
        <w:rPr>
          <w:rFonts w:ascii="Arial" w:eastAsia="Arial" w:hAnsi="Arial" w:cs="Arial"/>
          <w:i/>
          <w:color w:val="000000"/>
          <w:sz w:val="20"/>
        </w:rPr>
        <w:t>Id</w:t>
      </w:r>
      <w:r>
        <w:rPr>
          <w:rFonts w:ascii="Arial" w:eastAsia="Arial" w:hAnsi="Arial" w:cs="Arial"/>
          <w:color w:val="000000"/>
          <w:sz w:val="20"/>
        </w:rPr>
        <w:t>. at 1115. We reasoned:</w:t>
      </w:r>
    </w:p>
    <w:p w14:paraId="3DF83A5B" w14:textId="77777777" w:rsidR="00D041A2" w:rsidRDefault="00000000">
      <w:pPr>
        <w:pStyle w:val="Normal44"/>
        <w:widowControl w:val="0"/>
        <w:spacing w:before="200" w:line="260" w:lineRule="atLeast"/>
        <w:ind w:left="400"/>
        <w:jc w:val="both"/>
      </w:pPr>
      <w:bookmarkStart w:id="6024" w:name="Bookmark_para_31_19"/>
      <w:bookmarkEnd w:id="6024"/>
      <w:r>
        <w:rPr>
          <w:rFonts w:ascii="Arial" w:eastAsia="Arial" w:hAnsi="Arial" w:cs="Arial"/>
          <w:color w:val="000000"/>
          <w:sz w:val="20"/>
        </w:rPr>
        <w:t>Title III prohibits discrimination in the enjoyment of the "goods, services, facilities, privileges, advantages, or accommodations of any place of public accommodation." The ordinary meaning of this language is that whatever goods or services the place provides, it cannot discriminate on the basis of disability in providing enjoyment of those goods and services. This language does not require provision of different goods or services, just nondiscriminatory enjoyment of those that are provided. Thus, a bookstore cannot discriminate against disabled people in granting access, but need not assure that the books are available in Braille as well as print. Likewise, an insurance office must be  [**12] physically accessible to the disabled but need not provide insurance that treats the disabled equally with the non-disabled.</w:t>
      </w:r>
    </w:p>
    <w:p w14:paraId="76E38A06" w14:textId="77777777" w:rsidR="00D041A2" w:rsidRDefault="00000000">
      <w:pPr>
        <w:pStyle w:val="Normal44"/>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(internal quotation marks, brackets, and footnote omitted). We further concluded that the plaintiff's Title III claim against her employer, Fox, similarly failed:</w:t>
      </w:r>
    </w:p>
    <w:p w14:paraId="123307A3" w14:textId="77777777" w:rsidR="00D041A2" w:rsidRDefault="00000000">
      <w:pPr>
        <w:pStyle w:val="Normal44"/>
        <w:widowControl w:val="0"/>
        <w:spacing w:line="260" w:lineRule="atLeast"/>
        <w:ind w:left="400"/>
        <w:jc w:val="both"/>
      </w:pPr>
      <w:bookmarkStart w:id="6025" w:name="Bookmark_para_32_19"/>
      <w:bookmarkEnd w:id="6025"/>
      <w:r>
        <w:rPr>
          <w:rFonts w:ascii="Arial" w:eastAsia="Arial" w:hAnsi="Arial" w:cs="Arial"/>
          <w:color w:val="000000"/>
          <w:sz w:val="20"/>
        </w:rPr>
        <w:t xml:space="preserve">[T]here is no discrimination under the Act where disabled individuals are given the same opportunity as everyone else, so insurance distinctions that apply equally to all employees cannot be discriminatory. </w:t>
      </w:r>
      <w:bookmarkStart w:id="6026" w:name="Bookmark_I5051SBW0K1MNJ3MP0000400"/>
      <w:bookmarkEnd w:id="6026"/>
      <w:r>
        <w:rPr>
          <w:rFonts w:ascii="Arial" w:eastAsia="Arial" w:hAnsi="Arial" w:cs="Arial"/>
          <w:color w:val="000000"/>
          <w:sz w:val="20"/>
        </w:rPr>
        <w:t>Fox did not treat Weyer any differently because of her disability. It simply gave her the same opportunity that it gave all the rest of its employees--buy into the group policy with the limitation at the cheaper, group price or buy her own individual insurance coverage without the limitation at whatever the market price may be.</w:t>
      </w:r>
    </w:p>
    <w:p w14:paraId="4AB8AAA4" w14:textId="77777777" w:rsidR="00D041A2" w:rsidRDefault="00000000">
      <w:pPr>
        <w:pStyle w:val="Normal44"/>
        <w:widowControl w:val="0"/>
        <w:spacing w:before="200" w:line="260" w:lineRule="atLeast"/>
        <w:jc w:val="both"/>
      </w:pPr>
      <w:bookmarkStart w:id="6027" w:name="Bookmark_I5051SBW0K1MNJ3MP0000400_2"/>
      <w:bookmarkStart w:id="6028" w:name="Bookmark_I5051SBW0K1MNJ3MN0000400"/>
      <w:bookmarkEnd w:id="6027"/>
      <w:bookmarkEnd w:id="6028"/>
      <w:r>
        <w:rPr>
          <w:rFonts w:ascii="Arial" w:eastAsia="Arial" w:hAnsi="Arial" w:cs="Arial"/>
          <w:i/>
          <w:color w:val="000000"/>
          <w:sz w:val="20"/>
        </w:rPr>
        <w:t>Id</w:t>
      </w:r>
      <w:r>
        <w:rPr>
          <w:rFonts w:ascii="Arial" w:eastAsia="Arial" w:hAnsi="Arial" w:cs="Arial"/>
          <w:color w:val="000000"/>
          <w:sz w:val="20"/>
        </w:rPr>
        <w:t xml:space="preserve">. at 1116 (footnote omitted). Analogizing from </w:t>
      </w:r>
      <w:r>
        <w:rPr>
          <w:rFonts w:ascii="Arial" w:eastAsia="Arial" w:hAnsi="Arial" w:cs="Arial"/>
          <w:i/>
          <w:color w:val="000000"/>
          <w:sz w:val="20"/>
        </w:rPr>
        <w:t>Weyer</w:t>
      </w:r>
      <w:r>
        <w:rPr>
          <w:rFonts w:ascii="Arial" w:eastAsia="Arial" w:hAnsi="Arial" w:cs="Arial"/>
          <w:color w:val="000000"/>
          <w:sz w:val="20"/>
        </w:rPr>
        <w:t>, Harkins argues that the ADA does not require it to alter the content of its services by offering captions and descriptive narration; rather, the ADA only requires it to offer all persons equal access to its services.</w:t>
      </w:r>
    </w:p>
    <w:p w14:paraId="297738C9" w14:textId="77777777" w:rsidR="00D041A2" w:rsidRDefault="00000000">
      <w:pPr>
        <w:pStyle w:val="Normal44"/>
        <w:widowControl w:val="0"/>
        <w:spacing w:before="200" w:line="260" w:lineRule="atLeast"/>
        <w:jc w:val="both"/>
      </w:pPr>
      <w:bookmarkStart w:id="6029" w:name="Bookmark_para_33_19"/>
      <w:bookmarkStart w:id="6030" w:name="Bookmark_I418113BRW6000RKDM800004"/>
      <w:bookmarkStart w:id="6031" w:name="Bookmark_I5051SBW0K1MNJ3MS0000400"/>
      <w:bookmarkStart w:id="6032" w:name="Bookmark_I418113BWPB000RKDM800005"/>
      <w:bookmarkStart w:id="6033" w:name="Bookmark_I5051SBW0K1MNJ3NC0000400"/>
      <w:bookmarkEnd w:id="6029"/>
      <w:bookmarkEnd w:id="6030"/>
      <w:bookmarkEnd w:id="6031"/>
      <w:bookmarkEnd w:id="6032"/>
      <w:bookmarkEnd w:id="6033"/>
      <w:r>
        <w:rPr>
          <w:rFonts w:ascii="Arial" w:eastAsia="Arial" w:hAnsi="Arial" w:cs="Arial"/>
          <w:color w:val="000000"/>
          <w:sz w:val="20"/>
        </w:rPr>
        <w:t xml:space="preserve">We disagree with Harkins that captioning and descriptive narration fall outside the ADA as a matter of  [**13] law. As stated previously, </w:t>
      </w:r>
      <w:bookmarkStart w:id="6034" w:name="Bookmark_LNHNREFclscc8_29"/>
      <w:bookmarkEnd w:id="6034"/>
      <w:r>
        <w:rPr>
          <w:rFonts w:ascii="Arial" w:eastAsia="Arial" w:hAnsi="Arial" w:cs="Arial"/>
          <w:color w:val="000000"/>
          <w:sz w:val="20"/>
        </w:rPr>
        <w:t xml:space="preserve">42 U.S.C. § 12182(b)(2)(A)(iii) provides that discrimination includes "a failure to take such steps as may be necessary to ensure that no individual with a disability is excluded, denied services, segregated or otherwise treated differently than other individuals </w:t>
      </w:r>
      <w:r>
        <w:rPr>
          <w:rFonts w:ascii="Arial" w:eastAsia="Arial" w:hAnsi="Arial" w:cs="Arial"/>
          <w:i/>
          <w:color w:val="000000"/>
          <w:sz w:val="20"/>
        </w:rPr>
        <w:t>because of the absence of auxiliary aids and services</w:t>
      </w:r>
      <w:r>
        <w:rPr>
          <w:rFonts w:ascii="Arial" w:eastAsia="Arial" w:hAnsi="Arial" w:cs="Arial"/>
          <w:color w:val="000000"/>
          <w:sz w:val="20"/>
        </w:rPr>
        <w:t xml:space="preserve"> . . . ." (emphasis added). In arguing that the ADA's requirement of auxiliary aids and services is limited by </w:t>
      </w:r>
      <w:r>
        <w:rPr>
          <w:rFonts w:ascii="Arial" w:eastAsia="Arial" w:hAnsi="Arial" w:cs="Arial"/>
          <w:i/>
          <w:color w:val="000000"/>
          <w:sz w:val="20"/>
        </w:rPr>
        <w:t>Weyer</w:t>
      </w:r>
      <w:r>
        <w:rPr>
          <w:rFonts w:ascii="Arial" w:eastAsia="Arial" w:hAnsi="Arial" w:cs="Arial"/>
          <w:color w:val="000000"/>
          <w:sz w:val="20"/>
        </w:rPr>
        <w:t xml:space="preserve">, Harkins puts the cart before the horse: </w:t>
      </w:r>
      <w:bookmarkStart w:id="6035" w:name="Bookmark_I5051SBW0K1MNJ3MR0000400"/>
      <w:bookmarkEnd w:id="6035"/>
      <w:r>
        <w:rPr>
          <w:rFonts w:ascii="Arial" w:eastAsia="Arial" w:hAnsi="Arial" w:cs="Arial"/>
          <w:i/>
          <w:color w:val="000000"/>
          <w:sz w:val="20"/>
        </w:rPr>
        <w:t>Weyer</w:t>
      </w:r>
      <w:r>
        <w:rPr>
          <w:rFonts w:ascii="Arial" w:eastAsia="Arial" w:hAnsi="Arial" w:cs="Arial"/>
          <w:color w:val="000000"/>
          <w:sz w:val="20"/>
        </w:rPr>
        <w:t xml:space="preserve"> does not  [*672]  limit subsection 42 U.S.C. § 12182(b)(2)(A)(iii)'s requirement that a public accommodation provide auxiliary aids and services; the requirement that establishments provide auxiliary aids and services limits </w:t>
      </w:r>
      <w:r>
        <w:rPr>
          <w:rFonts w:ascii="Arial" w:eastAsia="Arial" w:hAnsi="Arial" w:cs="Arial"/>
          <w:i/>
          <w:color w:val="000000"/>
          <w:sz w:val="20"/>
        </w:rPr>
        <w:t>Weyer's</w:t>
      </w:r>
      <w:r>
        <w:rPr>
          <w:rFonts w:ascii="Arial" w:eastAsia="Arial" w:hAnsi="Arial" w:cs="Arial"/>
          <w:color w:val="000000"/>
          <w:sz w:val="20"/>
        </w:rPr>
        <w:t xml:space="preserve"> general rule that public accommodations do not have to provide different services for the disabled. Although </w:t>
      </w:r>
      <w:bookmarkStart w:id="6036" w:name="Bookmark_I5051SBW0K1MNJ3MT0000400"/>
      <w:bookmarkEnd w:id="6036"/>
      <w:r>
        <w:rPr>
          <w:rFonts w:ascii="Arial" w:eastAsia="Arial" w:hAnsi="Arial" w:cs="Arial"/>
          <w:i/>
          <w:color w:val="000000"/>
          <w:sz w:val="20"/>
        </w:rPr>
        <w:t>Weyer</w:t>
      </w:r>
      <w:r>
        <w:rPr>
          <w:rFonts w:ascii="Arial" w:eastAsia="Arial" w:hAnsi="Arial" w:cs="Arial"/>
          <w:color w:val="000000"/>
          <w:sz w:val="20"/>
        </w:rPr>
        <w:t xml:space="preserve"> may be controlling in the provision of goods and services generally, here Plaintiffs are seeking an auxiliary aid, which is specifically mandated by the ADA to prevent discrimination of the disabled.</w:t>
      </w:r>
    </w:p>
    <w:p w14:paraId="5DCA3D60" w14:textId="77777777" w:rsidR="00D041A2" w:rsidRDefault="00000000">
      <w:pPr>
        <w:pStyle w:val="Normal44"/>
        <w:widowControl w:val="0"/>
        <w:spacing w:before="200" w:line="260" w:lineRule="atLeast"/>
        <w:jc w:val="both"/>
      </w:pPr>
      <w:bookmarkStart w:id="6037" w:name="Bookmark_para_34_19"/>
      <w:bookmarkStart w:id="6038" w:name="Bookmark_I418113BJSB000RKDM800003"/>
      <w:bookmarkStart w:id="6039" w:name="Bookmark_I5051SBW0K1MNJ3NF0000400"/>
      <w:bookmarkStart w:id="6040" w:name="Bookmark_I5051SBW0K1MNJ3NH0000400"/>
      <w:bookmarkEnd w:id="6037"/>
      <w:bookmarkEnd w:id="6038"/>
      <w:bookmarkEnd w:id="6039"/>
      <w:bookmarkEnd w:id="6040"/>
      <w:r>
        <w:rPr>
          <w:rFonts w:ascii="Arial" w:eastAsia="Arial" w:hAnsi="Arial" w:cs="Arial"/>
          <w:color w:val="000000"/>
          <w:sz w:val="20"/>
        </w:rPr>
        <w:t xml:space="preserve">For similar reasons, Harkins's reliance on </w:t>
      </w:r>
      <w:bookmarkStart w:id="6041" w:name="Bookmark_I5051SBW0K1MNJ3ND0000400"/>
      <w:bookmarkEnd w:id="6041"/>
      <w:r>
        <w:rPr>
          <w:rFonts w:ascii="Arial" w:eastAsia="Arial" w:hAnsi="Arial" w:cs="Arial"/>
          <w:i/>
          <w:color w:val="000000"/>
          <w:sz w:val="20"/>
        </w:rPr>
        <w:t>McNeil v. Time Insurance Co</w:t>
      </w:r>
      <w:r>
        <w:rPr>
          <w:rFonts w:ascii="Arial" w:eastAsia="Arial" w:hAnsi="Arial" w:cs="Arial"/>
          <w:color w:val="000000"/>
          <w:sz w:val="20"/>
        </w:rPr>
        <w:t xml:space="preserve">., 205 F.3d 179 (5th Cir. 2000), is misplaced. In </w:t>
      </w:r>
      <w:r>
        <w:rPr>
          <w:rFonts w:ascii="Arial" w:eastAsia="Arial" w:hAnsi="Arial" w:cs="Arial"/>
          <w:i/>
          <w:color w:val="000000"/>
          <w:sz w:val="20"/>
        </w:rPr>
        <w:t>McNeil</w:t>
      </w:r>
      <w:r>
        <w:rPr>
          <w:rFonts w:ascii="Arial" w:eastAsia="Arial" w:hAnsi="Arial" w:cs="Arial"/>
          <w:color w:val="000000"/>
          <w:sz w:val="20"/>
        </w:rPr>
        <w:t xml:space="preserve">, the plaintiff purchased a  [**14] health insurance policy that limited coverage for AIDS-related benefits to $ 10,000 during the first two years of the policy. </w:t>
      </w:r>
      <w:bookmarkStart w:id="6042" w:name="Bookmark_I5051SBW0K1MNJ3P90000400"/>
      <w:bookmarkStart w:id="6043" w:name="Bookmark_I5051SBW0K1MNJ3NG0000400"/>
      <w:bookmarkEnd w:id="6042"/>
      <w:bookmarkEnd w:id="6043"/>
      <w:r>
        <w:rPr>
          <w:rFonts w:ascii="Arial" w:eastAsia="Arial" w:hAnsi="Arial" w:cs="Arial"/>
          <w:i/>
          <w:color w:val="000000"/>
          <w:sz w:val="20"/>
        </w:rPr>
        <w:t>Id</w:t>
      </w:r>
      <w:r>
        <w:rPr>
          <w:rFonts w:ascii="Arial" w:eastAsia="Arial" w:hAnsi="Arial" w:cs="Arial"/>
          <w:color w:val="000000"/>
          <w:sz w:val="20"/>
        </w:rPr>
        <w:t xml:space="preserve">. at 182. </w:t>
      </w:r>
      <w:bookmarkStart w:id="6044" w:name="Bookmark_I5051SBW0K1MNJ3P90000400_2"/>
      <w:bookmarkEnd w:id="6044"/>
      <w:r>
        <w:rPr>
          <w:rFonts w:ascii="Arial" w:eastAsia="Arial" w:hAnsi="Arial" w:cs="Arial"/>
          <w:color w:val="000000"/>
          <w:sz w:val="20"/>
        </w:rPr>
        <w:t xml:space="preserve">Within the first year of the policy, the plaintiff was diagnosed with AIDS. </w:t>
      </w:r>
      <w:r>
        <w:rPr>
          <w:rFonts w:ascii="Arial" w:eastAsia="Arial" w:hAnsi="Arial" w:cs="Arial"/>
          <w:i/>
          <w:color w:val="000000"/>
          <w:sz w:val="20"/>
        </w:rPr>
        <w:t>Id</w:t>
      </w:r>
      <w:r>
        <w:rPr>
          <w:rFonts w:ascii="Arial" w:eastAsia="Arial" w:hAnsi="Arial" w:cs="Arial"/>
          <w:color w:val="000000"/>
          <w:sz w:val="20"/>
        </w:rPr>
        <w:t xml:space="preserve">. When the insurance company refused to pay more than $ 10,000 of his medical bills, the plaintiff brought suit under Title III of the ADA. </w:t>
      </w:r>
      <w:r>
        <w:rPr>
          <w:rFonts w:ascii="Arial" w:eastAsia="Arial" w:hAnsi="Arial" w:cs="Arial"/>
          <w:i/>
          <w:color w:val="000000"/>
          <w:sz w:val="20"/>
        </w:rPr>
        <w:t>Id</w:t>
      </w:r>
      <w:r>
        <w:rPr>
          <w:rFonts w:ascii="Arial" w:eastAsia="Arial" w:hAnsi="Arial" w:cs="Arial"/>
          <w:color w:val="000000"/>
          <w:sz w:val="20"/>
        </w:rPr>
        <w:t xml:space="preserve">. Affirming a grant of summary judgment, the Fifth Circuit held that the plain language of Title III "demonstrates that a business is not required to alter or modify the goods or services it offers to satisfy Title III"; therefore, because the policy offered the same terms to those without AIDS, the policy's limit did not discriminate on the basis of basis of disability. </w:t>
      </w:r>
      <w:r>
        <w:rPr>
          <w:rFonts w:ascii="Arial" w:eastAsia="Arial" w:hAnsi="Arial" w:cs="Arial"/>
          <w:i/>
          <w:color w:val="000000"/>
          <w:sz w:val="20"/>
        </w:rPr>
        <w:t xml:space="preserve">See </w:t>
      </w:r>
      <w:bookmarkStart w:id="6045" w:name="Bookmark_I5051SBW0K1MNJ3P80000400"/>
      <w:bookmarkEnd w:id="6045"/>
      <w:r>
        <w:rPr>
          <w:rFonts w:ascii="Arial" w:eastAsia="Arial" w:hAnsi="Arial" w:cs="Arial"/>
          <w:i/>
          <w:color w:val="000000"/>
          <w:sz w:val="20"/>
        </w:rPr>
        <w:t>id</w:t>
      </w:r>
      <w:r>
        <w:rPr>
          <w:rFonts w:ascii="Arial" w:eastAsia="Arial" w:hAnsi="Arial" w:cs="Arial"/>
          <w:color w:val="000000"/>
          <w:sz w:val="20"/>
        </w:rPr>
        <w:t>. at 186, 188-89.</w:t>
      </w:r>
    </w:p>
    <w:p w14:paraId="32A17B38" w14:textId="77777777" w:rsidR="00D041A2" w:rsidRDefault="00000000">
      <w:pPr>
        <w:pStyle w:val="Normal44"/>
        <w:widowControl w:val="0"/>
        <w:spacing w:before="200" w:line="260" w:lineRule="atLeast"/>
        <w:jc w:val="both"/>
      </w:pPr>
      <w:bookmarkStart w:id="6046" w:name="Bookmark_para_35_19"/>
      <w:bookmarkStart w:id="6047" w:name="Bookmark_I5051SBW0K1MNJ3PC0000400"/>
      <w:bookmarkStart w:id="6048" w:name="Bookmark_I5051SBW0K1MNJ3R20000400"/>
      <w:bookmarkEnd w:id="6046"/>
      <w:bookmarkEnd w:id="6047"/>
      <w:bookmarkEnd w:id="6048"/>
      <w:r>
        <w:rPr>
          <w:rFonts w:ascii="Arial" w:eastAsia="Arial" w:hAnsi="Arial" w:cs="Arial"/>
          <w:color w:val="000000"/>
          <w:sz w:val="20"/>
        </w:rPr>
        <w:t xml:space="preserve">The </w:t>
      </w:r>
      <w:r>
        <w:rPr>
          <w:rFonts w:ascii="Arial" w:eastAsia="Arial" w:hAnsi="Arial" w:cs="Arial"/>
          <w:i/>
          <w:color w:val="000000"/>
          <w:sz w:val="20"/>
        </w:rPr>
        <w:t>McNeil</w:t>
      </w:r>
      <w:r>
        <w:rPr>
          <w:rFonts w:ascii="Arial" w:eastAsia="Arial" w:hAnsi="Arial" w:cs="Arial"/>
          <w:color w:val="000000"/>
          <w:sz w:val="20"/>
        </w:rPr>
        <w:t xml:space="preserve"> court also noted that "[t]he provisions in §§ 12182(b)(1)(A)(i)-(iii) concerning the opportunity to benefit from or to participate in a good or service do not imply that the goods or services must be modified to ensure that opportunity or benefit. </w:t>
      </w:r>
      <w:bookmarkStart w:id="6049" w:name="Bookmark_I5051SBW0K1MNJ3R00000400"/>
      <w:bookmarkEnd w:id="6049"/>
      <w:r>
        <w:rPr>
          <w:rFonts w:ascii="Arial" w:eastAsia="Arial" w:hAnsi="Arial" w:cs="Arial"/>
          <w:color w:val="000000"/>
          <w:sz w:val="20"/>
        </w:rPr>
        <w:t xml:space="preserve">Rather, this section only refers to impediments that stand in the way of a person's ability to enjoy that good or service in the form that the establishment normally provides it." </w:t>
      </w:r>
      <w:bookmarkStart w:id="6050" w:name="Bookmark_I5051SBW0K1MNJ3PB0000400"/>
      <w:bookmarkEnd w:id="6050"/>
      <w:r>
        <w:rPr>
          <w:rFonts w:ascii="Arial" w:eastAsia="Arial" w:hAnsi="Arial" w:cs="Arial"/>
          <w:i/>
          <w:color w:val="000000"/>
          <w:sz w:val="20"/>
        </w:rPr>
        <w:t>Id</w:t>
      </w:r>
      <w:r>
        <w:rPr>
          <w:rFonts w:ascii="Arial" w:eastAsia="Arial" w:hAnsi="Arial" w:cs="Arial"/>
          <w:color w:val="000000"/>
          <w:sz w:val="20"/>
        </w:rPr>
        <w:t xml:space="preserve">. at 186 n.9.  [**15] The district court in this case relied on this passage to reason that § 12182(b)(2)(A)(iii) </w:t>
      </w:r>
      <w:r>
        <w:rPr>
          <w:rFonts w:ascii="Arial" w:eastAsia="Arial" w:hAnsi="Arial" w:cs="Arial"/>
          <w:vertAlign w:val="superscript"/>
        </w:rPr>
        <w:footnoteReference w:customMarkFollows="1" w:id="284"/>
        <w:t>1</w:t>
      </w:r>
      <w:r>
        <w:rPr>
          <w:rFonts w:ascii="Arial" w:eastAsia="Arial" w:hAnsi="Arial" w:cs="Arial"/>
          <w:color w:val="000000"/>
          <w:sz w:val="20"/>
        </w:rPr>
        <w:t xml:space="preserve"> does not require accommodations to offer different services. </w:t>
      </w:r>
      <w:bookmarkStart w:id="6053" w:name="Bookmark_I5051SBW0K1MNJ3R00000400_2"/>
      <w:bookmarkStart w:id="6054" w:name="Bookmark_I5051SBW0K1MNJ3PD0000400"/>
      <w:bookmarkEnd w:id="6053"/>
      <w:bookmarkEnd w:id="6054"/>
      <w:r>
        <w:rPr>
          <w:rFonts w:ascii="Arial" w:eastAsia="Arial" w:hAnsi="Arial" w:cs="Arial"/>
          <w:i/>
          <w:color w:val="000000"/>
          <w:sz w:val="20"/>
        </w:rPr>
        <w:t>Harkins</w:t>
      </w:r>
      <w:r>
        <w:rPr>
          <w:rFonts w:ascii="Arial" w:eastAsia="Arial" w:hAnsi="Arial" w:cs="Arial"/>
          <w:color w:val="000000"/>
          <w:sz w:val="20"/>
        </w:rPr>
        <w:t>, 548 F. Supp. 2d at 728.</w:t>
      </w:r>
    </w:p>
    <w:p w14:paraId="7800EA08" w14:textId="77777777" w:rsidR="00D041A2" w:rsidRDefault="00000000">
      <w:pPr>
        <w:pStyle w:val="Normal44"/>
        <w:widowControl w:val="0"/>
        <w:spacing w:before="200" w:line="260" w:lineRule="atLeast"/>
        <w:jc w:val="both"/>
      </w:pPr>
      <w:bookmarkStart w:id="6055" w:name="Bookmark_para_36_18"/>
      <w:bookmarkEnd w:id="6055"/>
      <w:r>
        <w:rPr>
          <w:rFonts w:ascii="Arial" w:eastAsia="Arial" w:hAnsi="Arial" w:cs="Arial"/>
          <w:color w:val="000000"/>
          <w:sz w:val="20"/>
        </w:rPr>
        <w:t xml:space="preserve">The district court's reasoning effectively eliminates the duty of a public accommodation to provide auxiliary aids and services. </w:t>
      </w:r>
      <w:bookmarkStart w:id="6056" w:name="Bookmark_LNHNREFclscc9_28"/>
      <w:bookmarkStart w:id="6057" w:name="Bookmark_I418113C2T6000RKDM800006"/>
      <w:bookmarkStart w:id="6058" w:name="Bookmark_I418113C6MB000RKDM800007"/>
      <w:bookmarkStart w:id="6059" w:name="Bookmark_I5051SBW0K1MNJ3R40000400"/>
      <w:bookmarkEnd w:id="6056"/>
      <w:bookmarkEnd w:id="6057"/>
      <w:bookmarkEnd w:id="6058"/>
      <w:bookmarkEnd w:id="6059"/>
      <w:r>
        <w:rPr>
          <w:rFonts w:ascii="Arial" w:eastAsia="Arial" w:hAnsi="Arial" w:cs="Arial"/>
          <w:color w:val="000000"/>
          <w:sz w:val="20"/>
        </w:rPr>
        <w:t xml:space="preserve">By its very definition, an auxiliary aid or service is an additional and different service that establishments must offer the disabled. For example, a courthouse that was accessible only by steps could not avoid ADA liability by arguing that everyone--including the wheelchair bound--has equal access to the steps. And an office building could not avoid having to put Braille numbering on the buttons in its elevator by arguing that everyone--including the blind--has equal access to the written text. Although </w:t>
      </w:r>
      <w:bookmarkStart w:id="6060" w:name="Bookmark_I5051SBW0K1MNJ3R30000400"/>
      <w:bookmarkEnd w:id="6060"/>
      <w:r>
        <w:rPr>
          <w:rFonts w:ascii="Arial" w:eastAsia="Arial" w:hAnsi="Arial" w:cs="Arial"/>
          <w:i/>
          <w:color w:val="000000"/>
          <w:sz w:val="20"/>
        </w:rPr>
        <w:t>Weyer</w:t>
      </w:r>
      <w:r>
        <w:rPr>
          <w:rFonts w:ascii="Arial" w:eastAsia="Arial" w:hAnsi="Arial" w:cs="Arial"/>
          <w:color w:val="000000"/>
          <w:sz w:val="20"/>
        </w:rPr>
        <w:t xml:space="preserve"> and </w:t>
      </w:r>
      <w:bookmarkStart w:id="6061" w:name="Bookmark_I5051SBW0K1MNJ3T70000400"/>
      <w:bookmarkEnd w:id="6061"/>
      <w:r>
        <w:rPr>
          <w:rFonts w:ascii="Arial" w:eastAsia="Arial" w:hAnsi="Arial" w:cs="Arial"/>
          <w:i/>
          <w:color w:val="000000"/>
          <w:sz w:val="20"/>
        </w:rPr>
        <w:t>McNeil</w:t>
      </w:r>
      <w:r>
        <w:rPr>
          <w:rFonts w:ascii="Arial" w:eastAsia="Arial" w:hAnsi="Arial" w:cs="Arial"/>
          <w:color w:val="000000"/>
          <w:sz w:val="20"/>
        </w:rPr>
        <w:t xml:space="preserve"> support the proposition that the content of a good or service need not be altered under the ADA, neither of those decisions turn on whether a place of public accommodation must provide an auxiliary aid  [**16] or service that falls within the mandate of § 12182(b)(2)(A)(iii).</w:t>
      </w:r>
    </w:p>
    <w:p w14:paraId="561F3B2D" w14:textId="77777777" w:rsidR="00D041A2" w:rsidRDefault="00000000">
      <w:pPr>
        <w:pStyle w:val="Normal44"/>
        <w:widowControl w:val="0"/>
        <w:spacing w:before="200" w:line="260" w:lineRule="atLeast"/>
        <w:jc w:val="both"/>
      </w:pPr>
      <w:bookmarkStart w:id="6062" w:name="Bookmark_para_37_17"/>
      <w:bookmarkEnd w:id="6062"/>
      <w:r>
        <w:rPr>
          <w:rFonts w:ascii="Arial" w:eastAsia="Arial" w:hAnsi="Arial" w:cs="Arial"/>
          <w:color w:val="000000"/>
          <w:sz w:val="20"/>
        </w:rPr>
        <w:t xml:space="preserve">Harkins also contends that regulations promulgated by the Department of Justice defeat any requirement that Harkins provide captioning or descriptive narration. In particular, Harkins points to the DOJ's Preamble to Regulation of Non-discrimination on the Basis of Disability by Public Accommodations and in Commercial Facilities, which provides commentary on Title 28, part 36 of the Code of Federal Regulations. There, the commentary plainly states that </w:t>
      </w:r>
      <w:bookmarkStart w:id="6063" w:name="Bookmark_LNHNREFclscc10_26"/>
      <w:bookmarkEnd w:id="6063"/>
      <w:r>
        <w:rPr>
          <w:rFonts w:ascii="Arial" w:eastAsia="Arial" w:hAnsi="Arial" w:cs="Arial"/>
          <w:color w:val="000000"/>
          <w:sz w:val="20"/>
        </w:rPr>
        <w:t>"[m]ovie theaters are not required by § 36.303 to present open-captioned  [*673]  films." 28 C.F.R. pt. 36, App. B(C), at 727 (2009).</w:t>
      </w:r>
    </w:p>
    <w:p w14:paraId="072E1A5F" w14:textId="77777777" w:rsidR="00D041A2" w:rsidRDefault="00000000">
      <w:pPr>
        <w:pStyle w:val="Normal44"/>
        <w:widowControl w:val="0"/>
        <w:spacing w:before="200" w:line="260" w:lineRule="atLeast"/>
        <w:jc w:val="both"/>
      </w:pPr>
      <w:bookmarkStart w:id="6064" w:name="Bookmark_para_38_17"/>
      <w:bookmarkEnd w:id="6064"/>
      <w:r>
        <w:rPr>
          <w:rFonts w:ascii="Arial" w:eastAsia="Arial" w:hAnsi="Arial" w:cs="Arial"/>
          <w:color w:val="000000"/>
          <w:sz w:val="20"/>
        </w:rPr>
        <w:t>Plaintiffs dispute that the commentary precludes a court from requiring open captioning through open caption projection systems, which did not exist when the commentary was first published in 1991. Plaintiffs cite to two authorities in an effort to distinguish between engraved open captioning and open caption projection systems. The first, 28 C.F.R. § 36.307(a), provides, "This  [**17] part does not require a public accommodation to alter its inventory to include accessible or special goods that are designed for, or facilitate use by, individuals with disabilities." Plaintiffs argue that the commentary's provision concerning open captioning is no longer viable now that open captioning is available through open caption projection systems, which are not special goods. Plaintiffs also point to a House Report suggesting that courts should reconsider the auxiliary aids and services required by the ADA as new technology develops:</w:t>
      </w:r>
    </w:p>
    <w:p w14:paraId="0EB66D01" w14:textId="77777777" w:rsidR="00D041A2" w:rsidRDefault="00000000">
      <w:pPr>
        <w:pStyle w:val="Normal44"/>
        <w:widowControl w:val="0"/>
        <w:spacing w:line="260" w:lineRule="atLeast"/>
        <w:ind w:left="400"/>
        <w:jc w:val="both"/>
      </w:pPr>
      <w:bookmarkStart w:id="6065" w:name="Bookmark_para_39_17"/>
      <w:bookmarkEnd w:id="6065"/>
      <w:r>
        <w:rPr>
          <w:rFonts w:ascii="Arial" w:eastAsia="Arial" w:hAnsi="Arial" w:cs="Arial"/>
          <w:color w:val="000000"/>
          <w:sz w:val="20"/>
        </w:rPr>
        <w:t>The Committee wishes to make it clear that technological advances can be expected to further enhance options for making meaningful and effective opportunities available to individuals with disabilities. Such advances may require public accommodations to provide auxiliary aids and services in the future which today would not be required because they would be held to impose undue burdens on such entities.</w:t>
      </w:r>
    </w:p>
    <w:p w14:paraId="07808593" w14:textId="77777777" w:rsidR="00D041A2" w:rsidRDefault="00000000">
      <w:pPr>
        <w:pStyle w:val="Normal44"/>
        <w:widowControl w:val="0"/>
        <w:spacing w:before="200" w:line="260" w:lineRule="atLeast"/>
        <w:jc w:val="both"/>
      </w:pPr>
      <w:r>
        <w:rPr>
          <w:rFonts w:ascii="Arial" w:eastAsia="Arial" w:hAnsi="Arial" w:cs="Arial"/>
          <w:color w:val="000000"/>
          <w:sz w:val="20"/>
        </w:rPr>
        <w:t xml:space="preserve">H.R. Rep. No. 101-485(II), at 108 (1990), </w:t>
      </w:r>
      <w:r>
        <w:rPr>
          <w:rFonts w:ascii="Arial" w:eastAsia="Arial" w:hAnsi="Arial" w:cs="Arial"/>
          <w:i/>
          <w:color w:val="000000"/>
          <w:sz w:val="20"/>
        </w:rPr>
        <w:t>reprinted in</w:t>
      </w:r>
      <w:r>
        <w:rPr>
          <w:rFonts w:ascii="Arial" w:eastAsia="Arial" w:hAnsi="Arial" w:cs="Arial"/>
          <w:color w:val="000000"/>
          <w:sz w:val="20"/>
        </w:rPr>
        <w:t xml:space="preserve"> 1990 U.S.C.C.A.N. 303, 391.</w:t>
      </w:r>
    </w:p>
    <w:p w14:paraId="68911372" w14:textId="77777777" w:rsidR="00D041A2" w:rsidRDefault="00000000">
      <w:pPr>
        <w:pStyle w:val="Normal44"/>
        <w:widowControl w:val="0"/>
        <w:spacing w:before="200" w:line="260" w:lineRule="atLeast"/>
        <w:jc w:val="both"/>
      </w:pPr>
      <w:bookmarkStart w:id="6066" w:name="Bookmark_para_40_17"/>
      <w:bookmarkEnd w:id="6066"/>
      <w:r>
        <w:rPr>
          <w:rFonts w:ascii="Arial" w:eastAsia="Arial" w:hAnsi="Arial" w:cs="Arial"/>
          <w:color w:val="000000"/>
          <w:sz w:val="20"/>
        </w:rPr>
        <w:t xml:space="preserve">We disagree with Plaintiffs that the DOJ's commentary has been superceded by technological development. If this court were to accept Plaintiffs' interpretation, the  [**18] DOJ's detailed interpretive guidance could be circumvented whenever a new technology for providing open captioning becomes available. </w:t>
      </w:r>
      <w:bookmarkStart w:id="6067" w:name="Bookmark_LNHNREFclscc11_22"/>
      <w:bookmarkEnd w:id="6067"/>
      <w:r>
        <w:rPr>
          <w:rFonts w:ascii="Arial" w:eastAsia="Arial" w:hAnsi="Arial" w:cs="Arial"/>
          <w:color w:val="000000"/>
          <w:sz w:val="20"/>
        </w:rPr>
        <w:t xml:space="preserve">Entities such as Harkins should be able to rely on the plain import of the DOJ's commentary until it is revised. Because the commentary to Title 28, part 36.303 states that open captions are not required by § 36.303, we conclude that open captioning is not mandated by the ADA as a matter of law. </w:t>
      </w:r>
      <w:r>
        <w:rPr>
          <w:rFonts w:ascii="Arial" w:eastAsia="Arial" w:hAnsi="Arial" w:cs="Arial"/>
          <w:vertAlign w:val="superscript"/>
        </w:rPr>
        <w:footnoteReference w:customMarkFollows="1" w:id="285"/>
        <w:t>2</w:t>
      </w:r>
      <w:r>
        <w:rPr>
          <w:rFonts w:ascii="Arial" w:eastAsia="Arial" w:hAnsi="Arial" w:cs="Arial"/>
          <w:color w:val="000000"/>
          <w:sz w:val="20"/>
        </w:rPr>
        <w:t xml:space="preserve"> </w:t>
      </w:r>
    </w:p>
    <w:p w14:paraId="20A3DB5A" w14:textId="77777777" w:rsidR="00D041A2" w:rsidRDefault="00000000">
      <w:pPr>
        <w:pStyle w:val="Normal44"/>
        <w:widowControl w:val="0"/>
        <w:spacing w:before="200" w:line="260" w:lineRule="atLeast"/>
        <w:jc w:val="both"/>
      </w:pPr>
      <w:bookmarkStart w:id="6073" w:name="Bookmark_para_41_16"/>
      <w:bookmarkStart w:id="6074" w:name="Bookmark_LNHNREFclscc14_19"/>
      <w:bookmarkEnd w:id="6073"/>
      <w:bookmarkEnd w:id="6074"/>
      <w:r>
        <w:rPr>
          <w:rFonts w:ascii="Arial" w:eastAsia="Arial" w:hAnsi="Arial" w:cs="Arial"/>
          <w:color w:val="000000"/>
          <w:sz w:val="20"/>
        </w:rPr>
        <w:t xml:space="preserve">However, the DOJ's commentary does not insulate Harkins from providing closed captioning. The commentary does not mention closed captioning, and the difference between open and closed captioning is more than linguistic. Only individual viewers see closed captions, whereas the entire audience sees open captions and is likely distracted by them. Thus, unlike open captioning, closed captioning is not foreclosed by the commentary. </w:t>
      </w:r>
      <w:r>
        <w:rPr>
          <w:rFonts w:ascii="Arial" w:eastAsia="Arial" w:hAnsi="Arial" w:cs="Arial"/>
          <w:i/>
          <w:color w:val="000000"/>
          <w:sz w:val="20"/>
        </w:rPr>
        <w:t>See also</w:t>
      </w:r>
      <w:r>
        <w:rPr>
          <w:rFonts w:ascii="Arial" w:eastAsia="Arial" w:hAnsi="Arial" w:cs="Arial"/>
          <w:color w:val="000000"/>
          <w:sz w:val="20"/>
        </w:rPr>
        <w:t xml:space="preserve"> 28 C.F.R. § 36.303(b)(1) (defining "auxiliary aids and services" to include "closed captioning").</w:t>
      </w:r>
    </w:p>
    <w:p w14:paraId="4922C47E" w14:textId="77777777" w:rsidR="00D041A2" w:rsidRDefault="00000000">
      <w:pPr>
        <w:pStyle w:val="Normal44"/>
        <w:widowControl w:val="0"/>
        <w:spacing w:before="200" w:line="260" w:lineRule="atLeast"/>
        <w:jc w:val="both"/>
      </w:pPr>
      <w:bookmarkStart w:id="6075" w:name="Bookmark_para_42_15"/>
      <w:bookmarkEnd w:id="6075"/>
      <w:r>
        <w:rPr>
          <w:rFonts w:ascii="Arial" w:eastAsia="Arial" w:hAnsi="Arial" w:cs="Arial"/>
          <w:color w:val="000000"/>
          <w:sz w:val="20"/>
        </w:rPr>
        <w:t xml:space="preserve"> [*674]  </w:t>
      </w:r>
      <w:bookmarkStart w:id="6076" w:name="Bookmark_I5051SBW0K1MNJ3TY0000400"/>
      <w:bookmarkStart w:id="6077" w:name="Bookmark_I5051SBW0K1MNJ3V10000400"/>
      <w:bookmarkEnd w:id="6076"/>
      <w:bookmarkEnd w:id="6077"/>
      <w:r>
        <w:rPr>
          <w:rFonts w:ascii="Arial" w:eastAsia="Arial" w:hAnsi="Arial" w:cs="Arial"/>
          <w:color w:val="000000"/>
          <w:sz w:val="20"/>
        </w:rPr>
        <w:t xml:space="preserve">In an effort to avoid providing captioning, Harkins points to two interpretations of the ADA contained in the Federal Register. The first interpretation comes from a July 23, 2004, set of guidelines published by the Architectural and Transportation Barriers Compliance Board ("Access Board") and states that: "[The American with Disabilities Act Accessibility Guidelines]  [**20] and the Department of Justice's ADA regulations do not require captioning of movies for persons who are deaf." </w:t>
      </w:r>
      <w:bookmarkStart w:id="6078" w:name="Bookmark_I5051SBW0K1MNJ3TC0000400"/>
      <w:bookmarkEnd w:id="6078"/>
      <w:r>
        <w:rPr>
          <w:rFonts w:ascii="Arial" w:eastAsia="Arial" w:hAnsi="Arial" w:cs="Arial"/>
          <w:color w:val="000000"/>
          <w:sz w:val="20"/>
        </w:rPr>
        <w:t xml:space="preserve">69 Fed. Reg. 44084-01, 44138. The second interpretation was published in a DOJ notice of proposed rulemaking on June 17, 2008, and states, "The Department is considering options under which it might require that movie theater owners and operators exhibit movies that are captioned for patrons who are deaf or hard of hearing." </w:t>
      </w:r>
      <w:bookmarkStart w:id="6079" w:name="Bookmark_I5051SBW0K1MNJ3V00000400"/>
      <w:bookmarkEnd w:id="6079"/>
      <w:r>
        <w:rPr>
          <w:rFonts w:ascii="Arial" w:eastAsia="Arial" w:hAnsi="Arial" w:cs="Arial"/>
          <w:color w:val="000000"/>
          <w:sz w:val="20"/>
        </w:rPr>
        <w:t xml:space="preserve">73 Fed. Reg. 34508-01, 34530. </w:t>
      </w:r>
      <w:r>
        <w:rPr>
          <w:rFonts w:ascii="Arial" w:eastAsia="Arial" w:hAnsi="Arial" w:cs="Arial"/>
          <w:vertAlign w:val="superscript"/>
        </w:rPr>
        <w:footnoteReference w:customMarkFollows="1" w:id="286"/>
        <w:t>3</w:t>
      </w:r>
      <w:r>
        <w:rPr>
          <w:rFonts w:ascii="Arial" w:eastAsia="Arial" w:hAnsi="Arial" w:cs="Arial"/>
          <w:color w:val="000000"/>
          <w:sz w:val="20"/>
        </w:rPr>
        <w:t xml:space="preserve"> Harkins contends that the Access Board's interpretation shows that captions are not required under the ADA, and the DOJ's use of the term "might" contained in the second interpretation implies that there is no such requirement under the current regulations.</w:t>
      </w:r>
    </w:p>
    <w:p w14:paraId="55D8E379" w14:textId="77777777" w:rsidR="00D041A2" w:rsidRDefault="00000000">
      <w:pPr>
        <w:pStyle w:val="Normal44"/>
        <w:widowControl w:val="0"/>
        <w:spacing w:before="200" w:line="260" w:lineRule="atLeast"/>
        <w:jc w:val="both"/>
      </w:pPr>
      <w:bookmarkStart w:id="6081" w:name="Bookmark_para_43_15"/>
      <w:bookmarkStart w:id="6082" w:name="Bookmark_I5051SBW0K1MNJ3V30000400"/>
      <w:bookmarkStart w:id="6083" w:name="Bookmark_I5051SBW0K1MNJ3WG0000400"/>
      <w:bookmarkEnd w:id="6081"/>
      <w:bookmarkEnd w:id="6082"/>
      <w:bookmarkEnd w:id="6083"/>
      <w:r>
        <w:rPr>
          <w:rFonts w:ascii="Arial" w:eastAsia="Arial" w:hAnsi="Arial" w:cs="Arial"/>
          <w:color w:val="000000"/>
          <w:sz w:val="20"/>
        </w:rPr>
        <w:t xml:space="preserve">The agency interpretations proffered by Harkins do not stand on the same footing as the DOJ's commentary to title 28, part 36.303 contained in  [**21] the Code of Federal Regulations. </w:t>
      </w:r>
      <w:bookmarkStart w:id="6084" w:name="Bookmark_LNHNREFclscc15_17"/>
      <w:bookmarkStart w:id="6085" w:name="Bookmark_I5051SBW0K1MNJ3WD0000400"/>
      <w:bookmarkEnd w:id="6084"/>
      <w:bookmarkEnd w:id="6085"/>
      <w:r>
        <w:rPr>
          <w:rFonts w:ascii="Arial" w:eastAsia="Arial" w:hAnsi="Arial" w:cs="Arial"/>
          <w:color w:val="000000"/>
          <w:sz w:val="20"/>
        </w:rPr>
        <w:t xml:space="preserve">This court has declined to give deference to Access Board guidelines that have not yet been adopted by the DOJ. </w:t>
      </w:r>
      <w:r>
        <w:rPr>
          <w:rFonts w:ascii="Arial" w:eastAsia="Arial" w:hAnsi="Arial" w:cs="Arial"/>
          <w:vertAlign w:val="superscript"/>
        </w:rPr>
        <w:footnoteReference w:customMarkFollows="1" w:id="287"/>
        <w:t>4</w:t>
      </w:r>
      <w:r>
        <w:rPr>
          <w:rFonts w:ascii="Arial" w:eastAsia="Arial" w:hAnsi="Arial" w:cs="Arial"/>
          <w:color w:val="000000"/>
          <w:sz w:val="20"/>
        </w:rPr>
        <w:t xml:space="preserve"> </w:t>
      </w:r>
      <w:r>
        <w:rPr>
          <w:rFonts w:ascii="Arial" w:eastAsia="Arial" w:hAnsi="Arial" w:cs="Arial"/>
          <w:i/>
          <w:color w:val="000000"/>
          <w:sz w:val="20"/>
        </w:rPr>
        <w:t xml:space="preserve">See </w:t>
      </w:r>
      <w:bookmarkStart w:id="6088" w:name="Bookmark_I5051SBW0K1MNJ3V20000400"/>
      <w:bookmarkEnd w:id="6088"/>
      <w:r>
        <w:rPr>
          <w:rFonts w:ascii="Arial" w:eastAsia="Arial" w:hAnsi="Arial" w:cs="Arial"/>
          <w:i/>
          <w:color w:val="000000"/>
          <w:sz w:val="20"/>
        </w:rPr>
        <w:t>Miller v. Cal. Speedway Corp</w:t>
      </w:r>
      <w:r>
        <w:rPr>
          <w:rFonts w:ascii="Arial" w:eastAsia="Arial" w:hAnsi="Arial" w:cs="Arial"/>
          <w:color w:val="000000"/>
          <w:sz w:val="20"/>
        </w:rPr>
        <w:t xml:space="preserve">., 536 F.3d 1020, 1027 n.1 (9th Cir. 2008). Moreover, we have refused to defer to a proposed regulation published by the DOJ itself. </w:t>
      </w:r>
      <w:bookmarkStart w:id="6089" w:name="Bookmark_I5051SBW0K1MNJ3WD0000400_2"/>
      <w:bookmarkEnd w:id="6089"/>
      <w:r>
        <w:rPr>
          <w:rFonts w:ascii="Arial" w:eastAsia="Arial" w:hAnsi="Arial" w:cs="Arial"/>
          <w:i/>
          <w:color w:val="000000"/>
          <w:sz w:val="20"/>
        </w:rPr>
        <w:t xml:space="preserve">See </w:t>
      </w:r>
      <w:bookmarkStart w:id="6090" w:name="Bookmark_I5051SBW0K1MNJ3WC0000400"/>
      <w:bookmarkEnd w:id="6090"/>
      <w:r>
        <w:rPr>
          <w:rFonts w:ascii="Arial" w:eastAsia="Arial" w:hAnsi="Arial" w:cs="Arial"/>
          <w:i/>
          <w:color w:val="000000"/>
          <w:sz w:val="20"/>
        </w:rPr>
        <w:t>Cal. Rural Legal Assistance v. Legal Services Corp</w:t>
      </w:r>
      <w:r>
        <w:rPr>
          <w:rFonts w:ascii="Arial" w:eastAsia="Arial" w:hAnsi="Arial" w:cs="Arial"/>
          <w:color w:val="000000"/>
          <w:sz w:val="20"/>
        </w:rPr>
        <w:t>., 917 F.2d 1171, 1173 (9th Cir. 1990). The DOJ's interpretation in a notice of proposed rulemaking is similarly unpersuasive. The ADA interpretations urged by Harkins are, therefore, of no consequence here.</w:t>
      </w:r>
    </w:p>
    <w:p w14:paraId="7C9B80A8" w14:textId="77777777" w:rsidR="00D041A2" w:rsidRDefault="00000000">
      <w:pPr>
        <w:pStyle w:val="Normal44"/>
        <w:widowControl w:val="0"/>
        <w:spacing w:before="200" w:line="260" w:lineRule="atLeast"/>
        <w:jc w:val="both"/>
      </w:pPr>
      <w:bookmarkStart w:id="6091" w:name="Bookmark_para_44_15"/>
      <w:bookmarkEnd w:id="6091"/>
      <w:r>
        <w:rPr>
          <w:rFonts w:ascii="Arial" w:eastAsia="Arial" w:hAnsi="Arial" w:cs="Arial"/>
          <w:color w:val="000000"/>
          <w:sz w:val="20"/>
        </w:rPr>
        <w:t>Finally, we are unpersuaded by Harkins's argument that requiring it to provide captions and descriptive narration would require us to ignore the word "auxiliary" in 42 U.S.C. § 12182(b)(2)(A)(iii), which connotes a "subsidiary" or "supplementary" relationship of one thing to another. Appellee Br. at 19 (</w:t>
      </w:r>
      <w:r>
        <w:rPr>
          <w:rFonts w:ascii="Arial" w:eastAsia="Arial" w:hAnsi="Arial" w:cs="Arial"/>
          <w:i/>
          <w:color w:val="000000"/>
          <w:sz w:val="20"/>
        </w:rPr>
        <w:t>citing Webster's New Twentieth Century Dictionary</w:t>
      </w:r>
      <w:r>
        <w:rPr>
          <w:rFonts w:ascii="Arial" w:eastAsia="Arial" w:hAnsi="Arial" w:cs="Arial"/>
          <w:color w:val="000000"/>
          <w:sz w:val="20"/>
        </w:rPr>
        <w:t xml:space="preserve"> 128 (2d ed. 1979)). First, </w:t>
      </w:r>
      <w:bookmarkStart w:id="6092" w:name="Bookmark_LNHNREFclscc16_14"/>
      <w:bookmarkEnd w:id="6092"/>
      <w:r>
        <w:rPr>
          <w:rFonts w:ascii="Arial" w:eastAsia="Arial" w:hAnsi="Arial" w:cs="Arial"/>
          <w:color w:val="000000"/>
          <w:sz w:val="20"/>
        </w:rPr>
        <w:t xml:space="preserve">the ADA provides  [**22] its own definition of "auxiliary aids and services," which includes "effective methods of making aurally delivered materials available to individuals with hearing impairments[,]" "effective methods of making visually delivered materials available to individuals with visual impairments[,]" and "acquisition or modification of equipment or devices . . . ." 42 U.S.C. § 12103(1). </w:t>
      </w:r>
      <w:bookmarkStart w:id="6093" w:name="Bookmark_I5051SBW0K1MNJ3YG0000400"/>
      <w:bookmarkEnd w:id="6093"/>
      <w:r>
        <w:rPr>
          <w:rFonts w:ascii="Arial" w:eastAsia="Arial" w:hAnsi="Arial" w:cs="Arial"/>
          <w:color w:val="000000"/>
          <w:sz w:val="20"/>
        </w:rPr>
        <w:t xml:space="preserve">Closed captioning and descriptive narration fall comfortably within the scope of this definition. Furthermore, even accepting Harkins's parsing of the statutory definition, movie theaters' primary service is to screen films. </w:t>
      </w:r>
      <w:r>
        <w:rPr>
          <w:rFonts w:ascii="Arial" w:eastAsia="Arial" w:hAnsi="Arial" w:cs="Arial"/>
          <w:i/>
          <w:color w:val="000000"/>
          <w:sz w:val="20"/>
        </w:rPr>
        <w:t xml:space="preserve">See </w:t>
      </w:r>
      <w:bookmarkStart w:id="6094" w:name="Bookmark_I5051SBW0K1MNJ3WH0000400"/>
      <w:bookmarkEnd w:id="6094"/>
      <w:r>
        <w:rPr>
          <w:rFonts w:ascii="Arial" w:eastAsia="Arial" w:hAnsi="Arial" w:cs="Arial"/>
          <w:i/>
          <w:color w:val="000000"/>
          <w:sz w:val="20"/>
        </w:rPr>
        <w:t>Fortyune v. Am. Multi-Cinema, Inc</w:t>
      </w:r>
      <w:r>
        <w:rPr>
          <w:rFonts w:ascii="Arial" w:eastAsia="Arial" w:hAnsi="Arial" w:cs="Arial"/>
          <w:color w:val="000000"/>
          <w:sz w:val="20"/>
        </w:rPr>
        <w:t>., 364 F.3d 1075, 1084 (9th Cir. 2004). Thus, captions and descriptive narration are not so removed from a theater's usual business that they cannot be deemed "subsidiary" or "supplementary."</w:t>
      </w:r>
    </w:p>
    <w:p w14:paraId="74A395DA" w14:textId="77777777" w:rsidR="00D041A2" w:rsidRDefault="00000000">
      <w:pPr>
        <w:pStyle w:val="Normal44"/>
        <w:widowControl w:val="0"/>
        <w:spacing w:before="200" w:line="260" w:lineRule="atLeast"/>
        <w:jc w:val="both"/>
      </w:pPr>
      <w:bookmarkStart w:id="6095" w:name="Bookmark_para_45_15"/>
      <w:bookmarkEnd w:id="6095"/>
      <w:r>
        <w:rPr>
          <w:rFonts w:ascii="Arial" w:eastAsia="Arial" w:hAnsi="Arial" w:cs="Arial"/>
          <w:color w:val="000000"/>
          <w:sz w:val="20"/>
        </w:rPr>
        <w:t xml:space="preserve"> [*675]  In sum, the district court was correct in holding that the ADA does not require Harkins to utilize open captioning as a matter of law. However, the district court erred in holding that closed captioning and descriptive narration are not required by the ADA. Our holding does not necessarily mean that Plaintiffs will be entitled to closed captioning and descriptive narration  [**23] in Harkins's theaters. Harkins may still be able to avail itself of several defenses, such as the contention that the devices would fundamentally alter the nature of its services or constitute an undue burden. </w:t>
      </w:r>
      <w:r>
        <w:rPr>
          <w:rFonts w:ascii="Arial" w:eastAsia="Arial" w:hAnsi="Arial" w:cs="Arial"/>
          <w:i/>
          <w:color w:val="000000"/>
          <w:sz w:val="20"/>
        </w:rPr>
        <w:t>See</w:t>
      </w:r>
      <w:r>
        <w:rPr>
          <w:rFonts w:ascii="Arial" w:eastAsia="Arial" w:hAnsi="Arial" w:cs="Arial"/>
          <w:color w:val="000000"/>
          <w:sz w:val="20"/>
        </w:rPr>
        <w:t xml:space="preserve"> 42 U.S.C. § 12182(b)(2)(A)(iii); 28 C.F.R. § 36.303(a).</w:t>
      </w:r>
    </w:p>
    <w:p w14:paraId="42B8D0E5" w14:textId="77777777" w:rsidR="00D041A2" w:rsidRDefault="00000000">
      <w:pPr>
        <w:pStyle w:val="Normal44"/>
        <w:widowControl w:val="0"/>
        <w:spacing w:before="240" w:line="260" w:lineRule="atLeast"/>
      </w:pPr>
      <w:r>
        <w:br/>
      </w:r>
      <w:r>
        <w:rPr>
          <w:rFonts w:ascii="Arial" w:eastAsia="Arial" w:hAnsi="Arial" w:cs="Arial"/>
          <w:b/>
          <w:color w:val="000000"/>
          <w:sz w:val="20"/>
        </w:rPr>
        <w:t>B. Arizonans with Disabilities Act</w:t>
      </w:r>
    </w:p>
    <w:p w14:paraId="4732AF0B" w14:textId="77777777" w:rsidR="00D041A2" w:rsidRDefault="00000000">
      <w:pPr>
        <w:pStyle w:val="Normal44"/>
        <w:widowControl w:val="0"/>
        <w:spacing w:before="200" w:line="260" w:lineRule="atLeast"/>
        <w:jc w:val="both"/>
      </w:pPr>
      <w:bookmarkStart w:id="6096" w:name="Bookmark_para_46_14"/>
      <w:bookmarkStart w:id="6097" w:name="Bookmark_I5051SBW0K1MNJ3YJ0000400"/>
      <w:bookmarkEnd w:id="6096"/>
      <w:bookmarkEnd w:id="6097"/>
      <w:r>
        <w:rPr>
          <w:rFonts w:ascii="Arial" w:eastAsia="Arial" w:hAnsi="Arial" w:cs="Arial"/>
          <w:color w:val="000000"/>
          <w:sz w:val="20"/>
        </w:rPr>
        <w:t xml:space="preserve">The district court based its dismissal of Plaintiffs' AzDA claim on its finding that "Plaintiffs make no argument that the AzDA is broader than the ADA." </w:t>
      </w:r>
      <w:bookmarkStart w:id="6098" w:name="Bookmark_I5051SBW0K1MNJ3YH0000400"/>
      <w:bookmarkEnd w:id="6098"/>
      <w:r>
        <w:rPr>
          <w:rFonts w:ascii="Arial" w:eastAsia="Arial" w:hAnsi="Arial" w:cs="Arial"/>
          <w:i/>
          <w:color w:val="000000"/>
          <w:sz w:val="20"/>
        </w:rPr>
        <w:t>Harkins</w:t>
      </w:r>
      <w:r>
        <w:rPr>
          <w:rFonts w:ascii="Arial" w:eastAsia="Arial" w:hAnsi="Arial" w:cs="Arial"/>
          <w:color w:val="000000"/>
          <w:sz w:val="20"/>
        </w:rPr>
        <w:t>, 548 F. Supp. 2d at 731-32. The district court never addressed whether the AzDA is unconstitutionally vague or requires establishments to provide auxiliary aids and services to disabled individuals. We decline to do so in the first instance, and the district court may consider Harkins's arguments on remand.</w:t>
      </w:r>
    </w:p>
    <w:p w14:paraId="7E720844" w14:textId="77777777" w:rsidR="00D041A2" w:rsidRDefault="00000000">
      <w:pPr>
        <w:pStyle w:val="Normal44"/>
        <w:widowControl w:val="0"/>
        <w:spacing w:before="240" w:line="260" w:lineRule="atLeast"/>
      </w:pPr>
      <w:r>
        <w:br/>
      </w:r>
      <w:r>
        <w:rPr>
          <w:rFonts w:ascii="Arial" w:eastAsia="Arial" w:hAnsi="Arial" w:cs="Arial"/>
          <w:b/>
          <w:color w:val="000000"/>
          <w:sz w:val="20"/>
        </w:rPr>
        <w:t>C. Standing</w:t>
      </w:r>
    </w:p>
    <w:p w14:paraId="77B41FA5" w14:textId="77777777" w:rsidR="00D041A2" w:rsidRDefault="00000000">
      <w:pPr>
        <w:pStyle w:val="Normal44"/>
        <w:widowControl w:val="0"/>
        <w:spacing w:before="200" w:line="260" w:lineRule="atLeast"/>
        <w:jc w:val="both"/>
      </w:pPr>
      <w:bookmarkStart w:id="6099" w:name="Bookmark_para_47_12"/>
      <w:bookmarkStart w:id="6100" w:name="Bookmark_I5051SBW0K1MNJ3YM0000400"/>
      <w:bookmarkEnd w:id="6099"/>
      <w:bookmarkEnd w:id="6100"/>
      <w:r>
        <w:rPr>
          <w:rFonts w:ascii="Arial" w:eastAsia="Arial" w:hAnsi="Arial" w:cs="Arial"/>
          <w:color w:val="000000"/>
          <w:sz w:val="20"/>
        </w:rPr>
        <w:t xml:space="preserve">Finally, Plaintiffs challenge the district court's finding that Plaintiff-Intervenors lack standing to challenge a failure to provide captions or descriptive narration at any theater besides North Valley 16. </w:t>
      </w:r>
      <w:bookmarkStart w:id="6101" w:name="Bookmark_I5051SBW0K1MNJ40Y0000400"/>
      <w:bookmarkEnd w:id="6101"/>
      <w:r>
        <w:rPr>
          <w:rFonts w:ascii="Arial" w:eastAsia="Arial" w:hAnsi="Arial" w:cs="Arial"/>
          <w:color w:val="000000"/>
          <w:sz w:val="20"/>
        </w:rPr>
        <w:t xml:space="preserve">The district court found the Plaintiffs lacked standing to challenge a lack of accommodations in other theaters because "they have not alleged they attempted to access any of Harkins' other theaters or that they  [**24] would access any of the other theaters if the requested services were provided." </w:t>
      </w:r>
      <w:bookmarkStart w:id="6102" w:name="Bookmark_I5051SBW0K1MNJ3YK0000400"/>
      <w:bookmarkEnd w:id="6102"/>
      <w:r>
        <w:rPr>
          <w:rFonts w:ascii="Arial" w:eastAsia="Arial" w:hAnsi="Arial" w:cs="Arial"/>
          <w:i/>
          <w:color w:val="000000"/>
          <w:sz w:val="20"/>
        </w:rPr>
        <w:t>Harkins</w:t>
      </w:r>
      <w:r>
        <w:rPr>
          <w:rFonts w:ascii="Arial" w:eastAsia="Arial" w:hAnsi="Arial" w:cs="Arial"/>
          <w:color w:val="000000"/>
          <w:sz w:val="20"/>
        </w:rPr>
        <w:t xml:space="preserve">, 548 F. Supp. 2d at 726 n.5. We need not reach the matter of standing given that the district court did not consider Plaintiff-Intervenors' motion for leave to file a first amended complaint. </w:t>
      </w:r>
      <w:bookmarkStart w:id="6103" w:name="Bookmark_I5051SBW0K1MNJ40Y0000400_2"/>
      <w:bookmarkEnd w:id="6103"/>
      <w:r>
        <w:rPr>
          <w:rFonts w:ascii="Arial" w:eastAsia="Arial" w:hAnsi="Arial" w:cs="Arial"/>
          <w:i/>
          <w:color w:val="000000"/>
          <w:sz w:val="20"/>
        </w:rPr>
        <w:t xml:space="preserve">See </w:t>
      </w:r>
      <w:bookmarkStart w:id="6104" w:name="Bookmark_I5051SBW0K1MNJ40X0000400"/>
      <w:bookmarkEnd w:id="6104"/>
      <w:r>
        <w:rPr>
          <w:rFonts w:ascii="Arial" w:eastAsia="Arial" w:hAnsi="Arial" w:cs="Arial"/>
          <w:i/>
          <w:color w:val="000000"/>
          <w:sz w:val="20"/>
        </w:rPr>
        <w:t>id</w:t>
      </w:r>
      <w:r>
        <w:rPr>
          <w:rFonts w:ascii="Arial" w:eastAsia="Arial" w:hAnsi="Arial" w:cs="Arial"/>
          <w:color w:val="000000"/>
          <w:sz w:val="20"/>
        </w:rPr>
        <w:t>. at 732 (denying Plaintiff-Intervenors' motion for leave to file a first amended complaint as moot). The proposed first amended complaint alleges that Lindstrom and Wanger attempted to find theaters other than North Valley 16 that would accommodate their needs. Because the district court did not consider these allegations, the district court must reconsider Plaintiff-Intervenors' motion to amend their complaint in light of this court's conclusion that they have stated a claim under the ADA.</w:t>
      </w:r>
    </w:p>
    <w:p w14:paraId="542F0263" w14:textId="77777777" w:rsidR="00D041A2" w:rsidRDefault="00000000">
      <w:pPr>
        <w:pStyle w:val="Normal44"/>
        <w:widowControl w:val="0"/>
        <w:spacing w:before="200" w:line="260" w:lineRule="atLeast"/>
        <w:jc w:val="both"/>
      </w:pPr>
      <w:bookmarkStart w:id="6105" w:name="Bookmark_para_48_12"/>
      <w:bookmarkEnd w:id="6105"/>
      <w:r>
        <w:rPr>
          <w:rFonts w:ascii="Arial" w:eastAsia="Arial" w:hAnsi="Arial" w:cs="Arial"/>
          <w:b/>
          <w:color w:val="000000"/>
          <w:sz w:val="20"/>
        </w:rPr>
        <w:t>III</w:t>
      </w:r>
      <w:r>
        <w:rPr>
          <w:rFonts w:ascii="Arial" w:eastAsia="Arial" w:hAnsi="Arial" w:cs="Arial"/>
          <w:color w:val="000000"/>
          <w:sz w:val="20"/>
        </w:rPr>
        <w:t>.</w:t>
      </w:r>
    </w:p>
    <w:p w14:paraId="2A7B7D23" w14:textId="77777777" w:rsidR="00D041A2" w:rsidRDefault="00000000">
      <w:pPr>
        <w:pStyle w:val="Normal44"/>
        <w:widowControl w:val="0"/>
        <w:spacing w:before="200" w:line="260" w:lineRule="atLeast"/>
        <w:jc w:val="both"/>
      </w:pPr>
      <w:bookmarkStart w:id="6106" w:name="Bookmark_para_49_12"/>
      <w:bookmarkEnd w:id="6106"/>
      <w:r>
        <w:rPr>
          <w:rFonts w:ascii="Arial" w:eastAsia="Arial" w:hAnsi="Arial" w:cs="Arial"/>
          <w:color w:val="000000"/>
          <w:sz w:val="20"/>
        </w:rPr>
        <w:t>The district court incorrectly construed the mandate of 42 U.S.C. § 12182(b)(2)(A)(iii) that a place of public accommodation must provide auxiliary aids and services so that a disabled person is not denied the public accommodation's services. We therefore reverse the district court's dismissal of Plaintiffs' ADA claim seeking closed captioning and descriptive narration. Because the commentary to part 36.303, title 28 of Code of Federal Regulations  [**25] states that movie theaters are not required to present open-captioned films, however, we affirm the district court's finding that open captioning is not required by the ADA as a matter of law. Finally, because the district court did not consider Plaintiff-Intervenors' motion to file a first amended complaint, the district court must reconsider the issue of standing on remand.</w:t>
      </w:r>
    </w:p>
    <w:p w14:paraId="5E7C7424" w14:textId="77777777" w:rsidR="00D041A2" w:rsidRDefault="00000000">
      <w:pPr>
        <w:pStyle w:val="Normal44"/>
        <w:widowControl w:val="0"/>
        <w:spacing w:before="200" w:line="260" w:lineRule="atLeast"/>
        <w:jc w:val="both"/>
      </w:pPr>
      <w:bookmarkStart w:id="6107" w:name="Bookmark_para_50_12"/>
      <w:bookmarkEnd w:id="6107"/>
      <w:r>
        <w:rPr>
          <w:rFonts w:ascii="Arial" w:eastAsia="Arial" w:hAnsi="Arial" w:cs="Arial"/>
          <w:color w:val="000000"/>
          <w:sz w:val="20"/>
        </w:rPr>
        <w:t>Each party is to bear their own costs.</w:t>
      </w:r>
    </w:p>
    <w:p w14:paraId="67806D68" w14:textId="77777777" w:rsidR="00D041A2" w:rsidRDefault="00000000">
      <w:pPr>
        <w:pStyle w:val="Normal44"/>
        <w:widowControl w:val="0"/>
        <w:spacing w:before="200" w:line="260" w:lineRule="atLeast"/>
        <w:jc w:val="both"/>
      </w:pPr>
      <w:bookmarkStart w:id="6108" w:name="Bookmark_para_51_11"/>
      <w:bookmarkEnd w:id="6108"/>
      <w:r>
        <w:rPr>
          <w:rFonts w:ascii="Arial" w:eastAsia="Arial" w:hAnsi="Arial" w:cs="Arial"/>
          <w:b/>
          <w:color w:val="000000"/>
          <w:sz w:val="20"/>
        </w:rPr>
        <w:t>AFFIRMED IN PART AND REVERSED IN PART</w:t>
      </w:r>
      <w:r>
        <w:rPr>
          <w:rFonts w:ascii="Arial" w:eastAsia="Arial" w:hAnsi="Arial" w:cs="Arial"/>
          <w:color w:val="000000"/>
          <w:sz w:val="20"/>
        </w:rPr>
        <w:t>.</w:t>
      </w:r>
    </w:p>
    <w:p w14:paraId="44F210F0" w14:textId="77777777" w:rsidR="00D041A2" w:rsidRDefault="00D041A2">
      <w:pPr>
        <w:pStyle w:val="Normal44"/>
      </w:pPr>
    </w:p>
    <w:p w14:paraId="15809F15" w14:textId="28CFD834" w:rsidR="00D041A2" w:rsidRDefault="00000000">
      <w:pPr>
        <w:pStyle w:val="Normal44"/>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57568" behindDoc="0" locked="0" layoutInCell="1" allowOverlap="1" wp14:anchorId="5F72A870" wp14:editId="194C8D27">
                <wp:simplePos x="0" y="0"/>
                <wp:positionH relativeFrom="column">
                  <wp:posOffset>0</wp:posOffset>
                </wp:positionH>
                <wp:positionV relativeFrom="paragraph">
                  <wp:posOffset>127000</wp:posOffset>
                </wp:positionV>
                <wp:extent cx="6502400" cy="0"/>
                <wp:effectExtent l="9525" t="12700" r="12700" b="6350"/>
                <wp:wrapNone/>
                <wp:docPr id="1139953963"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EF0A9" id="Line 99"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2639E95" w14:textId="77777777" w:rsidR="00D041A2" w:rsidRDefault="00D041A2">
      <w:pPr>
        <w:pStyle w:val="Normal45"/>
        <w:sectPr w:rsidR="00D041A2">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gutter="0"/>
          <w:cols w:space="720"/>
          <w:titlePg/>
        </w:sectPr>
      </w:pPr>
    </w:p>
    <w:p w14:paraId="42C76536" w14:textId="77777777" w:rsidR="00D041A2" w:rsidRDefault="00D041A2">
      <w:pPr>
        <w:pStyle w:val="Normal45"/>
      </w:pPr>
    </w:p>
    <w:p w14:paraId="7682B377" w14:textId="77777777" w:rsidR="00D041A2" w:rsidRDefault="00000000">
      <w:pPr>
        <w:pStyle w:val="Heading144"/>
        <w:keepNext w:val="0"/>
        <w:widowControl w:val="0"/>
        <w:spacing w:after="200" w:line="340" w:lineRule="atLeast"/>
        <w:jc w:val="center"/>
      </w:pPr>
      <w:r>
        <w:rPr>
          <w:rFonts w:eastAsia="Arial"/>
          <w:color w:val="000000"/>
          <w:sz w:val="28"/>
        </w:rPr>
        <w:t>Celeste v. E. Meadow Union Free Sch. Dist.</w:t>
      </w:r>
    </w:p>
    <w:p w14:paraId="0F2BCDD3" w14:textId="77777777" w:rsidR="00D041A2" w:rsidRDefault="00000000">
      <w:pPr>
        <w:pStyle w:val="Normal45"/>
        <w:widowControl w:val="0"/>
        <w:spacing w:before="120" w:line="260" w:lineRule="atLeast"/>
        <w:jc w:val="center"/>
      </w:pPr>
      <w:r>
        <w:rPr>
          <w:rFonts w:ascii="Arial" w:eastAsia="Arial" w:hAnsi="Arial" w:cs="Arial"/>
          <w:color w:val="000000"/>
          <w:sz w:val="20"/>
        </w:rPr>
        <w:t>United States Court of Appeals for the Second Circuit</w:t>
      </w:r>
    </w:p>
    <w:p w14:paraId="1E83D938" w14:textId="77777777" w:rsidR="00D041A2" w:rsidRDefault="00000000">
      <w:pPr>
        <w:pStyle w:val="Normal45"/>
        <w:widowControl w:val="0"/>
        <w:spacing w:before="120" w:line="260" w:lineRule="atLeast"/>
        <w:jc w:val="center"/>
      </w:pPr>
      <w:r>
        <w:rPr>
          <w:rFonts w:ascii="Arial" w:eastAsia="Arial" w:hAnsi="Arial" w:cs="Arial"/>
          <w:color w:val="000000"/>
          <w:sz w:val="20"/>
        </w:rPr>
        <w:t>April 21, 2010, Decided</w:t>
      </w:r>
    </w:p>
    <w:p w14:paraId="4330EA59" w14:textId="77777777" w:rsidR="00D041A2" w:rsidRDefault="00000000">
      <w:pPr>
        <w:pStyle w:val="Normal45"/>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09-0685-cv(L), 09-0952-cv(XAP)</w:t>
      </w:r>
    </w:p>
    <w:p w14:paraId="469B2A3B" w14:textId="77777777" w:rsidR="00D041A2" w:rsidRDefault="00D041A2">
      <w:pPr>
        <w:pStyle w:val="Normal45"/>
        <w:widowControl w:val="0"/>
        <w:spacing w:line="240" w:lineRule="atLeast"/>
        <w:jc w:val="both"/>
      </w:pPr>
      <w:bookmarkStart w:id="6109" w:name="Bookmark_46"/>
      <w:bookmarkEnd w:id="6109"/>
    </w:p>
    <w:p w14:paraId="49AFE15D" w14:textId="77777777" w:rsidR="00D041A2" w:rsidRDefault="00000000">
      <w:pPr>
        <w:pStyle w:val="Normal45"/>
        <w:widowControl w:val="0"/>
        <w:spacing w:before="200" w:line="240" w:lineRule="atLeast"/>
      </w:pPr>
      <w:bookmarkStart w:id="6110" w:name="Reporter_44"/>
      <w:bookmarkEnd w:id="6110"/>
      <w:r>
        <w:rPr>
          <w:rFonts w:ascii="Arial" w:eastAsia="Arial" w:hAnsi="Arial" w:cs="Arial"/>
          <w:b/>
          <w:color w:val="000000"/>
          <w:sz w:val="18"/>
        </w:rPr>
        <w:t>Reporter</w:t>
      </w:r>
    </w:p>
    <w:p w14:paraId="7B659502" w14:textId="77777777" w:rsidR="00D041A2" w:rsidRDefault="00000000">
      <w:pPr>
        <w:pStyle w:val="Normal45"/>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373 Fed. Appx. 85 *; 2010 U.S. App. LEXIS 8200 **</w:t>
      </w:r>
    </w:p>
    <w:p w14:paraId="031260F8" w14:textId="77777777" w:rsidR="00D041A2" w:rsidRDefault="00000000">
      <w:pPr>
        <w:pStyle w:val="Normal45"/>
        <w:widowControl w:val="0"/>
        <w:spacing w:before="120" w:line="260" w:lineRule="atLeast"/>
      </w:pPr>
      <w:r>
        <w:rPr>
          <w:rFonts w:ascii="Arial" w:eastAsia="Arial" w:hAnsi="Arial" w:cs="Arial"/>
          <w:color w:val="000000"/>
          <w:sz w:val="20"/>
        </w:rPr>
        <w:t xml:space="preserve">Domenick Celeste, as Father and Natural Guardian of Domenick Celeste, Jr., a minor under the age of 14 years, Plaintiff--Appellee--Cross-Appellant, -v.- East Meadow Union Free School District, </w:t>
      </w:r>
      <w:r>
        <w:rPr>
          <w:rFonts w:ascii="Arial" w:eastAsia="Arial" w:hAnsi="Arial" w:cs="Arial"/>
          <w:vertAlign w:val="superscript"/>
        </w:rPr>
        <w:footnoteReference w:customMarkFollows="1" w:id="288"/>
        <w:t>*</w:t>
      </w:r>
      <w:r>
        <w:rPr>
          <w:rFonts w:ascii="Arial" w:eastAsia="Arial" w:hAnsi="Arial" w:cs="Arial"/>
          <w:color w:val="000000"/>
          <w:sz w:val="20"/>
        </w:rPr>
        <w:t xml:space="preserve"> Defendant--Appellant--Cross-Appellee.</w:t>
      </w:r>
    </w:p>
    <w:p w14:paraId="731ECBA7" w14:textId="77777777" w:rsidR="00D041A2" w:rsidRDefault="00000000">
      <w:pPr>
        <w:pStyle w:val="Normal45"/>
        <w:widowControl w:val="0"/>
        <w:spacing w:before="240" w:line="260" w:lineRule="atLeast"/>
        <w:jc w:val="both"/>
      </w:pPr>
      <w:bookmarkStart w:id="6112" w:name="Notice_27"/>
      <w:bookmarkEnd w:id="6112"/>
      <w:r>
        <w:rPr>
          <w:rFonts w:ascii="Arial" w:eastAsia="Arial" w:hAnsi="Arial" w:cs="Arial"/>
          <w:b/>
          <w:color w:val="000000"/>
          <w:sz w:val="20"/>
        </w:rPr>
        <w:t>Notice:</w:t>
      </w:r>
      <w:r>
        <w:rPr>
          <w:rFonts w:ascii="Arial" w:eastAsia="Arial" w:hAnsi="Arial" w:cs="Arial"/>
          <w:color w:val="000000"/>
          <w:sz w:val="20"/>
        </w:rPr>
        <w:t> </w:t>
      </w:r>
      <w:bookmarkStart w:id="6113" w:name="Bookmark_para_1_44"/>
      <w:bookmarkEnd w:id="6113"/>
      <w:r>
        <w:rPr>
          <w:rFonts w:ascii="Arial" w:eastAsia="Arial" w:hAnsi="Arial" w:cs="Arial"/>
          <w:color w:val="000000"/>
          <w:sz w:val="20"/>
        </w:rPr>
        <w:t>PLEASE REFER TO FEDERAL RULES OF APPELLATE PROCEDURE RULE 32.1 GOVERNING THE CITATION TO UNPUBLISHED OPINIONS.</w:t>
      </w:r>
    </w:p>
    <w:p w14:paraId="7F77C365" w14:textId="77777777" w:rsidR="00D041A2" w:rsidRDefault="00000000">
      <w:pPr>
        <w:pStyle w:val="Normal45"/>
        <w:widowControl w:val="0"/>
        <w:spacing w:before="240" w:line="260" w:lineRule="atLeast"/>
        <w:jc w:val="both"/>
      </w:pPr>
      <w:bookmarkStart w:id="6114" w:name="Prior_History_44"/>
      <w:bookmarkEnd w:id="6114"/>
      <w:r>
        <w:rPr>
          <w:rFonts w:ascii="Arial" w:eastAsia="Arial" w:hAnsi="Arial" w:cs="Arial"/>
          <w:b/>
          <w:color w:val="000000"/>
          <w:sz w:val="20"/>
        </w:rPr>
        <w:t>Prior History:</w:t>
      </w:r>
      <w:r>
        <w:rPr>
          <w:rFonts w:ascii="Arial" w:eastAsia="Arial" w:hAnsi="Arial" w:cs="Arial"/>
          <w:color w:val="000000"/>
          <w:sz w:val="20"/>
        </w:rPr>
        <w:t>  [**1] </w:t>
      </w:r>
      <w:bookmarkStart w:id="6115" w:name="Bookmark_para_2_44"/>
      <w:bookmarkEnd w:id="6115"/>
      <w:r>
        <w:rPr>
          <w:rFonts w:ascii="Arial" w:eastAsia="Arial" w:hAnsi="Arial" w:cs="Arial"/>
          <w:color w:val="000000"/>
          <w:sz w:val="20"/>
        </w:rPr>
        <w:t>On Appeal from a judgment of the United States District Court for the Eastern District of New York (Wexler, J.).</w:t>
      </w:r>
    </w:p>
    <w:p w14:paraId="30900908" w14:textId="77777777" w:rsidR="00D041A2" w:rsidRDefault="00000000">
      <w:pPr>
        <w:pStyle w:val="Normal45"/>
        <w:widowControl w:val="0"/>
        <w:spacing w:before="120" w:line="260" w:lineRule="atLeast"/>
      </w:pPr>
      <w:r>
        <w:rPr>
          <w:rFonts w:ascii="Arial" w:eastAsia="Arial" w:hAnsi="Arial" w:cs="Arial"/>
          <w:color w:val="000000"/>
          <w:sz w:val="20"/>
        </w:rPr>
        <w:t>Celeste v. E. Meadow Union Free Sch. Dist., 2008 U.S. Dist. LEXIS 61099 (E.D.N.Y., Aug. 5, 2008)</w:t>
      </w:r>
    </w:p>
    <w:p w14:paraId="20B73DD1" w14:textId="77777777" w:rsidR="00D041A2" w:rsidRDefault="00000000">
      <w:pPr>
        <w:pStyle w:val="Normal45"/>
        <w:widowControl w:val="0"/>
        <w:spacing w:before="240" w:line="260" w:lineRule="atLeast"/>
      </w:pPr>
      <w:bookmarkStart w:id="6116" w:name="Counsel_44"/>
      <w:bookmarkEnd w:id="6116"/>
      <w:r>
        <w:rPr>
          <w:rFonts w:ascii="Arial" w:eastAsia="Arial" w:hAnsi="Arial" w:cs="Arial"/>
          <w:b/>
          <w:color w:val="000000"/>
          <w:sz w:val="20"/>
        </w:rPr>
        <w:t>Counsel:</w:t>
      </w:r>
      <w:r>
        <w:rPr>
          <w:rFonts w:ascii="Arial" w:eastAsia="Arial" w:hAnsi="Arial" w:cs="Arial"/>
          <w:color w:val="000000"/>
          <w:sz w:val="20"/>
        </w:rPr>
        <w:t> Appearing for Defendant--Appellant JULIE A. RIVERA (Lewis R. Silverman, on the brief), Rutherford &amp; Christie LLP, New York, New York.</w:t>
      </w:r>
    </w:p>
    <w:p w14:paraId="30CB4076" w14:textId="77777777" w:rsidR="00D041A2" w:rsidRDefault="00000000">
      <w:pPr>
        <w:pStyle w:val="Normal45"/>
        <w:widowControl w:val="0"/>
        <w:spacing w:before="120" w:line="260" w:lineRule="atLeast"/>
      </w:pPr>
      <w:r>
        <w:rPr>
          <w:rFonts w:ascii="Arial" w:eastAsia="Arial" w:hAnsi="Arial" w:cs="Arial"/>
          <w:color w:val="000000"/>
          <w:sz w:val="20"/>
        </w:rPr>
        <w:t>Appearing for Plaintiff--Appellee: CLIFFORD Y. CHEN (Stephanie F. Bradley, Adam Francois Watkins, Watkins, Bradley &amp; Chen LLP, New York, New York; Martin J. Coleman, Woodbury, New York, on the brief), Watkins, Bradley &amp; Chen LLP, New York, New York.</w:t>
      </w:r>
    </w:p>
    <w:p w14:paraId="0074B7ED" w14:textId="77777777" w:rsidR="00D041A2" w:rsidRDefault="00000000">
      <w:pPr>
        <w:pStyle w:val="Normal45"/>
        <w:widowControl w:val="0"/>
        <w:spacing w:before="240" w:line="260" w:lineRule="atLeast"/>
      </w:pPr>
      <w:bookmarkStart w:id="6117" w:name="Judges_44"/>
      <w:bookmarkEnd w:id="6117"/>
      <w:r>
        <w:rPr>
          <w:rFonts w:ascii="Arial" w:eastAsia="Arial" w:hAnsi="Arial" w:cs="Arial"/>
          <w:b/>
          <w:color w:val="000000"/>
          <w:sz w:val="20"/>
        </w:rPr>
        <w:t>Judges:</w:t>
      </w:r>
      <w:r>
        <w:rPr>
          <w:rFonts w:ascii="Arial" w:eastAsia="Arial" w:hAnsi="Arial" w:cs="Arial"/>
          <w:color w:val="000000"/>
          <w:sz w:val="20"/>
        </w:rPr>
        <w:t> PRESENT: BARRINGTON D. PARKER, PETER W. HALL, GERARD E. LYNCH, Circuit Judges.</w:t>
      </w:r>
    </w:p>
    <w:p w14:paraId="18C0B666" w14:textId="77777777" w:rsidR="00D041A2" w:rsidRDefault="00000000">
      <w:pPr>
        <w:pStyle w:val="Normal45"/>
        <w:keepNext/>
        <w:widowControl w:val="0"/>
        <w:spacing w:before="240" w:line="340" w:lineRule="atLeast"/>
      </w:pPr>
      <w:bookmarkStart w:id="6118" w:name="Opinion_44"/>
      <w:bookmarkEnd w:id="6118"/>
      <w:r>
        <w:rPr>
          <w:rFonts w:ascii="Arial" w:eastAsia="Arial" w:hAnsi="Arial" w:cs="Arial"/>
          <w:b/>
          <w:color w:val="000000"/>
          <w:sz w:val="28"/>
        </w:rPr>
        <w:t>Opinion</w:t>
      </w:r>
    </w:p>
    <w:p w14:paraId="34221C7B" w14:textId="69813ABC" w:rsidR="00D041A2" w:rsidRDefault="004D4403">
      <w:pPr>
        <w:pStyle w:val="Normal45"/>
        <w:spacing w:line="60" w:lineRule="exact"/>
      </w:pPr>
      <w:r>
        <w:rPr>
          <w:noProof/>
        </w:rPr>
        <mc:AlternateContent>
          <mc:Choice Requires="wps">
            <w:drawing>
              <wp:anchor distT="0" distB="0" distL="114300" distR="114300" simplePos="0" relativeHeight="251758592" behindDoc="0" locked="0" layoutInCell="1" allowOverlap="1" wp14:anchorId="4CB4BDB5" wp14:editId="08A2D2E4">
                <wp:simplePos x="0" y="0"/>
                <wp:positionH relativeFrom="column">
                  <wp:posOffset>0</wp:posOffset>
                </wp:positionH>
                <wp:positionV relativeFrom="paragraph">
                  <wp:posOffset>25400</wp:posOffset>
                </wp:positionV>
                <wp:extent cx="3187700" cy="0"/>
                <wp:effectExtent l="19050" t="15875" r="12700" b="12700"/>
                <wp:wrapTopAndBottom/>
                <wp:docPr id="147877405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1C68D" id="Line 10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BAB6D38" w14:textId="77777777" w:rsidR="00D041A2" w:rsidRDefault="00D041A2">
      <w:pPr>
        <w:pStyle w:val="Normal45"/>
      </w:pPr>
    </w:p>
    <w:p w14:paraId="1A89C6F7" w14:textId="77777777" w:rsidR="00D041A2" w:rsidRDefault="00000000">
      <w:pPr>
        <w:pStyle w:val="Normal45"/>
        <w:widowControl w:val="0"/>
        <w:spacing w:before="200" w:line="260" w:lineRule="atLeast"/>
        <w:jc w:val="both"/>
      </w:pPr>
      <w:bookmarkStart w:id="6119" w:name="Bookmark_para_3_44"/>
      <w:bookmarkEnd w:id="6119"/>
      <w:r>
        <w:rPr>
          <w:rFonts w:ascii="Arial" w:eastAsia="Arial" w:hAnsi="Arial" w:cs="Arial"/>
          <w:color w:val="000000"/>
          <w:sz w:val="20"/>
        </w:rPr>
        <w:t> [*87]  SUMMARY ORDER</w:t>
      </w:r>
    </w:p>
    <w:p w14:paraId="32A2A3BF" w14:textId="77777777" w:rsidR="00D041A2" w:rsidRDefault="00000000">
      <w:pPr>
        <w:pStyle w:val="Normal45"/>
        <w:widowControl w:val="0"/>
        <w:spacing w:before="200" w:line="260" w:lineRule="atLeast"/>
        <w:jc w:val="both"/>
      </w:pPr>
      <w:bookmarkStart w:id="6120" w:name="Bookmark_para_4_44"/>
      <w:bookmarkEnd w:id="6120"/>
      <w:r>
        <w:rPr>
          <w:rFonts w:ascii="Arial" w:eastAsia="Arial" w:hAnsi="Arial" w:cs="Arial"/>
          <w:b/>
          <w:color w:val="000000"/>
          <w:sz w:val="20"/>
        </w:rPr>
        <w:t>UPON DUE CONSIDERATION</w:t>
      </w:r>
      <w:r>
        <w:rPr>
          <w:rFonts w:ascii="Arial" w:eastAsia="Arial" w:hAnsi="Arial" w:cs="Arial"/>
          <w:color w:val="000000"/>
          <w:sz w:val="20"/>
        </w:rPr>
        <w:t xml:space="preserve"> it is hereby </w:t>
      </w:r>
      <w:r>
        <w:rPr>
          <w:rFonts w:ascii="Arial" w:eastAsia="Arial" w:hAnsi="Arial" w:cs="Arial"/>
          <w:b/>
          <w:color w:val="000000"/>
          <w:sz w:val="20"/>
        </w:rPr>
        <w:t>ORDERED, ADJUDGED, AND DECREED</w:t>
      </w:r>
      <w:r>
        <w:rPr>
          <w:rFonts w:ascii="Arial" w:eastAsia="Arial" w:hAnsi="Arial" w:cs="Arial"/>
          <w:color w:val="000000"/>
          <w:sz w:val="20"/>
        </w:rPr>
        <w:t xml:space="preserve"> that the judgment of the district court is </w:t>
      </w:r>
      <w:r>
        <w:rPr>
          <w:rFonts w:ascii="Arial" w:eastAsia="Arial" w:hAnsi="Arial" w:cs="Arial"/>
          <w:b/>
          <w:color w:val="000000"/>
          <w:sz w:val="20"/>
        </w:rPr>
        <w:t>AFFIRMED</w:t>
      </w:r>
      <w:r>
        <w:rPr>
          <w:rFonts w:ascii="Arial" w:eastAsia="Arial" w:hAnsi="Arial" w:cs="Arial"/>
          <w:color w:val="000000"/>
          <w:sz w:val="20"/>
        </w:rPr>
        <w:t xml:space="preserve"> in part, </w:t>
      </w:r>
      <w:r>
        <w:rPr>
          <w:rFonts w:ascii="Arial" w:eastAsia="Arial" w:hAnsi="Arial" w:cs="Arial"/>
          <w:b/>
          <w:color w:val="000000"/>
          <w:sz w:val="20"/>
        </w:rPr>
        <w:t>VACATED</w:t>
      </w:r>
      <w:r>
        <w:rPr>
          <w:rFonts w:ascii="Arial" w:eastAsia="Arial" w:hAnsi="Arial" w:cs="Arial"/>
          <w:color w:val="000000"/>
          <w:sz w:val="20"/>
        </w:rPr>
        <w:t xml:space="preserve"> in part, and </w:t>
      </w:r>
      <w:r>
        <w:rPr>
          <w:rFonts w:ascii="Arial" w:eastAsia="Arial" w:hAnsi="Arial" w:cs="Arial"/>
          <w:b/>
          <w:color w:val="000000"/>
          <w:sz w:val="20"/>
        </w:rPr>
        <w:t>REMANDED</w:t>
      </w:r>
      <w:r>
        <w:rPr>
          <w:rFonts w:ascii="Arial" w:eastAsia="Arial" w:hAnsi="Arial" w:cs="Arial"/>
          <w:color w:val="000000"/>
          <w:sz w:val="20"/>
        </w:rPr>
        <w:t xml:space="preserve"> for further proceedings in accordance with this order.</w:t>
      </w:r>
    </w:p>
    <w:p w14:paraId="2470A673" w14:textId="77777777" w:rsidR="00D041A2" w:rsidRDefault="00000000">
      <w:pPr>
        <w:pStyle w:val="Normal45"/>
        <w:widowControl w:val="0"/>
        <w:spacing w:before="200" w:line="260" w:lineRule="atLeast"/>
        <w:jc w:val="both"/>
      </w:pPr>
      <w:bookmarkStart w:id="6121" w:name="Bookmark_para_5_44"/>
      <w:bookmarkEnd w:id="6121"/>
      <w:r>
        <w:rPr>
          <w:rFonts w:ascii="Arial" w:eastAsia="Arial" w:hAnsi="Arial" w:cs="Arial"/>
          <w:color w:val="000000"/>
          <w:sz w:val="20"/>
        </w:rPr>
        <w:t xml:space="preserve">Appellant-cross-appellee, East Meadow Union Free School District ("the District"), appeals from a judgment and decision declining to overturn a jury verdict finding that Woodland Middle School violated Title II of the Americans with Disabilities Act ("Title II"), 42 U.S.C. § 12131 </w:t>
      </w:r>
      <w:r>
        <w:rPr>
          <w:rFonts w:ascii="Arial" w:eastAsia="Arial" w:hAnsi="Arial" w:cs="Arial"/>
          <w:i/>
          <w:color w:val="000000"/>
          <w:sz w:val="20"/>
        </w:rPr>
        <w:t>et seq.,</w:t>
      </w:r>
      <w:r>
        <w:rPr>
          <w:rFonts w:ascii="Arial" w:eastAsia="Arial" w:hAnsi="Arial" w:cs="Arial"/>
          <w:color w:val="000000"/>
          <w:sz w:val="20"/>
        </w:rPr>
        <w:t xml:space="preserve"> and the Rehabilitation Act of 1973 ("Rehabilitation Act"), </w:t>
      </w:r>
      <w:r>
        <w:rPr>
          <w:rFonts w:ascii="Arial" w:eastAsia="Arial" w:hAnsi="Arial" w:cs="Arial"/>
          <w:i/>
          <w:color w:val="000000"/>
          <w:sz w:val="20"/>
        </w:rPr>
        <w:t>amended,</w:t>
      </w:r>
      <w:r>
        <w:rPr>
          <w:rFonts w:ascii="Arial" w:eastAsia="Arial" w:hAnsi="Arial" w:cs="Arial"/>
          <w:color w:val="000000"/>
          <w:sz w:val="20"/>
        </w:rPr>
        <w:t xml:space="preserve"> 29 U.S.C. § 794 </w:t>
      </w:r>
      <w:r>
        <w:rPr>
          <w:rFonts w:ascii="Arial" w:eastAsia="Arial" w:hAnsi="Arial" w:cs="Arial"/>
          <w:i/>
          <w:color w:val="000000"/>
          <w:sz w:val="20"/>
        </w:rPr>
        <w:t>et seq.,</w:t>
      </w:r>
      <w:r>
        <w:rPr>
          <w:rFonts w:ascii="Arial" w:eastAsia="Arial" w:hAnsi="Arial" w:cs="Arial"/>
          <w:color w:val="000000"/>
          <w:sz w:val="20"/>
        </w:rPr>
        <w:t xml:space="preserve"> (collectively, "the  [**2] Acts"). Appellee-cross-appellant, Domenick Celeste, as father and natural guardian of Domenick Celeste, Jr., a former student in Woodland Middle School, appeals on the ground that the district court's jury charge articulated an incorrect standard of liability applicable under Title II. We assume the parties' familiarity with the facts and procedural history of the case.</w:t>
      </w:r>
    </w:p>
    <w:p w14:paraId="10AE539F" w14:textId="77777777" w:rsidR="00D041A2" w:rsidRDefault="00000000">
      <w:pPr>
        <w:pStyle w:val="Normal45"/>
        <w:widowControl w:val="0"/>
        <w:spacing w:before="240" w:line="260" w:lineRule="atLeast"/>
      </w:pPr>
      <w:r>
        <w:br/>
      </w:r>
      <w:r>
        <w:rPr>
          <w:rFonts w:ascii="Arial" w:eastAsia="Arial" w:hAnsi="Arial" w:cs="Arial"/>
          <w:b/>
          <w:color w:val="000000"/>
          <w:sz w:val="20"/>
        </w:rPr>
        <w:t>Rule 50(b) Motion</w:t>
      </w:r>
    </w:p>
    <w:p w14:paraId="0ACAC1AF" w14:textId="77777777" w:rsidR="00D041A2" w:rsidRDefault="00000000">
      <w:pPr>
        <w:pStyle w:val="Normal45"/>
        <w:widowControl w:val="0"/>
        <w:spacing w:before="200" w:line="260" w:lineRule="atLeast"/>
        <w:jc w:val="both"/>
      </w:pPr>
      <w:bookmarkStart w:id="6122" w:name="Bookmark_para_6_44"/>
      <w:bookmarkStart w:id="6123" w:name="Bookmark_I5PX6DH2N83000VWWVD005XY"/>
      <w:bookmarkStart w:id="6124" w:name="Bookmark_I502DMPJ0K1MNJ0VN0000400"/>
      <w:bookmarkEnd w:id="6122"/>
      <w:bookmarkEnd w:id="6123"/>
      <w:bookmarkEnd w:id="6124"/>
      <w:r>
        <w:rPr>
          <w:rFonts w:ascii="Arial" w:eastAsia="Arial" w:hAnsi="Arial" w:cs="Arial"/>
          <w:color w:val="000000"/>
          <w:sz w:val="20"/>
        </w:rPr>
        <w:t xml:space="preserve">The District argues that the district court abused its discretion in declining to enter judgment as a matter of law under Federal Rule of Civil Procedure 50(b). The District asserts that (1) appellee failed to introduce any objective or expert testimony to support their allegations that the defendant violated Title II, and (2) pursuant to </w:t>
      </w:r>
      <w:bookmarkStart w:id="6125" w:name="Bookmark_I502DMPJ0K1MNJ0VM0000400"/>
      <w:bookmarkEnd w:id="6125"/>
      <w:r>
        <w:rPr>
          <w:rFonts w:ascii="Arial" w:eastAsia="Arial" w:hAnsi="Arial" w:cs="Arial"/>
          <w:i/>
          <w:color w:val="000000"/>
          <w:sz w:val="20"/>
        </w:rPr>
        <w:t>Borkowski v. Valley Cent. Sch. Dist.,</w:t>
      </w:r>
      <w:r>
        <w:rPr>
          <w:rFonts w:ascii="Arial" w:eastAsia="Arial" w:hAnsi="Arial" w:cs="Arial"/>
          <w:color w:val="000000"/>
          <w:sz w:val="20"/>
        </w:rPr>
        <w:t xml:space="preserve"> 63 F.3d 131, 137-40 (2d Cir. 1995), as applied to Title II actions by </w:t>
      </w:r>
      <w:bookmarkStart w:id="6126" w:name="Bookmark_I502DMPJ0K1MNJ0VP0000400"/>
      <w:bookmarkEnd w:id="6126"/>
      <w:r>
        <w:rPr>
          <w:rFonts w:ascii="Arial" w:eastAsia="Arial" w:hAnsi="Arial" w:cs="Arial"/>
          <w:i/>
          <w:color w:val="000000"/>
          <w:sz w:val="20"/>
        </w:rPr>
        <w:t>Pascuiti v. New York Yankees, et al.,</w:t>
      </w:r>
      <w:r>
        <w:rPr>
          <w:rFonts w:ascii="Arial" w:eastAsia="Arial" w:hAnsi="Arial" w:cs="Arial"/>
          <w:color w:val="000000"/>
          <w:sz w:val="20"/>
        </w:rPr>
        <w:t xml:space="preserve"> 87 F. Supp. 2d 221, 223 (S.D.N.Y. 1999), appellee was required to "suggest the existence of a plausible accommodation, the costs of which, facially, do not clearly exceed its benefits." The District argues that because the appellee erred in these two respects, his claim must fail as a matter of law. </w:t>
      </w:r>
      <w:bookmarkStart w:id="6127" w:name="Bookmark_LNHNREFclscc1_34"/>
      <w:bookmarkEnd w:id="6127"/>
      <w:r>
        <w:rPr>
          <w:rFonts w:ascii="Arial" w:eastAsia="Arial" w:hAnsi="Arial" w:cs="Arial"/>
          <w:color w:val="000000"/>
          <w:sz w:val="20"/>
        </w:rPr>
        <w:t xml:space="preserve">Judgment as a matter of  [**3] law under Rule 50(b) is appropriate only when, construing all facts in favor of the prevailing party, (1) "such a complete absence of evidence supporting the verdict" compels the conclusion that "the jury's findings could only have been the result of sheer surmise and conjecture," or (2) there is "such an overwhelming amount of evidence in favor of the movant that reasonable and fair minded [people] could not arrive at a verdict against [the moving party]." </w:t>
      </w:r>
      <w:bookmarkStart w:id="6128" w:name="Bookmark_I502DMPJ0K1MNJ0VS0000400"/>
      <w:bookmarkEnd w:id="6128"/>
      <w:r>
        <w:rPr>
          <w:rFonts w:ascii="Arial" w:eastAsia="Arial" w:hAnsi="Arial" w:cs="Arial"/>
          <w:i/>
          <w:color w:val="000000"/>
          <w:sz w:val="20"/>
        </w:rPr>
        <w:t xml:space="preserve">Song </w:t>
      </w:r>
      <w:r>
        <w:rPr>
          <w:rFonts w:ascii="Arial" w:eastAsia="Arial" w:hAnsi="Arial" w:cs="Arial"/>
          <w:color w:val="000000"/>
          <w:sz w:val="20"/>
        </w:rPr>
        <w:t> [*88] </w:t>
      </w:r>
      <w:r>
        <w:rPr>
          <w:rFonts w:ascii="Arial" w:eastAsia="Arial" w:hAnsi="Arial" w:cs="Arial"/>
          <w:i/>
          <w:color w:val="000000"/>
          <w:sz w:val="20"/>
        </w:rPr>
        <w:t xml:space="preserve"> v. Ives Labs., Inc.,</w:t>
      </w:r>
      <w:r>
        <w:rPr>
          <w:rFonts w:ascii="Arial" w:eastAsia="Arial" w:hAnsi="Arial" w:cs="Arial"/>
          <w:color w:val="000000"/>
          <w:sz w:val="20"/>
        </w:rPr>
        <w:t xml:space="preserve"> 957 F.2d 1041, 1046 (2d Cir. 1992) (internal citations and quotations omitted).</w:t>
      </w:r>
    </w:p>
    <w:p w14:paraId="1F751A46" w14:textId="77777777" w:rsidR="00D041A2" w:rsidRDefault="00000000">
      <w:pPr>
        <w:pStyle w:val="Normal45"/>
        <w:widowControl w:val="0"/>
        <w:spacing w:before="200" w:line="260" w:lineRule="atLeast"/>
        <w:jc w:val="both"/>
      </w:pPr>
      <w:bookmarkStart w:id="6129" w:name="Bookmark_para_7_44"/>
      <w:bookmarkStart w:id="6130" w:name="Bookmark_I502DMPJ0K1MNJ0W90000400"/>
      <w:bookmarkEnd w:id="6129"/>
      <w:bookmarkEnd w:id="6130"/>
      <w:r>
        <w:rPr>
          <w:rFonts w:ascii="Arial" w:eastAsia="Arial" w:hAnsi="Arial" w:cs="Arial"/>
          <w:color w:val="000000"/>
          <w:sz w:val="20"/>
        </w:rPr>
        <w:t xml:space="preserve">We find sufficient evidence on the record for the jury to conclude that Domenick Celeste, Jr. ("Celeste") was denied "meaningful access" to programs offered by Woodland Middle School. </w:t>
      </w:r>
      <w:r>
        <w:rPr>
          <w:rFonts w:ascii="Arial" w:eastAsia="Arial" w:hAnsi="Arial" w:cs="Arial"/>
          <w:i/>
          <w:color w:val="000000"/>
          <w:sz w:val="20"/>
        </w:rPr>
        <w:t xml:space="preserve">See </w:t>
      </w:r>
      <w:bookmarkStart w:id="6131" w:name="Bookmark_I502DMPJ0K1MNJ0W80000400"/>
      <w:bookmarkEnd w:id="6131"/>
      <w:r>
        <w:rPr>
          <w:rFonts w:ascii="Arial" w:eastAsia="Arial" w:hAnsi="Arial" w:cs="Arial"/>
          <w:i/>
          <w:color w:val="000000"/>
          <w:sz w:val="20"/>
        </w:rPr>
        <w:t>Henrietta D. v. Bloomberg,</w:t>
      </w:r>
      <w:r>
        <w:rPr>
          <w:rFonts w:ascii="Arial" w:eastAsia="Arial" w:hAnsi="Arial" w:cs="Arial"/>
          <w:color w:val="000000"/>
          <w:sz w:val="20"/>
        </w:rPr>
        <w:t xml:space="preserve"> 331 F.3d 261, 273 (2d Cir. 2003) (</w:t>
      </w:r>
      <w:bookmarkStart w:id="6132" w:name="Bookmark_LNHNREFclscc2_34"/>
      <w:bookmarkEnd w:id="6132"/>
      <w:r>
        <w:rPr>
          <w:rFonts w:ascii="Arial" w:eastAsia="Arial" w:hAnsi="Arial" w:cs="Arial"/>
          <w:color w:val="000000"/>
          <w:sz w:val="20"/>
        </w:rPr>
        <w:t xml:space="preserve">"[Under the ADA,] an otherwise qualified handicapped individual must be provided with meaningful access to the benefit that the grantee offers . . .. To assure meaningful access, reasonable accommodations in the grantee's program or benefit may have to be made.") (quoting </w:t>
      </w:r>
      <w:bookmarkStart w:id="6133" w:name="Bookmark_I502DMPJ0K1MNJ0WB0000400"/>
      <w:bookmarkEnd w:id="6133"/>
      <w:r>
        <w:rPr>
          <w:rFonts w:ascii="Arial" w:eastAsia="Arial" w:hAnsi="Arial" w:cs="Arial"/>
          <w:i/>
          <w:color w:val="000000"/>
          <w:sz w:val="20"/>
        </w:rPr>
        <w:t>Alexander v. Choate,</w:t>
      </w:r>
      <w:r>
        <w:rPr>
          <w:rFonts w:ascii="Arial" w:eastAsia="Arial" w:hAnsi="Arial" w:cs="Arial"/>
          <w:color w:val="000000"/>
          <w:sz w:val="20"/>
        </w:rPr>
        <w:t xml:space="preserve"> 469 U.S. 287, 301, 105 S. Ct. 712, 83 L. Ed. 2d 661 (1985) (internal quotation marks omitted)). Viewing the evidence in the  [**4] light most favorable to the plaintiff, Celeste testified that because of his cerebral palsy, which forced him to rely upon crutches when ambulatory and a wheelchair when not, minor architectural barriers in the school forced him to take a ten minute detour each way in order to reach and return from the athletic fields behind the school. </w:t>
      </w:r>
      <w:bookmarkStart w:id="6134" w:name="Bookmark_I502DMPJ0K1MNJ10D0000400"/>
      <w:bookmarkEnd w:id="6134"/>
      <w:r>
        <w:rPr>
          <w:rFonts w:ascii="Arial" w:eastAsia="Arial" w:hAnsi="Arial" w:cs="Arial"/>
          <w:color w:val="000000"/>
          <w:sz w:val="20"/>
        </w:rPr>
        <w:t xml:space="preserve">Not only did this total twenty minute detour detract from Celeste's participation as a manager of the football team, but it cut almost in half his time to participate in a typical forty-five minute physical education class. In light of this showing of an unnecessary usurpation of Celeste's time, we cannot conclude that the jury relied upon "sheer surmise and conjecture" in deciding that Celeste was denied 'meaningful access' to the programs provided to all other students at Woodland Middle School. </w:t>
      </w:r>
      <w:bookmarkStart w:id="6135" w:name="Bookmark_I502DMPJ0K1MNJ10C0000400"/>
      <w:bookmarkEnd w:id="6135"/>
      <w:r>
        <w:rPr>
          <w:rFonts w:ascii="Arial" w:eastAsia="Arial" w:hAnsi="Arial" w:cs="Arial"/>
          <w:i/>
          <w:color w:val="000000"/>
          <w:sz w:val="20"/>
        </w:rPr>
        <w:t>Song,</w:t>
      </w:r>
      <w:r>
        <w:rPr>
          <w:rFonts w:ascii="Arial" w:eastAsia="Arial" w:hAnsi="Arial" w:cs="Arial"/>
          <w:color w:val="000000"/>
          <w:sz w:val="20"/>
        </w:rPr>
        <w:t xml:space="preserve"> 957 F.2d at 1046. The District proffers no compelling argument why Celeste was required to present expert testimony to establish that he was denied meaningful access to programs, nor does it cite any case law establishing that expert testimony is necessary for a plaintiff to meet his burden in this regard.</w:t>
      </w:r>
    </w:p>
    <w:p w14:paraId="6A7DBA65" w14:textId="77777777" w:rsidR="00D041A2" w:rsidRDefault="00000000">
      <w:pPr>
        <w:pStyle w:val="Normal45"/>
        <w:widowControl w:val="0"/>
        <w:spacing w:before="200" w:line="260" w:lineRule="atLeast"/>
        <w:jc w:val="both"/>
      </w:pPr>
      <w:bookmarkStart w:id="6136" w:name="Bookmark_para_8_43"/>
      <w:bookmarkStart w:id="6137" w:name="Bookmark_I502DMPJ0K1MNJ10G0000400"/>
      <w:bookmarkEnd w:id="6136"/>
      <w:bookmarkEnd w:id="6137"/>
      <w:r>
        <w:rPr>
          <w:rFonts w:ascii="Arial" w:eastAsia="Arial" w:hAnsi="Arial" w:cs="Arial"/>
          <w:color w:val="000000"/>
          <w:sz w:val="20"/>
        </w:rPr>
        <w:t xml:space="preserve">The District claims in the alternative that </w:t>
      </w:r>
      <w:r>
        <w:rPr>
          <w:rFonts w:ascii="Arial" w:eastAsia="Arial" w:hAnsi="Arial" w:cs="Arial"/>
          <w:i/>
          <w:color w:val="000000"/>
          <w:sz w:val="20"/>
        </w:rPr>
        <w:t>Pascuiti</w:t>
      </w:r>
      <w:r>
        <w:rPr>
          <w:rFonts w:ascii="Arial" w:eastAsia="Arial" w:hAnsi="Arial" w:cs="Arial"/>
          <w:color w:val="000000"/>
          <w:sz w:val="20"/>
        </w:rPr>
        <w:t xml:space="preserve">  [**5] requires a plaintiff bringing a claim under Title II on the basis of architectural barriers to provide evidence of "cost-effective, plausible method[s] as to how to remedy the alleged violation[] . . .." Defs.' Br. at 13. Assuming </w:t>
      </w:r>
      <w:r>
        <w:rPr>
          <w:rFonts w:ascii="Arial" w:eastAsia="Arial" w:hAnsi="Arial" w:cs="Arial"/>
          <w:i/>
          <w:color w:val="000000"/>
          <w:sz w:val="20"/>
        </w:rPr>
        <w:t>arguendo</w:t>
      </w:r>
      <w:r>
        <w:rPr>
          <w:rFonts w:ascii="Arial" w:eastAsia="Arial" w:hAnsi="Arial" w:cs="Arial"/>
          <w:color w:val="000000"/>
          <w:sz w:val="20"/>
        </w:rPr>
        <w:t xml:space="preserve"> that a burden-shifting scheme is applicable to the case at bar, Celeste satisfied its requirements. </w:t>
      </w:r>
      <w:bookmarkStart w:id="6138" w:name="Bookmark_LNHNREFclscc3_32"/>
      <w:bookmarkEnd w:id="6138"/>
      <w:r>
        <w:rPr>
          <w:rFonts w:ascii="Arial" w:eastAsia="Arial" w:hAnsi="Arial" w:cs="Arial"/>
          <w:color w:val="000000"/>
          <w:sz w:val="20"/>
        </w:rPr>
        <w:t xml:space="preserve">When applying the burden-shifting scheme to claims under the Rehabilitation Act, the plaintiff's initial burden is "not a heavy one" and requires only that he "suggest the existence of a plausible accommodation, the costs of which, facially, do not clearly exceed its benefits," </w:t>
      </w:r>
      <w:bookmarkStart w:id="6139" w:name="Bookmark_I502DMPJ0K1MNJ10F0000400"/>
      <w:bookmarkEnd w:id="6139"/>
      <w:r>
        <w:rPr>
          <w:rFonts w:ascii="Arial" w:eastAsia="Arial" w:hAnsi="Arial" w:cs="Arial"/>
          <w:i/>
          <w:color w:val="000000"/>
          <w:sz w:val="20"/>
        </w:rPr>
        <w:t>Borkowski,</w:t>
      </w:r>
      <w:r>
        <w:rPr>
          <w:rFonts w:ascii="Arial" w:eastAsia="Arial" w:hAnsi="Arial" w:cs="Arial"/>
          <w:color w:val="000000"/>
          <w:sz w:val="20"/>
        </w:rPr>
        <w:t xml:space="preserve"> 63 F.3d at 137, 140, and Celeste has met that burden. At trial, Appellee's counsel asked Celeste "[w]hat are you asking the school district to do?" Celeste replied: "I would like for them to put curb cuts where I think they should be needed. For an example . . . in the back on the platform by the gym. And [] once you are getting down from that platform they should fix the pavement to make it more accessible to me." Celeste also testified that the cleat cleaners installed across the fence leading to the athletic fields should be removed because the school owns portable  [**6] cleat cleaners that could be placed near the entrance to the locker rooms. For each of the physical areas found by the jury to have the effect of denying Celeste access to school programs, Celeste offered plausible, simple remedies, which are </w:t>
      </w:r>
      <w:r>
        <w:rPr>
          <w:rFonts w:ascii="Arial" w:eastAsia="Arial" w:hAnsi="Arial" w:cs="Arial"/>
          <w:i/>
          <w:color w:val="000000"/>
          <w:sz w:val="20"/>
        </w:rPr>
        <w:t>de minimis</w:t>
      </w:r>
      <w:r>
        <w:rPr>
          <w:rFonts w:ascii="Arial" w:eastAsia="Arial" w:hAnsi="Arial" w:cs="Arial"/>
          <w:color w:val="000000"/>
          <w:sz w:val="20"/>
        </w:rPr>
        <w:t xml:space="preserve"> compared with the corresponding benefits by way of access achieved. </w:t>
      </w:r>
      <w:r>
        <w:rPr>
          <w:rFonts w:ascii="Arial" w:eastAsia="Arial" w:hAnsi="Arial" w:cs="Arial"/>
          <w:vertAlign w:val="superscript"/>
        </w:rPr>
        <w:footnoteReference w:customMarkFollows="1" w:id="289"/>
        <w:t>1</w:t>
      </w:r>
      <w:r>
        <w:rPr>
          <w:rFonts w:ascii="Arial" w:eastAsia="Arial" w:hAnsi="Arial" w:cs="Arial"/>
          <w:color w:val="000000"/>
          <w:sz w:val="20"/>
        </w:rPr>
        <w:t xml:space="preserve"> We  [*89]  therefore affirm the district court's denial of defendant's Rule 50(b) motion.</w:t>
      </w:r>
    </w:p>
    <w:p w14:paraId="74649768" w14:textId="77777777" w:rsidR="00D041A2" w:rsidRDefault="00000000">
      <w:pPr>
        <w:pStyle w:val="Normal45"/>
        <w:widowControl w:val="0"/>
        <w:spacing w:before="240" w:line="260" w:lineRule="atLeast"/>
      </w:pPr>
      <w:r>
        <w:br/>
      </w:r>
      <w:r>
        <w:rPr>
          <w:rFonts w:ascii="Arial" w:eastAsia="Arial" w:hAnsi="Arial" w:cs="Arial"/>
          <w:b/>
          <w:color w:val="000000"/>
          <w:sz w:val="20"/>
        </w:rPr>
        <w:t>Damage Award Unsupported By The Record</w:t>
      </w:r>
    </w:p>
    <w:p w14:paraId="521169B7" w14:textId="77777777" w:rsidR="00D041A2" w:rsidRDefault="00000000">
      <w:pPr>
        <w:pStyle w:val="Normal45"/>
        <w:widowControl w:val="0"/>
        <w:spacing w:before="200" w:line="260" w:lineRule="atLeast"/>
        <w:jc w:val="both"/>
      </w:pPr>
      <w:bookmarkStart w:id="6141" w:name="Bookmark_para_9_41"/>
      <w:bookmarkStart w:id="6142" w:name="Bookmark_I502DMPJ0K1MNJ1130000400"/>
      <w:bookmarkStart w:id="6143" w:name="Bookmark_I502DMPJ0K1MNJ1150000400"/>
      <w:bookmarkEnd w:id="6141"/>
      <w:bookmarkEnd w:id="6142"/>
      <w:bookmarkEnd w:id="6143"/>
      <w:r>
        <w:rPr>
          <w:rFonts w:ascii="Arial" w:eastAsia="Arial" w:hAnsi="Arial" w:cs="Arial"/>
          <w:color w:val="000000"/>
          <w:sz w:val="20"/>
        </w:rPr>
        <w:t xml:space="preserve">The District claims that the district court erred in refusing to vacate the jury's damage award. </w:t>
      </w:r>
      <w:bookmarkStart w:id="6144" w:name="Bookmark_LNHNREFclscc4_31"/>
      <w:bookmarkEnd w:id="6144"/>
      <w:r>
        <w:rPr>
          <w:rFonts w:ascii="Arial" w:eastAsia="Arial" w:hAnsi="Arial" w:cs="Arial"/>
          <w:color w:val="000000"/>
          <w:sz w:val="20"/>
        </w:rPr>
        <w:t xml:space="preserve">A district court's "determination that the verdict is not excessive will not be disturbed upon appeal unless a manifest abuse of discretion is indicated." </w:t>
      </w:r>
      <w:bookmarkStart w:id="6145" w:name="Bookmark_I502DMPJ0K1MNJ10H0000400"/>
      <w:bookmarkEnd w:id="6145"/>
      <w:r>
        <w:rPr>
          <w:rFonts w:ascii="Arial" w:eastAsia="Arial" w:hAnsi="Arial" w:cs="Arial"/>
          <w:i/>
          <w:color w:val="000000"/>
          <w:sz w:val="20"/>
        </w:rPr>
        <w:t>Botsford v. Ideal Trucking Co.,</w:t>
      </w:r>
      <w:r>
        <w:rPr>
          <w:rFonts w:ascii="Arial" w:eastAsia="Arial" w:hAnsi="Arial" w:cs="Arial"/>
          <w:color w:val="000000"/>
          <w:sz w:val="20"/>
        </w:rPr>
        <w:t xml:space="preserve"> 417 F.2d 681, 683 (2d Cir. 1969). But "[w]hile a jury has broad discretion in measuring damages, it 'may not abandon analysis for sympathy for a suffering  [**7] plaintiff and treat an injury as though it were a winning lottery ticket.'" </w:t>
      </w:r>
      <w:bookmarkStart w:id="6146" w:name="Bookmark_I502DMPJ0K1MNJ1140000400"/>
      <w:bookmarkEnd w:id="6146"/>
      <w:r>
        <w:rPr>
          <w:rFonts w:ascii="Arial" w:eastAsia="Arial" w:hAnsi="Arial" w:cs="Arial"/>
          <w:i/>
          <w:color w:val="000000"/>
          <w:sz w:val="20"/>
        </w:rPr>
        <w:t>Scala v. Moore McCormack Lines, Inc.,</w:t>
      </w:r>
      <w:r>
        <w:rPr>
          <w:rFonts w:ascii="Arial" w:eastAsia="Arial" w:hAnsi="Arial" w:cs="Arial"/>
          <w:color w:val="000000"/>
          <w:sz w:val="20"/>
        </w:rPr>
        <w:t xml:space="preserve"> 985 F.2d 680, 684 (2d Cir. 1993) (quoting </w:t>
      </w:r>
      <w:bookmarkStart w:id="6147" w:name="Bookmark_I502DMPJ0K1MNJ1160000400"/>
      <w:bookmarkEnd w:id="6147"/>
      <w:r>
        <w:rPr>
          <w:rFonts w:ascii="Arial" w:eastAsia="Arial" w:hAnsi="Arial" w:cs="Arial"/>
          <w:i/>
          <w:color w:val="000000"/>
          <w:sz w:val="20"/>
        </w:rPr>
        <w:t>Nairn v. Nat'l R. R. Passenger Corp.,</w:t>
      </w:r>
      <w:r>
        <w:rPr>
          <w:rFonts w:ascii="Arial" w:eastAsia="Arial" w:hAnsi="Arial" w:cs="Arial"/>
          <w:color w:val="000000"/>
          <w:sz w:val="20"/>
        </w:rPr>
        <w:t xml:space="preserve"> 837 F.2d 565, 568 (2d Cir. 1988)).</w:t>
      </w:r>
    </w:p>
    <w:p w14:paraId="011171EB" w14:textId="77777777" w:rsidR="00D041A2" w:rsidRDefault="00000000">
      <w:pPr>
        <w:pStyle w:val="Normal45"/>
        <w:widowControl w:val="0"/>
        <w:spacing w:before="200" w:line="260" w:lineRule="atLeast"/>
        <w:jc w:val="both"/>
      </w:pPr>
      <w:bookmarkStart w:id="6148" w:name="Bookmark_para_10_41"/>
      <w:bookmarkEnd w:id="6148"/>
      <w:r>
        <w:rPr>
          <w:rFonts w:ascii="Arial" w:eastAsia="Arial" w:hAnsi="Arial" w:cs="Arial"/>
          <w:color w:val="000000"/>
          <w:sz w:val="20"/>
        </w:rPr>
        <w:t>Celeste presented no testimony about any emotional distress resulting from the conditions that limited his access to Woodland Middle School's athletic fields. Insofar as emotional damages are concerned, he testified only to feeling embarrassment at the bus depot when he was forced to disembark from a crowded school bus by himself and at a location different from where the rest of the students exited the bus. The jury, however, did not find that the conditions at the bus depot violated the Acts with respect to architectural barriers. The jury found on the evidence presented that the only cognizable architectural barriers affecting Celeste's access to school programs were those in and around the athletic fields. Because the jury's findings with respect to such barriers do not correspond with what Celeste testified was the sole source of his emotional distress, we hold that the damages awarded by the jury are arbitrary in light of the evidentiary record. The district  [**8] court, therefore, exceeded the bounds of its discretion when it did not vacate that award.</w:t>
      </w:r>
    </w:p>
    <w:p w14:paraId="154BEF15" w14:textId="77777777" w:rsidR="00D041A2" w:rsidRDefault="00000000">
      <w:pPr>
        <w:pStyle w:val="Normal45"/>
        <w:widowControl w:val="0"/>
        <w:spacing w:before="200" w:line="260" w:lineRule="atLeast"/>
        <w:jc w:val="both"/>
      </w:pPr>
      <w:bookmarkStart w:id="6149" w:name="Bookmark_para_11_39"/>
      <w:bookmarkStart w:id="6150" w:name="Bookmark_LNHNREFclscc5_31"/>
      <w:bookmarkStart w:id="6151" w:name="Bookmark_I502DMPJ0K1MNJ14H0000400"/>
      <w:bookmarkEnd w:id="6149"/>
      <w:bookmarkEnd w:id="6150"/>
      <w:bookmarkEnd w:id="6151"/>
      <w:r>
        <w:rPr>
          <w:rFonts w:ascii="Arial" w:eastAsia="Arial" w:hAnsi="Arial" w:cs="Arial"/>
          <w:color w:val="000000"/>
          <w:sz w:val="20"/>
        </w:rPr>
        <w:t xml:space="preserve">Even when a district court abuses its discretion by upholding an excessive jury award, however, a court of appeals is prohibited from reducing that jury award </w:t>
      </w:r>
      <w:r>
        <w:rPr>
          <w:rFonts w:ascii="Arial" w:eastAsia="Arial" w:hAnsi="Arial" w:cs="Arial"/>
          <w:i/>
          <w:color w:val="000000"/>
          <w:sz w:val="20"/>
        </w:rPr>
        <w:t xml:space="preserve">sua sponte. </w:t>
      </w:r>
      <w:bookmarkStart w:id="6152" w:name="Bookmark_I502DMPJ0K1MNJ14K0000400"/>
      <w:bookmarkStart w:id="6153" w:name="Bookmark_I502DMPJ0K1MNJ14G0000400"/>
      <w:bookmarkEnd w:id="6152"/>
      <w:bookmarkEnd w:id="6153"/>
      <w:r>
        <w:rPr>
          <w:rFonts w:ascii="Arial" w:eastAsia="Arial" w:hAnsi="Arial" w:cs="Arial"/>
          <w:i/>
          <w:color w:val="000000"/>
          <w:sz w:val="20"/>
        </w:rPr>
        <w:t>Scala,</w:t>
      </w:r>
      <w:r>
        <w:rPr>
          <w:rFonts w:ascii="Arial" w:eastAsia="Arial" w:hAnsi="Arial" w:cs="Arial"/>
          <w:color w:val="000000"/>
          <w:sz w:val="20"/>
        </w:rPr>
        <w:t xml:space="preserve"> 985 F.2d at 684. Instead, the plaintiff is entitled either to a new trial on the issue of damages or to stipulate to a remittitur of damages. </w:t>
      </w:r>
      <w:bookmarkStart w:id="6154" w:name="Bookmark_I502DMPJ0K1MNJ14K0000400_2"/>
      <w:bookmarkEnd w:id="6154"/>
      <w:r>
        <w:rPr>
          <w:rFonts w:ascii="Arial" w:eastAsia="Arial" w:hAnsi="Arial" w:cs="Arial"/>
          <w:i/>
          <w:color w:val="000000"/>
          <w:sz w:val="20"/>
        </w:rPr>
        <w:t xml:space="preserve">See </w:t>
      </w:r>
      <w:bookmarkStart w:id="6155" w:name="Bookmark_I502DMPJ0K1MNJ14J0000400"/>
      <w:bookmarkEnd w:id="6155"/>
      <w:r>
        <w:rPr>
          <w:rFonts w:ascii="Arial" w:eastAsia="Arial" w:hAnsi="Arial" w:cs="Arial"/>
          <w:i/>
          <w:color w:val="000000"/>
          <w:sz w:val="20"/>
        </w:rPr>
        <w:t>Phelan v. Local 305,</w:t>
      </w:r>
      <w:r>
        <w:rPr>
          <w:rFonts w:ascii="Arial" w:eastAsia="Arial" w:hAnsi="Arial" w:cs="Arial"/>
          <w:color w:val="000000"/>
          <w:sz w:val="20"/>
        </w:rPr>
        <w:t xml:space="preserve"> 973 F.2d 1050, 1064 (2d Cir. 1992); </w:t>
      </w:r>
      <w:r>
        <w:rPr>
          <w:rFonts w:ascii="Arial" w:eastAsia="Arial" w:hAnsi="Arial" w:cs="Arial"/>
          <w:i/>
          <w:color w:val="000000"/>
          <w:sz w:val="20"/>
        </w:rPr>
        <w:t>see also</w:t>
      </w:r>
      <w:r>
        <w:rPr>
          <w:rFonts w:ascii="Arial" w:eastAsia="Arial" w:hAnsi="Arial" w:cs="Arial"/>
          <w:color w:val="000000"/>
          <w:sz w:val="20"/>
        </w:rPr>
        <w:t xml:space="preserve"> 11 C. Wright &amp; A. Miller, </w:t>
      </w:r>
      <w:r>
        <w:rPr>
          <w:rFonts w:ascii="Arial" w:eastAsia="Arial" w:hAnsi="Arial" w:cs="Arial"/>
          <w:i/>
          <w:color w:val="000000"/>
          <w:sz w:val="20"/>
        </w:rPr>
        <w:t>Federal Practice and Procedure</w:t>
      </w:r>
      <w:r>
        <w:rPr>
          <w:rFonts w:ascii="Arial" w:eastAsia="Arial" w:hAnsi="Arial" w:cs="Arial"/>
          <w:color w:val="000000"/>
          <w:sz w:val="20"/>
        </w:rPr>
        <w:t xml:space="preserve"> § 2820, (2d ed. 1995) at 216 ("If the appellate court concludes that the verdict is excessive, it need not necessarily reverse and order a new trial. </w:t>
      </w:r>
      <w:bookmarkStart w:id="6156" w:name="Bookmark_I502DMPJ0K1MNJ15J0000400"/>
      <w:bookmarkEnd w:id="6156"/>
      <w:r>
        <w:rPr>
          <w:rFonts w:ascii="Arial" w:eastAsia="Arial" w:hAnsi="Arial" w:cs="Arial"/>
          <w:color w:val="000000"/>
          <w:sz w:val="20"/>
        </w:rPr>
        <w:t xml:space="preserve">It may give plaintiff an alternative by ordering a new trial unless plaintiff will consent to a remittitur in a specified amount."). Because the record offers no basis on which we could apportion damages, however this case is unamenable to remittitur and we accordingly vacate the jury award affirmed by the district court and remand for a new trial on the issue of damages. </w:t>
      </w:r>
      <w:r>
        <w:rPr>
          <w:rFonts w:ascii="Arial" w:eastAsia="Arial" w:hAnsi="Arial" w:cs="Arial"/>
          <w:i/>
          <w:color w:val="000000"/>
          <w:sz w:val="20"/>
        </w:rPr>
        <w:t xml:space="preserve">Cf. </w:t>
      </w:r>
      <w:bookmarkStart w:id="6157" w:name="Bookmark_I502DMPJ0K1MNJ14M0000400"/>
      <w:bookmarkEnd w:id="6157"/>
      <w:r>
        <w:rPr>
          <w:rFonts w:ascii="Arial" w:eastAsia="Arial" w:hAnsi="Arial" w:cs="Arial"/>
          <w:i/>
          <w:color w:val="000000"/>
          <w:sz w:val="20"/>
        </w:rPr>
        <w:t>De Centeno v. Gulf Fleet Crews, Inc.</w:t>
      </w:r>
      <w:r>
        <w:rPr>
          <w:rFonts w:ascii="Arial" w:eastAsia="Arial" w:hAnsi="Arial" w:cs="Arial"/>
          <w:color w:val="000000"/>
          <w:sz w:val="20"/>
        </w:rPr>
        <w:t xml:space="preserve"> 798 F.2d 138, 143 (5th Cir. 1986) (</w:t>
      </w:r>
      <w:bookmarkStart w:id="6158" w:name="Bookmark_LNHNREFclscc6_31"/>
      <w:bookmarkEnd w:id="6158"/>
      <w:r>
        <w:rPr>
          <w:rFonts w:ascii="Arial" w:eastAsia="Arial" w:hAnsi="Arial" w:cs="Arial"/>
          <w:color w:val="000000"/>
          <w:sz w:val="20"/>
        </w:rPr>
        <w:t>"[W]here we cannot determine the reason the verdict is excessive  [**9] -- because it is unclear whether the jury improperly awarded sums . . . or whether it simply awarded excessive sums for legally recoverable items of damage -- we elect to remand [the] case for a new damage trial.").</w:t>
      </w:r>
    </w:p>
    <w:p w14:paraId="1D1FC0A3" w14:textId="77777777" w:rsidR="00D041A2" w:rsidRDefault="00000000">
      <w:pPr>
        <w:pStyle w:val="Normal45"/>
        <w:widowControl w:val="0"/>
        <w:spacing w:before="240" w:line="260" w:lineRule="atLeast"/>
      </w:pPr>
      <w:r>
        <w:br/>
      </w:r>
      <w:r>
        <w:rPr>
          <w:rFonts w:ascii="Arial" w:eastAsia="Arial" w:hAnsi="Arial" w:cs="Arial"/>
          <w:b/>
          <w:color w:val="000000"/>
          <w:sz w:val="20"/>
        </w:rPr>
        <w:t>Cross-Appeal</w:t>
      </w:r>
    </w:p>
    <w:p w14:paraId="662E018B" w14:textId="77777777" w:rsidR="00D041A2" w:rsidRDefault="00000000">
      <w:pPr>
        <w:pStyle w:val="Normal45"/>
        <w:widowControl w:val="0"/>
        <w:spacing w:before="200" w:line="260" w:lineRule="atLeast"/>
        <w:jc w:val="both"/>
      </w:pPr>
      <w:bookmarkStart w:id="6159" w:name="Bookmark_para_12_38"/>
      <w:bookmarkEnd w:id="6159"/>
      <w:r>
        <w:rPr>
          <w:rFonts w:ascii="Arial" w:eastAsia="Arial" w:hAnsi="Arial" w:cs="Arial"/>
          <w:color w:val="000000"/>
          <w:sz w:val="20"/>
        </w:rPr>
        <w:t xml:space="preserve">Celeste moved for summary judgment before trial on the ground, </w:t>
      </w:r>
      <w:r>
        <w:rPr>
          <w:rFonts w:ascii="Arial" w:eastAsia="Arial" w:hAnsi="Arial" w:cs="Arial"/>
          <w:i/>
          <w:color w:val="000000"/>
          <w:sz w:val="20"/>
        </w:rPr>
        <w:t>inter alia,</w:t>
      </w:r>
      <w:r>
        <w:rPr>
          <w:rFonts w:ascii="Arial" w:eastAsia="Arial" w:hAnsi="Arial" w:cs="Arial"/>
          <w:color w:val="000000"/>
          <w:sz w:val="20"/>
        </w:rPr>
        <w:t xml:space="preserve"> that the bus depot at Woodland Middle School, as well as the sidewalk near Cynthia Drive, violated the ADA as a matter of law. Following the close of evidence  [*90]  Celeste renewed his motion for summary judgment and also moved for judgment as a matter of law. Celeste cross-appeals on the ground that the district court, in denying his motions, failed to consider the heightened ADA liability standard applicable to facilities constructed after January 26, 1992 ("new construction"), 28 C.F.R. § 35.151(a), and that had it applied the correct standard, it would have found that the bus depot and Cynthia Drive sidewalk are non-ADA compliant as a matter of law. The defendant does not contest the merits of Celeste's claim that the court applied an incorrect ADA liability standard. Instead, defendant principally argues that Celeste failed to preserve the claim for appeal. There is no dispute among the  [**10] parties that the bus depot and Cynthia Drive sidewalk were constructed after 1992.</w:t>
      </w:r>
    </w:p>
    <w:p w14:paraId="0DFE2F44" w14:textId="77777777" w:rsidR="00D041A2" w:rsidRDefault="00000000">
      <w:pPr>
        <w:pStyle w:val="Normal45"/>
        <w:widowControl w:val="0"/>
        <w:spacing w:before="200" w:line="260" w:lineRule="atLeast"/>
        <w:jc w:val="both"/>
      </w:pPr>
      <w:bookmarkStart w:id="6160" w:name="Bookmark_para_13_36"/>
      <w:bookmarkStart w:id="6161" w:name="Bookmark_LNHNREFclscc7_30"/>
      <w:bookmarkStart w:id="6162" w:name="Bookmark_I502DMPJ0K1MNJ15M0000400"/>
      <w:bookmarkStart w:id="6163" w:name="Bookmark_I502DMPJ0K1MNJ15P0000400"/>
      <w:bookmarkEnd w:id="6160"/>
      <w:bookmarkEnd w:id="6161"/>
      <w:bookmarkEnd w:id="6162"/>
      <w:bookmarkEnd w:id="6163"/>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a denial of a motion for judgment as a matter of law. </w:t>
      </w:r>
      <w:bookmarkStart w:id="6164" w:name="Bookmark_I502DMPJ0K1MNJ15K0000400"/>
      <w:bookmarkEnd w:id="6164"/>
      <w:r>
        <w:rPr>
          <w:rFonts w:ascii="Arial" w:eastAsia="Arial" w:hAnsi="Arial" w:cs="Arial"/>
          <w:i/>
          <w:color w:val="000000"/>
          <w:sz w:val="20"/>
        </w:rPr>
        <w:t>SEC v. DiBella,</w:t>
      </w:r>
      <w:r>
        <w:rPr>
          <w:rFonts w:ascii="Arial" w:eastAsia="Arial" w:hAnsi="Arial" w:cs="Arial"/>
          <w:color w:val="000000"/>
          <w:sz w:val="20"/>
        </w:rPr>
        <w:t xml:space="preserve"> 587 F.3d 553, 563 (2d Cir. 2009). "This court must decide whether a genuine issue of material fact exists and, if not, whether the moving party is entitled to summary judgment as a matter of law." </w:t>
      </w:r>
      <w:bookmarkStart w:id="6165" w:name="Bookmark_I502DMPJ0K1MNJ15N0000400"/>
      <w:bookmarkEnd w:id="6165"/>
      <w:r>
        <w:rPr>
          <w:rFonts w:ascii="Arial" w:eastAsia="Arial" w:hAnsi="Arial" w:cs="Arial"/>
          <w:i/>
          <w:color w:val="000000"/>
          <w:sz w:val="20"/>
        </w:rPr>
        <w:t>Kinney v. Yerusalim,</w:t>
      </w:r>
      <w:r>
        <w:rPr>
          <w:rFonts w:ascii="Arial" w:eastAsia="Arial" w:hAnsi="Arial" w:cs="Arial"/>
          <w:color w:val="000000"/>
          <w:sz w:val="20"/>
        </w:rPr>
        <w:t xml:space="preserve"> 9 F.3d 1067, 1070 (3d Cir. 1993).</w:t>
      </w:r>
    </w:p>
    <w:p w14:paraId="6B6805F0" w14:textId="77777777" w:rsidR="00D041A2" w:rsidRDefault="00000000">
      <w:pPr>
        <w:pStyle w:val="Normal45"/>
        <w:widowControl w:val="0"/>
        <w:spacing w:before="200" w:line="260" w:lineRule="atLeast"/>
        <w:jc w:val="both"/>
      </w:pPr>
      <w:bookmarkStart w:id="6166" w:name="Bookmark_para_14_32"/>
      <w:bookmarkStart w:id="6167" w:name="Bookmark_LNHNREFclscc8_30"/>
      <w:bookmarkEnd w:id="6166"/>
      <w:bookmarkEnd w:id="6167"/>
      <w:r>
        <w:rPr>
          <w:rFonts w:ascii="Arial" w:eastAsia="Arial" w:hAnsi="Arial" w:cs="Arial"/>
          <w:color w:val="000000"/>
          <w:sz w:val="20"/>
        </w:rPr>
        <w:t xml:space="preserve">The ADA mandates that any new construction must be "readily accessible to and usable by individuals with disabilities." 28 C.F.R. § 35.151(a). In particular, these projects must conform to the Uniform Federal Accessibility Standards (UFAS) or the Americans With Disabilities Act Accessibility Guidelines (ADAAG), unless "it is clearly evident that equivalent access to the facility or part of the facility" is accomplished by other methods. </w:t>
      </w:r>
      <w:r>
        <w:rPr>
          <w:rFonts w:ascii="Arial" w:eastAsia="Arial" w:hAnsi="Arial" w:cs="Arial"/>
          <w:i/>
          <w:color w:val="000000"/>
          <w:sz w:val="20"/>
        </w:rPr>
        <w:t>See id.</w:t>
      </w:r>
      <w:r>
        <w:rPr>
          <w:rFonts w:ascii="Arial" w:eastAsia="Arial" w:hAnsi="Arial" w:cs="Arial"/>
          <w:color w:val="000000"/>
          <w:sz w:val="20"/>
        </w:rPr>
        <w:t xml:space="preserve"> § 35.151(c). The regulations also provide specific guidelines for new pedestrian walkways and bus stops: "Newly constructed or altered street level pedestrian walkways must contain curb ramps or other sloped areas at intersections to streets, roads, or highways." </w:t>
      </w:r>
      <w:r>
        <w:rPr>
          <w:rFonts w:ascii="Arial" w:eastAsia="Arial" w:hAnsi="Arial" w:cs="Arial"/>
          <w:i/>
          <w:color w:val="000000"/>
          <w:sz w:val="20"/>
        </w:rPr>
        <w:t>Id.</w:t>
      </w:r>
      <w:r>
        <w:rPr>
          <w:rFonts w:ascii="Arial" w:eastAsia="Arial" w:hAnsi="Arial" w:cs="Arial"/>
          <w:color w:val="000000"/>
          <w:sz w:val="20"/>
        </w:rPr>
        <w:t xml:space="preserve"> § 35.151(e)(2); </w:t>
      </w:r>
      <w:r>
        <w:rPr>
          <w:rFonts w:ascii="Arial" w:eastAsia="Arial" w:hAnsi="Arial" w:cs="Arial"/>
          <w:i/>
          <w:color w:val="000000"/>
          <w:sz w:val="20"/>
        </w:rPr>
        <w:t>see also id.</w:t>
      </w:r>
      <w:r>
        <w:rPr>
          <w:rFonts w:ascii="Arial" w:eastAsia="Arial" w:hAnsi="Arial" w:cs="Arial"/>
          <w:color w:val="000000"/>
          <w:sz w:val="20"/>
        </w:rPr>
        <w:t xml:space="preserve"> § 35.151(b); ADAAG §§ 10.2.1(2),  [**11] 4.3.2.(1) (requiring that new bus shelters "be connected by an accessible route to the boarding area" and should, "to the maximum extent feasible, coincide with the route for the general public").</w:t>
      </w:r>
    </w:p>
    <w:p w14:paraId="10B8B7E9" w14:textId="77777777" w:rsidR="00D041A2" w:rsidRDefault="00000000">
      <w:pPr>
        <w:pStyle w:val="Normal45"/>
        <w:widowControl w:val="0"/>
        <w:spacing w:before="200" w:line="260" w:lineRule="atLeast"/>
        <w:jc w:val="both"/>
      </w:pPr>
      <w:bookmarkStart w:id="6168" w:name="Bookmark_para_15_31"/>
      <w:bookmarkEnd w:id="6168"/>
      <w:r>
        <w:rPr>
          <w:rFonts w:ascii="Arial" w:eastAsia="Arial" w:hAnsi="Arial" w:cs="Arial"/>
          <w:color w:val="000000"/>
          <w:sz w:val="20"/>
        </w:rPr>
        <w:t xml:space="preserve">As currently designed, the bus shelter lacks a curb cut on the side where buses pick up and drop off students each day. Instead, a disabled student seeking to board or disembark at the bus shelter is required to use a curb cut either on the opposite side of the platform, which requires him or her to travel in the bus lane and the adjacent driveway, or to use a curb cut more than 150 feet away which crosses another vehicular way. These alternative routes are plainly insufficient to qualify as accessible, falling far short of "equivalent access" and making the bus shelter all but unusable by disabled individuals. </w:t>
      </w:r>
      <w:r>
        <w:rPr>
          <w:rFonts w:ascii="Arial" w:eastAsia="Arial" w:hAnsi="Arial" w:cs="Arial"/>
          <w:i/>
          <w:color w:val="000000"/>
          <w:sz w:val="20"/>
        </w:rPr>
        <w:t>See id.</w:t>
      </w:r>
      <w:r>
        <w:rPr>
          <w:rFonts w:ascii="Arial" w:eastAsia="Arial" w:hAnsi="Arial" w:cs="Arial"/>
          <w:color w:val="000000"/>
          <w:sz w:val="20"/>
        </w:rPr>
        <w:t xml:space="preserve"> § 35.151(c). We find that the District's recently constructed bus shelter violates the ADA as a matter of law and remand only for a determination of relief with respect to that facility.</w:t>
      </w:r>
    </w:p>
    <w:p w14:paraId="19741287" w14:textId="77777777" w:rsidR="00D041A2" w:rsidRDefault="00000000">
      <w:pPr>
        <w:pStyle w:val="Normal45"/>
        <w:widowControl w:val="0"/>
        <w:spacing w:before="200" w:line="260" w:lineRule="atLeast"/>
        <w:jc w:val="both"/>
      </w:pPr>
      <w:bookmarkStart w:id="6169" w:name="Bookmark_para_16_30"/>
      <w:bookmarkStart w:id="6170" w:name="Bookmark_I502DMPJ0K1MNJ16G0000400"/>
      <w:bookmarkStart w:id="6171" w:name="Bookmark_I502DMPJ0K1MNJ16J0000400"/>
      <w:bookmarkEnd w:id="6169"/>
      <w:bookmarkEnd w:id="6170"/>
      <w:bookmarkEnd w:id="6171"/>
      <w:r>
        <w:rPr>
          <w:rFonts w:ascii="Arial" w:eastAsia="Arial" w:hAnsi="Arial" w:cs="Arial"/>
          <w:color w:val="000000"/>
          <w:sz w:val="20"/>
        </w:rPr>
        <w:t xml:space="preserve">With respect to the sidewalk near Cynthia Drive, the defendant contends that it does not "own" this property and therefore cannot be liable for any violations; however, their witness at trial  [**12] stated that the District is required to "maintain the sidewalk." It is not clear from the witness's testimony what he meant when he said that the District maintains the sidewalk, but if the District effectively controls this area and did so at the time of the new construction, then liability may still obtain. Although the plaintiff raises claims under Title II and the Rehabilitation Act, Title III may provide some guidance: </w:t>
      </w:r>
      <w:bookmarkStart w:id="6172" w:name="Bookmark_LNHNREFclscc9_29"/>
      <w:bookmarkEnd w:id="6172"/>
      <w:r>
        <w:rPr>
          <w:rFonts w:ascii="Arial" w:eastAsia="Arial" w:hAnsi="Arial" w:cs="Arial"/>
          <w:color w:val="000000"/>
          <w:sz w:val="20"/>
        </w:rPr>
        <w:t xml:space="preserve">it prohibits discrimination "by any person who owns, leases (or leases to), or </w:t>
      </w:r>
      <w:r>
        <w:rPr>
          <w:rFonts w:ascii="Arial" w:eastAsia="Arial" w:hAnsi="Arial" w:cs="Arial"/>
          <w:i/>
          <w:color w:val="000000"/>
          <w:sz w:val="20"/>
        </w:rPr>
        <w:t>operates</w:t>
      </w:r>
      <w:r>
        <w:rPr>
          <w:rFonts w:ascii="Arial" w:eastAsia="Arial" w:hAnsi="Arial" w:cs="Arial"/>
          <w:color w:val="000000"/>
          <w:sz w:val="20"/>
        </w:rPr>
        <w:t xml:space="preserve"> a place of public accommodation." 42 U.S.C. § 12182(a) (emphasis added); </w:t>
      </w:r>
      <w:r>
        <w:rPr>
          <w:rFonts w:ascii="Arial" w:eastAsia="Arial" w:hAnsi="Arial" w:cs="Arial"/>
          <w:i/>
          <w:color w:val="000000"/>
          <w:sz w:val="20"/>
        </w:rPr>
        <w:t xml:space="preserve">see </w:t>
      </w:r>
      <w:bookmarkStart w:id="6173" w:name="Bookmark_I502DMPJ0K1MNJ16F0000400"/>
      <w:bookmarkEnd w:id="6173"/>
      <w:r>
        <w:rPr>
          <w:rFonts w:ascii="Arial" w:eastAsia="Arial" w:hAnsi="Arial" w:cs="Arial"/>
          <w:i/>
          <w:color w:val="000000"/>
          <w:sz w:val="20"/>
        </w:rPr>
        <w:t xml:space="preserve">Powell v. </w:t>
      </w:r>
      <w:r>
        <w:rPr>
          <w:rFonts w:ascii="Arial" w:eastAsia="Arial" w:hAnsi="Arial" w:cs="Arial"/>
          <w:color w:val="000000"/>
          <w:sz w:val="20"/>
        </w:rPr>
        <w:t> [*91] </w:t>
      </w:r>
      <w:r>
        <w:rPr>
          <w:rFonts w:ascii="Arial" w:eastAsia="Arial" w:hAnsi="Arial" w:cs="Arial"/>
          <w:i/>
          <w:color w:val="000000"/>
          <w:sz w:val="20"/>
        </w:rPr>
        <w:t xml:space="preserve"> Nat'l Bd. of Medical Examiners,</w:t>
      </w:r>
      <w:r>
        <w:rPr>
          <w:rFonts w:ascii="Arial" w:eastAsia="Arial" w:hAnsi="Arial" w:cs="Arial"/>
          <w:color w:val="000000"/>
          <w:sz w:val="20"/>
        </w:rPr>
        <w:t xml:space="preserve"> 364 F.3d 79, 85 (2d Cir. 2004) ("[T]he standards adopted by Titles II and III of the ADA are, in most cases, the same as those required under the Rehabilitation Act."). Under Title III, "'to operate' means 'to put or keep in operation,' 'to control or direct the functioning of,' or 'to conduct the affairs of; manage.'" </w:t>
      </w:r>
      <w:bookmarkStart w:id="6174" w:name="Bookmark_I502DMPJ0K1MNJ16H0000400"/>
      <w:bookmarkEnd w:id="6174"/>
      <w:r>
        <w:rPr>
          <w:rFonts w:ascii="Arial" w:eastAsia="Arial" w:hAnsi="Arial" w:cs="Arial"/>
          <w:i/>
          <w:color w:val="000000"/>
          <w:sz w:val="20"/>
        </w:rPr>
        <w:t>Lentini v. Cal. Ctr. for the Arts,</w:t>
      </w:r>
      <w:r>
        <w:rPr>
          <w:rFonts w:ascii="Arial" w:eastAsia="Arial" w:hAnsi="Arial" w:cs="Arial"/>
          <w:color w:val="000000"/>
          <w:sz w:val="20"/>
        </w:rPr>
        <w:t xml:space="preserve"> 370 F.3d 837, 849 (9th Cir. 2004) (quoting </w:t>
      </w:r>
      <w:bookmarkStart w:id="6175" w:name="Bookmark_I502DMPJ0K1MNJ16K0000400"/>
      <w:bookmarkEnd w:id="6175"/>
      <w:r>
        <w:rPr>
          <w:rFonts w:ascii="Arial" w:eastAsia="Arial" w:hAnsi="Arial" w:cs="Arial"/>
          <w:i/>
          <w:color w:val="000000"/>
          <w:sz w:val="20"/>
        </w:rPr>
        <w:t>Neff v. Am. Dairy Queen Corp.,</w:t>
      </w:r>
      <w:r>
        <w:rPr>
          <w:rFonts w:ascii="Arial" w:eastAsia="Arial" w:hAnsi="Arial" w:cs="Arial"/>
          <w:color w:val="000000"/>
          <w:sz w:val="20"/>
        </w:rPr>
        <w:t xml:space="preserve"> 58 F.3d 1063, 1066 (5th Cir. 1995)). If this standard extends to Title II claims, and the District exercises the requisite control, it  [**13] may still be subject to liability. Because both the law and the facts are undeveloped on the record now before us, we remand this question to the district court for a full inquiry in the first instance.</w:t>
      </w:r>
    </w:p>
    <w:p w14:paraId="14F79751" w14:textId="77777777" w:rsidR="00D041A2" w:rsidRDefault="00000000">
      <w:pPr>
        <w:pStyle w:val="Normal45"/>
        <w:widowControl w:val="0"/>
        <w:spacing w:before="240" w:line="260" w:lineRule="atLeast"/>
      </w:pPr>
      <w:r>
        <w:br/>
      </w:r>
      <w:r>
        <w:rPr>
          <w:rFonts w:ascii="Arial" w:eastAsia="Arial" w:hAnsi="Arial" w:cs="Arial"/>
          <w:b/>
          <w:color w:val="000000"/>
          <w:sz w:val="20"/>
        </w:rPr>
        <w:t>Conclusion</w:t>
      </w:r>
    </w:p>
    <w:p w14:paraId="7974C2D5" w14:textId="77777777" w:rsidR="00D041A2" w:rsidRDefault="00000000">
      <w:pPr>
        <w:pStyle w:val="Normal45"/>
        <w:widowControl w:val="0"/>
        <w:spacing w:before="200" w:line="260" w:lineRule="atLeast"/>
        <w:jc w:val="both"/>
      </w:pPr>
      <w:bookmarkStart w:id="6176" w:name="Bookmark_para_17_29"/>
      <w:bookmarkEnd w:id="6176"/>
      <w:r>
        <w:rPr>
          <w:rFonts w:ascii="Arial" w:eastAsia="Arial" w:hAnsi="Arial" w:cs="Arial"/>
          <w:color w:val="000000"/>
          <w:sz w:val="20"/>
        </w:rPr>
        <w:t>We have considered the remainder of the parties' arguments and found them to be without merit. For the foregoing reasons the district court's determination of liability under the Acts for denial of access to school programs conducted on the athletic fields is AFFIRMED, the award of damages is VACATED and the case is REMANDED to the district court for a new trial with respect to damages arising out of Celeste's denial of access to programs conducted on the athletic fields, as well as from the construction of the bus depot, and for a new trial on liability and damages, if any, arising from the construction of the Cynthia Drive sidewalk.</w:t>
      </w:r>
    </w:p>
    <w:p w14:paraId="0F635F5E" w14:textId="77777777" w:rsidR="00D041A2" w:rsidRDefault="00D041A2">
      <w:pPr>
        <w:pStyle w:val="Normal45"/>
      </w:pPr>
    </w:p>
    <w:p w14:paraId="724E4188" w14:textId="37C4C809" w:rsidR="00D041A2" w:rsidRDefault="00000000">
      <w:pPr>
        <w:pStyle w:val="Normal45"/>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59616" behindDoc="0" locked="0" layoutInCell="1" allowOverlap="1" wp14:anchorId="4CDEAD9B" wp14:editId="794DC67E">
                <wp:simplePos x="0" y="0"/>
                <wp:positionH relativeFrom="column">
                  <wp:posOffset>0</wp:posOffset>
                </wp:positionH>
                <wp:positionV relativeFrom="paragraph">
                  <wp:posOffset>127000</wp:posOffset>
                </wp:positionV>
                <wp:extent cx="6502400" cy="0"/>
                <wp:effectExtent l="9525" t="12700" r="12700" b="6350"/>
                <wp:wrapNone/>
                <wp:docPr id="197403128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30067" id="Line 10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F34FAF0" w14:textId="77777777" w:rsidR="00D041A2" w:rsidRDefault="00D041A2">
      <w:pPr>
        <w:pStyle w:val="Normal46"/>
        <w:sectPr w:rsidR="00D041A2">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gutter="0"/>
          <w:cols w:space="720"/>
          <w:titlePg/>
        </w:sectPr>
      </w:pPr>
    </w:p>
    <w:p w14:paraId="6E8B9ED4" w14:textId="77777777" w:rsidR="00D041A2" w:rsidRDefault="00D041A2">
      <w:pPr>
        <w:pStyle w:val="Normal46"/>
      </w:pPr>
    </w:p>
    <w:p w14:paraId="7D591C74" w14:textId="77777777" w:rsidR="00D041A2" w:rsidRDefault="00000000">
      <w:pPr>
        <w:pStyle w:val="Heading145"/>
        <w:keepNext w:val="0"/>
        <w:widowControl w:val="0"/>
        <w:spacing w:after="200" w:line="340" w:lineRule="atLeast"/>
        <w:jc w:val="center"/>
      </w:pPr>
      <w:r>
        <w:rPr>
          <w:rFonts w:eastAsia="Arial"/>
          <w:color w:val="000000"/>
          <w:sz w:val="28"/>
        </w:rPr>
        <w:t>Mansourian v. Regents of the Univ. of Cal.</w:t>
      </w:r>
    </w:p>
    <w:p w14:paraId="5EA58EA4" w14:textId="77777777" w:rsidR="00D041A2" w:rsidRDefault="00000000">
      <w:pPr>
        <w:pStyle w:val="Normal46"/>
        <w:widowControl w:val="0"/>
        <w:spacing w:before="120" w:line="260" w:lineRule="atLeast"/>
        <w:jc w:val="center"/>
      </w:pPr>
      <w:r>
        <w:rPr>
          <w:rFonts w:ascii="Arial" w:eastAsia="Arial" w:hAnsi="Arial" w:cs="Arial"/>
          <w:color w:val="000000"/>
          <w:sz w:val="20"/>
        </w:rPr>
        <w:t>United States Court of Appeals for the Ninth Circuit</w:t>
      </w:r>
    </w:p>
    <w:p w14:paraId="105E1734" w14:textId="77777777" w:rsidR="00D041A2" w:rsidRDefault="00000000">
      <w:pPr>
        <w:pStyle w:val="Normal46"/>
        <w:widowControl w:val="0"/>
        <w:spacing w:before="120" w:line="260" w:lineRule="atLeast"/>
        <w:jc w:val="center"/>
      </w:pPr>
      <w:r>
        <w:rPr>
          <w:rFonts w:ascii="Arial" w:eastAsia="Arial" w:hAnsi="Arial" w:cs="Arial"/>
          <w:color w:val="000000"/>
          <w:sz w:val="20"/>
        </w:rPr>
        <w:t>October 8, 2009, Argued and Submitted, San Francisco, California; April 20, 2010, Amended</w:t>
      </w:r>
    </w:p>
    <w:p w14:paraId="04ACCF68" w14:textId="77777777" w:rsidR="00D041A2" w:rsidRDefault="00000000">
      <w:pPr>
        <w:pStyle w:val="Normal46"/>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08-16330</w:t>
      </w:r>
    </w:p>
    <w:p w14:paraId="749D6E05" w14:textId="77777777" w:rsidR="00D041A2" w:rsidRDefault="00D041A2">
      <w:pPr>
        <w:pStyle w:val="Normal46"/>
        <w:widowControl w:val="0"/>
        <w:spacing w:line="240" w:lineRule="atLeast"/>
        <w:jc w:val="both"/>
      </w:pPr>
      <w:bookmarkStart w:id="6177" w:name="Bookmark_47"/>
      <w:bookmarkEnd w:id="6177"/>
    </w:p>
    <w:p w14:paraId="56929A38" w14:textId="77777777" w:rsidR="00D041A2" w:rsidRDefault="00000000">
      <w:pPr>
        <w:pStyle w:val="Normal46"/>
        <w:widowControl w:val="0"/>
        <w:spacing w:before="200" w:line="240" w:lineRule="atLeast"/>
      </w:pPr>
      <w:bookmarkStart w:id="6178" w:name="Reporter_45"/>
      <w:bookmarkEnd w:id="6178"/>
      <w:r>
        <w:rPr>
          <w:rFonts w:ascii="Arial" w:eastAsia="Arial" w:hAnsi="Arial" w:cs="Arial"/>
          <w:b/>
          <w:color w:val="000000"/>
          <w:sz w:val="18"/>
        </w:rPr>
        <w:t>Reporter</w:t>
      </w:r>
    </w:p>
    <w:p w14:paraId="51333F78" w14:textId="77777777" w:rsidR="00D041A2" w:rsidRDefault="00000000">
      <w:pPr>
        <w:pStyle w:val="Normal46"/>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602 F.3d 957 *; 2010 U.S. App. LEXIS 8487 **</w:t>
      </w:r>
    </w:p>
    <w:p w14:paraId="3616B25D" w14:textId="77777777" w:rsidR="00D041A2" w:rsidRDefault="00000000">
      <w:pPr>
        <w:pStyle w:val="Normal46"/>
        <w:widowControl w:val="0"/>
        <w:spacing w:before="120" w:line="260" w:lineRule="atLeast"/>
      </w:pPr>
      <w:r>
        <w:rPr>
          <w:rFonts w:ascii="Arial" w:eastAsia="Arial" w:hAnsi="Arial" w:cs="Arial"/>
          <w:color w:val="000000"/>
          <w:sz w:val="20"/>
        </w:rPr>
        <w:t>AREZOU MANSOURIAN; LAUREN MANCUSO; CHRISTINE WING-SI NG, Plaintiffs-Appellants, v. REGENTS OF THE UNIVERSITY OF CALIFORNIA, UNIVERSITY OF CALIFORNIA AT DAVIS; LAWRENCE VANDERHOEF; GREG WARZECKA; PAM GILL-FISHER; LAWRENCE SWANSON, Defendants-Appellees.</w:t>
      </w:r>
    </w:p>
    <w:p w14:paraId="1FC57679" w14:textId="77777777" w:rsidR="00D041A2" w:rsidRDefault="00000000">
      <w:pPr>
        <w:pStyle w:val="Normal46"/>
        <w:widowControl w:val="0"/>
        <w:spacing w:before="240" w:line="260" w:lineRule="atLeast"/>
      </w:pPr>
      <w:bookmarkStart w:id="6179" w:name="Subsequent_History_6"/>
      <w:bookmarkEnd w:id="6179"/>
      <w:r>
        <w:rPr>
          <w:rFonts w:ascii="Arial" w:eastAsia="Arial" w:hAnsi="Arial" w:cs="Arial"/>
          <w:b/>
          <w:color w:val="000000"/>
          <w:sz w:val="20"/>
        </w:rPr>
        <w:t>Subsequent History:</w:t>
      </w:r>
      <w:r>
        <w:rPr>
          <w:rFonts w:ascii="Arial" w:eastAsia="Arial" w:hAnsi="Arial" w:cs="Arial"/>
          <w:color w:val="000000"/>
          <w:sz w:val="20"/>
        </w:rPr>
        <w:t> Appeal after remand at, Summary judgment granted, in part, summary judgment denied, in part by Mansourian v. Bd. of Regents, 2010 U.S. Dist. LEXIS 130020 (E.D. Cal., Dec. 8, 2010)</w:t>
      </w:r>
    </w:p>
    <w:p w14:paraId="755ECDE1" w14:textId="77777777" w:rsidR="00D041A2" w:rsidRDefault="00000000">
      <w:pPr>
        <w:pStyle w:val="Normal46"/>
        <w:widowControl w:val="0"/>
        <w:spacing w:before="240" w:line="260" w:lineRule="atLeast"/>
        <w:jc w:val="both"/>
      </w:pPr>
      <w:bookmarkStart w:id="6180" w:name="Prior_History_45"/>
      <w:bookmarkEnd w:id="6180"/>
      <w:r>
        <w:rPr>
          <w:rFonts w:ascii="Arial" w:eastAsia="Arial" w:hAnsi="Arial" w:cs="Arial"/>
          <w:b/>
          <w:color w:val="000000"/>
          <w:sz w:val="20"/>
        </w:rPr>
        <w:t>Prior History:</w:t>
      </w:r>
      <w:r>
        <w:rPr>
          <w:rFonts w:ascii="Arial" w:eastAsia="Arial" w:hAnsi="Arial" w:cs="Arial"/>
          <w:color w:val="000000"/>
          <w:sz w:val="20"/>
        </w:rPr>
        <w:t>  [**1] </w:t>
      </w:r>
      <w:bookmarkStart w:id="6181" w:name="Bookmark_para_1_45"/>
      <w:bookmarkEnd w:id="6181"/>
      <w:r>
        <w:rPr>
          <w:rFonts w:ascii="Arial" w:eastAsia="Arial" w:hAnsi="Arial" w:cs="Arial"/>
          <w:color w:val="000000"/>
          <w:sz w:val="20"/>
        </w:rPr>
        <w:t>Appeal from the United States District Court for the Eastern District of California. D.C. No. 2:03-cv-02591-FCD-EFB. Frank C. Damrell, District Judge, Presiding.</w:t>
      </w:r>
    </w:p>
    <w:p w14:paraId="510D2D58" w14:textId="77777777" w:rsidR="00D041A2" w:rsidRDefault="00000000">
      <w:pPr>
        <w:pStyle w:val="Normal46"/>
        <w:widowControl w:val="0"/>
        <w:spacing w:before="120" w:line="260" w:lineRule="atLeast"/>
      </w:pPr>
      <w:r>
        <w:rPr>
          <w:rFonts w:ascii="Arial" w:eastAsia="Arial" w:hAnsi="Arial" w:cs="Arial"/>
          <w:color w:val="000000"/>
          <w:sz w:val="20"/>
        </w:rPr>
        <w:t>Mansourian v. Regents of the Univ. of Cal., 594 F.3d 1095, 2010 U.S. App. LEXIS 2602 (9th Cir. Cal., 2010)</w:t>
      </w:r>
    </w:p>
    <w:p w14:paraId="01916582" w14:textId="77777777" w:rsidR="00D041A2" w:rsidRDefault="00000000">
      <w:pPr>
        <w:pStyle w:val="Normal46"/>
        <w:widowControl w:val="0"/>
        <w:spacing w:before="240" w:line="260" w:lineRule="atLeast"/>
      </w:pPr>
      <w:bookmarkStart w:id="6182" w:name="Counsel_45"/>
      <w:bookmarkEnd w:id="6182"/>
      <w:r>
        <w:rPr>
          <w:rFonts w:ascii="Arial" w:eastAsia="Arial" w:hAnsi="Arial" w:cs="Arial"/>
          <w:b/>
          <w:color w:val="000000"/>
          <w:sz w:val="20"/>
        </w:rPr>
        <w:t>Counsel:</w:t>
      </w:r>
      <w:r>
        <w:rPr>
          <w:rFonts w:ascii="Arial" w:eastAsia="Arial" w:hAnsi="Arial" w:cs="Arial"/>
          <w:color w:val="000000"/>
          <w:sz w:val="20"/>
        </w:rPr>
        <w:t> Noreen Farrell (argued), Debra Smith, James C. Sturdevant, Monique Olivier, San Francisco, California; Kristen Galles, Alexandria, Virginia, for plaintiffs-appellants Arezou Mansourian, Lauren Mancuso, and Christine Wing-Si Ng.</w:t>
      </w:r>
    </w:p>
    <w:p w14:paraId="41EFEC37" w14:textId="77777777" w:rsidR="00D041A2" w:rsidRDefault="00000000">
      <w:pPr>
        <w:pStyle w:val="Normal46"/>
        <w:widowControl w:val="0"/>
        <w:spacing w:before="120" w:line="260" w:lineRule="atLeast"/>
      </w:pPr>
      <w:r>
        <w:rPr>
          <w:rFonts w:ascii="Arial" w:eastAsia="Arial" w:hAnsi="Arial" w:cs="Arial"/>
          <w:color w:val="000000"/>
          <w:sz w:val="20"/>
        </w:rPr>
        <w:t>Nancy J. Sheehan, Sacramento, California, for defendants-appellees Regents of the University of California et al.</w:t>
      </w:r>
    </w:p>
    <w:p w14:paraId="2C45D878" w14:textId="77777777" w:rsidR="00D041A2" w:rsidRDefault="00000000">
      <w:pPr>
        <w:pStyle w:val="Normal46"/>
        <w:widowControl w:val="0"/>
        <w:spacing w:before="240" w:line="260" w:lineRule="atLeast"/>
      </w:pPr>
      <w:bookmarkStart w:id="6183" w:name="Judges_45"/>
      <w:bookmarkEnd w:id="6183"/>
      <w:r>
        <w:rPr>
          <w:rFonts w:ascii="Arial" w:eastAsia="Arial" w:hAnsi="Arial" w:cs="Arial"/>
          <w:b/>
          <w:color w:val="000000"/>
          <w:sz w:val="20"/>
        </w:rPr>
        <w:t>Judges:</w:t>
      </w:r>
      <w:r>
        <w:rPr>
          <w:rFonts w:ascii="Arial" w:eastAsia="Arial" w:hAnsi="Arial" w:cs="Arial"/>
          <w:color w:val="000000"/>
          <w:sz w:val="20"/>
        </w:rPr>
        <w:t xml:space="preserve"> Before: Mary M. Schroeder and Marsha S. Berzon, Circuit Judges, and Milton I. Shadur, </w:t>
      </w:r>
      <w:r>
        <w:rPr>
          <w:rFonts w:ascii="Arial" w:eastAsia="Arial" w:hAnsi="Arial" w:cs="Arial"/>
          <w:vertAlign w:val="superscript"/>
        </w:rPr>
        <w:footnoteReference w:customMarkFollows="1" w:id="290"/>
        <w:t>*</w:t>
      </w:r>
      <w:r>
        <w:rPr>
          <w:rFonts w:ascii="Arial" w:eastAsia="Arial" w:hAnsi="Arial" w:cs="Arial"/>
          <w:color w:val="000000"/>
          <w:sz w:val="20"/>
        </w:rPr>
        <w:t xml:space="preserve"> District Judge.</w:t>
      </w:r>
    </w:p>
    <w:p w14:paraId="0E8E3469" w14:textId="77777777" w:rsidR="00D041A2" w:rsidRDefault="00000000">
      <w:pPr>
        <w:pStyle w:val="Normal46"/>
        <w:widowControl w:val="0"/>
        <w:spacing w:before="240" w:line="260" w:lineRule="atLeast"/>
      </w:pPr>
      <w:bookmarkStart w:id="6185" w:name="Opinion_by_26"/>
      <w:bookmarkEnd w:id="6185"/>
      <w:r>
        <w:rPr>
          <w:rFonts w:ascii="Arial" w:eastAsia="Arial" w:hAnsi="Arial" w:cs="Arial"/>
          <w:b/>
          <w:color w:val="000000"/>
          <w:sz w:val="20"/>
        </w:rPr>
        <w:t>Opinion by:</w:t>
      </w:r>
      <w:r>
        <w:rPr>
          <w:rFonts w:ascii="Arial" w:eastAsia="Arial" w:hAnsi="Arial" w:cs="Arial"/>
          <w:color w:val="000000"/>
          <w:sz w:val="20"/>
        </w:rPr>
        <w:t> Marsha S. Berzon</w:t>
      </w:r>
    </w:p>
    <w:p w14:paraId="007D5832" w14:textId="77777777" w:rsidR="00D041A2" w:rsidRDefault="00000000">
      <w:pPr>
        <w:pStyle w:val="Normal46"/>
        <w:keepNext/>
        <w:widowControl w:val="0"/>
        <w:spacing w:before="240" w:line="340" w:lineRule="atLeast"/>
      </w:pPr>
      <w:bookmarkStart w:id="6186" w:name="Opinion_45"/>
      <w:bookmarkEnd w:id="6186"/>
      <w:r>
        <w:rPr>
          <w:rFonts w:ascii="Arial" w:eastAsia="Arial" w:hAnsi="Arial" w:cs="Arial"/>
          <w:b/>
          <w:color w:val="000000"/>
          <w:sz w:val="28"/>
        </w:rPr>
        <w:t>Opinion</w:t>
      </w:r>
    </w:p>
    <w:p w14:paraId="63AD248B" w14:textId="25B37D13" w:rsidR="00D041A2" w:rsidRDefault="004D4403">
      <w:pPr>
        <w:pStyle w:val="Normal46"/>
        <w:spacing w:line="60" w:lineRule="exact"/>
      </w:pPr>
      <w:r>
        <w:rPr>
          <w:noProof/>
        </w:rPr>
        <mc:AlternateContent>
          <mc:Choice Requires="wps">
            <w:drawing>
              <wp:anchor distT="0" distB="0" distL="114300" distR="114300" simplePos="0" relativeHeight="251760640" behindDoc="0" locked="0" layoutInCell="1" allowOverlap="1" wp14:anchorId="15B6FFE2" wp14:editId="3A35315D">
                <wp:simplePos x="0" y="0"/>
                <wp:positionH relativeFrom="column">
                  <wp:posOffset>0</wp:posOffset>
                </wp:positionH>
                <wp:positionV relativeFrom="paragraph">
                  <wp:posOffset>25400</wp:posOffset>
                </wp:positionV>
                <wp:extent cx="3187700" cy="0"/>
                <wp:effectExtent l="19050" t="15875" r="12700" b="12700"/>
                <wp:wrapTopAndBottom/>
                <wp:docPr id="422070477"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A5134" id="Line 102"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45FD30D" w14:textId="77777777" w:rsidR="00D041A2" w:rsidRDefault="00D041A2">
      <w:pPr>
        <w:pStyle w:val="Normal46"/>
      </w:pPr>
    </w:p>
    <w:p w14:paraId="6B303D89" w14:textId="77777777" w:rsidR="00D041A2" w:rsidRDefault="00000000">
      <w:pPr>
        <w:pStyle w:val="Normal46"/>
        <w:widowControl w:val="0"/>
        <w:spacing w:before="200" w:line="260" w:lineRule="atLeast"/>
        <w:jc w:val="both"/>
      </w:pPr>
      <w:bookmarkStart w:id="6187" w:name="Bookmark_para_2_45"/>
      <w:bookmarkEnd w:id="6187"/>
      <w:r>
        <w:rPr>
          <w:rFonts w:ascii="Arial" w:eastAsia="Arial" w:hAnsi="Arial" w:cs="Arial"/>
          <w:color w:val="000000"/>
          <w:sz w:val="20"/>
        </w:rPr>
        <w:t> [*961]  BERZON, Circuit Judge:</w:t>
      </w:r>
    </w:p>
    <w:p w14:paraId="34B5AA3B" w14:textId="77777777" w:rsidR="00D041A2" w:rsidRDefault="00000000">
      <w:pPr>
        <w:pStyle w:val="Normal46"/>
        <w:widowControl w:val="0"/>
        <w:spacing w:before="200" w:line="260" w:lineRule="atLeast"/>
        <w:jc w:val="both"/>
      </w:pPr>
      <w:bookmarkStart w:id="6188" w:name="Bookmark_para_3_45"/>
      <w:bookmarkEnd w:id="6188"/>
      <w:r>
        <w:rPr>
          <w:rFonts w:ascii="Arial" w:eastAsia="Arial" w:hAnsi="Arial" w:cs="Arial"/>
          <w:color w:val="000000"/>
          <w:sz w:val="20"/>
        </w:rPr>
        <w:t xml:space="preserve">The statute known as Title IX, 20 U.S.C. § 1681, is widely recognized as the source of a vast expansion of athletic opportunities for women in the nation's schools and universities, so much so that a company that sells women's athletic apparel now mimics its name. </w:t>
      </w:r>
      <w:r>
        <w:rPr>
          <w:rFonts w:ascii="Arial" w:eastAsia="Arial" w:hAnsi="Arial" w:cs="Arial"/>
          <w:i/>
          <w:color w:val="000000"/>
          <w:sz w:val="20"/>
        </w:rPr>
        <w:t>See</w:t>
      </w:r>
      <w:r>
        <w:rPr>
          <w:rFonts w:ascii="Arial" w:eastAsia="Arial" w:hAnsi="Arial" w:cs="Arial"/>
          <w:color w:val="000000"/>
          <w:sz w:val="20"/>
        </w:rPr>
        <w:t xml:space="preserve"> www.titlenine.com. Despite that renown, the district court in this case held that a university that receives federal funds cannot be held liable in damages for  [**2] failing effectively to accommodate the athletic interests of both men and women unless the aggrieved women first provide the appropriate university officials with notice of their disadvantageous treatment and an opportunity to cure it.</w:t>
      </w:r>
    </w:p>
    <w:p w14:paraId="38505DD8" w14:textId="77777777" w:rsidR="00D041A2" w:rsidRDefault="00000000">
      <w:pPr>
        <w:pStyle w:val="Normal46"/>
        <w:widowControl w:val="0"/>
        <w:spacing w:before="200" w:line="260" w:lineRule="atLeast"/>
        <w:jc w:val="both"/>
      </w:pPr>
      <w:bookmarkStart w:id="6189" w:name="Bookmark_para_4_45"/>
      <w:bookmarkEnd w:id="6189"/>
      <w:r>
        <w:rPr>
          <w:rFonts w:ascii="Arial" w:eastAsia="Arial" w:hAnsi="Arial" w:cs="Arial"/>
          <w:color w:val="000000"/>
          <w:sz w:val="20"/>
        </w:rPr>
        <w:t>We disagree and so, with respect to the central issue in this case, reverse the district court's grant of summary judgment on that ground. We hold as well that the defendant university is not entitled to summary judgment on the alternative ground that it has complied with Title IX. We also reverse the order dismissing the plaintiffs' equal protection claim and remand for further proceedings consistent with this opinion.</w:t>
      </w:r>
    </w:p>
    <w:p w14:paraId="7E2CFB16" w14:textId="77777777" w:rsidR="00D041A2" w:rsidRDefault="00000000">
      <w:pPr>
        <w:pStyle w:val="Normal46"/>
        <w:widowControl w:val="0"/>
        <w:spacing w:before="240" w:line="260" w:lineRule="atLeast"/>
      </w:pPr>
      <w:r>
        <w:br/>
      </w:r>
      <w:r>
        <w:rPr>
          <w:rFonts w:ascii="Arial" w:eastAsia="Arial" w:hAnsi="Arial" w:cs="Arial"/>
          <w:b/>
          <w:color w:val="000000"/>
          <w:sz w:val="20"/>
        </w:rPr>
        <w:t>FACTUAL AND PROCEDURAL BACKGROUND</w:t>
      </w:r>
    </w:p>
    <w:p w14:paraId="1EA9701C" w14:textId="77777777" w:rsidR="00D041A2" w:rsidRDefault="00000000">
      <w:pPr>
        <w:pStyle w:val="Normal46"/>
        <w:widowControl w:val="0"/>
        <w:spacing w:before="200" w:line="260" w:lineRule="atLeast"/>
        <w:jc w:val="both"/>
      </w:pPr>
      <w:bookmarkStart w:id="6190" w:name="Bookmark_para_5_45"/>
      <w:bookmarkEnd w:id="6190"/>
      <w:r>
        <w:rPr>
          <w:rFonts w:ascii="Arial" w:eastAsia="Arial" w:hAnsi="Arial" w:cs="Arial"/>
          <w:color w:val="000000"/>
          <w:sz w:val="20"/>
        </w:rPr>
        <w:t xml:space="preserve">Arezou Mansourian, Lauren Mancuso, and Christine Wing-Si Ng (hereafter plaintiffs or students) are women who wrestled in high school and chose to attend the University of California, Davis (UCD) so they could participate in the university's acclaimed wrestling program, which had long provided opportunities for women. </w:t>
      </w:r>
      <w:r>
        <w:rPr>
          <w:rFonts w:ascii="Arial" w:eastAsia="Arial" w:hAnsi="Arial" w:cs="Arial"/>
          <w:vertAlign w:val="superscript"/>
        </w:rPr>
        <w:footnoteReference w:customMarkFollows="1" w:id="291"/>
        <w:t>1</w:t>
      </w:r>
      <w:r>
        <w:rPr>
          <w:rFonts w:ascii="Arial" w:eastAsia="Arial" w:hAnsi="Arial" w:cs="Arial"/>
          <w:color w:val="000000"/>
          <w:sz w:val="20"/>
        </w:rPr>
        <w:t xml:space="preserve"> The plaintiffs participated in varsity wrestling and enjoyed the benefits associated  [*962]  with varsity status: training, coaching, and laundry services; academic tutoring; insurance; and access  [**3] to varsity facilities and equipment. </w:t>
      </w:r>
      <w:r>
        <w:rPr>
          <w:rFonts w:ascii="Arial" w:eastAsia="Arial" w:hAnsi="Arial" w:cs="Arial"/>
          <w:vertAlign w:val="superscript"/>
        </w:rPr>
        <w:footnoteReference w:customMarkFollows="1" w:id="292"/>
        <w:t>2</w:t>
      </w:r>
      <w:r>
        <w:rPr>
          <w:rFonts w:ascii="Arial" w:eastAsia="Arial" w:hAnsi="Arial" w:cs="Arial"/>
          <w:color w:val="000000"/>
          <w:sz w:val="20"/>
        </w:rPr>
        <w:t xml:space="preserve"> UCD did not operate separate wrestling teams for men and women; a handful of women wrestlers participated in what was largely a men's team, practicing with the men and receiving coaching from Coach Mike Burch.</w:t>
      </w:r>
    </w:p>
    <w:p w14:paraId="653E920D" w14:textId="77777777" w:rsidR="00D041A2" w:rsidRDefault="00000000">
      <w:pPr>
        <w:pStyle w:val="Normal46"/>
        <w:widowControl w:val="0"/>
        <w:spacing w:before="200" w:line="260" w:lineRule="atLeast"/>
        <w:jc w:val="both"/>
      </w:pPr>
      <w:bookmarkStart w:id="6193" w:name="Bookmark_para_6_45"/>
      <w:bookmarkEnd w:id="6193"/>
      <w:r>
        <w:rPr>
          <w:rFonts w:ascii="Arial" w:eastAsia="Arial" w:hAnsi="Arial" w:cs="Arial"/>
          <w:color w:val="000000"/>
          <w:sz w:val="20"/>
        </w:rPr>
        <w:t xml:space="preserve">During the 2000-2001 academic year,  [**4] UCD eliminated all women from the wrestling team. After the students protested to UCD administrators and filed a complaint with the Office for Civil Rights (OCR), </w:t>
      </w:r>
      <w:r>
        <w:rPr>
          <w:rFonts w:ascii="Arial" w:eastAsia="Arial" w:hAnsi="Arial" w:cs="Arial"/>
          <w:vertAlign w:val="superscript"/>
        </w:rPr>
        <w:footnoteReference w:customMarkFollows="1" w:id="293"/>
        <w:t>3</w:t>
      </w:r>
      <w:r>
        <w:rPr>
          <w:rFonts w:ascii="Arial" w:eastAsia="Arial" w:hAnsi="Arial" w:cs="Arial"/>
          <w:color w:val="000000"/>
          <w:sz w:val="20"/>
        </w:rPr>
        <w:t xml:space="preserve"> UCD agreed to permit women again to participate in varsity wrestling. Their participation, however, was conditioned on their ability to beat male wrestlers in their weight class, using men's collegiate wrestling rules. (Prior to their elimination from the team, women wrestlers at UCD had competed only against other women and used international freestyle rules.) As a result of the new requirement that they compete against men under men's rules, the female students were unable to participate on the wrestling team and lost the benefits associated with varsity status, including scholarships and academic credit.</w:t>
      </w:r>
    </w:p>
    <w:p w14:paraId="2C75D930" w14:textId="77777777" w:rsidR="00D041A2" w:rsidRDefault="00000000">
      <w:pPr>
        <w:pStyle w:val="Normal46"/>
        <w:widowControl w:val="0"/>
        <w:spacing w:before="200" w:line="260" w:lineRule="atLeast"/>
        <w:jc w:val="both"/>
      </w:pPr>
      <w:bookmarkStart w:id="6195" w:name="Bookmark_para_7_45"/>
      <w:bookmarkEnd w:id="6195"/>
      <w:r>
        <w:rPr>
          <w:rFonts w:ascii="Arial" w:eastAsia="Arial" w:hAnsi="Arial" w:cs="Arial"/>
          <w:color w:val="000000"/>
          <w:sz w:val="20"/>
        </w:rPr>
        <w:t xml:space="preserve">The students then filed a class action against UCD and several UCD officials in their individual and official capacities, on behalf of all current and future female UCD students denied equal athletic participation opportunities. The plaintiffs sought damages and injunctive relief under Title IX and also asserted equal protection  [**5] claims under 42 U.S.C. § 1983. </w:t>
      </w:r>
      <w:r>
        <w:rPr>
          <w:rFonts w:ascii="Arial" w:eastAsia="Arial" w:hAnsi="Arial" w:cs="Arial"/>
          <w:vertAlign w:val="superscript"/>
        </w:rPr>
        <w:footnoteReference w:customMarkFollows="1" w:id="294"/>
        <w:t>4</w:t>
      </w:r>
      <w:r>
        <w:rPr>
          <w:rFonts w:ascii="Arial" w:eastAsia="Arial" w:hAnsi="Arial" w:cs="Arial"/>
          <w:color w:val="000000"/>
          <w:sz w:val="20"/>
        </w:rPr>
        <w:t xml:space="preserve"> </w:t>
      </w:r>
    </w:p>
    <w:p w14:paraId="4019BF75" w14:textId="77777777" w:rsidR="00D041A2" w:rsidRDefault="00000000">
      <w:pPr>
        <w:pStyle w:val="Normal46"/>
        <w:widowControl w:val="0"/>
        <w:spacing w:before="200" w:line="260" w:lineRule="atLeast"/>
        <w:jc w:val="both"/>
      </w:pPr>
      <w:bookmarkStart w:id="6197" w:name="Bookmark_para_8_44"/>
      <w:bookmarkEnd w:id="6197"/>
      <w:r>
        <w:rPr>
          <w:rFonts w:ascii="Arial" w:eastAsia="Arial" w:hAnsi="Arial" w:cs="Arial"/>
          <w:color w:val="000000"/>
          <w:sz w:val="20"/>
        </w:rPr>
        <w:t xml:space="preserve">Just before the scheduled hearing on class certification, the plaintiffs requested a stay due to their attorney's serious illness. </w:t>
      </w:r>
      <w:bookmarkStart w:id="6198" w:name="Bookmark_I502VRCF0K1MNJ4P40000400"/>
      <w:bookmarkEnd w:id="6198"/>
      <w:r>
        <w:rPr>
          <w:rFonts w:ascii="Arial" w:eastAsia="Arial" w:hAnsi="Arial" w:cs="Arial"/>
          <w:color w:val="000000"/>
          <w:sz w:val="20"/>
        </w:rPr>
        <w:t xml:space="preserve">During the ten-month stay, Mancuso, the only named plaintiff still attending UCD at that point, graduated. As soon as the stay ended, the plaintiffs moved to add as plaintiffs three students, Kelsey Brust, Laura Ludwig, and Jessica Bulala, all still enrolled at UCD. The district court refused to allow the amendment, holding that the plaintiffs failed to meet the good cause required under Federal Rule of Civil Procedure 16 when such a motion is filed after the issuance of a scheduling order. </w:t>
      </w:r>
      <w:r>
        <w:rPr>
          <w:rFonts w:ascii="Arial" w:eastAsia="Arial" w:hAnsi="Arial" w:cs="Arial"/>
          <w:i/>
          <w:color w:val="000000"/>
          <w:sz w:val="20"/>
        </w:rPr>
        <w:t xml:space="preserve">See </w:t>
      </w:r>
      <w:bookmarkStart w:id="6199" w:name="Bookmark_I502VRCF0K1MNJ4P30000400"/>
      <w:bookmarkEnd w:id="6199"/>
      <w:r>
        <w:rPr>
          <w:rFonts w:ascii="Arial" w:eastAsia="Arial" w:hAnsi="Arial" w:cs="Arial"/>
          <w:i/>
          <w:color w:val="000000"/>
          <w:sz w:val="20"/>
        </w:rPr>
        <w:t>Johnson v. Mammoth Recreations, Inc</w:t>
      </w:r>
      <w:r>
        <w:rPr>
          <w:rFonts w:ascii="Arial" w:eastAsia="Arial" w:hAnsi="Arial" w:cs="Arial"/>
          <w:color w:val="000000"/>
          <w:sz w:val="20"/>
        </w:rPr>
        <w:t>., 975 F.2d 604, 607-08 (9th Cir. 1992). Without any named plaintiffs currently attending UCD, the plaintiffs stipulated  [**6] to dismissal of the class claims for injunctive relief.</w:t>
      </w:r>
    </w:p>
    <w:p w14:paraId="36D2CE1C" w14:textId="77777777" w:rsidR="00D041A2" w:rsidRDefault="00000000">
      <w:pPr>
        <w:pStyle w:val="Normal46"/>
        <w:widowControl w:val="0"/>
        <w:spacing w:before="200" w:line="260" w:lineRule="atLeast"/>
        <w:jc w:val="both"/>
      </w:pPr>
      <w:bookmarkStart w:id="6200" w:name="Bookmark_para_9_42"/>
      <w:bookmarkStart w:id="6201" w:name="Bookmark_I502VRCF0K1MNJ4P60000400"/>
      <w:bookmarkEnd w:id="6200"/>
      <w:bookmarkEnd w:id="6201"/>
      <w:r>
        <w:rPr>
          <w:rFonts w:ascii="Arial" w:eastAsia="Arial" w:hAnsi="Arial" w:cs="Arial"/>
          <w:color w:val="000000"/>
          <w:sz w:val="20"/>
        </w:rPr>
        <w:t xml:space="preserve">The district court subsequently dismissed the § 1983 claim as "subsumed" by the Title IX claim, citing </w:t>
      </w:r>
      <w:bookmarkStart w:id="6202" w:name="Bookmark_I502VRCF0K1MNJ4P50000400"/>
      <w:bookmarkEnd w:id="6202"/>
      <w:r>
        <w:rPr>
          <w:rFonts w:ascii="Arial" w:eastAsia="Arial" w:hAnsi="Arial" w:cs="Arial"/>
          <w:i/>
          <w:color w:val="000000"/>
          <w:sz w:val="20"/>
        </w:rPr>
        <w:t xml:space="preserve">Middlesex County Sewer Authority v. National Sea </w:t>
      </w:r>
      <w:r>
        <w:rPr>
          <w:rFonts w:ascii="Arial" w:eastAsia="Arial" w:hAnsi="Arial" w:cs="Arial"/>
          <w:color w:val="000000"/>
          <w:sz w:val="20"/>
        </w:rPr>
        <w:t> [*963] </w:t>
      </w:r>
      <w:r>
        <w:rPr>
          <w:rFonts w:ascii="Arial" w:eastAsia="Arial" w:hAnsi="Arial" w:cs="Arial"/>
          <w:i/>
          <w:color w:val="000000"/>
          <w:sz w:val="20"/>
        </w:rPr>
        <w:t xml:space="preserve"> Clammers Ass'n</w:t>
      </w:r>
      <w:r>
        <w:rPr>
          <w:rFonts w:ascii="Arial" w:eastAsia="Arial" w:hAnsi="Arial" w:cs="Arial"/>
          <w:color w:val="000000"/>
          <w:sz w:val="20"/>
        </w:rPr>
        <w:t>., 453 U.S. 1, 101 S. Ct. 2615, 69 L. Ed. 2d 435 (1981). The district court then granted UCD's motion for summary judgment, holding that the students were required, to perfect their claim, to give UCD notice in advance of filing suit of the alleged Title IX violation and an opportunity to cure it, and had failed to do so. The students timely appealed.</w:t>
      </w:r>
    </w:p>
    <w:p w14:paraId="5039E382" w14:textId="77777777" w:rsidR="00D041A2" w:rsidRDefault="00000000">
      <w:pPr>
        <w:pStyle w:val="Normal46"/>
        <w:widowControl w:val="0"/>
        <w:spacing w:before="240" w:line="260" w:lineRule="atLeast"/>
      </w:pPr>
      <w:r>
        <w:br/>
      </w:r>
      <w:r>
        <w:rPr>
          <w:rFonts w:ascii="Arial" w:eastAsia="Arial" w:hAnsi="Arial" w:cs="Arial"/>
          <w:b/>
          <w:color w:val="000000"/>
          <w:sz w:val="20"/>
        </w:rPr>
        <w:t>ANALYSIS</w:t>
      </w:r>
    </w:p>
    <w:p w14:paraId="57D9DC2D" w14:textId="77777777" w:rsidR="00D041A2" w:rsidRDefault="00000000">
      <w:pPr>
        <w:pStyle w:val="Normal46"/>
        <w:widowControl w:val="0"/>
        <w:spacing w:before="200" w:line="260" w:lineRule="atLeast"/>
        <w:jc w:val="both"/>
      </w:pPr>
      <w:bookmarkStart w:id="6203" w:name="Bookmark_para_10_42"/>
      <w:bookmarkStart w:id="6204" w:name="Bookmark_LNHNREFclscc1_35"/>
      <w:bookmarkStart w:id="6205" w:name="Bookmark_I502VRCF0K1MNJ5280000400"/>
      <w:bookmarkStart w:id="6206" w:name="Bookmark_I502VRCF0K1MNJ52B0000400"/>
      <w:bookmarkEnd w:id="6203"/>
      <w:bookmarkEnd w:id="6204"/>
      <w:bookmarkEnd w:id="6205"/>
      <w:bookmarkEnd w:id="6206"/>
      <w:r>
        <w:rPr>
          <w:rFonts w:ascii="Arial" w:eastAsia="Arial" w:hAnsi="Arial" w:cs="Arial"/>
          <w:color w:val="000000"/>
          <w:sz w:val="20"/>
        </w:rPr>
        <w:t xml:space="preserve">We review de novo the district court's dismissal on the pleadings pursuant to Rule 12(c), </w:t>
      </w:r>
      <w:bookmarkStart w:id="6207" w:name="Bookmark_I502VRCF0K1MNJ4P70000400"/>
      <w:bookmarkEnd w:id="6207"/>
      <w:r>
        <w:rPr>
          <w:rFonts w:ascii="Arial" w:eastAsia="Arial" w:hAnsi="Arial" w:cs="Arial"/>
          <w:i/>
          <w:color w:val="000000"/>
          <w:sz w:val="20"/>
        </w:rPr>
        <w:t>Dunlap v. Credit Protection Ass'n, L.P</w:t>
      </w:r>
      <w:r>
        <w:rPr>
          <w:rFonts w:ascii="Arial" w:eastAsia="Arial" w:hAnsi="Arial" w:cs="Arial"/>
          <w:color w:val="000000"/>
          <w:sz w:val="20"/>
        </w:rPr>
        <w:t xml:space="preserve">., 419 F.3d 1011, 1012 n.1 (9th Cir. 2005), as well as the grant of summary judgment. </w:t>
      </w:r>
      <w:bookmarkStart w:id="6208" w:name="Bookmark_I502VRCF0K1MNJ52D0000400"/>
      <w:bookmarkStart w:id="6209" w:name="Bookmark_I502VRCF0K1MNJ5290000400"/>
      <w:bookmarkEnd w:id="6208"/>
      <w:bookmarkEnd w:id="6209"/>
      <w:r>
        <w:rPr>
          <w:rFonts w:ascii="Arial" w:eastAsia="Arial" w:hAnsi="Arial" w:cs="Arial"/>
          <w:i/>
          <w:color w:val="000000"/>
          <w:sz w:val="20"/>
        </w:rPr>
        <w:t>Avista Corp. Inc. v. Wolfe</w:t>
      </w:r>
      <w:r>
        <w:rPr>
          <w:rFonts w:ascii="Arial" w:eastAsia="Arial" w:hAnsi="Arial" w:cs="Arial"/>
          <w:color w:val="000000"/>
          <w:sz w:val="20"/>
        </w:rPr>
        <w:t xml:space="preserve">, 549 F.3d 1239, 1246 (9th Cir. 2008). </w:t>
      </w:r>
      <w:bookmarkStart w:id="6210" w:name="Bookmark_LNHNREFclscc2_35"/>
      <w:bookmarkEnd w:id="6210"/>
      <w:r>
        <w:rPr>
          <w:rFonts w:ascii="Arial" w:eastAsia="Arial" w:hAnsi="Arial" w:cs="Arial"/>
          <w:color w:val="000000"/>
          <w:sz w:val="20"/>
        </w:rPr>
        <w:t xml:space="preserve">We review the denial of a motion to amend under Rule 16(b) for abuse of discretion. </w:t>
      </w:r>
      <w:bookmarkStart w:id="6211" w:name="Bookmark_I502VRCF0K1MNJ52D0000400_2"/>
      <w:bookmarkStart w:id="6212" w:name="Bookmark_I502VRCF0K1MNJ52C0000400"/>
      <w:bookmarkEnd w:id="6211"/>
      <w:bookmarkEnd w:id="6212"/>
      <w:r>
        <w:rPr>
          <w:rFonts w:ascii="Arial" w:eastAsia="Arial" w:hAnsi="Arial" w:cs="Arial"/>
          <w:i/>
          <w:color w:val="000000"/>
          <w:sz w:val="20"/>
        </w:rPr>
        <w:t>Noyes v. Kelly Servs</w:t>
      </w:r>
      <w:r>
        <w:rPr>
          <w:rFonts w:ascii="Arial" w:eastAsia="Arial" w:hAnsi="Arial" w:cs="Arial"/>
          <w:color w:val="000000"/>
          <w:sz w:val="20"/>
        </w:rPr>
        <w:t>., 488 F.3d 1163, 1174 n.6 (9th Cir. 2006).</w:t>
      </w:r>
    </w:p>
    <w:p w14:paraId="5BE07E0B" w14:textId="77777777" w:rsidR="00D041A2" w:rsidRDefault="00000000">
      <w:pPr>
        <w:pStyle w:val="Normal46"/>
        <w:widowControl w:val="0"/>
        <w:spacing w:before="200" w:line="260" w:lineRule="atLeast"/>
        <w:jc w:val="both"/>
      </w:pPr>
      <w:bookmarkStart w:id="6213" w:name="Bookmark_para_11_40"/>
      <w:bookmarkEnd w:id="6213"/>
      <w:r>
        <w:rPr>
          <w:rFonts w:ascii="Arial" w:eastAsia="Arial" w:hAnsi="Arial" w:cs="Arial"/>
          <w:color w:val="000000"/>
          <w:sz w:val="20"/>
        </w:rPr>
        <w:t>Before proceeding to discuss the merits of this case, we consider whether we have jurisdiction to decide the plaintiffs' challenge to the district court's denial of their motion to add Brust, Bulala, and Ludwig as plaintiffs. We  [**7] hold that this issue is moot and so beyond our jurisdiction, for the reasons we now explain.</w:t>
      </w:r>
    </w:p>
    <w:p w14:paraId="4E5041B7" w14:textId="77777777" w:rsidR="00D041A2" w:rsidRDefault="00000000">
      <w:pPr>
        <w:pStyle w:val="Normal46"/>
        <w:widowControl w:val="0"/>
        <w:spacing w:before="200" w:line="260" w:lineRule="atLeast"/>
        <w:jc w:val="both"/>
      </w:pPr>
      <w:bookmarkStart w:id="6214" w:name="Bookmark_para_12_39"/>
      <w:bookmarkStart w:id="6215" w:name="Bookmark_I502VRCF0K1MNJ52N0000400"/>
      <w:bookmarkStart w:id="6216" w:name="Bookmark_I502VRCF0K1MNJ52R0000400"/>
      <w:bookmarkEnd w:id="6214"/>
      <w:bookmarkEnd w:id="6215"/>
      <w:bookmarkEnd w:id="6216"/>
      <w:r>
        <w:rPr>
          <w:rFonts w:ascii="Arial" w:eastAsia="Arial" w:hAnsi="Arial" w:cs="Arial"/>
          <w:color w:val="000000"/>
          <w:sz w:val="20"/>
        </w:rPr>
        <w:t xml:space="preserve">After the district court denied the motion, Brust, Bulala, and Ludwig initiated a separate lawsuit against UCD. The district court certified a class of "[a]ll present, prospective, and future women students at [UCD] who seek to participate in and/or who are deterred from participating in intercollegiate athletics at [UCD]." Stipulated Judgment and Order at 1, </w:t>
      </w:r>
      <w:bookmarkStart w:id="6217" w:name="Bookmark_I502VRCF0K1MNJ52M0000400"/>
      <w:bookmarkEnd w:id="6217"/>
      <w:r>
        <w:rPr>
          <w:rFonts w:ascii="Arial" w:eastAsia="Arial" w:hAnsi="Arial" w:cs="Arial"/>
          <w:i/>
          <w:color w:val="000000"/>
          <w:sz w:val="20"/>
        </w:rPr>
        <w:t>Brust v. Regents of the Univ. of Cal</w:t>
      </w:r>
      <w:r>
        <w:rPr>
          <w:rFonts w:ascii="Arial" w:eastAsia="Arial" w:hAnsi="Arial" w:cs="Arial"/>
          <w:color w:val="000000"/>
          <w:sz w:val="20"/>
        </w:rPr>
        <w:t xml:space="preserve">., No. 07-1488, 2009 U.S. Dist. LEXIS 124980 (E.D. Cal. Oct. 19, 2009). </w:t>
      </w:r>
      <w:bookmarkStart w:id="6218" w:name="Bookmark_I502VRCF0K1MNJ55X0000400"/>
      <w:bookmarkEnd w:id="6218"/>
      <w:r>
        <w:rPr>
          <w:rFonts w:ascii="Arial" w:eastAsia="Arial" w:hAnsi="Arial" w:cs="Arial"/>
          <w:color w:val="000000"/>
          <w:sz w:val="20"/>
        </w:rPr>
        <w:t xml:space="preserve">The parties to the </w:t>
      </w:r>
      <w:r>
        <w:rPr>
          <w:rFonts w:ascii="Arial" w:eastAsia="Arial" w:hAnsi="Arial" w:cs="Arial"/>
          <w:i/>
          <w:color w:val="000000"/>
          <w:sz w:val="20"/>
        </w:rPr>
        <w:t>Brust</w:t>
      </w:r>
      <w:r>
        <w:rPr>
          <w:rFonts w:ascii="Arial" w:eastAsia="Arial" w:hAnsi="Arial" w:cs="Arial"/>
          <w:color w:val="000000"/>
          <w:sz w:val="20"/>
        </w:rPr>
        <w:t xml:space="preserve"> action reached a settlement, approved by the district court, which "resolves all class member claims for injunctive relief." </w:t>
      </w:r>
      <w:bookmarkStart w:id="6219" w:name="Bookmark_I502VRCF0K1MNJ52P0000400"/>
      <w:bookmarkEnd w:id="6219"/>
      <w:r>
        <w:rPr>
          <w:rFonts w:ascii="Arial" w:eastAsia="Arial" w:hAnsi="Arial" w:cs="Arial"/>
          <w:color w:val="000000"/>
          <w:sz w:val="20"/>
        </w:rPr>
        <w:t xml:space="preserve">2009 U.S. Dist. LEXIS 124980 at *16. Moreover, Brust, Ludwig, and Bulala have now graduated from UCD. It is therefore apparent that, even if the district court had erred in denying the motion to add Brust, Ludwig, and Bulala initially, which we do not decide, they would no longer be appropriate plaintiffs in this litigation for the purposes of injunctive relief, as the current plaintiffs recognize. </w:t>
      </w:r>
      <w:bookmarkStart w:id="6220" w:name="Bookmark_I502VRCF0K1MNJ55X0000400_2"/>
      <w:bookmarkEnd w:id="6220"/>
      <w:r>
        <w:rPr>
          <w:rFonts w:ascii="Arial" w:eastAsia="Arial" w:hAnsi="Arial" w:cs="Arial"/>
          <w:i/>
          <w:color w:val="000000"/>
          <w:sz w:val="20"/>
        </w:rPr>
        <w:t xml:space="preserve">See </w:t>
      </w:r>
      <w:bookmarkStart w:id="6221" w:name="Bookmark_I502VRCF0K1MNJ52S0000400"/>
      <w:bookmarkEnd w:id="6221"/>
      <w:r>
        <w:rPr>
          <w:rFonts w:ascii="Arial" w:eastAsia="Arial" w:hAnsi="Arial" w:cs="Arial"/>
          <w:i/>
          <w:color w:val="000000"/>
          <w:sz w:val="20"/>
        </w:rPr>
        <w:t>Flint v. Dennison</w:t>
      </w:r>
      <w:r>
        <w:rPr>
          <w:rFonts w:ascii="Arial" w:eastAsia="Arial" w:hAnsi="Arial" w:cs="Arial"/>
          <w:color w:val="000000"/>
          <w:sz w:val="20"/>
        </w:rPr>
        <w:t>, 488 F.3d 816, 824 (9th Cir. 2007) (</w:t>
      </w:r>
      <w:bookmarkStart w:id="6222" w:name="Bookmark_LNHNREFclscc3_33"/>
      <w:bookmarkEnd w:id="6222"/>
      <w:r>
        <w:rPr>
          <w:rFonts w:ascii="Arial" w:eastAsia="Arial" w:hAnsi="Arial" w:cs="Arial"/>
          <w:color w:val="000000"/>
          <w:sz w:val="20"/>
        </w:rPr>
        <w:t xml:space="preserve">"Generally, once a student graduates, he no longer has a live case or controversy justifying  [**8] declaratory and injunctive relief against a school's action or policy, and his case is therefore moot."); </w:t>
      </w:r>
      <w:bookmarkStart w:id="6223" w:name="Bookmark_I502VRCF0K1MNJ55Y0000400"/>
      <w:bookmarkEnd w:id="6223"/>
      <w:r>
        <w:rPr>
          <w:rFonts w:ascii="Arial" w:eastAsia="Arial" w:hAnsi="Arial" w:cs="Arial"/>
          <w:i/>
          <w:color w:val="000000"/>
          <w:sz w:val="20"/>
        </w:rPr>
        <w:t>Cole v. Oroville Union High Sch</w:t>
      </w:r>
      <w:r>
        <w:rPr>
          <w:rFonts w:ascii="Arial" w:eastAsia="Arial" w:hAnsi="Arial" w:cs="Arial"/>
          <w:color w:val="000000"/>
          <w:sz w:val="20"/>
        </w:rPr>
        <w:t>, 228 F.3d 1092, 1099 (9th Cir. 2000) (holding, where the two original plaintiffs had graduated and a third, later-joined plaintiff subsequently graduated before the appeal, that all three lacked standing to seek injunctive relief).</w:t>
      </w:r>
    </w:p>
    <w:p w14:paraId="77F5DB86" w14:textId="77777777" w:rsidR="00D041A2" w:rsidRDefault="00000000">
      <w:pPr>
        <w:pStyle w:val="Normal46"/>
        <w:widowControl w:val="0"/>
        <w:spacing w:before="200" w:line="260" w:lineRule="atLeast"/>
        <w:jc w:val="both"/>
      </w:pPr>
      <w:bookmarkStart w:id="6224" w:name="Bookmark_para_13_37"/>
      <w:bookmarkEnd w:id="6224"/>
      <w:r>
        <w:rPr>
          <w:rFonts w:ascii="Arial" w:eastAsia="Arial" w:hAnsi="Arial" w:cs="Arial"/>
          <w:color w:val="000000"/>
          <w:sz w:val="20"/>
        </w:rPr>
        <w:t xml:space="preserve">The plaintiffs contend, however, that the </w:t>
      </w:r>
      <w:r>
        <w:rPr>
          <w:rFonts w:ascii="Arial" w:eastAsia="Arial" w:hAnsi="Arial" w:cs="Arial"/>
          <w:i/>
          <w:color w:val="000000"/>
          <w:sz w:val="20"/>
        </w:rPr>
        <w:t>Brust</w:t>
      </w:r>
      <w:r>
        <w:rPr>
          <w:rFonts w:ascii="Arial" w:eastAsia="Arial" w:hAnsi="Arial" w:cs="Arial"/>
          <w:color w:val="000000"/>
          <w:sz w:val="20"/>
        </w:rPr>
        <w:t xml:space="preserve"> settlement does not preclude current female students from seeking the specific injunctive relief -- not awarded as part of the </w:t>
      </w:r>
      <w:r>
        <w:rPr>
          <w:rFonts w:ascii="Arial" w:eastAsia="Arial" w:hAnsi="Arial" w:cs="Arial"/>
          <w:i/>
          <w:color w:val="000000"/>
          <w:sz w:val="20"/>
        </w:rPr>
        <w:t>Brust</w:t>
      </w:r>
      <w:r>
        <w:rPr>
          <w:rFonts w:ascii="Arial" w:eastAsia="Arial" w:hAnsi="Arial" w:cs="Arial"/>
          <w:color w:val="000000"/>
          <w:sz w:val="20"/>
        </w:rPr>
        <w:t xml:space="preserve"> settlement -- of restoring the women's wrestling program. That may be so; we need not decide whether it is or not. There are no current students in this case seeking that relief; no identified, current students looking to intervene in this case to seek that relief; and no identified, current students whom the plaintiffs seek to add to the case for purposes of obtaining that relief.</w:t>
      </w:r>
    </w:p>
    <w:p w14:paraId="2DF39FEA" w14:textId="77777777" w:rsidR="00D041A2" w:rsidRDefault="00000000">
      <w:pPr>
        <w:pStyle w:val="Normal46"/>
        <w:widowControl w:val="0"/>
        <w:spacing w:before="200" w:line="260" w:lineRule="atLeast"/>
        <w:jc w:val="both"/>
      </w:pPr>
      <w:bookmarkStart w:id="6225" w:name="Bookmark_para_14_33"/>
      <w:bookmarkStart w:id="6226" w:name="Bookmark_I502VRCF0K1MNJ5620000400"/>
      <w:bookmarkEnd w:id="6225"/>
      <w:bookmarkEnd w:id="6226"/>
      <w:r>
        <w:rPr>
          <w:rFonts w:ascii="Arial" w:eastAsia="Arial" w:hAnsi="Arial" w:cs="Arial"/>
          <w:color w:val="000000"/>
          <w:sz w:val="20"/>
        </w:rPr>
        <w:t xml:space="preserve">We therefore may not reach the merits of the claim that the district court improperly denied the motion to add new plaintiffs, as there is presently no cognizable dispute that would be affected by such a determination. </w:t>
      </w:r>
      <w:r>
        <w:rPr>
          <w:rFonts w:ascii="Arial" w:eastAsia="Arial" w:hAnsi="Arial" w:cs="Arial"/>
          <w:vertAlign w:val="superscript"/>
        </w:rPr>
        <w:footnoteReference w:customMarkFollows="1" w:id="295"/>
        <w:t>5</w:t>
      </w:r>
      <w:r>
        <w:rPr>
          <w:rFonts w:ascii="Arial" w:eastAsia="Arial" w:hAnsi="Arial" w:cs="Arial"/>
          <w:color w:val="000000"/>
          <w:sz w:val="20"/>
        </w:rPr>
        <w:t xml:space="preserve"> </w:t>
      </w:r>
      <w:r>
        <w:rPr>
          <w:rFonts w:ascii="Arial" w:eastAsia="Arial" w:hAnsi="Arial" w:cs="Arial"/>
          <w:i/>
          <w:color w:val="000000"/>
          <w:sz w:val="20"/>
        </w:rPr>
        <w:t xml:space="preserve">See, e.g., </w:t>
      </w:r>
      <w:bookmarkStart w:id="6229" w:name="Bookmark_I502VRCF0K1MNJ5610000400"/>
      <w:bookmarkEnd w:id="6229"/>
      <w:r>
        <w:rPr>
          <w:rFonts w:ascii="Arial" w:eastAsia="Arial" w:hAnsi="Arial" w:cs="Arial"/>
          <w:i/>
          <w:color w:val="000000"/>
          <w:sz w:val="20"/>
        </w:rPr>
        <w:t xml:space="preserve">McQuillion v. </w:t>
      </w:r>
      <w:r>
        <w:rPr>
          <w:rFonts w:ascii="Arial" w:eastAsia="Arial" w:hAnsi="Arial" w:cs="Arial"/>
          <w:color w:val="000000"/>
          <w:sz w:val="20"/>
        </w:rPr>
        <w:t> [*964] </w:t>
      </w:r>
      <w:r>
        <w:rPr>
          <w:rFonts w:ascii="Arial" w:eastAsia="Arial" w:hAnsi="Arial" w:cs="Arial"/>
          <w:i/>
          <w:color w:val="000000"/>
          <w:sz w:val="20"/>
        </w:rPr>
        <w:t xml:space="preserve"> Schwarzenegger</w:t>
      </w:r>
      <w:r>
        <w:rPr>
          <w:rFonts w:ascii="Arial" w:eastAsia="Arial" w:hAnsi="Arial" w:cs="Arial"/>
          <w:color w:val="000000"/>
          <w:sz w:val="20"/>
        </w:rPr>
        <w:t xml:space="preserve">, 369 F.3d 1091, 1095 (9th Cir. 2004)  [**9] (holding that a prisoner's successful habeas petition and subsequent relief rendered moot his claim for injunctive and declaratory relief under § 1983); </w:t>
      </w:r>
      <w:bookmarkStart w:id="6230" w:name="Bookmark_I502VRD70K1MNJ0000000400"/>
      <w:bookmarkEnd w:id="6230"/>
      <w:r>
        <w:rPr>
          <w:rFonts w:ascii="Arial" w:eastAsia="Arial" w:hAnsi="Arial" w:cs="Arial"/>
          <w:i/>
          <w:color w:val="000000"/>
          <w:sz w:val="20"/>
        </w:rPr>
        <w:t>Porter v. Jones</w:t>
      </w:r>
      <w:r>
        <w:rPr>
          <w:rFonts w:ascii="Arial" w:eastAsia="Arial" w:hAnsi="Arial" w:cs="Arial"/>
          <w:color w:val="000000"/>
          <w:sz w:val="20"/>
        </w:rPr>
        <w:t xml:space="preserve">, 319 F.3d 483, 489 (9th Cir. 2003) (noting that a case or issue becomes moot when "the parties lack a legally cognizable interest in the outcome" (quotation omitted)); </w:t>
      </w:r>
      <w:bookmarkStart w:id="6231" w:name="Bookmark_I502VRD70K1MNJ0020000400"/>
      <w:bookmarkEnd w:id="6231"/>
      <w:r>
        <w:rPr>
          <w:rFonts w:ascii="Arial" w:eastAsia="Arial" w:hAnsi="Arial" w:cs="Arial"/>
          <w:i/>
          <w:color w:val="000000"/>
          <w:sz w:val="20"/>
        </w:rPr>
        <w:t>Di Giorgio v. Lee (In re Di Giorgio)</w:t>
      </w:r>
      <w:r>
        <w:rPr>
          <w:rFonts w:ascii="Arial" w:eastAsia="Arial" w:hAnsi="Arial" w:cs="Arial"/>
          <w:color w:val="000000"/>
          <w:sz w:val="20"/>
        </w:rPr>
        <w:t>, 134 F.3d 971, 974 (9th Cir. 1998) (holding that tenants' challenge to a state statute permitting their eviction was moot after they voluntarily vacated the property).</w:t>
      </w:r>
    </w:p>
    <w:p w14:paraId="764A8DC6" w14:textId="77777777" w:rsidR="00D041A2" w:rsidRDefault="00000000">
      <w:pPr>
        <w:pStyle w:val="Normal46"/>
        <w:widowControl w:val="0"/>
        <w:spacing w:before="200" w:line="260" w:lineRule="atLeast"/>
        <w:jc w:val="both"/>
      </w:pPr>
      <w:bookmarkStart w:id="6232" w:name="Bookmark_para_15_32"/>
      <w:bookmarkEnd w:id="6232"/>
      <w:r>
        <w:rPr>
          <w:rFonts w:ascii="Arial" w:eastAsia="Arial" w:hAnsi="Arial" w:cs="Arial"/>
          <w:color w:val="000000"/>
          <w:sz w:val="20"/>
        </w:rPr>
        <w:t xml:space="preserve">Turning to the merits of the students' damages claims, we begin by setting out the statutory and regulatory framework governing Title IX athletics cases. </w:t>
      </w:r>
      <w:bookmarkStart w:id="6233" w:name="Bookmark_LNHNREFclscc4_32"/>
      <w:bookmarkEnd w:id="6233"/>
      <w:r>
        <w:rPr>
          <w:rFonts w:ascii="Arial" w:eastAsia="Arial" w:hAnsi="Arial" w:cs="Arial"/>
          <w:color w:val="000000"/>
          <w:sz w:val="20"/>
        </w:rPr>
        <w:t>Title IX provides that</w:t>
      </w:r>
    </w:p>
    <w:p w14:paraId="252DE6DB" w14:textId="77777777" w:rsidR="00D041A2" w:rsidRDefault="00000000">
      <w:pPr>
        <w:pStyle w:val="Normal46"/>
        <w:widowControl w:val="0"/>
        <w:spacing w:line="260" w:lineRule="atLeast"/>
        <w:ind w:left="400"/>
        <w:jc w:val="both"/>
      </w:pPr>
      <w:bookmarkStart w:id="6234" w:name="Bookmark_para_16_31"/>
      <w:bookmarkEnd w:id="6234"/>
      <w:r>
        <w:rPr>
          <w:rFonts w:ascii="Arial" w:eastAsia="Arial" w:hAnsi="Arial" w:cs="Arial"/>
          <w:color w:val="000000"/>
          <w:sz w:val="20"/>
        </w:rPr>
        <w:t>[n]o person in the United States shall, on the basis of sex, be excluded from participation in, be denied the benefits of, or be subjected to discrimination under any education program or activity receiving Federal financial assistance.</w:t>
      </w:r>
    </w:p>
    <w:p w14:paraId="6CFE3832" w14:textId="77777777" w:rsidR="00D041A2" w:rsidRDefault="00000000">
      <w:pPr>
        <w:pStyle w:val="Normal46"/>
        <w:widowControl w:val="0"/>
        <w:spacing w:line="260" w:lineRule="atLeast"/>
        <w:jc w:val="both"/>
      </w:pPr>
      <w:bookmarkStart w:id="6235" w:name="Bookmark_I502VRD70K1MNJ0120000400"/>
      <w:bookmarkEnd w:id="6235"/>
      <w:r>
        <w:rPr>
          <w:rFonts w:ascii="Arial" w:eastAsia="Arial" w:hAnsi="Arial" w:cs="Arial"/>
          <w:color w:val="000000"/>
          <w:sz w:val="20"/>
        </w:rPr>
        <w:t xml:space="preserve">20 U.S.C. § 1681(a). </w:t>
      </w:r>
      <w:bookmarkStart w:id="6236" w:name="Bookmark_LNHNREFclscc5_32"/>
      <w:bookmarkEnd w:id="6236"/>
      <w:r>
        <w:rPr>
          <w:rFonts w:ascii="Arial" w:eastAsia="Arial" w:hAnsi="Arial" w:cs="Arial"/>
          <w:color w:val="000000"/>
          <w:sz w:val="20"/>
        </w:rPr>
        <w:t xml:space="preserve">As applied to intercollegiate athletics, the Department of Education's Title IX regulations interpret the statute as requiring funding recipients to "provide equal athletic opportunity for members of both sexes." 34 C.F.R. § 106.41(c). </w:t>
      </w:r>
      <w:r>
        <w:rPr>
          <w:rFonts w:ascii="Arial" w:eastAsia="Arial" w:hAnsi="Arial" w:cs="Arial"/>
          <w:vertAlign w:val="superscript"/>
        </w:rPr>
        <w:footnoteReference w:customMarkFollows="1" w:id="296"/>
        <w:t>6</w:t>
      </w:r>
      <w:r>
        <w:rPr>
          <w:rFonts w:ascii="Arial" w:eastAsia="Arial" w:hAnsi="Arial" w:cs="Arial"/>
          <w:color w:val="000000"/>
          <w:sz w:val="20"/>
        </w:rPr>
        <w:t xml:space="preserve"> </w:t>
      </w:r>
    </w:p>
    <w:p w14:paraId="6FBED1CB" w14:textId="77777777" w:rsidR="00D041A2" w:rsidRDefault="00000000">
      <w:pPr>
        <w:pStyle w:val="Normal46"/>
        <w:widowControl w:val="0"/>
        <w:spacing w:before="200" w:line="260" w:lineRule="atLeast"/>
        <w:jc w:val="both"/>
      </w:pPr>
      <w:bookmarkStart w:id="6239" w:name="Bookmark_para_17_30"/>
      <w:bookmarkStart w:id="6240" w:name="Bookmark_LNHNREFclscc6_32"/>
      <w:bookmarkStart w:id="6241" w:name="Bookmark_I502VRD70K1MNJ0140000400"/>
      <w:bookmarkEnd w:id="6239"/>
      <w:bookmarkEnd w:id="6240"/>
      <w:bookmarkEnd w:id="6241"/>
      <w:r>
        <w:rPr>
          <w:rFonts w:ascii="Arial" w:eastAsia="Arial" w:hAnsi="Arial" w:cs="Arial"/>
          <w:color w:val="000000"/>
          <w:sz w:val="20"/>
        </w:rPr>
        <w:t xml:space="preserve">The  [**11] regulations establish two components of Title IX's equal athletic opportunity requirement: "effective accommodation" and "equal treatment." "Effective accommodation" Title IX requirements derive from the Title IX regulation at 34 C.F.R. § 106.41(c)(1), which bases Title IX compliance in part on whether "the selection of sports and levels of competition effectively accommodate the interests and abilities of members of both sexes." </w:t>
      </w:r>
      <w:r>
        <w:rPr>
          <w:rFonts w:ascii="Arial" w:eastAsia="Arial" w:hAnsi="Arial" w:cs="Arial"/>
          <w:vertAlign w:val="superscript"/>
        </w:rPr>
        <w:footnoteReference w:customMarkFollows="1" w:id="297"/>
        <w:t>7</w:t>
      </w:r>
      <w:r>
        <w:rPr>
          <w:rFonts w:ascii="Arial" w:eastAsia="Arial" w:hAnsi="Arial" w:cs="Arial"/>
          <w:color w:val="000000"/>
          <w:sz w:val="20"/>
        </w:rPr>
        <w:t xml:space="preserve"> The "equal treatment" Title IX standard, in contrast, derives from 34 C.F.R. § 106.41(c)(2)-(10), which has been interpreted by OCR to require "equivalence in the availability, quality and kinds of other athletic benefits and opportunities provided male and female athletes." </w:t>
      </w:r>
      <w:r>
        <w:rPr>
          <w:rFonts w:ascii="Arial" w:eastAsia="Arial" w:hAnsi="Arial" w:cs="Arial"/>
          <w:vertAlign w:val="superscript"/>
        </w:rPr>
        <w:footnoteReference w:customMarkFollows="1" w:id="298"/>
        <w:t>8</w:t>
      </w:r>
      <w:r>
        <w:rPr>
          <w:rFonts w:ascii="Arial" w:eastAsia="Arial" w:hAnsi="Arial" w:cs="Arial"/>
          <w:color w:val="000000"/>
          <w:sz w:val="20"/>
        </w:rPr>
        <w:t xml:space="preserve"> Department of Education Office  [*965]  for Civil Rights, Clarification of Intercollegiate Athletics Policy Guidance: The Three-Part Test (Clarification) (1996), available at http://www.ed.gov/ about/offices/list/ocr/docs/clarific.html. Effective accommodation claims thus concern the opportunity to participate in athletics, while equal treatment claims allege sex-based differences in the schedules, equipment, coaching, and other factors affecting participants in athletics. </w:t>
      </w:r>
      <w:bookmarkStart w:id="6247" w:name="Bookmark_I502VRD70K1MNJ02M0000400"/>
      <w:bookmarkEnd w:id="6247"/>
      <w:r>
        <w:rPr>
          <w:rFonts w:ascii="Arial" w:eastAsia="Arial" w:hAnsi="Arial" w:cs="Arial"/>
          <w:i/>
          <w:color w:val="000000"/>
          <w:sz w:val="20"/>
        </w:rPr>
        <w:t xml:space="preserve">See </w:t>
      </w:r>
      <w:bookmarkStart w:id="6248" w:name="Bookmark_I502VRD70K1MNJ0130000400"/>
      <w:bookmarkEnd w:id="6248"/>
      <w:r>
        <w:rPr>
          <w:rFonts w:ascii="Arial" w:eastAsia="Arial" w:hAnsi="Arial" w:cs="Arial"/>
          <w:i/>
          <w:color w:val="000000"/>
          <w:sz w:val="20"/>
        </w:rPr>
        <w:t>McCormick v. Sch. Dist, of Mamaroneck</w:t>
      </w:r>
      <w:r>
        <w:rPr>
          <w:rFonts w:ascii="Arial" w:eastAsia="Arial" w:hAnsi="Arial" w:cs="Arial"/>
          <w:color w:val="000000"/>
          <w:sz w:val="20"/>
        </w:rPr>
        <w:t xml:space="preserve">, 370 F.3d 275, 299 (2d Cir. 2004)  [**12] (holding that a competition schedule permitting male but not female high school soccer players to participate in state and regional championships deprived female players of equal treatment under Title IX); </w:t>
      </w:r>
      <w:r>
        <w:rPr>
          <w:rFonts w:ascii="Arial" w:eastAsia="Arial" w:hAnsi="Arial" w:cs="Arial"/>
          <w:i/>
          <w:color w:val="000000"/>
          <w:sz w:val="20"/>
        </w:rPr>
        <w:t xml:space="preserve">see also </w:t>
      </w:r>
      <w:bookmarkStart w:id="6249" w:name="Bookmark_I502VRD70K1MNJ0150000400"/>
      <w:bookmarkEnd w:id="6249"/>
      <w:r>
        <w:rPr>
          <w:rFonts w:ascii="Arial" w:eastAsia="Arial" w:hAnsi="Arial" w:cs="Arial"/>
          <w:i/>
          <w:color w:val="000000"/>
          <w:sz w:val="20"/>
        </w:rPr>
        <w:t>Pederson v. La. State Univ</w:t>
      </w:r>
      <w:r>
        <w:rPr>
          <w:rFonts w:ascii="Arial" w:eastAsia="Arial" w:hAnsi="Arial" w:cs="Arial"/>
          <w:color w:val="000000"/>
          <w:sz w:val="20"/>
        </w:rPr>
        <w:t xml:space="preserve">., 213 F.3d 858, 865 n.4 (5th Cir. 2000) (explaining the relationship between effective accommodation and equal treatment claims); </w:t>
      </w:r>
      <w:bookmarkStart w:id="6250" w:name="Bookmark_I502VRD70K1MNJ02H0000400"/>
      <w:bookmarkEnd w:id="6250"/>
      <w:r>
        <w:rPr>
          <w:rFonts w:ascii="Arial" w:eastAsia="Arial" w:hAnsi="Arial" w:cs="Arial"/>
          <w:i/>
          <w:color w:val="000000"/>
          <w:sz w:val="20"/>
        </w:rPr>
        <w:t>Boucher v. Syracuse Univ</w:t>
      </w:r>
      <w:r>
        <w:rPr>
          <w:rFonts w:ascii="Arial" w:eastAsia="Arial" w:hAnsi="Arial" w:cs="Arial"/>
          <w:color w:val="000000"/>
          <w:sz w:val="20"/>
        </w:rPr>
        <w:t xml:space="preserve">., 164 F.3d 113, 115 n.1 (2d Cir. 1999) (same). So "an institution may violate Title IX solely by failing to accommodate effectively the interests and abilities of student athletes of both sexes," even if the benefits provided athletes of both sexes are equivalent. </w:t>
      </w:r>
      <w:bookmarkStart w:id="6251" w:name="Bookmark_I502VRD70K1MNJ02M0000400_2"/>
      <w:bookmarkStart w:id="6252" w:name="Bookmark_I502VRD70K1MNJ02K0000400"/>
      <w:bookmarkEnd w:id="6251"/>
      <w:bookmarkEnd w:id="6252"/>
      <w:r>
        <w:rPr>
          <w:rFonts w:ascii="Arial" w:eastAsia="Arial" w:hAnsi="Arial" w:cs="Arial"/>
          <w:i/>
          <w:color w:val="000000"/>
          <w:sz w:val="20"/>
        </w:rPr>
        <w:t>Kelley v. Bd. of Trs</w:t>
      </w:r>
      <w:r>
        <w:rPr>
          <w:rFonts w:ascii="Arial" w:eastAsia="Arial" w:hAnsi="Arial" w:cs="Arial"/>
          <w:color w:val="000000"/>
          <w:sz w:val="20"/>
        </w:rPr>
        <w:t xml:space="preserve">., 35 F.3d 265, 268 (7th Cir. 1994); </w:t>
      </w:r>
      <w:r>
        <w:rPr>
          <w:rFonts w:ascii="Arial" w:eastAsia="Arial" w:hAnsi="Arial" w:cs="Arial"/>
          <w:i/>
          <w:color w:val="000000"/>
          <w:sz w:val="20"/>
        </w:rPr>
        <w:t xml:space="preserve">see also </w:t>
      </w:r>
      <w:bookmarkStart w:id="6253" w:name="Bookmark_I502VRD70K1MNJ02N0000400"/>
      <w:bookmarkEnd w:id="6253"/>
      <w:r>
        <w:rPr>
          <w:rFonts w:ascii="Arial" w:eastAsia="Arial" w:hAnsi="Arial" w:cs="Arial"/>
          <w:i/>
          <w:color w:val="000000"/>
          <w:sz w:val="20"/>
        </w:rPr>
        <w:t>Roberts v. Colo. State Bd. of Agric</w:t>
      </w:r>
      <w:r>
        <w:rPr>
          <w:rFonts w:ascii="Arial" w:eastAsia="Arial" w:hAnsi="Arial" w:cs="Arial"/>
          <w:color w:val="000000"/>
          <w:sz w:val="20"/>
        </w:rPr>
        <w:t xml:space="preserve">, 998 F.2d 824, 828 (10th Cir. 1993); </w:t>
      </w:r>
      <w:bookmarkStart w:id="6254" w:name="Bookmark_I502VRD70K1MNJ02R0000400"/>
      <w:bookmarkEnd w:id="6254"/>
      <w:r>
        <w:rPr>
          <w:rFonts w:ascii="Arial" w:eastAsia="Arial" w:hAnsi="Arial" w:cs="Arial"/>
          <w:i/>
          <w:color w:val="000000"/>
          <w:sz w:val="20"/>
        </w:rPr>
        <w:t>Cohen v. Brown Univ</w:t>
      </w:r>
      <w:r>
        <w:rPr>
          <w:rFonts w:ascii="Arial" w:eastAsia="Arial" w:hAnsi="Arial" w:cs="Arial"/>
          <w:color w:val="000000"/>
          <w:sz w:val="20"/>
        </w:rPr>
        <w:t>., 991 F.2d 888, 897 (1st Cir. 1993).</w:t>
      </w:r>
    </w:p>
    <w:p w14:paraId="06834DDD" w14:textId="77777777" w:rsidR="00D041A2" w:rsidRDefault="00000000">
      <w:pPr>
        <w:pStyle w:val="Normal46"/>
        <w:widowControl w:val="0"/>
        <w:spacing w:before="200" w:line="260" w:lineRule="atLeast"/>
        <w:jc w:val="both"/>
      </w:pPr>
      <w:bookmarkStart w:id="6255" w:name="Bookmark_para_19_27"/>
      <w:bookmarkStart w:id="6256" w:name="Bookmark_LNHNREFclscc9_30"/>
      <w:bookmarkStart w:id="6257" w:name="Bookmark_I502VRD70K1MNJ02V0000400"/>
      <w:bookmarkStart w:id="6258" w:name="Bookmark_I502VRD70K1MNJ07D0000400"/>
      <w:bookmarkStart w:id="6259" w:name="Bookmark_I502VRD70K1MNJ07G0000400"/>
      <w:bookmarkStart w:id="6260" w:name="Bookmark_I502VRD70K1MNJ0GP0000400"/>
      <w:bookmarkEnd w:id="6255"/>
      <w:bookmarkEnd w:id="6256"/>
      <w:bookmarkEnd w:id="6257"/>
      <w:bookmarkEnd w:id="6258"/>
      <w:bookmarkEnd w:id="6259"/>
      <w:bookmarkEnd w:id="6260"/>
      <w:r>
        <w:rPr>
          <w:rFonts w:ascii="Arial" w:eastAsia="Arial" w:hAnsi="Arial" w:cs="Arial"/>
          <w:color w:val="000000"/>
          <w:sz w:val="20"/>
        </w:rPr>
        <w:t xml:space="preserve">Whether a funding recipient has met its "effective accommodation" obligation is determined using a "three-part test" drawn from OCR's </w:t>
      </w:r>
      <w:bookmarkStart w:id="6261" w:name="Bookmark_I502VRD70K1MNJ02T0000400"/>
      <w:bookmarkEnd w:id="6261"/>
      <w:r>
        <w:rPr>
          <w:rFonts w:ascii="Arial" w:eastAsia="Arial" w:hAnsi="Arial" w:cs="Arial"/>
          <w:color w:val="000000"/>
          <w:sz w:val="20"/>
        </w:rPr>
        <w:t xml:space="preserve">1979 Policy Interpretation, 44 Fed. Reg. 71,413 (Dec. 11, 1979), and further elaborated in OCR's 1996 Clarification. </w:t>
      </w:r>
      <w:r>
        <w:rPr>
          <w:rFonts w:ascii="Arial" w:eastAsia="Arial" w:hAnsi="Arial" w:cs="Arial"/>
          <w:vertAlign w:val="superscript"/>
        </w:rPr>
        <w:footnoteReference w:customMarkFollows="1" w:id="299"/>
        <w:t>9</w:t>
      </w:r>
      <w:r>
        <w:rPr>
          <w:rFonts w:ascii="Arial" w:eastAsia="Arial" w:hAnsi="Arial" w:cs="Arial"/>
          <w:color w:val="000000"/>
          <w:sz w:val="20"/>
        </w:rPr>
        <w:t xml:space="preserve"> Congress has specifically authorized OCR to promulgate regulations governing intercollegiate athletics, </w:t>
      </w:r>
      <w:r>
        <w:rPr>
          <w:rFonts w:ascii="Arial" w:eastAsia="Arial" w:hAnsi="Arial" w:cs="Arial"/>
          <w:vertAlign w:val="superscript"/>
        </w:rPr>
        <w:footnoteReference w:customMarkFollows="1" w:id="300"/>
        <w:t>10</w:t>
      </w:r>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Pub. L. No. 93-380, § 844, 88 Stat. 612 (1974), and the resulting three-part test gives universities three options for demonstrating compliance with Title IX: (1) showing substantial proportionality (the number of women in intercollegiate athletics  [**14] is proportionate to their enrollment); (2) proving that the institution has a "history and continuing practice of program expansion" for the underrepresented sex (in this case, women); or (3) where the university cannot satisfy either of the first two options, establishing that it nonetheless "fully and effectively accommodate[s]" the interests of women. </w:t>
      </w:r>
      <w:bookmarkStart w:id="6270" w:name="Bookmark_I502VRD70K1MNJ07C0000400"/>
      <w:bookmarkEnd w:id="6270"/>
      <w:r>
        <w:rPr>
          <w:rFonts w:ascii="Arial" w:eastAsia="Arial" w:hAnsi="Arial" w:cs="Arial"/>
          <w:color w:val="000000"/>
          <w:sz w:val="20"/>
        </w:rPr>
        <w:t>44 Fed. Reg. 71,418.</w:t>
      </w:r>
    </w:p>
    <w:p w14:paraId="764EC729" w14:textId="77777777" w:rsidR="00D041A2" w:rsidRDefault="00000000">
      <w:pPr>
        <w:pStyle w:val="Normal46"/>
        <w:widowControl w:val="0"/>
        <w:spacing w:before="200" w:line="260" w:lineRule="atLeast"/>
        <w:jc w:val="both"/>
      </w:pPr>
      <w:bookmarkStart w:id="6271" w:name="Bookmark_para_20_27"/>
      <w:bookmarkStart w:id="6272" w:name="Bookmark_LNHNREFclscc10_27"/>
      <w:bookmarkEnd w:id="6271"/>
      <w:bookmarkEnd w:id="6272"/>
      <w:r>
        <w:rPr>
          <w:rFonts w:ascii="Arial" w:eastAsia="Arial" w:hAnsi="Arial" w:cs="Arial"/>
          <w:color w:val="000000"/>
          <w:sz w:val="20"/>
        </w:rPr>
        <w:t xml:space="preserve">Funding recipients can satisfy any of the three options to comply with Title IX. UCD claims to have satisfied the second option by  [**15] showing a history and continuing practice of program expansion. </w:t>
      </w:r>
      <w:r>
        <w:rPr>
          <w:rFonts w:ascii="Arial" w:eastAsia="Arial" w:hAnsi="Arial" w:cs="Arial"/>
          <w:vertAlign w:val="superscript"/>
        </w:rPr>
        <w:footnoteReference w:customMarkFollows="1" w:id="301"/>
        <w:t>11</w:t>
      </w:r>
      <w:r>
        <w:rPr>
          <w:rFonts w:ascii="Arial" w:eastAsia="Arial" w:hAnsi="Arial" w:cs="Arial"/>
          <w:color w:val="000000"/>
          <w:sz w:val="20"/>
        </w:rPr>
        <w:t xml:space="preserve"> Compliance with this option "focuses on whether an institution has expanded the number of intercollegiate participation opportunities" for women, but provides institutions "flexibility in choosing which teams [they] add[ ]." Clarification nn. 2-3. The number of "participation opportunities"  [*966]  for women is defined by the number of female athletes who actually participate in varsity athletics, except that athletes who participate in more than one sport are counted as a participant for each sport they play. </w:t>
      </w:r>
      <w:r>
        <w:rPr>
          <w:rFonts w:ascii="Arial" w:eastAsia="Arial" w:hAnsi="Arial" w:cs="Arial"/>
          <w:vertAlign w:val="superscript"/>
        </w:rPr>
        <w:footnoteReference w:customMarkFollows="1" w:id="302"/>
        <w:t>12</w:t>
      </w:r>
      <w:r>
        <w:rPr>
          <w:rFonts w:ascii="Arial" w:eastAsia="Arial" w:hAnsi="Arial" w:cs="Arial"/>
          <w:color w:val="000000"/>
          <w:sz w:val="20"/>
        </w:rPr>
        <w:t xml:space="preserve"> </w:t>
      </w:r>
    </w:p>
    <w:p w14:paraId="473B72B8" w14:textId="77777777" w:rsidR="00D041A2" w:rsidRDefault="00000000">
      <w:pPr>
        <w:pStyle w:val="Normal46"/>
        <w:widowControl w:val="0"/>
        <w:spacing w:before="200" w:line="260" w:lineRule="atLeast"/>
        <w:jc w:val="both"/>
      </w:pPr>
      <w:bookmarkStart w:id="6275" w:name="Bookmark_para_21_26"/>
      <w:bookmarkEnd w:id="6275"/>
      <w:r>
        <w:rPr>
          <w:rFonts w:ascii="Arial" w:eastAsia="Arial" w:hAnsi="Arial" w:cs="Arial"/>
          <w:color w:val="000000"/>
          <w:sz w:val="20"/>
        </w:rPr>
        <w:t>The district court determined that the plaintiffs had adequately pleaded a claim for effective accommodation under Title IX by alleging that UCD "chooses to make fewer athletic participation opportunities [available] to female students than to male students." The district court did not, however, reach the merits of whether UCD complied with Option Two, instead concluding that "money damages cannot be awarded unless a plaintiff has given notice of and an opportunity to rectify the specific violation alleged by a Title IX plaintiff." Finding that the plaintiffs had failed to provide such notice, the district court granted summary judgment to UCD.</w:t>
      </w:r>
    </w:p>
    <w:p w14:paraId="4EACDC60" w14:textId="77777777" w:rsidR="00D041A2" w:rsidRDefault="00000000">
      <w:pPr>
        <w:pStyle w:val="Normal46"/>
        <w:widowControl w:val="0"/>
        <w:spacing w:before="200" w:line="260" w:lineRule="atLeast"/>
        <w:jc w:val="both"/>
      </w:pPr>
      <w:bookmarkStart w:id="6276" w:name="Bookmark_para_22_26"/>
      <w:bookmarkEnd w:id="6276"/>
      <w:r>
        <w:rPr>
          <w:rFonts w:ascii="Arial" w:eastAsia="Arial" w:hAnsi="Arial" w:cs="Arial"/>
          <w:color w:val="000000"/>
          <w:sz w:val="20"/>
        </w:rPr>
        <w:t>This circuit has  [**17] yet to address whether any such requirement applies in the athletics context. We conclude that it does not.</w:t>
      </w:r>
    </w:p>
    <w:p w14:paraId="588F3F6B" w14:textId="77777777" w:rsidR="00D041A2" w:rsidRDefault="00000000">
      <w:pPr>
        <w:pStyle w:val="Normal46"/>
        <w:widowControl w:val="0"/>
        <w:spacing w:before="200" w:line="260" w:lineRule="atLeast"/>
        <w:jc w:val="both"/>
      </w:pPr>
      <w:bookmarkStart w:id="6277" w:name="Bookmark_para_23_25"/>
      <w:bookmarkEnd w:id="6277"/>
      <w:r>
        <w:rPr>
          <w:rFonts w:ascii="Arial" w:eastAsia="Arial" w:hAnsi="Arial" w:cs="Arial"/>
          <w:color w:val="000000"/>
          <w:sz w:val="20"/>
        </w:rPr>
        <w:t xml:space="preserve">UCD's notice argument, adopted by the district court, proceeds by analogy to the Supreme Court's holding that </w:t>
      </w:r>
      <w:bookmarkStart w:id="6278" w:name="Bookmark_LNHNREFclscc11_23"/>
      <w:bookmarkEnd w:id="6278"/>
      <w:r>
        <w:rPr>
          <w:rFonts w:ascii="Arial" w:eastAsia="Arial" w:hAnsi="Arial" w:cs="Arial"/>
          <w:color w:val="000000"/>
          <w:sz w:val="20"/>
        </w:rPr>
        <w:t>notice and an opportunity to cure a violation is an essential precursor to a sexual harassment suit for damages under Title IX. We therefore begin by discussing the pertinent Title IX sexual harassment cases. As will appear, the analogy between this case and those is not apt.</w:t>
      </w:r>
    </w:p>
    <w:p w14:paraId="0A80BEF8" w14:textId="77777777" w:rsidR="00D041A2" w:rsidRDefault="00000000">
      <w:pPr>
        <w:pStyle w:val="Normal46"/>
        <w:widowControl w:val="0"/>
        <w:spacing w:before="200" w:line="260" w:lineRule="atLeast"/>
        <w:jc w:val="both"/>
      </w:pPr>
      <w:bookmarkStart w:id="6279" w:name="Bookmark_para_24_24"/>
      <w:bookmarkStart w:id="6280" w:name="Bookmark_I502VRD70K1MNJ0PK0000400"/>
      <w:bookmarkStart w:id="6281" w:name="Bookmark_I502VRD70K1MNJ0PR0000400"/>
      <w:bookmarkEnd w:id="6279"/>
      <w:bookmarkEnd w:id="6280"/>
      <w:bookmarkEnd w:id="6281"/>
      <w:r>
        <w:rPr>
          <w:rFonts w:ascii="Arial" w:eastAsia="Arial" w:hAnsi="Arial" w:cs="Arial"/>
          <w:color w:val="000000"/>
          <w:sz w:val="20"/>
        </w:rPr>
        <w:t xml:space="preserve">The starting point for this inquiry is </w:t>
      </w:r>
      <w:bookmarkStart w:id="6282" w:name="Bookmark_I502VRD70K1MNJ0H40000400"/>
      <w:bookmarkEnd w:id="6282"/>
      <w:r>
        <w:rPr>
          <w:rFonts w:ascii="Arial" w:eastAsia="Arial" w:hAnsi="Arial" w:cs="Arial"/>
          <w:i/>
          <w:color w:val="000000"/>
          <w:sz w:val="20"/>
        </w:rPr>
        <w:t>Franklin v. Gwinnett County Public Schools</w:t>
      </w:r>
      <w:r>
        <w:rPr>
          <w:rFonts w:ascii="Arial" w:eastAsia="Arial" w:hAnsi="Arial" w:cs="Arial"/>
          <w:color w:val="000000"/>
          <w:sz w:val="20"/>
        </w:rPr>
        <w:t xml:space="preserve">, 503 U.S. 60, 112 S. Ct. 1028, 117 L. Ed. 2d 208 (1992), in which the defendant school district was aware of a teacher's sexual harassment of a student but took no action to stop it. The Court recognized that </w:t>
      </w:r>
      <w:bookmarkStart w:id="6283" w:name="Bookmark_I502VRD70K1MNJ0PM0000400"/>
      <w:bookmarkEnd w:id="6283"/>
      <w:r>
        <w:rPr>
          <w:rFonts w:ascii="Arial" w:eastAsia="Arial" w:hAnsi="Arial" w:cs="Arial"/>
          <w:i/>
          <w:color w:val="000000"/>
          <w:sz w:val="20"/>
        </w:rPr>
        <w:t>Pennhurst State School and Hospital v. Halderman</w:t>
      </w:r>
      <w:r>
        <w:rPr>
          <w:rFonts w:ascii="Arial" w:eastAsia="Arial" w:hAnsi="Arial" w:cs="Arial"/>
          <w:color w:val="000000"/>
          <w:sz w:val="20"/>
        </w:rPr>
        <w:t xml:space="preserve">, 451 U.S. 1, 28-29, 101 S. Ct. 1531, 67 L. Ed. 2d 694 (1981), </w:t>
      </w:r>
      <w:bookmarkStart w:id="6284" w:name="Bookmark_LNHNREFclscc12_22"/>
      <w:bookmarkEnd w:id="6284"/>
      <w:r>
        <w:rPr>
          <w:rFonts w:ascii="Arial" w:eastAsia="Arial" w:hAnsi="Arial" w:cs="Arial"/>
          <w:color w:val="000000"/>
          <w:sz w:val="20"/>
        </w:rPr>
        <w:t xml:space="preserve">precludes the award of damages for unintentional violations of statutes, like Title IX, enacted pursuant to Congress's spending authority. </w:t>
      </w:r>
      <w:bookmarkStart w:id="6285" w:name="Bookmark_I502VRD70K1MNJ0PT0000400"/>
      <w:bookmarkEnd w:id="6285"/>
      <w:r>
        <w:rPr>
          <w:rFonts w:ascii="Arial" w:eastAsia="Arial" w:hAnsi="Arial" w:cs="Arial"/>
          <w:i/>
          <w:color w:val="000000"/>
          <w:sz w:val="20"/>
        </w:rPr>
        <w:t xml:space="preserve">See </w:t>
      </w:r>
      <w:bookmarkStart w:id="6286" w:name="Bookmark_I502VRD70K1MNJ0PP0000400"/>
      <w:bookmarkEnd w:id="6286"/>
      <w:r>
        <w:rPr>
          <w:rFonts w:ascii="Arial" w:eastAsia="Arial" w:hAnsi="Arial" w:cs="Arial"/>
          <w:i/>
          <w:color w:val="000000"/>
          <w:sz w:val="20"/>
        </w:rPr>
        <w:t>Franklin</w:t>
      </w:r>
      <w:r>
        <w:rPr>
          <w:rFonts w:ascii="Arial" w:eastAsia="Arial" w:hAnsi="Arial" w:cs="Arial"/>
          <w:color w:val="000000"/>
          <w:sz w:val="20"/>
        </w:rPr>
        <w:t xml:space="preserve">, 503 U.S. at 74. </w:t>
      </w:r>
      <w:r>
        <w:rPr>
          <w:rFonts w:ascii="Arial" w:eastAsia="Arial" w:hAnsi="Arial" w:cs="Arial"/>
          <w:i/>
          <w:color w:val="000000"/>
          <w:sz w:val="20"/>
        </w:rPr>
        <w:t>Franklin</w:t>
      </w:r>
      <w:r>
        <w:rPr>
          <w:rFonts w:ascii="Arial" w:eastAsia="Arial" w:hAnsi="Arial" w:cs="Arial"/>
          <w:color w:val="000000"/>
          <w:sz w:val="20"/>
        </w:rPr>
        <w:t xml:space="preserve"> held, however, that the failure to halt harassment of which a school district is aware constitutes intentional discrimination for which monetary damages are an appropriate remedy. </w:t>
      </w:r>
      <w:bookmarkStart w:id="6287" w:name="Bookmark_I502VRD70K1MNJ0PT0000400_2"/>
      <w:bookmarkStart w:id="6288" w:name="Bookmark_I502VRD70K1MNJ0PS0000400"/>
      <w:bookmarkEnd w:id="6287"/>
      <w:bookmarkEnd w:id="6288"/>
      <w:r>
        <w:rPr>
          <w:rFonts w:ascii="Arial" w:eastAsia="Arial" w:hAnsi="Arial" w:cs="Arial"/>
          <w:i/>
          <w:color w:val="000000"/>
          <w:sz w:val="20"/>
        </w:rPr>
        <w:t>Id</w:t>
      </w:r>
      <w:r>
        <w:rPr>
          <w:rFonts w:ascii="Arial" w:eastAsia="Arial" w:hAnsi="Arial" w:cs="Arial"/>
          <w:color w:val="000000"/>
          <w:sz w:val="20"/>
        </w:rPr>
        <w:t>. at 75-76.</w:t>
      </w:r>
    </w:p>
    <w:p w14:paraId="082AF46F" w14:textId="77777777" w:rsidR="00D041A2" w:rsidRDefault="00000000">
      <w:pPr>
        <w:pStyle w:val="Normal46"/>
        <w:widowControl w:val="0"/>
        <w:spacing w:before="200" w:line="260" w:lineRule="atLeast"/>
        <w:jc w:val="both"/>
      </w:pPr>
      <w:bookmarkStart w:id="6289" w:name="Bookmark_para_25_24"/>
      <w:bookmarkStart w:id="6290" w:name="Bookmark_I502VRD70K1MNJ0PW0000400"/>
      <w:bookmarkStart w:id="6291" w:name="Bookmark_I502VRD70K1MNJ0S40000400"/>
      <w:bookmarkStart w:id="6292" w:name="Bookmark_I502VRD70K1MNJ0PV0000400"/>
      <w:bookmarkEnd w:id="6289"/>
      <w:bookmarkEnd w:id="6290"/>
      <w:bookmarkEnd w:id="6291"/>
      <w:bookmarkEnd w:id="6292"/>
      <w:r>
        <w:rPr>
          <w:rFonts w:ascii="Arial" w:eastAsia="Arial" w:hAnsi="Arial" w:cs="Arial"/>
          <w:i/>
          <w:color w:val="000000"/>
          <w:sz w:val="20"/>
        </w:rPr>
        <w:t>Gebser v. Lago Vista Independent School District</w:t>
      </w:r>
      <w:r>
        <w:rPr>
          <w:rFonts w:ascii="Arial" w:eastAsia="Arial" w:hAnsi="Arial" w:cs="Arial"/>
          <w:color w:val="000000"/>
          <w:sz w:val="20"/>
        </w:rPr>
        <w:t xml:space="preserve">, 524 U.S. 274, 118 S. Ct. 1989, 141 L. Ed. 2d 277 (1998),  [**18] further defined the scope of a school's monetary liability under Title IX for inaction in the face of serious sexual harassment. </w:t>
      </w:r>
      <w:bookmarkStart w:id="6293" w:name="Bookmark_I502VRD70K1MNJ0S60000400"/>
      <w:bookmarkEnd w:id="6293"/>
      <w:r>
        <w:rPr>
          <w:rFonts w:ascii="Arial" w:eastAsia="Arial" w:hAnsi="Arial" w:cs="Arial"/>
          <w:color w:val="000000"/>
          <w:sz w:val="20"/>
        </w:rPr>
        <w:t xml:space="preserve">In </w:t>
      </w:r>
      <w:r>
        <w:rPr>
          <w:rFonts w:ascii="Arial" w:eastAsia="Arial" w:hAnsi="Arial" w:cs="Arial"/>
          <w:i/>
          <w:color w:val="000000"/>
          <w:sz w:val="20"/>
        </w:rPr>
        <w:t>Gebser</w:t>
      </w:r>
      <w:r>
        <w:rPr>
          <w:rFonts w:ascii="Arial" w:eastAsia="Arial" w:hAnsi="Arial" w:cs="Arial"/>
          <w:color w:val="000000"/>
          <w:sz w:val="20"/>
        </w:rPr>
        <w:t xml:space="preserve">, the Court held that </w:t>
      </w:r>
      <w:bookmarkStart w:id="6294" w:name="Bookmark_LNHNREFclscc13_21"/>
      <w:bookmarkEnd w:id="6294"/>
      <w:r>
        <w:rPr>
          <w:rFonts w:ascii="Arial" w:eastAsia="Arial" w:hAnsi="Arial" w:cs="Arial"/>
          <w:color w:val="000000"/>
          <w:sz w:val="20"/>
        </w:rPr>
        <w:t xml:space="preserve">principles of </w:t>
      </w:r>
      <w:r>
        <w:rPr>
          <w:rFonts w:ascii="Arial" w:eastAsia="Arial" w:hAnsi="Arial" w:cs="Arial"/>
          <w:i/>
          <w:color w:val="000000"/>
          <w:sz w:val="20"/>
        </w:rPr>
        <w:t>respondeat superior</w:t>
      </w:r>
      <w:r>
        <w:rPr>
          <w:rFonts w:ascii="Arial" w:eastAsia="Arial" w:hAnsi="Arial" w:cs="Arial"/>
          <w:color w:val="000000"/>
          <w:sz w:val="20"/>
        </w:rPr>
        <w:t xml:space="preserve"> and constructive notice are inadequate to impose Title IX liability on a school district for a teacher's sexual abuse of a high school student. </w:t>
      </w:r>
      <w:bookmarkStart w:id="6295" w:name="Bookmark_I502VRD70K1MNJ0S80000400"/>
      <w:bookmarkStart w:id="6296" w:name="Bookmark_I502VRD70K1MNJ0PX0000400"/>
      <w:bookmarkEnd w:id="6295"/>
      <w:bookmarkEnd w:id="6296"/>
      <w:r>
        <w:rPr>
          <w:rFonts w:ascii="Arial" w:eastAsia="Arial" w:hAnsi="Arial" w:cs="Arial"/>
          <w:i/>
          <w:color w:val="000000"/>
          <w:sz w:val="20"/>
        </w:rPr>
        <w:t>Id</w:t>
      </w:r>
      <w:r>
        <w:rPr>
          <w:rFonts w:ascii="Arial" w:eastAsia="Arial" w:hAnsi="Arial" w:cs="Arial"/>
          <w:color w:val="000000"/>
          <w:sz w:val="20"/>
        </w:rPr>
        <w:t xml:space="preserve">. at 285. </w:t>
      </w:r>
      <w:bookmarkStart w:id="6297" w:name="Bookmark_I502VRD70K1MNJ0S80000400_2"/>
      <w:bookmarkStart w:id="6298" w:name="Bookmark_I502VRD70K1MNJ0S60000400_2"/>
      <w:bookmarkEnd w:id="6297"/>
      <w:bookmarkEnd w:id="6298"/>
      <w:r>
        <w:rPr>
          <w:rFonts w:ascii="Arial" w:eastAsia="Arial" w:hAnsi="Arial" w:cs="Arial"/>
          <w:color w:val="000000"/>
          <w:sz w:val="20"/>
        </w:rPr>
        <w:t xml:space="preserve">Noting that Title IX's express enforcement scheme, termination of federal funding, requires "an opportunity for voluntary compliance" before suspending or terminating funding, </w:t>
      </w:r>
      <w:r>
        <w:rPr>
          <w:rFonts w:ascii="Arial" w:eastAsia="Arial" w:hAnsi="Arial" w:cs="Arial"/>
          <w:i/>
          <w:color w:val="000000"/>
          <w:sz w:val="20"/>
        </w:rPr>
        <w:t>see</w:t>
      </w:r>
      <w:r>
        <w:rPr>
          <w:rFonts w:ascii="Arial" w:eastAsia="Arial" w:hAnsi="Arial" w:cs="Arial"/>
          <w:color w:val="000000"/>
          <w:sz w:val="20"/>
        </w:rPr>
        <w:t xml:space="preserve"> 20 U.S.C. § 1682,  [*967]  </w:t>
      </w:r>
      <w:r>
        <w:rPr>
          <w:rFonts w:ascii="Arial" w:eastAsia="Arial" w:hAnsi="Arial" w:cs="Arial"/>
          <w:i/>
          <w:color w:val="000000"/>
          <w:sz w:val="20"/>
        </w:rPr>
        <w:t>Gebser</w:t>
      </w:r>
      <w:r>
        <w:rPr>
          <w:rFonts w:ascii="Arial" w:eastAsia="Arial" w:hAnsi="Arial" w:cs="Arial"/>
          <w:color w:val="000000"/>
          <w:sz w:val="20"/>
        </w:rPr>
        <w:t xml:space="preserve"> held that the judicially implied private right of action similarly should not impose liability "without regard to the recipient's knowledge or its corrective actions upon receiving notice." </w:t>
      </w:r>
      <w:bookmarkStart w:id="6299" w:name="Bookmark_I502VRD70K1MNJ0S50000400"/>
      <w:bookmarkEnd w:id="6299"/>
      <w:r>
        <w:rPr>
          <w:rFonts w:ascii="Arial" w:eastAsia="Arial" w:hAnsi="Arial" w:cs="Arial"/>
          <w:i/>
          <w:color w:val="000000"/>
          <w:sz w:val="20"/>
        </w:rPr>
        <w:t>Id</w:t>
      </w:r>
      <w:r>
        <w:rPr>
          <w:rFonts w:ascii="Arial" w:eastAsia="Arial" w:hAnsi="Arial" w:cs="Arial"/>
          <w:color w:val="000000"/>
          <w:sz w:val="20"/>
        </w:rPr>
        <w:t xml:space="preserve">. at 289. Monetary damages premised on constructive notice or </w:t>
      </w:r>
      <w:r>
        <w:rPr>
          <w:rFonts w:ascii="Arial" w:eastAsia="Arial" w:hAnsi="Arial" w:cs="Arial"/>
          <w:i/>
          <w:color w:val="000000"/>
          <w:sz w:val="20"/>
        </w:rPr>
        <w:t>respondeat superior</w:t>
      </w:r>
      <w:r>
        <w:rPr>
          <w:rFonts w:ascii="Arial" w:eastAsia="Arial" w:hAnsi="Arial" w:cs="Arial"/>
          <w:color w:val="000000"/>
          <w:sz w:val="20"/>
        </w:rPr>
        <w:t xml:space="preserve"> for sexual harassment, the Court held in </w:t>
      </w:r>
      <w:r>
        <w:rPr>
          <w:rFonts w:ascii="Arial" w:eastAsia="Arial" w:hAnsi="Arial" w:cs="Arial"/>
          <w:i/>
          <w:color w:val="000000"/>
          <w:sz w:val="20"/>
        </w:rPr>
        <w:t>Gebser</w:t>
      </w:r>
      <w:r>
        <w:rPr>
          <w:rFonts w:ascii="Arial" w:eastAsia="Arial" w:hAnsi="Arial" w:cs="Arial"/>
          <w:color w:val="000000"/>
          <w:sz w:val="20"/>
        </w:rPr>
        <w:t xml:space="preserve">, would entail a risk that "the recipient of funds was unaware of the discrimination." </w:t>
      </w:r>
      <w:bookmarkStart w:id="6300" w:name="Bookmark_I502VRD70K1MNJ0S70000400"/>
      <w:bookmarkEnd w:id="6300"/>
      <w:r>
        <w:rPr>
          <w:rFonts w:ascii="Arial" w:eastAsia="Arial" w:hAnsi="Arial" w:cs="Arial"/>
          <w:i/>
          <w:color w:val="000000"/>
          <w:sz w:val="20"/>
        </w:rPr>
        <w:t>Id</w:t>
      </w:r>
      <w:r>
        <w:rPr>
          <w:rFonts w:ascii="Arial" w:eastAsia="Arial" w:hAnsi="Arial" w:cs="Arial"/>
          <w:color w:val="000000"/>
          <w:sz w:val="20"/>
        </w:rPr>
        <w:t xml:space="preserve">. at 287. </w:t>
      </w:r>
      <w:bookmarkStart w:id="6301" w:name="Bookmark_I502VRD70K1MNJ1300000400"/>
      <w:bookmarkEnd w:id="6301"/>
      <w:r>
        <w:rPr>
          <w:rFonts w:ascii="Arial" w:eastAsia="Arial" w:hAnsi="Arial" w:cs="Arial"/>
          <w:color w:val="000000"/>
          <w:sz w:val="20"/>
        </w:rPr>
        <w:t>Rather,</w:t>
      </w:r>
    </w:p>
    <w:p w14:paraId="72EFEC9C" w14:textId="77777777" w:rsidR="00D041A2" w:rsidRDefault="00000000">
      <w:pPr>
        <w:pStyle w:val="Normal46"/>
        <w:widowControl w:val="0"/>
        <w:spacing w:before="200" w:line="260" w:lineRule="atLeast"/>
        <w:ind w:left="400"/>
        <w:jc w:val="both"/>
      </w:pPr>
      <w:bookmarkStart w:id="6302" w:name="Bookmark_para_26_23"/>
      <w:bookmarkStart w:id="6303" w:name="Bookmark_I502VRD70K1MNJ1300000400_2"/>
      <w:bookmarkEnd w:id="6302"/>
      <w:bookmarkEnd w:id="6303"/>
      <w:r>
        <w:rPr>
          <w:rFonts w:ascii="Arial" w:eastAsia="Arial" w:hAnsi="Arial" w:cs="Arial"/>
          <w:color w:val="000000"/>
          <w:sz w:val="20"/>
        </w:rPr>
        <w:t xml:space="preserve">in cases like this one </w:t>
      </w:r>
      <w:r>
        <w:rPr>
          <w:rFonts w:ascii="Arial" w:eastAsia="Arial" w:hAnsi="Arial" w:cs="Arial"/>
          <w:i/>
          <w:color w:val="000000"/>
          <w:sz w:val="20"/>
        </w:rPr>
        <w:t>that do not involve official policy of the recipient entity</w:t>
      </w:r>
      <w:r>
        <w:rPr>
          <w:rFonts w:ascii="Arial" w:eastAsia="Arial" w:hAnsi="Arial" w:cs="Arial"/>
          <w:color w:val="000000"/>
          <w:sz w:val="20"/>
        </w:rPr>
        <w:t>, . . . a damages remedy will not lie under Title IX unless an official who . . . has authority to address the alleged discrimination and  [**19] to institute corrective measures . . . has actual knowledge of discrimination . . . and fails adequately to respond.</w:t>
      </w:r>
    </w:p>
    <w:p w14:paraId="795515E7" w14:textId="77777777" w:rsidR="00D041A2" w:rsidRDefault="00000000">
      <w:pPr>
        <w:pStyle w:val="Normal46"/>
        <w:widowControl w:val="0"/>
        <w:spacing w:before="200" w:line="260" w:lineRule="atLeast"/>
        <w:jc w:val="both"/>
      </w:pPr>
      <w:bookmarkStart w:id="6304" w:name="Bookmark_I502VRD70K1MNJ1300000400_3"/>
      <w:bookmarkStart w:id="6305" w:name="Bookmark_I502VRD70K1MNJ12Y0000400"/>
      <w:bookmarkEnd w:id="6304"/>
      <w:bookmarkEnd w:id="6305"/>
      <w:r>
        <w:rPr>
          <w:rFonts w:ascii="Arial" w:eastAsia="Arial" w:hAnsi="Arial" w:cs="Arial"/>
          <w:i/>
          <w:color w:val="000000"/>
          <w:sz w:val="20"/>
        </w:rPr>
        <w:t>Id</w:t>
      </w:r>
      <w:r>
        <w:rPr>
          <w:rFonts w:ascii="Arial" w:eastAsia="Arial" w:hAnsi="Arial" w:cs="Arial"/>
          <w:color w:val="000000"/>
          <w:sz w:val="20"/>
        </w:rPr>
        <w:t>. at 290 (emphasis added).</w:t>
      </w:r>
    </w:p>
    <w:p w14:paraId="50363B39" w14:textId="77777777" w:rsidR="00D041A2" w:rsidRDefault="00000000">
      <w:pPr>
        <w:pStyle w:val="Normal46"/>
        <w:widowControl w:val="0"/>
        <w:spacing w:before="200" w:line="260" w:lineRule="atLeast"/>
        <w:jc w:val="both"/>
      </w:pPr>
      <w:bookmarkStart w:id="6306" w:name="Bookmark_para_27_23"/>
      <w:bookmarkStart w:id="6307" w:name="Bookmark_I6TN9X9KG4W000G7GKN0002D"/>
      <w:bookmarkStart w:id="6308" w:name="Bookmark_I502VRD70K1MNJ1320000400"/>
      <w:bookmarkStart w:id="6309" w:name="Bookmark_I502VRD70K1MNJ1390000400"/>
      <w:bookmarkStart w:id="6310" w:name="Bookmark_I502VRD70K1MNJ13F0000400"/>
      <w:bookmarkEnd w:id="6306"/>
      <w:bookmarkEnd w:id="6307"/>
      <w:bookmarkEnd w:id="6308"/>
      <w:bookmarkEnd w:id="6309"/>
      <w:bookmarkEnd w:id="6310"/>
      <w:r>
        <w:rPr>
          <w:rFonts w:ascii="Arial" w:eastAsia="Arial" w:hAnsi="Arial" w:cs="Arial"/>
          <w:color w:val="000000"/>
          <w:sz w:val="20"/>
        </w:rPr>
        <w:t xml:space="preserve">Critically for present purposes, </w:t>
      </w:r>
      <w:bookmarkStart w:id="6311" w:name="Bookmark_LNHNREFclscc14_20"/>
      <w:bookmarkStart w:id="6312" w:name="Bookmark_I502VRD70K1MNJ1310000400"/>
      <w:bookmarkEnd w:id="6311"/>
      <w:bookmarkEnd w:id="6312"/>
      <w:r>
        <w:rPr>
          <w:rFonts w:ascii="Arial" w:eastAsia="Arial" w:hAnsi="Arial" w:cs="Arial"/>
          <w:i/>
          <w:color w:val="000000"/>
          <w:sz w:val="20"/>
        </w:rPr>
        <w:t>Gebser</w:t>
      </w:r>
      <w:r>
        <w:rPr>
          <w:rFonts w:ascii="Arial" w:eastAsia="Arial" w:hAnsi="Arial" w:cs="Arial"/>
          <w:color w:val="000000"/>
          <w:sz w:val="20"/>
        </w:rPr>
        <w:t xml:space="preserve"> does not make pre-litigation notice of an alleged violation a prerequisite to recovery in every Title IX case, or even in every sexual harassment case. Proof of actual notice is required only when the alleged Title IX violation consists of an institution's deliberate indifference to acts that "do not involve official policy of the recipient entity." </w:t>
      </w:r>
      <w:r>
        <w:rPr>
          <w:rFonts w:ascii="Arial" w:eastAsia="Arial" w:hAnsi="Arial" w:cs="Arial"/>
          <w:i/>
          <w:color w:val="000000"/>
          <w:sz w:val="20"/>
        </w:rPr>
        <w:t>Id</w:t>
      </w:r>
      <w:r>
        <w:rPr>
          <w:rFonts w:ascii="Arial" w:eastAsia="Arial" w:hAnsi="Arial" w:cs="Arial"/>
          <w:color w:val="000000"/>
          <w:sz w:val="20"/>
        </w:rPr>
        <w:t xml:space="preserve">. In sexual harassment cases, it is the deliberate failure to curtail known harassment, rather than the harassment itself, that constitutes the intentional Title IX violation. </w:t>
      </w:r>
      <w:bookmarkStart w:id="6313" w:name="Bookmark_I502VRD70K1MNJ13C0000400"/>
      <w:bookmarkEnd w:id="6313"/>
      <w:r>
        <w:rPr>
          <w:rFonts w:ascii="Arial" w:eastAsia="Arial" w:hAnsi="Arial" w:cs="Arial"/>
          <w:vertAlign w:val="superscript"/>
        </w:rPr>
        <w:footnoteReference w:customMarkFollows="1" w:id="303"/>
        <w:t>13</w:t>
      </w:r>
      <w:r>
        <w:rPr>
          <w:rFonts w:ascii="Arial" w:eastAsia="Arial" w:hAnsi="Arial" w:cs="Arial"/>
          <w:color w:val="000000"/>
          <w:sz w:val="20"/>
        </w:rPr>
        <w:t xml:space="preserve"> </w:t>
      </w:r>
      <w:r>
        <w:rPr>
          <w:rFonts w:ascii="Arial" w:eastAsia="Arial" w:hAnsi="Arial" w:cs="Arial"/>
          <w:i/>
          <w:color w:val="000000"/>
          <w:sz w:val="20"/>
        </w:rPr>
        <w:t xml:space="preserve">See </w:t>
      </w:r>
      <w:bookmarkStart w:id="6316" w:name="Bookmark_I502VRD70K1MNJ1330000400"/>
      <w:bookmarkEnd w:id="6316"/>
      <w:r>
        <w:rPr>
          <w:rFonts w:ascii="Arial" w:eastAsia="Arial" w:hAnsi="Arial" w:cs="Arial"/>
          <w:i/>
          <w:color w:val="000000"/>
          <w:sz w:val="20"/>
        </w:rPr>
        <w:t>Davis v. Monroe County Bd. of Educ</w:t>
      </w:r>
      <w:r>
        <w:rPr>
          <w:rFonts w:ascii="Arial" w:eastAsia="Arial" w:hAnsi="Arial" w:cs="Arial"/>
          <w:color w:val="000000"/>
          <w:sz w:val="20"/>
        </w:rPr>
        <w:t xml:space="preserve">, 526 U.S. 629, 641, 119 S. Ct. 1661, 143 L. Ed. 2d 839 (1999) (holding that </w:t>
      </w:r>
      <w:r>
        <w:rPr>
          <w:rFonts w:ascii="Arial" w:eastAsia="Arial" w:hAnsi="Arial" w:cs="Arial"/>
          <w:i/>
          <w:color w:val="000000"/>
          <w:sz w:val="20"/>
        </w:rPr>
        <w:t>Gebser</w:t>
      </w:r>
      <w:r>
        <w:rPr>
          <w:rFonts w:ascii="Arial" w:eastAsia="Arial" w:hAnsi="Arial" w:cs="Arial"/>
          <w:color w:val="000000"/>
          <w:sz w:val="20"/>
        </w:rPr>
        <w:t xml:space="preserve"> permits the plaintiff "to hold the Board liable for its </w:t>
      </w:r>
      <w:r>
        <w:rPr>
          <w:rFonts w:ascii="Arial" w:eastAsia="Arial" w:hAnsi="Arial" w:cs="Arial"/>
          <w:i/>
          <w:color w:val="000000"/>
          <w:sz w:val="20"/>
        </w:rPr>
        <w:t>own</w:t>
      </w:r>
      <w:r>
        <w:rPr>
          <w:rFonts w:ascii="Arial" w:eastAsia="Arial" w:hAnsi="Arial" w:cs="Arial"/>
          <w:color w:val="000000"/>
          <w:sz w:val="20"/>
        </w:rPr>
        <w:t xml:space="preserve"> decision to remain idle in the face of known student-on-student harassment in its schools."). </w:t>
      </w:r>
      <w:bookmarkStart w:id="6317" w:name="Bookmark_I502VRD70K1MNJ13C0000400_2"/>
      <w:bookmarkEnd w:id="6317"/>
      <w:r>
        <w:rPr>
          <w:rFonts w:ascii="Arial" w:eastAsia="Arial" w:hAnsi="Arial" w:cs="Arial"/>
          <w:color w:val="000000"/>
          <w:sz w:val="20"/>
        </w:rPr>
        <w:t xml:space="preserve">The Tenth Circuit has held that a corollary of this principle is that where the official policy is one of deliberate indifference to a known overall risk of sexual harassment, notice of a particular harassment situation and an opportunity to cure  [**20] it are not predicates for liability. </w:t>
      </w:r>
      <w:r>
        <w:rPr>
          <w:rFonts w:ascii="Arial" w:eastAsia="Arial" w:hAnsi="Arial" w:cs="Arial"/>
          <w:i/>
          <w:color w:val="000000"/>
          <w:sz w:val="20"/>
        </w:rPr>
        <w:t xml:space="preserve">See </w:t>
      </w:r>
      <w:bookmarkStart w:id="6318" w:name="Bookmark_I502VRD70K1MNJ13B0000400"/>
      <w:bookmarkEnd w:id="6318"/>
      <w:r>
        <w:rPr>
          <w:rFonts w:ascii="Arial" w:eastAsia="Arial" w:hAnsi="Arial" w:cs="Arial"/>
          <w:i/>
          <w:color w:val="000000"/>
          <w:sz w:val="20"/>
        </w:rPr>
        <w:t>Simpson v. Univ. of Colo. Boulder</w:t>
      </w:r>
      <w:r>
        <w:rPr>
          <w:rFonts w:ascii="Arial" w:eastAsia="Arial" w:hAnsi="Arial" w:cs="Arial"/>
          <w:color w:val="000000"/>
          <w:sz w:val="20"/>
        </w:rPr>
        <w:t xml:space="preserve">, 500 F.3d 1170 (10th Cir. 2007). </w:t>
      </w:r>
      <w:r>
        <w:rPr>
          <w:rFonts w:ascii="Arial" w:eastAsia="Arial" w:hAnsi="Arial" w:cs="Arial"/>
          <w:vertAlign w:val="superscript"/>
        </w:rPr>
        <w:footnoteReference w:customMarkFollows="1" w:id="304"/>
        <w:t>14</w:t>
      </w:r>
      <w:r>
        <w:rPr>
          <w:rFonts w:ascii="Arial" w:eastAsia="Arial" w:hAnsi="Arial" w:cs="Arial"/>
          <w:color w:val="000000"/>
          <w:sz w:val="20"/>
        </w:rPr>
        <w:t xml:space="preserve"> </w:t>
      </w:r>
    </w:p>
    <w:p w14:paraId="4B8AE0BC" w14:textId="77777777" w:rsidR="00D041A2" w:rsidRDefault="00000000">
      <w:pPr>
        <w:pStyle w:val="Normal46"/>
        <w:widowControl w:val="0"/>
        <w:spacing w:before="200" w:line="260" w:lineRule="atLeast"/>
        <w:jc w:val="both"/>
      </w:pPr>
      <w:bookmarkStart w:id="6322" w:name="Bookmark_para_28_22"/>
      <w:bookmarkStart w:id="6323" w:name="Bookmark_I502VRD70K1MNJ1JB0000400"/>
      <w:bookmarkStart w:id="6324" w:name="Bookmark_I502VRD70K1MNJ1JK0000400"/>
      <w:bookmarkEnd w:id="6322"/>
      <w:bookmarkEnd w:id="6323"/>
      <w:bookmarkEnd w:id="6324"/>
      <w:r>
        <w:rPr>
          <w:rFonts w:ascii="Arial" w:eastAsia="Arial" w:hAnsi="Arial" w:cs="Arial"/>
          <w:color w:val="000000"/>
          <w:sz w:val="20"/>
        </w:rPr>
        <w:t xml:space="preserve">Consistent with the  [**21] reasoning underlying </w:t>
      </w:r>
      <w:r>
        <w:rPr>
          <w:rFonts w:ascii="Arial" w:eastAsia="Arial" w:hAnsi="Arial" w:cs="Arial"/>
          <w:i/>
          <w:color w:val="000000"/>
          <w:sz w:val="20"/>
        </w:rPr>
        <w:t>Gebser</w:t>
      </w:r>
      <w:r>
        <w:rPr>
          <w:rFonts w:ascii="Arial" w:eastAsia="Arial" w:hAnsi="Arial" w:cs="Arial"/>
          <w:color w:val="000000"/>
          <w:sz w:val="20"/>
        </w:rPr>
        <w:t xml:space="preserve">, </w:t>
      </w:r>
      <w:bookmarkStart w:id="6325" w:name="Bookmark_LNHNREFclscc15_18"/>
      <w:bookmarkEnd w:id="6325"/>
      <w:r>
        <w:rPr>
          <w:rFonts w:ascii="Arial" w:eastAsia="Arial" w:hAnsi="Arial" w:cs="Arial"/>
          <w:color w:val="000000"/>
          <w:sz w:val="20"/>
        </w:rPr>
        <w:t xml:space="preserve">the Supreme Court has made clear that no notice requirement is applicable to Title IX claims that rest on an affirmative institutional decision. </w:t>
      </w:r>
      <w:bookmarkStart w:id="6326" w:name="Bookmark_I502VRD70K1MNJ1J90000400"/>
      <w:bookmarkEnd w:id="6326"/>
      <w:r>
        <w:rPr>
          <w:rFonts w:ascii="Arial" w:eastAsia="Arial" w:hAnsi="Arial" w:cs="Arial"/>
          <w:i/>
          <w:color w:val="000000"/>
          <w:sz w:val="20"/>
        </w:rPr>
        <w:t>Jackson v. Birmingham Board of Education</w:t>
      </w:r>
      <w:r>
        <w:rPr>
          <w:rFonts w:ascii="Arial" w:eastAsia="Arial" w:hAnsi="Arial" w:cs="Arial"/>
          <w:color w:val="000000"/>
          <w:sz w:val="20"/>
        </w:rPr>
        <w:t xml:space="preserve">, 544 U.S. 167, 125 S. Ct. 1497, 161 L. Ed. 2d 361 (2005), held that a high school athletics coach fired in retaliation for complaining about discrimination in athletics funding had a private right of action under Title IX. The Court held that no pre-litigation notice is required in the retaliation context. In </w:t>
      </w:r>
      <w:r>
        <w:rPr>
          <w:rFonts w:ascii="Arial" w:eastAsia="Arial" w:hAnsi="Arial" w:cs="Arial"/>
          <w:i/>
          <w:color w:val="000000"/>
          <w:sz w:val="20"/>
        </w:rPr>
        <w:t>Gebser</w:t>
      </w:r>
      <w:r>
        <w:rPr>
          <w:rFonts w:ascii="Arial" w:eastAsia="Arial" w:hAnsi="Arial" w:cs="Arial"/>
          <w:color w:val="000000"/>
          <w:sz w:val="20"/>
        </w:rPr>
        <w:t xml:space="preserve"> and </w:t>
      </w:r>
      <w:r>
        <w:rPr>
          <w:rFonts w:ascii="Arial" w:eastAsia="Arial" w:hAnsi="Arial" w:cs="Arial"/>
          <w:i/>
          <w:color w:val="000000"/>
          <w:sz w:val="20"/>
        </w:rPr>
        <w:t>Davis</w:t>
      </w:r>
      <w:r>
        <w:rPr>
          <w:rFonts w:ascii="Arial" w:eastAsia="Arial" w:hAnsi="Arial" w:cs="Arial"/>
          <w:color w:val="000000"/>
          <w:sz w:val="20"/>
        </w:rPr>
        <w:t xml:space="preserve">, the Court stated, "we emphasized that [the notice] limitation on private damages actions is not a bar to liability where a funding recipient intentionally violates the statute." </w:t>
      </w:r>
      <w:bookmarkStart w:id="6327" w:name="Bookmark_I502VRD70K1MNJ1JC0000400"/>
      <w:bookmarkEnd w:id="6327"/>
      <w:r>
        <w:rPr>
          <w:rFonts w:ascii="Arial" w:eastAsia="Arial" w:hAnsi="Arial" w:cs="Arial"/>
          <w:i/>
          <w:color w:val="000000"/>
          <w:sz w:val="20"/>
        </w:rPr>
        <w:t>Id</w:t>
      </w:r>
      <w:r>
        <w:rPr>
          <w:rFonts w:ascii="Arial" w:eastAsia="Arial" w:hAnsi="Arial" w:cs="Arial"/>
          <w:color w:val="000000"/>
          <w:sz w:val="20"/>
        </w:rPr>
        <w:t xml:space="preserve">. at 182 (quotation omitted). As retaliation is "easily attributable to the  [*968]  funding recipient and it is always -- by definition -- intentional," </w:t>
      </w:r>
      <w:r>
        <w:rPr>
          <w:rFonts w:ascii="Arial" w:eastAsia="Arial" w:hAnsi="Arial" w:cs="Arial"/>
          <w:i/>
          <w:color w:val="000000"/>
          <w:sz w:val="20"/>
        </w:rPr>
        <w:t>id</w:t>
      </w:r>
      <w:r>
        <w:rPr>
          <w:rFonts w:ascii="Arial" w:eastAsia="Arial" w:hAnsi="Arial" w:cs="Arial"/>
          <w:color w:val="000000"/>
          <w:sz w:val="20"/>
        </w:rPr>
        <w:t>., the Court allowed Jackson's retaliation claim to proceed without regard to whether adequate pre-litigation notice and opportunity to cure the violation had been provided.</w:t>
      </w:r>
    </w:p>
    <w:p w14:paraId="29DC5CC6" w14:textId="77777777" w:rsidR="00D041A2" w:rsidRDefault="00000000">
      <w:pPr>
        <w:pStyle w:val="Normal46"/>
        <w:widowControl w:val="0"/>
        <w:spacing w:before="200" w:line="260" w:lineRule="atLeast"/>
        <w:jc w:val="both"/>
      </w:pPr>
      <w:bookmarkStart w:id="6328" w:name="Bookmark_para_29_21"/>
      <w:bookmarkStart w:id="6329" w:name="Bookmark_I502VRD70K1MNJ1JN0000400"/>
      <w:bookmarkEnd w:id="6328"/>
      <w:bookmarkEnd w:id="6329"/>
      <w:r>
        <w:rPr>
          <w:rFonts w:ascii="Arial" w:eastAsia="Arial" w:hAnsi="Arial" w:cs="Arial"/>
          <w:color w:val="000000"/>
          <w:sz w:val="20"/>
        </w:rPr>
        <w:t xml:space="preserve">Universities' decisions with respect to athletics are even more "easily attributable to the funding recipient and . . . always -- by definition -- intentional," </w:t>
      </w:r>
      <w:bookmarkStart w:id="6330" w:name="Bookmark_I502VRD70K1MNJ1JM0000400"/>
      <w:bookmarkEnd w:id="6330"/>
      <w:r>
        <w:rPr>
          <w:rFonts w:ascii="Arial" w:eastAsia="Arial" w:hAnsi="Arial" w:cs="Arial"/>
          <w:i/>
          <w:color w:val="000000"/>
          <w:sz w:val="20"/>
        </w:rPr>
        <w:t>id</w:t>
      </w:r>
      <w:r>
        <w:rPr>
          <w:rFonts w:ascii="Arial" w:eastAsia="Arial" w:hAnsi="Arial" w:cs="Arial"/>
          <w:color w:val="000000"/>
          <w:sz w:val="20"/>
        </w:rPr>
        <w:t xml:space="preserve">. at 183, than the retaliation  [**22] in </w:t>
      </w:r>
      <w:r>
        <w:rPr>
          <w:rFonts w:ascii="Arial" w:eastAsia="Arial" w:hAnsi="Arial" w:cs="Arial"/>
          <w:i/>
          <w:color w:val="000000"/>
          <w:sz w:val="20"/>
        </w:rPr>
        <w:t>Jackson</w:t>
      </w:r>
      <w:r>
        <w:rPr>
          <w:rFonts w:ascii="Arial" w:eastAsia="Arial" w:hAnsi="Arial" w:cs="Arial"/>
          <w:color w:val="000000"/>
          <w:sz w:val="20"/>
        </w:rPr>
        <w:t xml:space="preserve">. </w:t>
      </w:r>
      <w:bookmarkStart w:id="6331" w:name="Bookmark_LNHNREFclscc16_15"/>
      <w:bookmarkEnd w:id="6331"/>
      <w:r>
        <w:rPr>
          <w:rFonts w:ascii="Arial" w:eastAsia="Arial" w:hAnsi="Arial" w:cs="Arial"/>
          <w:color w:val="000000"/>
          <w:sz w:val="20"/>
        </w:rPr>
        <w:t xml:space="preserve">Institutions, not individual actors, decide how to allocate resources between male and female athletic teams. </w:t>
      </w:r>
      <w:bookmarkStart w:id="6332" w:name="Bookmark_I502VRD70K1MNJ1JR0000400"/>
      <w:bookmarkEnd w:id="6332"/>
      <w:r>
        <w:rPr>
          <w:rFonts w:ascii="Arial" w:eastAsia="Arial" w:hAnsi="Arial" w:cs="Arial"/>
          <w:color w:val="000000"/>
          <w:sz w:val="20"/>
        </w:rPr>
        <w:t xml:space="preserve">Decisions to create or eliminate teams or to add or decrease roster slots for male or female athletes are official decisions, not practices by individual students or staff. </w:t>
      </w:r>
      <w:bookmarkStart w:id="6333" w:name="Bookmark_I502VRD70K1MNJ1JR0000400_2"/>
      <w:bookmarkEnd w:id="6333"/>
      <w:r>
        <w:rPr>
          <w:rFonts w:ascii="Arial" w:eastAsia="Arial" w:hAnsi="Arial" w:cs="Arial"/>
          <w:color w:val="000000"/>
          <w:sz w:val="20"/>
        </w:rPr>
        <w:t xml:space="preserve">Athletic programs that fail effectively to accommodate students of both sexes thus represent "official policy of the recipient entity" and so are not covered by </w:t>
      </w:r>
      <w:r>
        <w:rPr>
          <w:rFonts w:ascii="Arial" w:eastAsia="Arial" w:hAnsi="Arial" w:cs="Arial"/>
          <w:i/>
          <w:color w:val="000000"/>
          <w:sz w:val="20"/>
        </w:rPr>
        <w:t>Gebser's</w:t>
      </w:r>
      <w:r>
        <w:rPr>
          <w:rFonts w:ascii="Arial" w:eastAsia="Arial" w:hAnsi="Arial" w:cs="Arial"/>
          <w:color w:val="000000"/>
          <w:sz w:val="20"/>
        </w:rPr>
        <w:t xml:space="preserve"> notice requirement. </w:t>
      </w:r>
      <w:bookmarkStart w:id="6334" w:name="Bookmark_I502VRD70K1MNJ1JP0000400"/>
      <w:bookmarkEnd w:id="6334"/>
      <w:r>
        <w:rPr>
          <w:rFonts w:ascii="Arial" w:eastAsia="Arial" w:hAnsi="Arial" w:cs="Arial"/>
          <w:i/>
          <w:color w:val="000000"/>
          <w:sz w:val="20"/>
        </w:rPr>
        <w:t>Gebser</w:t>
      </w:r>
      <w:r>
        <w:rPr>
          <w:rFonts w:ascii="Arial" w:eastAsia="Arial" w:hAnsi="Arial" w:cs="Arial"/>
          <w:color w:val="000000"/>
          <w:sz w:val="20"/>
        </w:rPr>
        <w:t>, 524 U.S. at 290.</w:t>
      </w:r>
    </w:p>
    <w:p w14:paraId="05DFCE8E" w14:textId="77777777" w:rsidR="00D041A2" w:rsidRDefault="00000000">
      <w:pPr>
        <w:pStyle w:val="Normal46"/>
        <w:widowControl w:val="0"/>
        <w:spacing w:before="200" w:line="260" w:lineRule="atLeast"/>
        <w:jc w:val="both"/>
      </w:pPr>
      <w:bookmarkStart w:id="6335" w:name="Bookmark_para_30_21"/>
      <w:bookmarkEnd w:id="6335"/>
      <w:r>
        <w:rPr>
          <w:rFonts w:ascii="Arial" w:eastAsia="Arial" w:hAnsi="Arial" w:cs="Arial"/>
          <w:color w:val="000000"/>
          <w:sz w:val="20"/>
        </w:rPr>
        <w:t xml:space="preserve">Moreover, </w:t>
      </w:r>
      <w:bookmarkStart w:id="6336" w:name="Bookmark_LNHNREFclscc17_13"/>
      <w:bookmarkEnd w:id="6336"/>
      <w:r>
        <w:rPr>
          <w:rFonts w:ascii="Arial" w:eastAsia="Arial" w:hAnsi="Arial" w:cs="Arial"/>
          <w:color w:val="000000"/>
          <w:sz w:val="20"/>
        </w:rPr>
        <w:t xml:space="preserve">a judicially imposed notice requirement would be superfluous in light of universities' ongoing obligations to certify compliance with Title IX's athletics requirements and to track athletics gender equity data. OCR regulations require funding recipients to evaluate their policies and certify, as a condition for receiving funds, that they are "tak[ing] whatever remedial action is necessary . . . to eliminate . . . discrimination." 34 C.F.R. § 106.4; </w:t>
      </w:r>
      <w:r>
        <w:rPr>
          <w:rFonts w:ascii="Arial" w:eastAsia="Arial" w:hAnsi="Arial" w:cs="Arial"/>
          <w:i/>
          <w:color w:val="000000"/>
          <w:sz w:val="20"/>
        </w:rPr>
        <w:t>see also id</w:t>
      </w:r>
      <w:r>
        <w:rPr>
          <w:rFonts w:ascii="Arial" w:eastAsia="Arial" w:hAnsi="Arial" w:cs="Arial"/>
          <w:color w:val="000000"/>
          <w:sz w:val="20"/>
        </w:rPr>
        <w:t>. § 106.3. UCD and other funding recipients therefore have an affirmative obligation to ensure compliance with at least one prong of the three-part effective accommodation test.</w:t>
      </w:r>
    </w:p>
    <w:p w14:paraId="7603E105" w14:textId="77777777" w:rsidR="00D041A2" w:rsidRDefault="00000000">
      <w:pPr>
        <w:pStyle w:val="Normal46"/>
        <w:widowControl w:val="0"/>
        <w:spacing w:before="200" w:line="260" w:lineRule="atLeast"/>
        <w:jc w:val="both"/>
      </w:pPr>
      <w:bookmarkStart w:id="6337" w:name="Bookmark_para_31_20"/>
      <w:bookmarkStart w:id="6338" w:name="Bookmark_LNHNREFclscc18_11"/>
      <w:bookmarkEnd w:id="6337"/>
      <w:bookmarkEnd w:id="6338"/>
      <w:r>
        <w:rPr>
          <w:rFonts w:ascii="Arial" w:eastAsia="Arial" w:hAnsi="Arial" w:cs="Arial"/>
          <w:color w:val="000000"/>
          <w:sz w:val="20"/>
        </w:rPr>
        <w:t xml:space="preserve">The Equity in Athletics Disclosure Act (EADA)  [**23] further requires federally funded universities to report to the Department of Education and make available to students the number of undergraduates and athletes, broken down by sex, as well as sex-segregated data on operating expenses, coach salaries, athletic scholarships, recruiting expenditures, and revenues. 20 U.S.C. § 1092(g). </w:t>
      </w:r>
      <w:bookmarkStart w:id="6339" w:name="Bookmark_I502VRD70K1MNJ1RB0000400"/>
      <w:bookmarkEnd w:id="6339"/>
      <w:r>
        <w:rPr>
          <w:rFonts w:ascii="Arial" w:eastAsia="Arial" w:hAnsi="Arial" w:cs="Arial"/>
          <w:color w:val="000000"/>
          <w:sz w:val="20"/>
        </w:rPr>
        <w:t xml:space="preserve">UCD's EADA reports contain ample data demonstrating that it could not satisfy the substantial proportionality option and that the trend of increasing female athletic participation reversed after 2001, indicating that UCD may not have had a continuing practice of program expansion. Thus, where the alleged harm is unequal provision of athletic opportunity, the notice requirement would not supply universities with information of which they are legitimately unaware. </w:t>
      </w:r>
      <w:r>
        <w:rPr>
          <w:rFonts w:ascii="Arial" w:eastAsia="Arial" w:hAnsi="Arial" w:cs="Arial"/>
          <w:i/>
          <w:color w:val="000000"/>
          <w:sz w:val="20"/>
        </w:rPr>
        <w:t xml:space="preserve">See </w:t>
      </w:r>
      <w:bookmarkStart w:id="6340" w:name="Bookmark_I502VRD70K1MNJ1R90000400"/>
      <w:bookmarkEnd w:id="6340"/>
      <w:r>
        <w:rPr>
          <w:rFonts w:ascii="Arial" w:eastAsia="Arial" w:hAnsi="Arial" w:cs="Arial"/>
          <w:i/>
          <w:color w:val="000000"/>
          <w:sz w:val="20"/>
        </w:rPr>
        <w:t>Gebser</w:t>
      </w:r>
      <w:r>
        <w:rPr>
          <w:rFonts w:ascii="Arial" w:eastAsia="Arial" w:hAnsi="Arial" w:cs="Arial"/>
          <w:color w:val="000000"/>
          <w:sz w:val="20"/>
        </w:rPr>
        <w:t>, 524 U.S. at 289.</w:t>
      </w:r>
    </w:p>
    <w:p w14:paraId="0DDC68F1" w14:textId="77777777" w:rsidR="00D041A2" w:rsidRDefault="00000000">
      <w:pPr>
        <w:pStyle w:val="Normal46"/>
        <w:widowControl w:val="0"/>
        <w:spacing w:before="200" w:line="260" w:lineRule="atLeast"/>
        <w:jc w:val="both"/>
      </w:pPr>
      <w:bookmarkStart w:id="6341" w:name="Bookmark_para_32_20"/>
      <w:bookmarkStart w:id="6342" w:name="Bookmark_I502VRD70K1MNJ1RD0000400"/>
      <w:bookmarkEnd w:id="6341"/>
      <w:bookmarkEnd w:id="6342"/>
      <w:r>
        <w:rPr>
          <w:rFonts w:ascii="Arial" w:eastAsia="Arial" w:hAnsi="Arial" w:cs="Arial"/>
          <w:color w:val="000000"/>
          <w:sz w:val="20"/>
        </w:rPr>
        <w:t xml:space="preserve">We conclude for these reasons that </w:t>
      </w:r>
      <w:bookmarkStart w:id="6343" w:name="Bookmark_LNHNREFclscc19_10"/>
      <w:bookmarkEnd w:id="6343"/>
      <w:r>
        <w:rPr>
          <w:rFonts w:ascii="Arial" w:eastAsia="Arial" w:hAnsi="Arial" w:cs="Arial"/>
          <w:color w:val="000000"/>
          <w:sz w:val="20"/>
        </w:rPr>
        <w:t xml:space="preserve">pre-litigation notice and opportunity to cure is not necessary in cases alleging unequal provision of athletic opportunities in violation of Title IX. Applying the notice requirement to institutional decisions would contravene the clear language of </w:t>
      </w:r>
      <w:bookmarkStart w:id="6344" w:name="Bookmark_I502VRD70K1MNJ1RC0000400"/>
      <w:bookmarkEnd w:id="6344"/>
      <w:r>
        <w:rPr>
          <w:rFonts w:ascii="Arial" w:eastAsia="Arial" w:hAnsi="Arial" w:cs="Arial"/>
          <w:i/>
          <w:color w:val="000000"/>
          <w:sz w:val="20"/>
        </w:rPr>
        <w:t>Gebser</w:t>
      </w:r>
      <w:r>
        <w:rPr>
          <w:rFonts w:ascii="Arial" w:eastAsia="Arial" w:hAnsi="Arial" w:cs="Arial"/>
          <w:color w:val="000000"/>
          <w:sz w:val="20"/>
        </w:rPr>
        <w:t xml:space="preserve"> and its progeny. It would also be inconsistent with funding recipients' affirmative  [**24] obligations to provide nondiscriminatory athletic participation opportunities and continually to assess and certify compliance with Title IX.</w:t>
      </w:r>
    </w:p>
    <w:p w14:paraId="5BB29D39" w14:textId="77777777" w:rsidR="00D041A2" w:rsidRDefault="00000000">
      <w:pPr>
        <w:pStyle w:val="Normal46"/>
        <w:widowControl w:val="0"/>
        <w:spacing w:before="200" w:line="260" w:lineRule="atLeast"/>
        <w:jc w:val="both"/>
      </w:pPr>
      <w:bookmarkStart w:id="6345" w:name="Bookmark_para_33_20"/>
      <w:bookmarkEnd w:id="6345"/>
      <w:r>
        <w:rPr>
          <w:rFonts w:ascii="Arial" w:eastAsia="Arial" w:hAnsi="Arial" w:cs="Arial"/>
          <w:color w:val="000000"/>
          <w:sz w:val="20"/>
        </w:rPr>
        <w:t>The Fifth Circuit has reached the same conclusion we do, holding that</w:t>
      </w:r>
    </w:p>
    <w:p w14:paraId="6E466BF8" w14:textId="77777777" w:rsidR="00D041A2" w:rsidRDefault="00000000">
      <w:pPr>
        <w:pStyle w:val="Normal46"/>
        <w:widowControl w:val="0"/>
        <w:spacing w:before="200" w:line="260" w:lineRule="atLeast"/>
        <w:ind w:left="400"/>
        <w:jc w:val="both"/>
      </w:pPr>
      <w:bookmarkStart w:id="6346" w:name="Bookmark_para_34_20"/>
      <w:bookmarkStart w:id="6347" w:name="Bookmark_LNHNREFclscc20_8"/>
      <w:bookmarkStart w:id="6348" w:name="Bookmark_I6TN9X9K3Y5000G7GKN0002B"/>
      <w:bookmarkStart w:id="6349" w:name="Bookmark_I502VRD70K1MNJ1X10000400"/>
      <w:bookmarkEnd w:id="6346"/>
      <w:bookmarkEnd w:id="6347"/>
      <w:bookmarkEnd w:id="6348"/>
      <w:bookmarkEnd w:id="6349"/>
      <w:r>
        <w:rPr>
          <w:rFonts w:ascii="Arial" w:eastAsia="Arial" w:hAnsi="Arial" w:cs="Arial"/>
          <w:color w:val="000000"/>
          <w:sz w:val="20"/>
        </w:rPr>
        <w:t>the requirement in the sexual harassment cases-- that the academic institution have actual knowledge of the sexual harassment -- is not applicable for purposes of determining whether an academic institution intentionally discriminated on the basis of sex by denying females equal athletic opportunity . . . . In the instant case, it is the institution itself that is discriminating.</w:t>
      </w:r>
    </w:p>
    <w:p w14:paraId="1EA90840" w14:textId="77777777" w:rsidR="00D041A2" w:rsidRDefault="00000000">
      <w:pPr>
        <w:pStyle w:val="Normal46"/>
        <w:widowControl w:val="0"/>
        <w:spacing w:before="200" w:line="260" w:lineRule="atLeast"/>
        <w:jc w:val="both"/>
      </w:pPr>
      <w:bookmarkStart w:id="6350" w:name="Bookmark_I502VRD70K1MNJ1X10000400_2"/>
      <w:bookmarkStart w:id="6351" w:name="Bookmark_I502VRD70K1MNJ1X30000400"/>
      <w:bookmarkStart w:id="6352" w:name="Bookmark_I502VRD70K1MNJ1RF0000400"/>
      <w:bookmarkEnd w:id="6350"/>
      <w:bookmarkEnd w:id="6351"/>
      <w:bookmarkEnd w:id="6352"/>
      <w:r>
        <w:rPr>
          <w:rFonts w:ascii="Arial" w:eastAsia="Arial" w:hAnsi="Arial" w:cs="Arial"/>
          <w:i/>
          <w:color w:val="000000"/>
          <w:sz w:val="20"/>
        </w:rPr>
        <w:t>Pederson</w:t>
      </w:r>
      <w:r>
        <w:rPr>
          <w:rFonts w:ascii="Arial" w:eastAsia="Arial" w:hAnsi="Arial" w:cs="Arial"/>
          <w:color w:val="000000"/>
          <w:sz w:val="20"/>
        </w:rPr>
        <w:t xml:space="preserve">, 213 F.3d at 882. </w:t>
      </w:r>
      <w:bookmarkStart w:id="6353" w:name="Bookmark_I502VRD70K1MNJ1X30000400_2"/>
      <w:bookmarkEnd w:id="6353"/>
      <w:r>
        <w:rPr>
          <w:rFonts w:ascii="Arial" w:eastAsia="Arial" w:hAnsi="Arial" w:cs="Arial"/>
          <w:color w:val="000000"/>
          <w:sz w:val="20"/>
        </w:rPr>
        <w:t xml:space="preserve">The Eighth Circuit, the only other circuit to address the issue, has assumed, without any analysis, that </w:t>
      </w:r>
      <w:r>
        <w:rPr>
          <w:rFonts w:ascii="Arial" w:eastAsia="Arial" w:hAnsi="Arial" w:cs="Arial"/>
          <w:i/>
          <w:color w:val="000000"/>
          <w:sz w:val="20"/>
        </w:rPr>
        <w:t>Gebser's</w:t>
      </w:r>
      <w:r>
        <w:rPr>
          <w:rFonts w:ascii="Arial" w:eastAsia="Arial" w:hAnsi="Arial" w:cs="Arial"/>
          <w:color w:val="000000"/>
          <w:sz w:val="20"/>
        </w:rPr>
        <w:t xml:space="preserve"> notice requirement applies equally to Title IX cases where plaintiffs allege discrimination in the administration of an athletic program. </w:t>
      </w:r>
      <w:bookmarkStart w:id="6354" w:name="Bookmark_I502VRD70K1MNJ1X50000400"/>
      <w:bookmarkEnd w:id="6354"/>
      <w:r>
        <w:rPr>
          <w:rFonts w:ascii="Arial" w:eastAsia="Arial" w:hAnsi="Arial" w:cs="Arial"/>
          <w:color w:val="000000"/>
          <w:sz w:val="20"/>
        </w:rPr>
        <w:t xml:space="preserve"> [*969]  </w:t>
      </w:r>
      <w:bookmarkStart w:id="6355" w:name="Bookmark_I502VRD70K1MNJ1X20000400"/>
      <w:bookmarkEnd w:id="6355"/>
      <w:r>
        <w:rPr>
          <w:rFonts w:ascii="Arial" w:eastAsia="Arial" w:hAnsi="Arial" w:cs="Arial"/>
          <w:i/>
          <w:color w:val="000000"/>
          <w:sz w:val="20"/>
        </w:rPr>
        <w:t>Grandson v. Univ. of Minn</w:t>
      </w:r>
      <w:r>
        <w:rPr>
          <w:rFonts w:ascii="Arial" w:eastAsia="Arial" w:hAnsi="Arial" w:cs="Arial"/>
          <w:color w:val="000000"/>
          <w:sz w:val="20"/>
        </w:rPr>
        <w:t xml:space="preserve">,, 272 F.3d 568, 575 (8th Cir. 2001). </w:t>
      </w:r>
      <w:bookmarkStart w:id="6356" w:name="Bookmark_I502VRD70K1MNJ1X50000400_2"/>
      <w:bookmarkEnd w:id="6356"/>
      <w:r>
        <w:rPr>
          <w:rFonts w:ascii="Arial" w:eastAsia="Arial" w:hAnsi="Arial" w:cs="Arial"/>
          <w:color w:val="000000"/>
          <w:sz w:val="20"/>
        </w:rPr>
        <w:t xml:space="preserve">But the plaintiffs in </w:t>
      </w:r>
      <w:r>
        <w:rPr>
          <w:rFonts w:ascii="Arial" w:eastAsia="Arial" w:hAnsi="Arial" w:cs="Arial"/>
          <w:i/>
          <w:color w:val="000000"/>
          <w:sz w:val="20"/>
        </w:rPr>
        <w:t>Grandson</w:t>
      </w:r>
      <w:r>
        <w:rPr>
          <w:rFonts w:ascii="Arial" w:eastAsia="Arial" w:hAnsi="Arial" w:cs="Arial"/>
          <w:color w:val="000000"/>
          <w:sz w:val="20"/>
        </w:rPr>
        <w:t xml:space="preserve"> did not argue otherwise, </w:t>
      </w:r>
      <w:r>
        <w:rPr>
          <w:rFonts w:ascii="Arial" w:eastAsia="Arial" w:hAnsi="Arial" w:cs="Arial"/>
          <w:i/>
          <w:color w:val="000000"/>
          <w:sz w:val="20"/>
        </w:rPr>
        <w:t>id</w:t>
      </w:r>
      <w:r>
        <w:rPr>
          <w:rFonts w:ascii="Arial" w:eastAsia="Arial" w:hAnsi="Arial" w:cs="Arial"/>
          <w:color w:val="000000"/>
          <w:sz w:val="20"/>
        </w:rPr>
        <w:t xml:space="preserve">., and the Eighth Circuit reached the merits of a later Title IX athletics case without mentioning </w:t>
      </w:r>
      <w:r>
        <w:rPr>
          <w:rFonts w:ascii="Arial" w:eastAsia="Arial" w:hAnsi="Arial" w:cs="Arial"/>
          <w:i/>
          <w:color w:val="000000"/>
          <w:sz w:val="20"/>
        </w:rPr>
        <w:t>Grandson, Gebser</w:t>
      </w:r>
      <w:r>
        <w:rPr>
          <w:rFonts w:ascii="Arial" w:eastAsia="Arial" w:hAnsi="Arial" w:cs="Arial"/>
          <w:color w:val="000000"/>
          <w:sz w:val="20"/>
        </w:rPr>
        <w:t xml:space="preserve">, or the notice requirement. </w:t>
      </w:r>
      <w:r>
        <w:rPr>
          <w:rFonts w:ascii="Arial" w:eastAsia="Arial" w:hAnsi="Arial" w:cs="Arial"/>
          <w:i/>
          <w:color w:val="000000"/>
          <w:sz w:val="20"/>
        </w:rPr>
        <w:t xml:space="preserve">See </w:t>
      </w:r>
      <w:bookmarkStart w:id="6357" w:name="Bookmark_I502VRD70K1MNJ1X40000400"/>
      <w:bookmarkEnd w:id="6357"/>
      <w:r>
        <w:rPr>
          <w:rFonts w:ascii="Arial" w:eastAsia="Arial" w:hAnsi="Arial" w:cs="Arial"/>
          <w:i/>
          <w:color w:val="000000"/>
          <w:sz w:val="20"/>
        </w:rPr>
        <w:t>Chalenor</w:t>
      </w:r>
      <w:r>
        <w:rPr>
          <w:rFonts w:ascii="Arial" w:eastAsia="Arial" w:hAnsi="Arial" w:cs="Arial"/>
          <w:color w:val="000000"/>
          <w:sz w:val="20"/>
        </w:rPr>
        <w:t>, 291 F.3d 1042. It is therefore far from clear that  [**25] </w:t>
      </w:r>
      <w:r>
        <w:rPr>
          <w:rFonts w:ascii="Arial" w:eastAsia="Arial" w:hAnsi="Arial" w:cs="Arial"/>
          <w:i/>
          <w:color w:val="000000"/>
          <w:sz w:val="20"/>
        </w:rPr>
        <w:t>Grandson</w:t>
      </w:r>
      <w:r>
        <w:rPr>
          <w:rFonts w:ascii="Arial" w:eastAsia="Arial" w:hAnsi="Arial" w:cs="Arial"/>
          <w:color w:val="000000"/>
          <w:sz w:val="20"/>
        </w:rPr>
        <w:t xml:space="preserve"> is controlling even in the Eighth Circuit. If it is, then the circuits are already split on the issue, and we find the Fifth Circuit's holding (and that of the Tenth Circuit in </w:t>
      </w:r>
      <w:r>
        <w:rPr>
          <w:rFonts w:ascii="Arial" w:eastAsia="Arial" w:hAnsi="Arial" w:cs="Arial"/>
          <w:i/>
          <w:color w:val="000000"/>
          <w:sz w:val="20"/>
        </w:rPr>
        <w:t>Simpson</w:t>
      </w:r>
      <w:r>
        <w:rPr>
          <w:rFonts w:ascii="Arial" w:eastAsia="Arial" w:hAnsi="Arial" w:cs="Arial"/>
          <w:color w:val="000000"/>
          <w:sz w:val="20"/>
        </w:rPr>
        <w:t>, on a different but related issue) the more persuasive, for reasons already surveyed.</w:t>
      </w:r>
    </w:p>
    <w:p w14:paraId="55AE3C2A" w14:textId="77777777" w:rsidR="00D041A2" w:rsidRDefault="00000000">
      <w:pPr>
        <w:pStyle w:val="Normal46"/>
        <w:widowControl w:val="0"/>
        <w:spacing w:before="200" w:line="260" w:lineRule="atLeast"/>
        <w:jc w:val="both"/>
      </w:pPr>
      <w:bookmarkStart w:id="6358" w:name="Bookmark_para_35_20"/>
      <w:bookmarkStart w:id="6359" w:name="Bookmark_I6TN9X9KVBK000G7GKN0002G"/>
      <w:bookmarkStart w:id="6360" w:name="Bookmark_I6TN9X9KN7R000G7GKN0002F"/>
      <w:bookmarkStart w:id="6361" w:name="Bookmark_I502VRD70K1MNJ1XK0000400"/>
      <w:bookmarkEnd w:id="6358"/>
      <w:bookmarkEnd w:id="6359"/>
      <w:bookmarkEnd w:id="6360"/>
      <w:bookmarkEnd w:id="6361"/>
      <w:r>
        <w:rPr>
          <w:rFonts w:ascii="Arial" w:eastAsia="Arial" w:hAnsi="Arial" w:cs="Arial"/>
          <w:color w:val="000000"/>
          <w:sz w:val="20"/>
        </w:rPr>
        <w:t xml:space="preserve">We therefore join the Fifth Circuit in holding that </w:t>
      </w:r>
      <w:bookmarkStart w:id="6362" w:name="Bookmark_LNHNREFclscc21_5"/>
      <w:bookmarkStart w:id="6363" w:name="Bookmark_I502VRD70K1MNJ1XJ0000400"/>
      <w:bookmarkEnd w:id="6362"/>
      <w:bookmarkEnd w:id="6363"/>
      <w:r>
        <w:rPr>
          <w:rFonts w:ascii="Arial" w:eastAsia="Arial" w:hAnsi="Arial" w:cs="Arial"/>
          <w:i/>
          <w:color w:val="000000"/>
          <w:sz w:val="20"/>
        </w:rPr>
        <w:t>Gebser's</w:t>
      </w:r>
      <w:r>
        <w:rPr>
          <w:rFonts w:ascii="Arial" w:eastAsia="Arial" w:hAnsi="Arial" w:cs="Arial"/>
          <w:color w:val="000000"/>
          <w:sz w:val="20"/>
        </w:rPr>
        <w:t xml:space="preserve"> notice requirement is inapplicable to cases alleging that a funding recipient has failed effectively to accommodate women's interest in athletics. The district court's decision granting summary judgment on that basis is reversed.</w:t>
      </w:r>
    </w:p>
    <w:p w14:paraId="18470AF3" w14:textId="77777777" w:rsidR="00D041A2" w:rsidRDefault="00000000">
      <w:pPr>
        <w:pStyle w:val="Normal46"/>
        <w:widowControl w:val="0"/>
        <w:spacing w:before="200" w:line="260" w:lineRule="atLeast"/>
        <w:jc w:val="both"/>
      </w:pPr>
      <w:bookmarkStart w:id="6364" w:name="Bookmark_para_36_19"/>
      <w:bookmarkStart w:id="6365" w:name="Bookmark_I502VRD70K1MNJ1XN0000400"/>
      <w:bookmarkStart w:id="6366" w:name="Bookmark_I502VRD70K1MNJ28R0000400"/>
      <w:bookmarkEnd w:id="6364"/>
      <w:bookmarkEnd w:id="6365"/>
      <w:bookmarkEnd w:id="6366"/>
      <w:r>
        <w:rPr>
          <w:rFonts w:ascii="Arial" w:eastAsia="Arial" w:hAnsi="Arial" w:cs="Arial"/>
          <w:color w:val="000000"/>
          <w:sz w:val="20"/>
        </w:rPr>
        <w:t xml:space="preserve">UCD also moved for summary judgment on the grounds that the record demonstrated "a history and continuing practice of program expansion" for women that satisfied Option Two of the three-part test. Although the district court granted summary judgment on the notice grounds discussed above, UCD contends that we could, alternatively, affirm the district court's decision on the merits. </w:t>
      </w:r>
      <w:r>
        <w:rPr>
          <w:rFonts w:ascii="Arial" w:eastAsia="Arial" w:hAnsi="Arial" w:cs="Arial"/>
          <w:i/>
          <w:color w:val="000000"/>
          <w:sz w:val="20"/>
        </w:rPr>
        <w:t xml:space="preserve">See </w:t>
      </w:r>
      <w:bookmarkStart w:id="6367" w:name="Bookmark_I502VRD70K1MNJ1XM0000400"/>
      <w:bookmarkEnd w:id="6367"/>
      <w:r>
        <w:rPr>
          <w:rFonts w:ascii="Arial" w:eastAsia="Arial" w:hAnsi="Arial" w:cs="Arial"/>
          <w:i/>
          <w:color w:val="000000"/>
          <w:sz w:val="20"/>
        </w:rPr>
        <w:t>Atel Fin. Corp. v. Quaker Coal Co</w:t>
      </w:r>
      <w:r>
        <w:rPr>
          <w:rFonts w:ascii="Arial" w:eastAsia="Arial" w:hAnsi="Arial" w:cs="Arial"/>
          <w:color w:val="000000"/>
          <w:sz w:val="20"/>
        </w:rPr>
        <w:t xml:space="preserve">., 321 F.3d 924, 926 (9th Cir. 2003). That is so, but only if, viewing the evidence in the light most favorable to the students, there are no genuine issues of material fact concerning UCD's compliance with Option  [**26] Two. </w:t>
      </w:r>
      <w:r>
        <w:rPr>
          <w:rFonts w:ascii="Arial" w:eastAsia="Arial" w:hAnsi="Arial" w:cs="Arial"/>
          <w:i/>
          <w:color w:val="000000"/>
          <w:sz w:val="20"/>
        </w:rPr>
        <w:t xml:space="preserve">See, e.g., </w:t>
      </w:r>
      <w:bookmarkStart w:id="6368" w:name="Bookmark_I502VRD70K1MNJ1XP0000400"/>
      <w:bookmarkEnd w:id="6368"/>
      <w:r>
        <w:rPr>
          <w:rFonts w:ascii="Arial" w:eastAsia="Arial" w:hAnsi="Arial" w:cs="Arial"/>
          <w:i/>
          <w:color w:val="000000"/>
          <w:sz w:val="20"/>
        </w:rPr>
        <w:t>Becerril v. Pima County Assessor's Office</w:t>
      </w:r>
      <w:r>
        <w:rPr>
          <w:rFonts w:ascii="Arial" w:eastAsia="Arial" w:hAnsi="Arial" w:cs="Arial"/>
          <w:color w:val="000000"/>
          <w:sz w:val="20"/>
        </w:rPr>
        <w:t>, 587 F.3d 1162, 1163 (9th Cir. 2009). On the record before us we cannot affirm on this alternative ground.</w:t>
      </w:r>
    </w:p>
    <w:p w14:paraId="787BD122" w14:textId="77777777" w:rsidR="00D041A2" w:rsidRDefault="00000000">
      <w:pPr>
        <w:pStyle w:val="Normal46"/>
        <w:widowControl w:val="0"/>
        <w:spacing w:before="200" w:line="260" w:lineRule="atLeast"/>
        <w:jc w:val="both"/>
      </w:pPr>
      <w:bookmarkStart w:id="6369" w:name="Bookmark_para_37_18"/>
      <w:bookmarkStart w:id="6370" w:name="Bookmark_LNHNREFclscc22_4"/>
      <w:bookmarkEnd w:id="6369"/>
      <w:bookmarkEnd w:id="6370"/>
      <w:r>
        <w:rPr>
          <w:rFonts w:ascii="Arial" w:eastAsia="Arial" w:hAnsi="Arial" w:cs="Arial"/>
          <w:color w:val="000000"/>
          <w:sz w:val="20"/>
        </w:rPr>
        <w:t>In assessing compliance with Option Two, we must, under the Clarification, focus on both the institution's record of adding female participation opportunities and its current "plan of program expansion that is demonstrably responsive to the developing interests and abilities" of women. "History" and "continuing practice" thus constitute two separate inquiries. We conclude that the undisputed facts fall short of demonstrating UCD's compliance with either facet of Option Two.</w:t>
      </w:r>
    </w:p>
    <w:p w14:paraId="411302C8" w14:textId="77777777" w:rsidR="00D041A2" w:rsidRDefault="00000000">
      <w:pPr>
        <w:pStyle w:val="Normal46"/>
        <w:widowControl w:val="0"/>
        <w:spacing w:before="200" w:line="260" w:lineRule="atLeast"/>
        <w:jc w:val="both"/>
      </w:pPr>
      <w:bookmarkStart w:id="6371" w:name="Bookmark_para_38_18"/>
      <w:bookmarkStart w:id="6372" w:name="Bookmark_LNHNREFclscc23_3"/>
      <w:bookmarkEnd w:id="6371"/>
      <w:bookmarkEnd w:id="6372"/>
      <w:r>
        <w:rPr>
          <w:rFonts w:ascii="Arial" w:eastAsia="Arial" w:hAnsi="Arial" w:cs="Arial"/>
          <w:color w:val="000000"/>
          <w:sz w:val="20"/>
        </w:rPr>
        <w:t>The Clarification specifies the following factors as evidence of an institution's history of program expansion:</w:t>
      </w:r>
    </w:p>
    <w:p w14:paraId="115E8F32" w14:textId="77777777" w:rsidR="00D041A2" w:rsidRDefault="00000000">
      <w:pPr>
        <w:pStyle w:val="Normal46"/>
        <w:widowControl w:val="0"/>
        <w:spacing w:line="260" w:lineRule="atLeast"/>
        <w:ind w:left="400"/>
        <w:jc w:val="both"/>
      </w:pPr>
      <w:bookmarkStart w:id="6373" w:name="Bookmark_para_39_18"/>
      <w:bookmarkEnd w:id="6373"/>
      <w:r>
        <w:rPr>
          <w:rFonts w:ascii="Arial" w:eastAsia="Arial" w:hAnsi="Arial" w:cs="Arial"/>
          <w:color w:val="000000"/>
          <w:sz w:val="20"/>
        </w:rPr>
        <w:t>[A]n institution's record of adding intercollegiate teams, or upgrading teams to intercollegiate status, for [women]; an institution's record of increasing the number of participants in intercollegiate athletics who are [women]; and an institution's affirmative responses to requests by students or others for addition or elevation of sports.</w:t>
      </w:r>
    </w:p>
    <w:p w14:paraId="73A83126" w14:textId="77777777" w:rsidR="00D041A2" w:rsidRDefault="00000000">
      <w:pPr>
        <w:pStyle w:val="Normal46"/>
        <w:widowControl w:val="0"/>
        <w:spacing w:before="200" w:line="260" w:lineRule="atLeast"/>
        <w:jc w:val="both"/>
      </w:pPr>
      <w:r>
        <w:rPr>
          <w:rFonts w:ascii="Arial" w:eastAsia="Arial" w:hAnsi="Arial" w:cs="Arial"/>
          <w:color w:val="000000"/>
          <w:sz w:val="20"/>
        </w:rPr>
        <w:t xml:space="preserve">The Option Two analysis focuses primarily, but not exclusively, on increasing the number of women's athletic  [**27] opportunities rather than increasing the number of women's teams. "OCR will assess whether past actions of the institution have expanded </w:t>
      </w:r>
      <w:r>
        <w:rPr>
          <w:rFonts w:ascii="Arial" w:eastAsia="Arial" w:hAnsi="Arial" w:cs="Arial"/>
          <w:i/>
          <w:color w:val="000000"/>
          <w:sz w:val="20"/>
        </w:rPr>
        <w:t>participation opportunities</w:t>
      </w:r>
      <w:r>
        <w:rPr>
          <w:rFonts w:ascii="Arial" w:eastAsia="Arial" w:hAnsi="Arial" w:cs="Arial"/>
          <w:color w:val="000000"/>
          <w:sz w:val="20"/>
        </w:rPr>
        <w:t xml:space="preserve"> for the underrepresented sex . . ." (emphasis added).</w:t>
      </w:r>
    </w:p>
    <w:p w14:paraId="167283A8" w14:textId="77777777" w:rsidR="00D041A2" w:rsidRDefault="00000000">
      <w:pPr>
        <w:pStyle w:val="Normal46"/>
        <w:widowControl w:val="0"/>
        <w:spacing w:before="200" w:line="260" w:lineRule="atLeast"/>
        <w:jc w:val="both"/>
      </w:pPr>
      <w:bookmarkStart w:id="6374" w:name="Bookmark_para_40_18"/>
      <w:bookmarkEnd w:id="6374"/>
      <w:r>
        <w:rPr>
          <w:rFonts w:ascii="Arial" w:eastAsia="Arial" w:hAnsi="Arial" w:cs="Arial"/>
          <w:color w:val="000000"/>
          <w:sz w:val="20"/>
        </w:rPr>
        <w:t xml:space="preserve">UCD had seven women's teams in 1970 and added another in 1974, thereby increasing the number of female varsity participation opportunities. The record indicates that UCD did not further expand participation opportunities for women until 1996. The 1991 Report of the UCD Title IX Review Committee (Report) indicated that UCD did not comprehensively review its compliance with Title IX between 1976 and 1991. The Report also stated that since 1976, UCD had added two women's sports (soccer and cross country track) but dropped two (golf and field hockey). </w:t>
      </w:r>
      <w:r>
        <w:rPr>
          <w:rFonts w:ascii="Arial" w:eastAsia="Arial" w:hAnsi="Arial" w:cs="Arial"/>
          <w:vertAlign w:val="superscript"/>
        </w:rPr>
        <w:footnoteReference w:customMarkFollows="1" w:id="305"/>
        <w:t>15</w:t>
      </w:r>
      <w:r>
        <w:rPr>
          <w:rFonts w:ascii="Arial" w:eastAsia="Arial" w:hAnsi="Arial" w:cs="Arial"/>
          <w:color w:val="000000"/>
          <w:sz w:val="20"/>
        </w:rPr>
        <w:t xml:space="preserve"> The Report concluded that UCD's record "cannot [*970]  be termed a </w:t>
      </w:r>
      <w:r>
        <w:rPr>
          <w:rFonts w:ascii="Arial" w:eastAsia="Arial" w:hAnsi="Arial" w:cs="Arial"/>
          <w:i/>
          <w:color w:val="000000"/>
          <w:sz w:val="20"/>
        </w:rPr>
        <w:t>demonstrably responsive</w:t>
      </w:r>
      <w:r>
        <w:rPr>
          <w:rFonts w:ascii="Arial" w:eastAsia="Arial" w:hAnsi="Arial" w:cs="Arial"/>
          <w:color w:val="000000"/>
          <w:sz w:val="20"/>
        </w:rPr>
        <w:t xml:space="preserve"> process of program expansion . . . particularly when female participation relative to male participation has been decreasing over the past three years." Internal UCD memoranda from directors of the athletics program suggest that the numerical participation gap continued to grow over the next two years. </w:t>
      </w:r>
      <w:r>
        <w:rPr>
          <w:rFonts w:ascii="Arial" w:eastAsia="Arial" w:hAnsi="Arial" w:cs="Arial"/>
          <w:vertAlign w:val="superscript"/>
        </w:rPr>
        <w:footnoteReference w:customMarkFollows="1" w:id="306"/>
        <w:t>16</w:t>
      </w:r>
      <w:r>
        <w:rPr>
          <w:rFonts w:ascii="Arial" w:eastAsia="Arial" w:hAnsi="Arial" w:cs="Arial"/>
          <w:color w:val="000000"/>
          <w:sz w:val="20"/>
        </w:rPr>
        <w:t xml:space="preserve"> </w:t>
      </w:r>
    </w:p>
    <w:p w14:paraId="42317975" w14:textId="77777777" w:rsidR="00D041A2" w:rsidRDefault="00000000">
      <w:pPr>
        <w:pStyle w:val="Normal46"/>
        <w:widowControl w:val="0"/>
        <w:spacing w:before="200" w:line="260" w:lineRule="atLeast"/>
        <w:jc w:val="both"/>
      </w:pPr>
      <w:bookmarkStart w:id="6377" w:name="Bookmark_para_41_17"/>
      <w:bookmarkEnd w:id="6377"/>
      <w:r>
        <w:rPr>
          <w:rFonts w:ascii="Arial" w:eastAsia="Arial" w:hAnsi="Arial" w:cs="Arial"/>
          <w:color w:val="000000"/>
          <w:sz w:val="20"/>
        </w:rPr>
        <w:t xml:space="preserve">In 1995, UCD decided to add three women's varsity teams. The university reviewed proposals from five women's club teams and elevated water polo, crew and lacrosse to varsity status. When the three new teams began competing the following year, the number of female athletes rose from 211 to 348, with the difference between female enrollment and female varsity participation opportunities dropping from twenty percent to eleven percent. </w:t>
      </w:r>
      <w:r>
        <w:rPr>
          <w:rFonts w:ascii="Arial" w:eastAsia="Arial" w:hAnsi="Arial" w:cs="Arial"/>
          <w:vertAlign w:val="superscript"/>
        </w:rPr>
        <w:footnoteReference w:customMarkFollows="1" w:id="307"/>
        <w:t>17</w:t>
      </w:r>
      <w:r>
        <w:rPr>
          <w:rFonts w:ascii="Arial" w:eastAsia="Arial" w:hAnsi="Arial" w:cs="Arial"/>
          <w:color w:val="000000"/>
          <w:sz w:val="20"/>
        </w:rPr>
        <w:t xml:space="preserve"> </w:t>
      </w:r>
    </w:p>
    <w:p w14:paraId="7F0D4488" w14:textId="77777777" w:rsidR="00D041A2" w:rsidRDefault="00000000">
      <w:pPr>
        <w:pStyle w:val="Normal46"/>
        <w:widowControl w:val="0"/>
        <w:spacing w:before="200" w:line="260" w:lineRule="atLeast"/>
        <w:jc w:val="both"/>
      </w:pPr>
      <w:bookmarkStart w:id="6379" w:name="Bookmark_para_42_16"/>
      <w:bookmarkEnd w:id="6379"/>
      <w:r>
        <w:rPr>
          <w:rFonts w:ascii="Arial" w:eastAsia="Arial" w:hAnsi="Arial" w:cs="Arial"/>
          <w:color w:val="000000"/>
          <w:sz w:val="20"/>
        </w:rPr>
        <w:t>UCD represents that it created another women's varsity team, indoor  [**29] track, in 1999. There is some dispute as to whether indoor track was added as an independent women's varsity team or merely extended the track season for the existing female track team. The record indicates that "adding" the team was contingent on the fact that it could be accomplished without awarding additional grants-in-aid to student athletes or otherwise affecting UCD's athletics budget, because all the students who would be participating in indoor track were already members of the outdoor track team. With or without an additional female track team, the number of participation opportunities for female athletes continued to rise, so the dispute over how to characterize the addition of an indoor female track season does not matter. Indeed, in the 1999-2000 school year, women varsity athletes at UCD reached a historic high in both total numbers and proportion of female athletes to enrolled women students.</w:t>
      </w:r>
    </w:p>
    <w:p w14:paraId="3B0B1D1A" w14:textId="77777777" w:rsidR="00D041A2" w:rsidRDefault="00000000">
      <w:pPr>
        <w:pStyle w:val="Normal46"/>
        <w:widowControl w:val="0"/>
        <w:spacing w:before="200" w:line="260" w:lineRule="atLeast"/>
        <w:jc w:val="both"/>
      </w:pPr>
      <w:bookmarkStart w:id="6380" w:name="Bookmark_para_43_16"/>
      <w:bookmarkEnd w:id="6380"/>
      <w:r>
        <w:rPr>
          <w:rFonts w:ascii="Arial" w:eastAsia="Arial" w:hAnsi="Arial" w:cs="Arial"/>
          <w:color w:val="000000"/>
          <w:sz w:val="20"/>
        </w:rPr>
        <w:t>Two years later, however, the number of female participation opportunities had fallen by 17%, even as the number of women enrolled at the university had grown by 19%. The number of female participation opportunities fluctuated thereafter, but never regained the apex it reached in  [**30] 2000. There were four varsity participation opportunities for every hundred female students in 2000, but only three in 2006.</w:t>
      </w:r>
    </w:p>
    <w:p w14:paraId="3468467D" w14:textId="77777777" w:rsidR="00D041A2" w:rsidRDefault="00000000">
      <w:pPr>
        <w:pStyle w:val="Normal46"/>
        <w:widowControl w:val="0"/>
        <w:spacing w:before="200" w:line="260" w:lineRule="atLeast"/>
        <w:jc w:val="both"/>
      </w:pPr>
      <w:bookmarkStart w:id="6381" w:name="Bookmark_para_44_16"/>
      <w:bookmarkEnd w:id="6381"/>
      <w:r>
        <w:rPr>
          <w:rFonts w:ascii="Arial" w:eastAsia="Arial" w:hAnsi="Arial" w:cs="Arial"/>
          <w:color w:val="000000"/>
          <w:sz w:val="20"/>
        </w:rPr>
        <w:t xml:space="preserve">In sum, UCD expanded varsity opportunities for women only between 1996 and 2000. UCD's elimination of women from the varsity wrestling team thus took place in the context of an overall contraction of female athletic participation opportunities that began in 2000. </w:t>
      </w:r>
      <w:r>
        <w:rPr>
          <w:rFonts w:ascii="Arial" w:eastAsia="Arial" w:hAnsi="Arial" w:cs="Arial"/>
          <w:vertAlign w:val="superscript"/>
        </w:rPr>
        <w:footnoteReference w:customMarkFollows="1" w:id="308"/>
        <w:t>18</w:t>
      </w:r>
      <w:r>
        <w:rPr>
          <w:rFonts w:ascii="Arial" w:eastAsia="Arial" w:hAnsi="Arial" w:cs="Arial"/>
          <w:color w:val="000000"/>
          <w:sz w:val="20"/>
        </w:rPr>
        <w:t xml:space="preserve"> UCD's [*971]  post-2000 strategy for sports equality between the sexes appears to have consisted of reducing varsity athletics overall, and in the process reducing men's participation opportunities more than women's participation opportunities by using "roster management" to limit the size of men's teams. The Clarification explicitly precludes considering such reductions as evidencing program expansion:</w:t>
      </w:r>
    </w:p>
    <w:p w14:paraId="1F64ED4C" w14:textId="77777777" w:rsidR="00D041A2" w:rsidRDefault="00000000">
      <w:pPr>
        <w:pStyle w:val="Normal46"/>
        <w:widowControl w:val="0"/>
        <w:spacing w:before="200" w:line="260" w:lineRule="atLeast"/>
        <w:ind w:left="400"/>
        <w:jc w:val="both"/>
      </w:pPr>
      <w:bookmarkStart w:id="6387" w:name="Bookmark_para_45_16"/>
      <w:bookmarkStart w:id="6388" w:name="Bookmark_LNHNREFclscc24_2"/>
      <w:bookmarkEnd w:id="6387"/>
      <w:bookmarkEnd w:id="6388"/>
      <w:r>
        <w:rPr>
          <w:rFonts w:ascii="Arial" w:eastAsia="Arial" w:hAnsi="Arial" w:cs="Arial"/>
          <w:color w:val="000000"/>
          <w:sz w:val="20"/>
        </w:rPr>
        <w:t>OCR will not find a history and continuing practice of program expansion where an institution increases the proportional participation opportunities for [women] by reducing opportunities for [men] alone or by reducing participation opportunities for [men] to a proportionately greater degree than for [women]. . . . [Option Two] considers an institution's good faith remedial efforts through actual program expansion.  [**31] . . . Cuts in the program for [women], even when coupled with cuts in the program for [men], cannot be considered remedial because they burden members of the sex already disadvantaged by the present program.</w:t>
      </w:r>
    </w:p>
    <w:p w14:paraId="7DF045D0" w14:textId="77777777" w:rsidR="00D041A2" w:rsidRDefault="00000000">
      <w:pPr>
        <w:pStyle w:val="Normal46"/>
        <w:widowControl w:val="0"/>
        <w:spacing w:before="200" w:line="260" w:lineRule="atLeast"/>
        <w:jc w:val="both"/>
      </w:pPr>
      <w:bookmarkStart w:id="6389" w:name="Bookmark_para_46_15"/>
      <w:bookmarkStart w:id="6390" w:name="Bookmark_LNHNREFclscc26_1"/>
      <w:bookmarkEnd w:id="6389"/>
      <w:bookmarkEnd w:id="6390"/>
      <w:r>
        <w:rPr>
          <w:rFonts w:ascii="Arial" w:eastAsia="Arial" w:hAnsi="Arial" w:cs="Arial"/>
          <w:color w:val="000000"/>
          <w:sz w:val="20"/>
        </w:rPr>
        <w:t>An institution that has eliminated some participation opportunities for women can still satisfy Option Two if the elimination is offset by a strong history of program expansion. In UCD's case, however, the elimination of women's wrestling opportunities occurred in the context of a women's athletics program that was, at best, stagnant. We therefore hold that UCD has not had a history of program expansion for women and so did not satisfy Option Two through such a history.</w:t>
      </w:r>
    </w:p>
    <w:p w14:paraId="05B3282A" w14:textId="77777777" w:rsidR="00D041A2" w:rsidRDefault="00000000">
      <w:pPr>
        <w:pStyle w:val="Normal46"/>
        <w:widowControl w:val="0"/>
        <w:spacing w:before="200" w:line="260" w:lineRule="atLeast"/>
        <w:jc w:val="both"/>
      </w:pPr>
      <w:bookmarkStart w:id="6391" w:name="Bookmark_para_47_13"/>
      <w:bookmarkEnd w:id="6391"/>
      <w:r>
        <w:rPr>
          <w:rFonts w:ascii="Arial" w:eastAsia="Arial" w:hAnsi="Arial" w:cs="Arial"/>
          <w:color w:val="000000"/>
          <w:sz w:val="20"/>
        </w:rPr>
        <w:t xml:space="preserve">The 1996 Clarification lists </w:t>
      </w:r>
      <w:bookmarkStart w:id="6392" w:name="Bookmark_LNHNREFclscc27_1"/>
      <w:bookmarkEnd w:id="6392"/>
      <w:r>
        <w:rPr>
          <w:rFonts w:ascii="Arial" w:eastAsia="Arial" w:hAnsi="Arial" w:cs="Arial"/>
          <w:color w:val="000000"/>
          <w:sz w:val="20"/>
        </w:rPr>
        <w:t>two factors that may indicate a continuing practice of program expansion:</w:t>
      </w:r>
    </w:p>
    <w:p w14:paraId="45188071" w14:textId="77777777" w:rsidR="00D041A2" w:rsidRDefault="00000000">
      <w:pPr>
        <w:pStyle w:val="Normal46"/>
        <w:widowControl w:val="0"/>
        <w:spacing w:line="260" w:lineRule="atLeast"/>
        <w:ind w:left="400"/>
        <w:jc w:val="both"/>
      </w:pPr>
      <w:bookmarkStart w:id="6393" w:name="Bookmark_para_48_13"/>
      <w:bookmarkEnd w:id="6393"/>
      <w:r>
        <w:rPr>
          <w:rFonts w:ascii="Arial" w:eastAsia="Arial" w:hAnsi="Arial" w:cs="Arial"/>
          <w:color w:val="000000"/>
          <w:sz w:val="20"/>
        </w:rPr>
        <w:t>[A]n institution's current implementation of a nondiscriminatory policy or procedure for requesting the addition of sports (including the elevation of club or intramural teams) and the effective communication of the policy or procedure to students; and an institution's current implementation of a plan of program expansion that is responsive to developing interests and abilities.</w:t>
      </w:r>
    </w:p>
    <w:p w14:paraId="580436D5" w14:textId="77777777" w:rsidR="00D041A2" w:rsidRDefault="00000000">
      <w:pPr>
        <w:pStyle w:val="Normal46"/>
        <w:widowControl w:val="0"/>
        <w:spacing w:before="200" w:line="260" w:lineRule="atLeast"/>
        <w:jc w:val="both"/>
      </w:pPr>
      <w:bookmarkStart w:id="6394" w:name="Bookmark_para_49_13"/>
      <w:bookmarkEnd w:id="6394"/>
      <w:r>
        <w:rPr>
          <w:rFonts w:ascii="Arial" w:eastAsia="Arial" w:hAnsi="Arial" w:cs="Arial"/>
          <w:color w:val="000000"/>
          <w:sz w:val="20"/>
        </w:rPr>
        <w:t xml:space="preserve">The record contains undisputed evidence that UCD has a procedure for requesting additional varsity sports and effectively communicates that procedure to  [**33] students. According to the procedure distributed to students, the "primary factor" in UCD's evaluation of proposals to create new varsity teams is the "[o]verall impact on intercollegiate program gender equity." In 2003, UCD received detailed applications from members of four women's club sports (bowling, horse polo, field hockey, and rugby) seeking elevation to varsity status. These applications indicate that students are aware of the opportunity to request new varsity athletic opportunities. </w:t>
      </w:r>
      <w:r>
        <w:rPr>
          <w:rFonts w:ascii="Arial" w:eastAsia="Arial" w:hAnsi="Arial" w:cs="Arial"/>
          <w:vertAlign w:val="superscript"/>
        </w:rPr>
        <w:footnoteReference w:customMarkFollows="1" w:id="309"/>
        <w:t>19</w:t>
      </w:r>
      <w:r>
        <w:rPr>
          <w:rFonts w:ascii="Arial" w:eastAsia="Arial" w:hAnsi="Arial" w:cs="Arial"/>
          <w:color w:val="000000"/>
          <w:sz w:val="20"/>
        </w:rPr>
        <w:t xml:space="preserve"> </w:t>
      </w:r>
    </w:p>
    <w:p w14:paraId="34B863AB" w14:textId="77777777" w:rsidR="00D041A2" w:rsidRDefault="00000000">
      <w:pPr>
        <w:pStyle w:val="Normal46"/>
        <w:widowControl w:val="0"/>
        <w:spacing w:before="200" w:line="260" w:lineRule="atLeast"/>
        <w:jc w:val="both"/>
      </w:pPr>
      <w:bookmarkStart w:id="6396" w:name="Bookmark_para_50_13"/>
      <w:bookmarkEnd w:id="6396"/>
      <w:r>
        <w:rPr>
          <w:rFonts w:ascii="Arial" w:eastAsia="Arial" w:hAnsi="Arial" w:cs="Arial"/>
          <w:color w:val="000000"/>
          <w:sz w:val="20"/>
        </w:rPr>
        <w:t>The 2003 application was the field hockey club team's second attempt to regain varsity status. An earlier application was rejected in 1995. At that time, the Title IX Advisory Committee advocated elevating lacrosse rather than field hockey to varsity status but noted that field hockey had "developed strong interest from students" and was "a relatively strong NCAA sport," with three Division  [**34] I teams competing  [*972]  at nearby universities. The committee recommended that "[s]hould gender equity not be achieved by the addition of the three sports proposed, and funding be available in the future, field hockey would be considered a prime candidate for addition to the ICA program in the future."</w:t>
      </w:r>
    </w:p>
    <w:p w14:paraId="20D46C3E" w14:textId="77777777" w:rsidR="00D041A2" w:rsidRDefault="00000000">
      <w:pPr>
        <w:pStyle w:val="Normal46"/>
        <w:widowControl w:val="0"/>
        <w:spacing w:before="200" w:line="260" w:lineRule="atLeast"/>
        <w:jc w:val="both"/>
      </w:pPr>
      <w:bookmarkStart w:id="6397" w:name="Bookmark_para_51_12"/>
      <w:bookmarkEnd w:id="6397"/>
      <w:r>
        <w:rPr>
          <w:rFonts w:ascii="Arial" w:eastAsia="Arial" w:hAnsi="Arial" w:cs="Arial"/>
          <w:color w:val="000000"/>
          <w:sz w:val="20"/>
        </w:rPr>
        <w:t>When field hockey club players applied for varsity status in 2003, however, their application was again denied. In fact, UCD rejected all four club team applications, even though all applicants were evaluated as "successful" and "active" club teams with "a long tradition of participation." Instead, UCD decided to create a women's golf team at the behest of the men's golf coach, even though no women attending UCD were interested enough in golf to participate at the club level or to request varsity status.</w:t>
      </w:r>
    </w:p>
    <w:p w14:paraId="10494731" w14:textId="77777777" w:rsidR="00D041A2" w:rsidRDefault="00000000">
      <w:pPr>
        <w:pStyle w:val="Normal46"/>
        <w:widowControl w:val="0"/>
        <w:spacing w:before="200" w:line="260" w:lineRule="atLeast"/>
        <w:jc w:val="both"/>
      </w:pPr>
      <w:bookmarkStart w:id="6398" w:name="Bookmark_para_52_10"/>
      <w:bookmarkEnd w:id="6398"/>
      <w:r>
        <w:rPr>
          <w:rFonts w:ascii="Arial" w:eastAsia="Arial" w:hAnsi="Arial" w:cs="Arial"/>
          <w:color w:val="000000"/>
          <w:sz w:val="20"/>
        </w:rPr>
        <w:t xml:space="preserve">UCD contends that the fact that golf was proposed by the men's golf coach absent any demonstrated interest by female students is irrelevant. We disagree. </w:t>
      </w:r>
      <w:bookmarkStart w:id="6399" w:name="Bookmark_LNHNREFclscc28_1"/>
      <w:bookmarkEnd w:id="6399"/>
      <w:r>
        <w:rPr>
          <w:rFonts w:ascii="Arial" w:eastAsia="Arial" w:hAnsi="Arial" w:cs="Arial"/>
          <w:color w:val="000000"/>
          <w:sz w:val="20"/>
        </w:rPr>
        <w:t>A funding recipient can only satisfy Option Two by showing an expansion of participation opportunities that is "demonstrably responsive to [women's] developing interests and abilities . . . includ[ing] interests that already exist at the institution."  [**35] Universities are free to consider applications from individuals other than students, and it is appropriate to evaluate interest at the high school level as well as among current UCD students. UCD has failed to establish, however, that the choice of golf was "demonstrably responsive" to the "developing interests and abilities" of either current or prospective female students.</w:t>
      </w:r>
    </w:p>
    <w:p w14:paraId="663CCCE9" w14:textId="77777777" w:rsidR="00D041A2" w:rsidRDefault="00000000">
      <w:pPr>
        <w:pStyle w:val="Normal46"/>
        <w:widowControl w:val="0"/>
        <w:spacing w:before="200" w:line="260" w:lineRule="atLeast"/>
        <w:jc w:val="both"/>
      </w:pPr>
      <w:bookmarkStart w:id="6400" w:name="Bookmark_para_53_9"/>
      <w:bookmarkEnd w:id="6400"/>
      <w:r>
        <w:rPr>
          <w:rFonts w:ascii="Arial" w:eastAsia="Arial" w:hAnsi="Arial" w:cs="Arial"/>
          <w:color w:val="000000"/>
          <w:sz w:val="20"/>
        </w:rPr>
        <w:t>The Clarification's examples of Option Two compliance all describe institutions that have added women's varsity teams based on requests from current club teams; questionnaires assessing interest among current and incoming female students; or survey data that shows "a significant increase in high school participation in that sport" or identifies the new sport as "emerging" or "among the most popular sports played by women" in the relevant region. UCD does not contend that any current or incoming students expressed interest in golf, and points to no surveys or other data demonstrating that golf is a popular or emerging sport among high school girls, either regionally or nationally.</w:t>
      </w:r>
    </w:p>
    <w:p w14:paraId="458DE3A1" w14:textId="77777777" w:rsidR="00D041A2" w:rsidRDefault="00000000">
      <w:pPr>
        <w:pStyle w:val="Normal46"/>
        <w:widowControl w:val="0"/>
        <w:spacing w:before="200" w:line="260" w:lineRule="atLeast"/>
        <w:jc w:val="both"/>
      </w:pPr>
      <w:bookmarkStart w:id="6401" w:name="Bookmark_para_54_9"/>
      <w:bookmarkEnd w:id="6401"/>
      <w:r>
        <w:rPr>
          <w:rFonts w:ascii="Arial" w:eastAsia="Arial" w:hAnsi="Arial" w:cs="Arial"/>
          <w:color w:val="000000"/>
          <w:sz w:val="20"/>
        </w:rPr>
        <w:t xml:space="preserve">UCD's observation that golf is offered at 639 high schools and 27 community colleges in California does not indicate that golf's popularity  [**36] or growing presence compared to other sports was a significant factor in its selection. </w:t>
      </w:r>
      <w:r>
        <w:rPr>
          <w:rFonts w:ascii="Arial" w:eastAsia="Arial" w:hAnsi="Arial" w:cs="Arial"/>
          <w:vertAlign w:val="superscript"/>
        </w:rPr>
        <w:footnoteReference w:customMarkFollows="1" w:id="310"/>
        <w:t>20</w:t>
      </w:r>
      <w:r>
        <w:rPr>
          <w:rFonts w:ascii="Arial" w:eastAsia="Arial" w:hAnsi="Arial" w:cs="Arial"/>
          <w:color w:val="000000"/>
          <w:sz w:val="20"/>
        </w:rPr>
        <w:t xml:space="preserve"> UCD also noted, for example, that 1,646 high schools in the country, including Davis High School, sponsor field hockey; that "[r]ugby is an emerging sport for women within the NCAA" and was offered at Davis High School; and that "[t]here is growing interest [in bowling] at the community college and high school level in the state of California." There is no evidence that UCD evaluated golf as more popular or "emerging" than these other sports for purposes of meeting the interests of future students.</w:t>
      </w:r>
    </w:p>
    <w:p w14:paraId="6F628149" w14:textId="77777777" w:rsidR="00D041A2" w:rsidRDefault="00000000">
      <w:pPr>
        <w:pStyle w:val="Normal46"/>
        <w:widowControl w:val="0"/>
        <w:spacing w:before="200" w:line="260" w:lineRule="atLeast"/>
        <w:jc w:val="both"/>
      </w:pPr>
      <w:bookmarkStart w:id="6403" w:name="Bookmark_para_55_7"/>
      <w:bookmarkEnd w:id="6403"/>
      <w:r>
        <w:rPr>
          <w:rFonts w:ascii="Arial" w:eastAsia="Arial" w:hAnsi="Arial" w:cs="Arial"/>
          <w:color w:val="000000"/>
          <w:sz w:val="20"/>
        </w:rPr>
        <w:t xml:space="preserve">Moreover, UCD's selection of golf, which added only seven participation opportunities  [**37] for women, was at odds with its own stated priority of taking a significant step toward overall gender equity. Elevating horse polo, rugby or field hockey would have added far more female varsity athletes. </w:t>
      </w:r>
      <w:r>
        <w:rPr>
          <w:rFonts w:ascii="Arial" w:eastAsia="Arial" w:hAnsi="Arial" w:cs="Arial"/>
          <w:vertAlign w:val="superscript"/>
        </w:rPr>
        <w:footnoteReference w:customMarkFollows="1" w:id="311"/>
        <w:t>21</w:t>
      </w:r>
      <w:r>
        <w:rPr>
          <w:rFonts w:ascii="Arial" w:eastAsia="Arial" w:hAnsi="Arial" w:cs="Arial"/>
          <w:color w:val="000000"/>
          <w:sz w:val="20"/>
        </w:rPr>
        <w:t xml:space="preserve"> </w:t>
      </w:r>
    </w:p>
    <w:p w14:paraId="3106B9A4" w14:textId="77777777" w:rsidR="00D041A2" w:rsidRDefault="00000000">
      <w:pPr>
        <w:pStyle w:val="Normal46"/>
        <w:widowControl w:val="0"/>
        <w:spacing w:before="200" w:line="260" w:lineRule="atLeast"/>
        <w:jc w:val="both"/>
      </w:pPr>
      <w:bookmarkStart w:id="6405" w:name="Bookmark_para_56_7"/>
      <w:bookmarkStart w:id="6406" w:name="Bookmark_I502VRD70K1MNJ28W0000400"/>
      <w:bookmarkEnd w:id="6405"/>
      <w:bookmarkEnd w:id="6406"/>
      <w:r>
        <w:rPr>
          <w:rFonts w:ascii="Arial" w:eastAsia="Arial" w:hAnsi="Arial" w:cs="Arial"/>
          <w:color w:val="000000"/>
          <w:sz w:val="20"/>
        </w:rPr>
        <w:t xml:space="preserve"> [*973]  We recognize that budgetary constraints often prevent universities from creating new teams and adding varsity slots. </w:t>
      </w:r>
      <w:bookmarkStart w:id="6407" w:name="Bookmark_I502VRD70K1MNJ2940000400"/>
      <w:bookmarkEnd w:id="6407"/>
      <w:r>
        <w:rPr>
          <w:rFonts w:ascii="Arial" w:eastAsia="Arial" w:hAnsi="Arial" w:cs="Arial"/>
          <w:color w:val="000000"/>
          <w:sz w:val="20"/>
        </w:rPr>
        <w:t xml:space="preserve">But </w:t>
      </w:r>
      <w:bookmarkStart w:id="6408" w:name="Bookmark_LNHNREFclscc29_1"/>
      <w:bookmarkEnd w:id="6408"/>
      <w:r>
        <w:rPr>
          <w:rFonts w:ascii="Arial" w:eastAsia="Arial" w:hAnsi="Arial" w:cs="Arial"/>
          <w:color w:val="000000"/>
          <w:sz w:val="20"/>
        </w:rPr>
        <w:t xml:space="preserve">"Title IX does not require that a school pour ever-increasing sums into its athletic establishment." </w:t>
      </w:r>
      <w:bookmarkStart w:id="6409" w:name="Bookmark_I502VRD70K1MNJ28V0000400"/>
      <w:bookmarkEnd w:id="6409"/>
      <w:r>
        <w:rPr>
          <w:rFonts w:ascii="Arial" w:eastAsia="Arial" w:hAnsi="Arial" w:cs="Arial"/>
          <w:i/>
          <w:color w:val="000000"/>
          <w:sz w:val="20"/>
        </w:rPr>
        <w:t>Cohen v. Brown Univ</w:t>
      </w:r>
      <w:r>
        <w:rPr>
          <w:rFonts w:ascii="Arial" w:eastAsia="Arial" w:hAnsi="Arial" w:cs="Arial"/>
          <w:color w:val="000000"/>
          <w:sz w:val="20"/>
        </w:rPr>
        <w:t xml:space="preserve">., 991 F.2d at 898-99 n.15. </w:t>
      </w:r>
      <w:bookmarkStart w:id="6410" w:name="Bookmark_I502VRD70K1MNJ2B20000400"/>
      <w:bookmarkEnd w:id="6410"/>
      <w:r>
        <w:rPr>
          <w:rFonts w:ascii="Arial" w:eastAsia="Arial" w:hAnsi="Arial" w:cs="Arial"/>
          <w:color w:val="000000"/>
          <w:sz w:val="20"/>
        </w:rPr>
        <w:t xml:space="preserve">Universities may achieve compliance by reducing men's athletic slots until participation rates become substantially proportionate to the undergraduate population. </w:t>
      </w:r>
      <w:bookmarkStart w:id="6411" w:name="Bookmark_I502VRD70K1MNJ2B20000400_2"/>
      <w:bookmarkStart w:id="6412" w:name="Bookmark_I502VRD70K1MNJ2940000400_2"/>
      <w:bookmarkEnd w:id="6411"/>
      <w:bookmarkEnd w:id="6412"/>
      <w:r>
        <w:rPr>
          <w:rFonts w:ascii="Arial" w:eastAsia="Arial" w:hAnsi="Arial" w:cs="Arial"/>
          <w:i/>
          <w:color w:val="000000"/>
          <w:sz w:val="20"/>
        </w:rPr>
        <w:t xml:space="preserve">Id.; </w:t>
      </w:r>
      <w:bookmarkStart w:id="6413" w:name="Bookmark_I502VRD70K1MNJ2930000400"/>
      <w:bookmarkEnd w:id="6413"/>
      <w:r>
        <w:rPr>
          <w:rFonts w:ascii="Arial" w:eastAsia="Arial" w:hAnsi="Arial" w:cs="Arial"/>
          <w:i/>
          <w:color w:val="000000"/>
          <w:sz w:val="20"/>
        </w:rPr>
        <w:t>Neal</w:t>
      </w:r>
      <w:r>
        <w:rPr>
          <w:rFonts w:ascii="Arial" w:eastAsia="Arial" w:hAnsi="Arial" w:cs="Arial"/>
          <w:color w:val="000000"/>
          <w:sz w:val="20"/>
        </w:rPr>
        <w:t xml:space="preserve">, 198 F.3d at 771; </w:t>
      </w:r>
      <w:bookmarkStart w:id="6414" w:name="Bookmark_I502VRD70K1MNJ2950000400"/>
      <w:bookmarkEnd w:id="6414"/>
      <w:r>
        <w:rPr>
          <w:rFonts w:ascii="Arial" w:eastAsia="Arial" w:hAnsi="Arial" w:cs="Arial"/>
          <w:i/>
          <w:color w:val="000000"/>
          <w:sz w:val="20"/>
        </w:rPr>
        <w:t>Kelley</w:t>
      </w:r>
      <w:r>
        <w:rPr>
          <w:rFonts w:ascii="Arial" w:eastAsia="Arial" w:hAnsi="Arial" w:cs="Arial"/>
          <w:color w:val="000000"/>
          <w:sz w:val="20"/>
        </w:rPr>
        <w:t xml:space="preserve">, 35 F.3d at 270; </w:t>
      </w:r>
      <w:bookmarkStart w:id="6415" w:name="Bookmark_I502VRD70K1MNJ2970000400"/>
      <w:bookmarkEnd w:id="6415"/>
      <w:r>
        <w:rPr>
          <w:rFonts w:ascii="Arial" w:eastAsia="Arial" w:hAnsi="Arial" w:cs="Arial"/>
          <w:i/>
          <w:color w:val="000000"/>
          <w:sz w:val="20"/>
        </w:rPr>
        <w:t>Roberts</w:t>
      </w:r>
      <w:r>
        <w:rPr>
          <w:rFonts w:ascii="Arial" w:eastAsia="Arial" w:hAnsi="Arial" w:cs="Arial"/>
          <w:color w:val="000000"/>
          <w:sz w:val="20"/>
        </w:rPr>
        <w:t xml:space="preserve">, 998 F.2d at 830. They may not, however, maintain varsity teams for male students while denying female students comparable "opportunities to enjoy the thrill of victory, the agony of defeat, and the many tangible benefits that flow from just being given a chance to participate in intercollegiate athletics." </w:t>
      </w:r>
      <w:bookmarkStart w:id="6416" w:name="Bookmark_I502VRD70K1MNJ2B10000400"/>
      <w:bookmarkEnd w:id="6416"/>
      <w:r>
        <w:rPr>
          <w:rFonts w:ascii="Arial" w:eastAsia="Arial" w:hAnsi="Arial" w:cs="Arial"/>
          <w:i/>
          <w:color w:val="000000"/>
          <w:sz w:val="20"/>
        </w:rPr>
        <w:t>Neal</w:t>
      </w:r>
      <w:r>
        <w:rPr>
          <w:rFonts w:ascii="Arial" w:eastAsia="Arial" w:hAnsi="Arial" w:cs="Arial"/>
          <w:color w:val="000000"/>
          <w:sz w:val="20"/>
        </w:rPr>
        <w:t>, 198 F.3d at 773.</w:t>
      </w:r>
    </w:p>
    <w:p w14:paraId="6A0CA69C" w14:textId="77777777" w:rsidR="00D041A2" w:rsidRDefault="00000000">
      <w:pPr>
        <w:pStyle w:val="Normal46"/>
        <w:widowControl w:val="0"/>
        <w:spacing w:before="200" w:line="260" w:lineRule="atLeast"/>
        <w:jc w:val="both"/>
      </w:pPr>
      <w:bookmarkStart w:id="6417" w:name="Bookmark_para_57_7"/>
      <w:bookmarkEnd w:id="6417"/>
      <w:r>
        <w:rPr>
          <w:rFonts w:ascii="Arial" w:eastAsia="Arial" w:hAnsi="Arial" w:cs="Arial"/>
          <w:color w:val="000000"/>
          <w:sz w:val="20"/>
        </w:rPr>
        <w:t xml:space="preserve">UCD took a significant  [**38] step towards Title IX compliance by adding three women's teams in 1996, but </w:t>
      </w:r>
      <w:bookmarkStart w:id="6418" w:name="Bookmark_LNHNREFclscc30_1"/>
      <w:bookmarkEnd w:id="6418"/>
      <w:r>
        <w:rPr>
          <w:rFonts w:ascii="Arial" w:eastAsia="Arial" w:hAnsi="Arial" w:cs="Arial"/>
          <w:color w:val="000000"/>
          <w:sz w:val="20"/>
        </w:rPr>
        <w:t>Option Two requires more than a single step. It requires evidence of continuous progress toward the mandate of gender equality that Title IX has imposed on funding recipients for the past thirty years. The record before us does not contain undisputed facts showing a history and continuing practice of program expansion that is responsive to women's interests.</w:t>
      </w:r>
    </w:p>
    <w:p w14:paraId="0260AD4E" w14:textId="77777777" w:rsidR="00D041A2" w:rsidRDefault="00000000">
      <w:pPr>
        <w:pStyle w:val="Normal46"/>
        <w:widowControl w:val="0"/>
        <w:spacing w:before="200" w:line="260" w:lineRule="atLeast"/>
        <w:jc w:val="both"/>
      </w:pPr>
      <w:bookmarkStart w:id="6419" w:name="Bookmark_para_58_7"/>
      <w:bookmarkEnd w:id="6419"/>
      <w:r>
        <w:rPr>
          <w:rFonts w:ascii="Arial" w:eastAsia="Arial" w:hAnsi="Arial" w:cs="Arial"/>
          <w:color w:val="000000"/>
          <w:sz w:val="20"/>
        </w:rPr>
        <w:t>We conclude that the grant of summary judgment to UCD cannot be affirmed on the alternative merits ground that UCD complies with Title IX's requirement of providing equal athletic opportunities to students of both sexes.</w:t>
      </w:r>
    </w:p>
    <w:p w14:paraId="51E53BC3" w14:textId="77777777" w:rsidR="00D041A2" w:rsidRDefault="00000000">
      <w:pPr>
        <w:pStyle w:val="Normal46"/>
        <w:widowControl w:val="0"/>
        <w:spacing w:before="200" w:line="260" w:lineRule="atLeast"/>
        <w:jc w:val="both"/>
      </w:pPr>
      <w:bookmarkStart w:id="6420" w:name="Bookmark_para_59_7"/>
      <w:bookmarkEnd w:id="6420"/>
      <w:r>
        <w:rPr>
          <w:rFonts w:ascii="Arial" w:eastAsia="Arial" w:hAnsi="Arial" w:cs="Arial"/>
          <w:color w:val="000000"/>
          <w:sz w:val="20"/>
        </w:rPr>
        <w:t>The students also sue under 42 U.S.C. § 1983, alleging that UCD violates the Equal Protection Clause by maintaining an athletics program that discriminates on the basis of gender. The district court dismissed the claim because it determined that "Title IX's enforcement scheme is sufficiently comprehensive to . . . demonstrate that Congress intended to preclude § 1983 claims when it enacted this statute."</w:t>
      </w:r>
    </w:p>
    <w:p w14:paraId="62328B0C" w14:textId="77777777" w:rsidR="00D041A2" w:rsidRDefault="00000000">
      <w:pPr>
        <w:pStyle w:val="Normal46"/>
        <w:widowControl w:val="0"/>
        <w:spacing w:before="200" w:line="260" w:lineRule="atLeast"/>
        <w:jc w:val="both"/>
      </w:pPr>
      <w:bookmarkStart w:id="6421" w:name="Bookmark_para_60_6"/>
      <w:bookmarkStart w:id="6422" w:name="Bookmark_I502VRD70K1MNJ2B40000400"/>
      <w:bookmarkStart w:id="6423" w:name="Bookmark_I6TN9X9M1FF000G7GKN0002H"/>
      <w:bookmarkStart w:id="6424" w:name="Bookmark_I502VRD70K1MNJ2RK0000400"/>
      <w:bookmarkStart w:id="6425" w:name="Bookmark_I502VRD70K1MNJ2B30000400"/>
      <w:bookmarkEnd w:id="6421"/>
      <w:bookmarkEnd w:id="6422"/>
      <w:bookmarkEnd w:id="6423"/>
      <w:bookmarkEnd w:id="6424"/>
      <w:bookmarkEnd w:id="6425"/>
      <w:r>
        <w:rPr>
          <w:rFonts w:ascii="Arial" w:eastAsia="Arial" w:hAnsi="Arial" w:cs="Arial"/>
          <w:i/>
          <w:color w:val="000000"/>
          <w:sz w:val="20"/>
        </w:rPr>
        <w:t>Fitzgerald v. Barnstable School Committee</w:t>
      </w:r>
      <w:r>
        <w:rPr>
          <w:rFonts w:ascii="Arial" w:eastAsia="Arial" w:hAnsi="Arial" w:cs="Arial"/>
          <w:color w:val="000000"/>
          <w:sz w:val="20"/>
        </w:rPr>
        <w:t xml:space="preserve">, 555 U.S. 246, 129 S. Ct. 788, 172 L. Ed. 2d 582 (2009), decided after the district court dismissed the students' claims, held,  [**39] to the contrary, that </w:t>
      </w:r>
      <w:bookmarkStart w:id="6426" w:name="Bookmark_LNHNREFclscc31_1"/>
      <w:bookmarkEnd w:id="6426"/>
      <w:r>
        <w:rPr>
          <w:rFonts w:ascii="Arial" w:eastAsia="Arial" w:hAnsi="Arial" w:cs="Arial"/>
          <w:color w:val="000000"/>
          <w:sz w:val="20"/>
        </w:rPr>
        <w:t xml:space="preserve">Title IX does not bar § 1983 suits to enforce rights under the Equal Protection Clause. </w:t>
      </w:r>
      <w:bookmarkStart w:id="6427" w:name="Bookmark_I502VRD70K1MNJ2RN0000400"/>
      <w:bookmarkEnd w:id="6427"/>
      <w:r>
        <w:rPr>
          <w:rFonts w:ascii="Arial" w:eastAsia="Arial" w:hAnsi="Arial" w:cs="Arial"/>
          <w:color w:val="000000"/>
          <w:sz w:val="20"/>
        </w:rPr>
        <w:t xml:space="preserve">As in </w:t>
      </w:r>
      <w:bookmarkStart w:id="6428" w:name="Bookmark_I502VRD70K1MNJ2RJ0000400"/>
      <w:bookmarkEnd w:id="6428"/>
      <w:r>
        <w:rPr>
          <w:rFonts w:ascii="Arial" w:eastAsia="Arial" w:hAnsi="Arial" w:cs="Arial"/>
          <w:i/>
          <w:color w:val="000000"/>
          <w:sz w:val="20"/>
        </w:rPr>
        <w:t>Fitzgerald</w:t>
      </w:r>
      <w:r>
        <w:rPr>
          <w:rFonts w:ascii="Arial" w:eastAsia="Arial" w:hAnsi="Arial" w:cs="Arial"/>
          <w:color w:val="000000"/>
          <w:sz w:val="20"/>
        </w:rPr>
        <w:t xml:space="preserve">, the plaintiffs here invoke § 1983 to seek damages for violations of constitutional rights. </w:t>
      </w:r>
      <w:bookmarkStart w:id="6429" w:name="Bookmark_I502VRD70K1MNJ2RN0000400_2"/>
      <w:bookmarkEnd w:id="6429"/>
      <w:r>
        <w:rPr>
          <w:rFonts w:ascii="Arial" w:eastAsia="Arial" w:hAnsi="Arial" w:cs="Arial"/>
          <w:i/>
          <w:color w:val="000000"/>
          <w:sz w:val="20"/>
        </w:rPr>
        <w:t xml:space="preserve">See </w:t>
      </w:r>
      <w:bookmarkStart w:id="6430" w:name="Bookmark_I502VRD70K1MNJ2RM0000400"/>
      <w:bookmarkEnd w:id="6430"/>
      <w:r>
        <w:rPr>
          <w:rFonts w:ascii="Arial" w:eastAsia="Arial" w:hAnsi="Arial" w:cs="Arial"/>
          <w:i/>
          <w:color w:val="000000"/>
          <w:sz w:val="20"/>
        </w:rPr>
        <w:t>id</w:t>
      </w:r>
      <w:r>
        <w:rPr>
          <w:rFonts w:ascii="Arial" w:eastAsia="Arial" w:hAnsi="Arial" w:cs="Arial"/>
          <w:color w:val="000000"/>
          <w:sz w:val="20"/>
        </w:rPr>
        <w:t>. at 796-97 (explaining distinctions between the rights created by Title IX and those afforded by the Equal Protection Clause).</w:t>
      </w:r>
    </w:p>
    <w:p w14:paraId="480D28B8" w14:textId="77777777" w:rsidR="00D041A2" w:rsidRDefault="00000000">
      <w:pPr>
        <w:pStyle w:val="Normal46"/>
        <w:widowControl w:val="0"/>
        <w:spacing w:before="200" w:line="260" w:lineRule="atLeast"/>
        <w:jc w:val="both"/>
      </w:pPr>
      <w:bookmarkStart w:id="6431" w:name="Bookmark_para_61_6"/>
      <w:bookmarkEnd w:id="6431"/>
      <w:r>
        <w:rPr>
          <w:rFonts w:ascii="Arial" w:eastAsia="Arial" w:hAnsi="Arial" w:cs="Arial"/>
          <w:color w:val="000000"/>
          <w:sz w:val="20"/>
        </w:rPr>
        <w:t xml:space="preserve">The defendants concede that the district court ruling does not survive </w:t>
      </w:r>
      <w:r>
        <w:rPr>
          <w:rFonts w:ascii="Arial" w:eastAsia="Arial" w:hAnsi="Arial" w:cs="Arial"/>
          <w:i/>
          <w:color w:val="000000"/>
          <w:sz w:val="20"/>
        </w:rPr>
        <w:t>Fitzgerald</w:t>
      </w:r>
      <w:r>
        <w:rPr>
          <w:rFonts w:ascii="Arial" w:eastAsia="Arial" w:hAnsi="Arial" w:cs="Arial"/>
          <w:color w:val="000000"/>
          <w:sz w:val="20"/>
        </w:rPr>
        <w:t xml:space="preserve"> but urge us to affirm dismissal of the § 1983 claim on other grounds. We decline to do so, for reasons we now explain.</w:t>
      </w:r>
    </w:p>
    <w:p w14:paraId="3BE0011F" w14:textId="77777777" w:rsidR="00D041A2" w:rsidRDefault="00000000">
      <w:pPr>
        <w:pStyle w:val="Normal46"/>
        <w:widowControl w:val="0"/>
        <w:spacing w:before="200" w:line="260" w:lineRule="atLeast"/>
        <w:jc w:val="both"/>
      </w:pPr>
      <w:bookmarkStart w:id="6432" w:name="Bookmark_para_62_5"/>
      <w:bookmarkEnd w:id="6432"/>
      <w:r>
        <w:rPr>
          <w:rFonts w:ascii="Arial" w:eastAsia="Arial" w:hAnsi="Arial" w:cs="Arial"/>
          <w:color w:val="000000"/>
          <w:sz w:val="20"/>
        </w:rPr>
        <w:t>UCD first contends that the § 1983 claim for damages is precluded by the statute of limitations and that the district court did not address this argument. In fact, the district court considered and rejected the statute of limitations defense as to both the Title IX effective accommodation and § 1983 equal protection claims in response to UCD's original motion to dismiss. The court held that because the students claimed that they were "currently being subjected to defendants' allegedly sex discriminatory practices . . . their claims accrue each and every day they are denied equal access to athletic participation."</w:t>
      </w:r>
    </w:p>
    <w:p w14:paraId="1B97D9C8" w14:textId="77777777" w:rsidR="00D041A2" w:rsidRDefault="00000000">
      <w:pPr>
        <w:pStyle w:val="Normal46"/>
        <w:widowControl w:val="0"/>
        <w:spacing w:before="200" w:line="260" w:lineRule="atLeast"/>
        <w:jc w:val="both"/>
      </w:pPr>
      <w:bookmarkStart w:id="6433" w:name="Bookmark_para_63_5"/>
      <w:bookmarkStart w:id="6434" w:name="Bookmark_I502VRD70K1MNJ2V70000400"/>
      <w:bookmarkStart w:id="6435" w:name="Bookmark_I502VRD70K1MNJ2V90000400"/>
      <w:bookmarkEnd w:id="6433"/>
      <w:bookmarkEnd w:id="6434"/>
      <w:bookmarkEnd w:id="6435"/>
      <w:r>
        <w:rPr>
          <w:rFonts w:ascii="Arial" w:eastAsia="Arial" w:hAnsi="Arial" w:cs="Arial"/>
          <w:color w:val="000000"/>
          <w:sz w:val="20"/>
        </w:rPr>
        <w:t xml:space="preserve">The district court was quite  [**40] correct. </w:t>
      </w:r>
      <w:bookmarkStart w:id="6436" w:name="Bookmark_LNHNREFclscc32_1"/>
      <w:bookmarkStart w:id="6437" w:name="Bookmark_I502VRD70K1MNJ31G0000400"/>
      <w:bookmarkEnd w:id="6436"/>
      <w:bookmarkEnd w:id="6437"/>
      <w:r>
        <w:rPr>
          <w:rFonts w:ascii="Arial" w:eastAsia="Arial" w:hAnsi="Arial" w:cs="Arial"/>
          <w:color w:val="000000"/>
          <w:sz w:val="20"/>
        </w:rPr>
        <w:t xml:space="preserve">Section 1983 "is presumptively available to remedy a state's ongoing violation of federal law." </w:t>
      </w:r>
      <w:bookmarkStart w:id="6438" w:name="Bookmark_I502VRD70K1MNJ2RP0000400"/>
      <w:bookmarkEnd w:id="6438"/>
      <w:r>
        <w:rPr>
          <w:rFonts w:ascii="Arial" w:eastAsia="Arial" w:hAnsi="Arial" w:cs="Arial"/>
          <w:i/>
          <w:color w:val="000000"/>
          <w:sz w:val="20"/>
        </w:rPr>
        <w:t>AlohaCare v. Haw. Dep't. of Human Servs</w:t>
      </w:r>
      <w:r>
        <w:rPr>
          <w:rFonts w:ascii="Arial" w:eastAsia="Arial" w:hAnsi="Arial" w:cs="Arial"/>
          <w:color w:val="000000"/>
          <w:sz w:val="20"/>
        </w:rPr>
        <w:t xml:space="preserve">., 572 F.3d 740, 745 (9th Cir. 2009) (quotation omitted). A  [*974]  plaintiff has adequately pled an ongoing claim if she can "show a systematic policy or practice that operated, in part, within the limitations period -- a systematic violation." </w:t>
      </w:r>
      <w:bookmarkStart w:id="6439" w:name="Bookmark_I502VRD70K1MNJ2V80000400"/>
      <w:bookmarkEnd w:id="6439"/>
      <w:r>
        <w:rPr>
          <w:rFonts w:ascii="Arial" w:eastAsia="Arial" w:hAnsi="Arial" w:cs="Arial"/>
          <w:i/>
          <w:color w:val="000000"/>
          <w:sz w:val="20"/>
        </w:rPr>
        <w:t>Douglas v. Cal. Dep't. of Youth Auth</w:t>
      </w:r>
      <w:r>
        <w:rPr>
          <w:rFonts w:ascii="Arial" w:eastAsia="Arial" w:hAnsi="Arial" w:cs="Arial"/>
          <w:color w:val="000000"/>
          <w:sz w:val="20"/>
        </w:rPr>
        <w:t xml:space="preserve">., 271 F.3d 812, 822 (9th Cir. 2001) (quotation omitted); </w:t>
      </w:r>
      <w:r>
        <w:rPr>
          <w:rFonts w:ascii="Arial" w:eastAsia="Arial" w:hAnsi="Arial" w:cs="Arial"/>
          <w:i/>
          <w:color w:val="000000"/>
          <w:sz w:val="20"/>
        </w:rPr>
        <w:t xml:space="preserve">see also </w:t>
      </w:r>
      <w:bookmarkStart w:id="6440" w:name="Bookmark_I502VRD70K1MNJ2VB0000400"/>
      <w:bookmarkEnd w:id="6440"/>
      <w:r>
        <w:rPr>
          <w:rFonts w:ascii="Arial" w:eastAsia="Arial" w:hAnsi="Arial" w:cs="Arial"/>
          <w:i/>
          <w:color w:val="000000"/>
          <w:sz w:val="20"/>
        </w:rPr>
        <w:t>Gutowsky v. County of Placer</w:t>
      </w:r>
      <w:r>
        <w:rPr>
          <w:rFonts w:ascii="Arial" w:eastAsia="Arial" w:hAnsi="Arial" w:cs="Arial"/>
          <w:color w:val="000000"/>
          <w:sz w:val="20"/>
        </w:rPr>
        <w:t xml:space="preserve">, 108 F.3d 256, 259 (9th Cir. 1997) (holding plaintiff's § 1983 claims timely because she alleged "widespread policy and practices of discrimination [that] continued every day of her employment, including days that fall within the limitation period"). </w:t>
      </w:r>
      <w:bookmarkStart w:id="6441" w:name="Bookmark_I502VRD70K1MNJ31G0000400_2"/>
      <w:bookmarkEnd w:id="6441"/>
      <w:r>
        <w:rPr>
          <w:rFonts w:ascii="Arial" w:eastAsia="Arial" w:hAnsi="Arial" w:cs="Arial"/>
          <w:vertAlign w:val="superscript"/>
        </w:rPr>
        <w:footnoteReference w:customMarkFollows="1" w:id="312"/>
        <w:t>22</w:t>
      </w:r>
      <w:r>
        <w:rPr>
          <w:rFonts w:ascii="Arial" w:eastAsia="Arial" w:hAnsi="Arial" w:cs="Arial"/>
          <w:color w:val="000000"/>
          <w:sz w:val="20"/>
        </w:rPr>
        <w:t xml:space="preserve"> A university's ongoing and intentional failure to provide equal athletic opportunities for women is a systemic violation. As the plaintiffs were students and therefore subject to the policy that allegedly discriminated on the basis of sex at the time they filed their complaint, their § 1983 claim is not time-barred.</w:t>
      </w:r>
    </w:p>
    <w:p w14:paraId="2B8A8721" w14:textId="77777777" w:rsidR="00D041A2" w:rsidRDefault="00000000">
      <w:pPr>
        <w:pStyle w:val="Normal46"/>
        <w:widowControl w:val="0"/>
        <w:spacing w:before="200" w:line="260" w:lineRule="atLeast"/>
        <w:jc w:val="both"/>
      </w:pPr>
      <w:bookmarkStart w:id="6445" w:name="Bookmark_para_64_5"/>
      <w:bookmarkStart w:id="6446" w:name="Bookmark_I502VRD70K1MNJ31J0000400"/>
      <w:bookmarkEnd w:id="6445"/>
      <w:bookmarkEnd w:id="6446"/>
      <w:r>
        <w:rPr>
          <w:rFonts w:ascii="Arial" w:eastAsia="Arial" w:hAnsi="Arial" w:cs="Arial"/>
          <w:color w:val="000000"/>
          <w:sz w:val="20"/>
        </w:rPr>
        <w:t xml:space="preserve">UCD next urges this court to conclude that the § 1983 claim against the individual defendants is precluded by the doctrine of qualified immunity. The defendants, however, did not raise a qualified immunity defense in any of their dispositive motions before the district court. </w:t>
      </w:r>
      <w:r>
        <w:rPr>
          <w:rFonts w:ascii="Arial" w:eastAsia="Arial" w:hAnsi="Arial" w:cs="Arial"/>
          <w:vertAlign w:val="superscript"/>
        </w:rPr>
        <w:footnoteReference w:customMarkFollows="1" w:id="313"/>
        <w:t>23</w:t>
      </w:r>
      <w:r>
        <w:rPr>
          <w:rFonts w:ascii="Arial" w:eastAsia="Arial" w:hAnsi="Arial" w:cs="Arial"/>
          <w:color w:val="000000"/>
          <w:sz w:val="20"/>
        </w:rPr>
        <w:t xml:space="preserve"> </w:t>
      </w:r>
      <w:bookmarkStart w:id="6448" w:name="Bookmark_LNHNREFclscc34_0"/>
      <w:bookmarkEnd w:id="6448"/>
      <w:r>
        <w:rPr>
          <w:rFonts w:ascii="Arial" w:eastAsia="Arial" w:hAnsi="Arial" w:cs="Arial"/>
          <w:color w:val="000000"/>
          <w:sz w:val="20"/>
        </w:rPr>
        <w:t xml:space="preserve">Our discretion to affirm on grounds other than those relied on by the district court extends to issues raised in a manner providing the district court an opportunity to rule on it. </w:t>
      </w:r>
      <w:r>
        <w:rPr>
          <w:rFonts w:ascii="Arial" w:eastAsia="Arial" w:hAnsi="Arial" w:cs="Arial"/>
          <w:i/>
          <w:color w:val="000000"/>
          <w:sz w:val="20"/>
        </w:rPr>
        <w:t xml:space="preserve">See </w:t>
      </w:r>
      <w:bookmarkStart w:id="6449" w:name="Bookmark_I502VRD70K1MNJ31H0000400"/>
      <w:bookmarkEnd w:id="6449"/>
      <w:r>
        <w:rPr>
          <w:rFonts w:ascii="Arial" w:eastAsia="Arial" w:hAnsi="Arial" w:cs="Arial"/>
          <w:i/>
          <w:color w:val="000000"/>
          <w:sz w:val="20"/>
        </w:rPr>
        <w:t>Proctor v. Vishay Intertechnology, Inc</w:t>
      </w:r>
      <w:r>
        <w:rPr>
          <w:rFonts w:ascii="Arial" w:eastAsia="Arial" w:hAnsi="Arial" w:cs="Arial"/>
          <w:color w:val="000000"/>
          <w:sz w:val="20"/>
        </w:rPr>
        <w:t xml:space="preserve">., 584 F.3d 1208, 1226 (9th Cir. 2009); </w:t>
      </w:r>
      <w:bookmarkStart w:id="6450" w:name="Bookmark_I502VRD70K1MNJ31K0000400"/>
      <w:bookmarkEnd w:id="6450"/>
      <w:r>
        <w:rPr>
          <w:rFonts w:ascii="Arial" w:eastAsia="Arial" w:hAnsi="Arial" w:cs="Arial"/>
          <w:i/>
          <w:color w:val="000000"/>
          <w:sz w:val="20"/>
        </w:rPr>
        <w:t>Washington v. Confederated Bands and Tribes of Yakima Indian Nation</w:t>
      </w:r>
      <w:r>
        <w:rPr>
          <w:rFonts w:ascii="Arial" w:eastAsia="Arial" w:hAnsi="Arial" w:cs="Arial"/>
          <w:color w:val="000000"/>
          <w:sz w:val="20"/>
        </w:rPr>
        <w:t xml:space="preserve">, 439 U.S. 463, 478 n.20, 99 S. Ct. 740, 58 L. Ed. 2d 740 (1979) ("[T]he prevailing party . . . was of course free to defend its judgment on any ground </w:t>
      </w:r>
      <w:r>
        <w:rPr>
          <w:rFonts w:ascii="Arial" w:eastAsia="Arial" w:hAnsi="Arial" w:cs="Arial"/>
          <w:i/>
          <w:color w:val="000000"/>
          <w:sz w:val="20"/>
        </w:rPr>
        <w:t>properly raised below</w:t>
      </w:r>
      <w:r>
        <w:rPr>
          <w:rFonts w:ascii="Arial" w:eastAsia="Arial" w:hAnsi="Arial" w:cs="Arial"/>
          <w:color w:val="000000"/>
          <w:sz w:val="20"/>
        </w:rPr>
        <w:t xml:space="preserve"> whether or not that ground was relied upon, rejected, or even considered by the District Court.. . .") (emphasis added). As the district court has had no opportunity  [**42] to rule on the individual defendants' qualified immunity defense, we will not affirm on that basis. The dismissal of the students' § 1983 claim is therefore reversed.</w:t>
      </w:r>
    </w:p>
    <w:p w14:paraId="7C6EBCAD" w14:textId="77777777" w:rsidR="00D041A2" w:rsidRDefault="00000000">
      <w:pPr>
        <w:pStyle w:val="Normal46"/>
        <w:widowControl w:val="0"/>
        <w:spacing w:before="240" w:line="260" w:lineRule="atLeast"/>
      </w:pPr>
      <w:r>
        <w:br/>
      </w:r>
      <w:r>
        <w:rPr>
          <w:rFonts w:ascii="Arial" w:eastAsia="Arial" w:hAnsi="Arial" w:cs="Arial"/>
          <w:b/>
          <w:color w:val="000000"/>
          <w:sz w:val="20"/>
        </w:rPr>
        <w:t>CONCLUSION</w:t>
      </w:r>
    </w:p>
    <w:p w14:paraId="3F4921D3" w14:textId="77777777" w:rsidR="00D041A2" w:rsidRDefault="00000000">
      <w:pPr>
        <w:pStyle w:val="Normal46"/>
        <w:widowControl w:val="0"/>
        <w:spacing w:before="200" w:line="260" w:lineRule="atLeast"/>
        <w:jc w:val="both"/>
      </w:pPr>
      <w:bookmarkStart w:id="6451" w:name="Bookmark_para_65_5"/>
      <w:bookmarkEnd w:id="6451"/>
      <w:r>
        <w:rPr>
          <w:rFonts w:ascii="Arial" w:eastAsia="Arial" w:hAnsi="Arial" w:cs="Arial"/>
          <w:color w:val="000000"/>
          <w:sz w:val="20"/>
        </w:rPr>
        <w:t>For the foregoing reasons, the plaintiffs' motion to amend their complaint is dismissed as moot. The district court's grant of summary judgment to the defendants on the Title IX claim is reversed. The district court's order dismissing the equal protection § 1983 claim is also reversed, and the case is remanded for further proceedings consistent with this opinion.</w:t>
      </w:r>
    </w:p>
    <w:p w14:paraId="73A3618F" w14:textId="77777777" w:rsidR="00D041A2" w:rsidRDefault="00D041A2">
      <w:pPr>
        <w:pStyle w:val="Normal46"/>
      </w:pPr>
    </w:p>
    <w:p w14:paraId="5DE296D8" w14:textId="4F7229CD" w:rsidR="00D041A2" w:rsidRDefault="00000000">
      <w:pPr>
        <w:pStyle w:val="Normal46"/>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61664" behindDoc="0" locked="0" layoutInCell="1" allowOverlap="1" wp14:anchorId="28833C26" wp14:editId="1618C60A">
                <wp:simplePos x="0" y="0"/>
                <wp:positionH relativeFrom="column">
                  <wp:posOffset>0</wp:posOffset>
                </wp:positionH>
                <wp:positionV relativeFrom="paragraph">
                  <wp:posOffset>127000</wp:posOffset>
                </wp:positionV>
                <wp:extent cx="6502400" cy="0"/>
                <wp:effectExtent l="9525" t="12700" r="12700" b="6350"/>
                <wp:wrapNone/>
                <wp:docPr id="1367268989"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64C75" id="Line 103"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8C1CBE3" w14:textId="77777777" w:rsidR="00D041A2" w:rsidRDefault="00D041A2">
      <w:pPr>
        <w:pStyle w:val="Normal47"/>
        <w:sectPr w:rsidR="00D041A2">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gutter="0"/>
          <w:cols w:space="720"/>
          <w:titlePg/>
        </w:sectPr>
      </w:pPr>
    </w:p>
    <w:p w14:paraId="1DB7A121" w14:textId="77777777" w:rsidR="00D041A2" w:rsidRDefault="00D041A2">
      <w:pPr>
        <w:pStyle w:val="Normal47"/>
      </w:pPr>
    </w:p>
    <w:p w14:paraId="28AD246A" w14:textId="77777777" w:rsidR="00D041A2" w:rsidRDefault="00000000">
      <w:pPr>
        <w:pStyle w:val="Heading146"/>
        <w:keepNext w:val="0"/>
        <w:widowControl w:val="0"/>
        <w:spacing w:after="200" w:line="340" w:lineRule="atLeast"/>
        <w:jc w:val="center"/>
      </w:pPr>
      <w:r>
        <w:rPr>
          <w:rFonts w:eastAsia="Arial"/>
          <w:color w:val="000000"/>
          <w:sz w:val="28"/>
        </w:rPr>
        <w:t>Cusack v. News Am. Mktg. In-Store, Inc., LLC</w:t>
      </w:r>
    </w:p>
    <w:p w14:paraId="155ABD8B" w14:textId="77777777" w:rsidR="00D041A2" w:rsidRDefault="00000000">
      <w:pPr>
        <w:pStyle w:val="Normal47"/>
        <w:widowControl w:val="0"/>
        <w:spacing w:before="120" w:line="260" w:lineRule="atLeast"/>
        <w:jc w:val="center"/>
      </w:pPr>
      <w:r>
        <w:rPr>
          <w:rFonts w:ascii="Arial" w:eastAsia="Arial" w:hAnsi="Arial" w:cs="Arial"/>
          <w:color w:val="000000"/>
          <w:sz w:val="20"/>
        </w:rPr>
        <w:t>United States Court of Appeals for the Second Circuit</w:t>
      </w:r>
    </w:p>
    <w:p w14:paraId="55263877" w14:textId="77777777" w:rsidR="00D041A2" w:rsidRDefault="00000000">
      <w:pPr>
        <w:pStyle w:val="Normal47"/>
        <w:widowControl w:val="0"/>
        <w:spacing w:before="120" w:line="260" w:lineRule="atLeast"/>
        <w:jc w:val="center"/>
      </w:pPr>
      <w:r>
        <w:rPr>
          <w:rFonts w:ascii="Arial" w:eastAsia="Arial" w:hAnsi="Arial" w:cs="Arial"/>
          <w:color w:val="000000"/>
          <w:sz w:val="20"/>
        </w:rPr>
        <w:t>March 30, 2010, Decided</w:t>
      </w:r>
    </w:p>
    <w:p w14:paraId="36510532" w14:textId="77777777" w:rsidR="00D041A2" w:rsidRDefault="00000000">
      <w:pPr>
        <w:pStyle w:val="Normal47"/>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08-3949-cv</w:t>
      </w:r>
    </w:p>
    <w:p w14:paraId="5D413271" w14:textId="77777777" w:rsidR="00D041A2" w:rsidRDefault="00D041A2">
      <w:pPr>
        <w:pStyle w:val="Normal47"/>
        <w:widowControl w:val="0"/>
        <w:spacing w:line="240" w:lineRule="atLeast"/>
        <w:jc w:val="both"/>
      </w:pPr>
      <w:bookmarkStart w:id="6452" w:name="Bookmark_48"/>
      <w:bookmarkEnd w:id="6452"/>
    </w:p>
    <w:p w14:paraId="29390CBE" w14:textId="77777777" w:rsidR="00D041A2" w:rsidRDefault="00000000">
      <w:pPr>
        <w:pStyle w:val="Normal47"/>
        <w:widowControl w:val="0"/>
        <w:spacing w:before="200" w:line="240" w:lineRule="atLeast"/>
      </w:pPr>
      <w:bookmarkStart w:id="6453" w:name="Reporter_46"/>
      <w:bookmarkEnd w:id="6453"/>
      <w:r>
        <w:rPr>
          <w:rFonts w:ascii="Arial" w:eastAsia="Arial" w:hAnsi="Arial" w:cs="Arial"/>
          <w:b/>
          <w:color w:val="000000"/>
          <w:sz w:val="18"/>
        </w:rPr>
        <w:t>Reporter</w:t>
      </w:r>
    </w:p>
    <w:p w14:paraId="0CAA99E3" w14:textId="77777777" w:rsidR="00D041A2" w:rsidRDefault="00000000">
      <w:pPr>
        <w:pStyle w:val="Normal47"/>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371 Fed. Appx. 157 *; 2010 U.S. App. LEXIS 6495 **</w:t>
      </w:r>
    </w:p>
    <w:p w14:paraId="07DE4A2C" w14:textId="77777777" w:rsidR="00D041A2" w:rsidRDefault="00000000">
      <w:pPr>
        <w:pStyle w:val="Normal47"/>
        <w:widowControl w:val="0"/>
        <w:spacing w:before="120" w:line="260" w:lineRule="atLeast"/>
      </w:pPr>
      <w:r>
        <w:rPr>
          <w:rFonts w:ascii="Arial" w:eastAsia="Arial" w:hAnsi="Arial" w:cs="Arial"/>
          <w:color w:val="000000"/>
          <w:sz w:val="20"/>
        </w:rPr>
        <w:t>Devi Cusack, Plaintiff-Appellant, v. News America Marketing In-Store, Inc., LLC, Defendant-Appellee.</w:t>
      </w:r>
    </w:p>
    <w:p w14:paraId="75D03001" w14:textId="77777777" w:rsidR="00D041A2" w:rsidRDefault="00000000">
      <w:pPr>
        <w:pStyle w:val="Normal47"/>
        <w:widowControl w:val="0"/>
        <w:spacing w:before="240" w:line="260" w:lineRule="atLeast"/>
        <w:jc w:val="both"/>
      </w:pPr>
      <w:bookmarkStart w:id="6454" w:name="Notice_28"/>
      <w:bookmarkEnd w:id="6454"/>
      <w:r>
        <w:rPr>
          <w:rFonts w:ascii="Arial" w:eastAsia="Arial" w:hAnsi="Arial" w:cs="Arial"/>
          <w:b/>
          <w:color w:val="000000"/>
          <w:sz w:val="20"/>
        </w:rPr>
        <w:t>Notice:</w:t>
      </w:r>
      <w:r>
        <w:rPr>
          <w:rFonts w:ascii="Arial" w:eastAsia="Arial" w:hAnsi="Arial" w:cs="Arial"/>
          <w:color w:val="000000"/>
          <w:sz w:val="20"/>
        </w:rPr>
        <w:t> </w:t>
      </w:r>
      <w:bookmarkStart w:id="6455" w:name="Bookmark_para_1_46"/>
      <w:bookmarkEnd w:id="6455"/>
      <w:r>
        <w:rPr>
          <w:rFonts w:ascii="Arial" w:eastAsia="Arial" w:hAnsi="Arial" w:cs="Arial"/>
          <w:color w:val="000000"/>
          <w:sz w:val="20"/>
        </w:rPr>
        <w:t>PLEASE REFER TO FEDERAL RULES OF APPELLATE PROCEDURE RULE 32.1 GOVERNING THE CITATION TO UNPUBLISHED OPINIONS.</w:t>
      </w:r>
    </w:p>
    <w:p w14:paraId="4ECE9524" w14:textId="77777777" w:rsidR="00D041A2" w:rsidRDefault="00000000">
      <w:pPr>
        <w:pStyle w:val="Normal47"/>
        <w:widowControl w:val="0"/>
        <w:spacing w:before="240" w:line="260" w:lineRule="atLeast"/>
        <w:jc w:val="both"/>
      </w:pPr>
      <w:bookmarkStart w:id="6456" w:name="Prior_History_46"/>
      <w:bookmarkEnd w:id="6456"/>
      <w:r>
        <w:rPr>
          <w:rFonts w:ascii="Arial" w:eastAsia="Arial" w:hAnsi="Arial" w:cs="Arial"/>
          <w:b/>
          <w:color w:val="000000"/>
          <w:sz w:val="20"/>
        </w:rPr>
        <w:t>Prior History:</w:t>
      </w:r>
      <w:r>
        <w:rPr>
          <w:rFonts w:ascii="Arial" w:eastAsia="Arial" w:hAnsi="Arial" w:cs="Arial"/>
          <w:color w:val="000000"/>
          <w:sz w:val="20"/>
        </w:rPr>
        <w:t>  [**1] </w:t>
      </w:r>
      <w:bookmarkStart w:id="6457" w:name="Bookmark_para_2_46"/>
      <w:bookmarkEnd w:id="6457"/>
      <w:r>
        <w:rPr>
          <w:rFonts w:ascii="Arial" w:eastAsia="Arial" w:hAnsi="Arial" w:cs="Arial"/>
          <w:color w:val="000000"/>
          <w:sz w:val="20"/>
        </w:rPr>
        <w:t>Appeal from the United States District Court for the Southern District of New York (Lynch, J.).</w:t>
      </w:r>
    </w:p>
    <w:p w14:paraId="663C6CCE" w14:textId="77777777" w:rsidR="00D041A2" w:rsidRDefault="00000000">
      <w:pPr>
        <w:pStyle w:val="Normal47"/>
        <w:widowControl w:val="0"/>
        <w:spacing w:before="120" w:line="260" w:lineRule="atLeast"/>
      </w:pPr>
      <w:r>
        <w:rPr>
          <w:rFonts w:ascii="Arial" w:eastAsia="Arial" w:hAnsi="Arial" w:cs="Arial"/>
          <w:color w:val="000000"/>
          <w:sz w:val="20"/>
        </w:rPr>
        <w:t>Cusack v. News Am. Mktg. In-Store Servs. L.L.C., 2008 U.S. Dist. LEXIS 50610 (S.D.N.Y., July 2, 2008)</w:t>
      </w:r>
    </w:p>
    <w:p w14:paraId="3726F5CD" w14:textId="77777777" w:rsidR="00D041A2" w:rsidRDefault="00000000">
      <w:pPr>
        <w:pStyle w:val="Normal47"/>
        <w:widowControl w:val="0"/>
        <w:spacing w:before="240" w:line="260" w:lineRule="atLeast"/>
      </w:pPr>
      <w:bookmarkStart w:id="6458" w:name="Counsel_46"/>
      <w:bookmarkEnd w:id="6458"/>
      <w:r>
        <w:rPr>
          <w:rFonts w:ascii="Arial" w:eastAsia="Arial" w:hAnsi="Arial" w:cs="Arial"/>
          <w:b/>
          <w:color w:val="000000"/>
          <w:sz w:val="20"/>
        </w:rPr>
        <w:t>Counsel:</w:t>
      </w:r>
      <w:r>
        <w:rPr>
          <w:rFonts w:ascii="Arial" w:eastAsia="Arial" w:hAnsi="Arial" w:cs="Arial"/>
          <w:color w:val="000000"/>
          <w:sz w:val="20"/>
        </w:rPr>
        <w:t> FOR PLAINTIFF-APPELLANT: Devi Cusack, Pro se, Richmond Hill, New York.</w:t>
      </w:r>
    </w:p>
    <w:p w14:paraId="6CB08094" w14:textId="77777777" w:rsidR="00D041A2" w:rsidRDefault="00000000">
      <w:pPr>
        <w:pStyle w:val="Normal47"/>
        <w:widowControl w:val="0"/>
        <w:spacing w:before="120" w:line="260" w:lineRule="atLeast"/>
      </w:pPr>
      <w:r>
        <w:rPr>
          <w:rFonts w:ascii="Arial" w:eastAsia="Arial" w:hAnsi="Arial" w:cs="Arial"/>
          <w:color w:val="000000"/>
          <w:sz w:val="20"/>
        </w:rPr>
        <w:t>FOR DEFENDANT-APPELLEE: Eric J. Wallach and Blythe E. Lovinger, for Kasowitz, Benson, Torres &amp; Friedman LLP, New York, New York.</w:t>
      </w:r>
    </w:p>
    <w:p w14:paraId="4A419611" w14:textId="77777777" w:rsidR="00D041A2" w:rsidRDefault="00000000">
      <w:pPr>
        <w:pStyle w:val="Normal47"/>
        <w:widowControl w:val="0"/>
        <w:spacing w:before="240" w:line="260" w:lineRule="atLeast"/>
      </w:pPr>
      <w:bookmarkStart w:id="6459" w:name="Judges_46"/>
      <w:bookmarkEnd w:id="6459"/>
      <w:r>
        <w:rPr>
          <w:rFonts w:ascii="Arial" w:eastAsia="Arial" w:hAnsi="Arial" w:cs="Arial"/>
          <w:b/>
          <w:color w:val="000000"/>
          <w:sz w:val="20"/>
        </w:rPr>
        <w:t>Judges:</w:t>
      </w:r>
      <w:r>
        <w:rPr>
          <w:rFonts w:ascii="Arial" w:eastAsia="Arial" w:hAnsi="Arial" w:cs="Arial"/>
          <w:color w:val="000000"/>
          <w:sz w:val="20"/>
        </w:rPr>
        <w:t xml:space="preserve"> PRESENT: ROSEMARY S. POOLER, DEBRA ANN LIVINGSTON, Circuit Judges, DAVID G. TRAGER, </w:t>
      </w:r>
      <w:r>
        <w:rPr>
          <w:rFonts w:ascii="Arial" w:eastAsia="Arial" w:hAnsi="Arial" w:cs="Arial"/>
          <w:vertAlign w:val="superscript"/>
        </w:rPr>
        <w:footnoteReference w:customMarkFollows="1" w:id="314"/>
        <w:t>*</w:t>
      </w:r>
      <w:r>
        <w:rPr>
          <w:rFonts w:ascii="Arial" w:eastAsia="Arial" w:hAnsi="Arial" w:cs="Arial"/>
          <w:color w:val="000000"/>
          <w:sz w:val="20"/>
        </w:rPr>
        <w:t xml:space="preserve"> District Judge.</w:t>
      </w:r>
    </w:p>
    <w:p w14:paraId="5126DE05" w14:textId="77777777" w:rsidR="00D041A2" w:rsidRDefault="00000000">
      <w:pPr>
        <w:pStyle w:val="Normal47"/>
        <w:keepNext/>
        <w:widowControl w:val="0"/>
        <w:spacing w:before="240" w:line="340" w:lineRule="atLeast"/>
      </w:pPr>
      <w:bookmarkStart w:id="6461" w:name="Opinion_46"/>
      <w:bookmarkEnd w:id="6461"/>
      <w:r>
        <w:rPr>
          <w:rFonts w:ascii="Arial" w:eastAsia="Arial" w:hAnsi="Arial" w:cs="Arial"/>
          <w:b/>
          <w:color w:val="000000"/>
          <w:sz w:val="28"/>
        </w:rPr>
        <w:t>Opinion</w:t>
      </w:r>
    </w:p>
    <w:p w14:paraId="5B204978" w14:textId="6EE8FEFA" w:rsidR="00D041A2" w:rsidRDefault="004D4403">
      <w:pPr>
        <w:pStyle w:val="Normal47"/>
        <w:spacing w:line="60" w:lineRule="exact"/>
      </w:pPr>
      <w:r>
        <w:rPr>
          <w:noProof/>
        </w:rPr>
        <mc:AlternateContent>
          <mc:Choice Requires="wps">
            <w:drawing>
              <wp:anchor distT="0" distB="0" distL="114300" distR="114300" simplePos="0" relativeHeight="251762688" behindDoc="0" locked="0" layoutInCell="1" allowOverlap="1" wp14:anchorId="4DA73660" wp14:editId="79DEAEE8">
                <wp:simplePos x="0" y="0"/>
                <wp:positionH relativeFrom="column">
                  <wp:posOffset>0</wp:posOffset>
                </wp:positionH>
                <wp:positionV relativeFrom="paragraph">
                  <wp:posOffset>25400</wp:posOffset>
                </wp:positionV>
                <wp:extent cx="3187700" cy="0"/>
                <wp:effectExtent l="19050" t="15875" r="12700" b="12700"/>
                <wp:wrapTopAndBottom/>
                <wp:docPr id="182928298"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A07C6" id="Line 104"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0AF70C4" w14:textId="77777777" w:rsidR="00D041A2" w:rsidRDefault="00D041A2">
      <w:pPr>
        <w:pStyle w:val="Normal47"/>
        <w:spacing w:line="120" w:lineRule="exact"/>
      </w:pPr>
    </w:p>
    <w:p w14:paraId="6585BF74" w14:textId="77777777" w:rsidR="00D041A2" w:rsidRDefault="00000000">
      <w:pPr>
        <w:pStyle w:val="Normal47"/>
        <w:widowControl w:val="0"/>
        <w:spacing w:before="240" w:line="260" w:lineRule="atLeast"/>
      </w:pPr>
      <w:r>
        <w:br/>
      </w:r>
      <w:r>
        <w:rPr>
          <w:rFonts w:ascii="Arial" w:eastAsia="Arial" w:hAnsi="Arial" w:cs="Arial"/>
          <w:color w:val="000000"/>
          <w:sz w:val="20"/>
        </w:rPr>
        <w:t xml:space="preserve"> [*158]  </w:t>
      </w:r>
      <w:r>
        <w:rPr>
          <w:rFonts w:ascii="Arial" w:eastAsia="Arial" w:hAnsi="Arial" w:cs="Arial"/>
          <w:b/>
          <w:color w:val="000000"/>
          <w:sz w:val="20"/>
          <w:u w:val="single"/>
        </w:rPr>
        <w:t>SUMMARY ORDER</w:t>
      </w:r>
    </w:p>
    <w:p w14:paraId="570EC472" w14:textId="77777777" w:rsidR="00D041A2" w:rsidRDefault="00000000">
      <w:pPr>
        <w:pStyle w:val="Normal47"/>
        <w:widowControl w:val="0"/>
        <w:spacing w:before="200" w:line="260" w:lineRule="atLeast"/>
        <w:jc w:val="both"/>
      </w:pPr>
      <w:bookmarkStart w:id="6462" w:name="Bookmark_para_3_46"/>
      <w:bookmarkEnd w:id="6462"/>
      <w:r>
        <w:rPr>
          <w:rFonts w:ascii="Arial" w:eastAsia="Arial" w:hAnsi="Arial" w:cs="Arial"/>
          <w:b/>
          <w:color w:val="000000"/>
          <w:sz w:val="20"/>
        </w:rPr>
        <w:t>UPON DUE CONSIDERATION,</w:t>
      </w:r>
      <w:r>
        <w:rPr>
          <w:rFonts w:ascii="Arial" w:eastAsia="Arial" w:hAnsi="Arial" w:cs="Arial"/>
          <w:color w:val="000000"/>
          <w:sz w:val="20"/>
        </w:rPr>
        <w:t xml:space="preserve"> it is hereby </w:t>
      </w:r>
      <w:r>
        <w:rPr>
          <w:rFonts w:ascii="Arial" w:eastAsia="Arial" w:hAnsi="Arial" w:cs="Arial"/>
          <w:b/>
          <w:color w:val="000000"/>
          <w:sz w:val="20"/>
        </w:rPr>
        <w:t>ORDERED, ADJUDGED, AND DECREED</w:t>
      </w:r>
      <w:r>
        <w:rPr>
          <w:rFonts w:ascii="Arial" w:eastAsia="Arial" w:hAnsi="Arial" w:cs="Arial"/>
          <w:color w:val="000000"/>
          <w:sz w:val="20"/>
        </w:rPr>
        <w:t xml:space="preserve"> that the judgment of said District Court be and hereby is </w:t>
      </w:r>
      <w:r>
        <w:rPr>
          <w:rFonts w:ascii="Arial" w:eastAsia="Arial" w:hAnsi="Arial" w:cs="Arial"/>
          <w:b/>
          <w:color w:val="000000"/>
          <w:sz w:val="20"/>
        </w:rPr>
        <w:t>AFFIRMED.</w:t>
      </w:r>
    </w:p>
    <w:p w14:paraId="6C931FA7" w14:textId="77777777" w:rsidR="00D041A2" w:rsidRDefault="00000000">
      <w:pPr>
        <w:pStyle w:val="Normal47"/>
        <w:widowControl w:val="0"/>
        <w:spacing w:before="200" w:line="260" w:lineRule="atLeast"/>
        <w:jc w:val="both"/>
      </w:pPr>
      <w:bookmarkStart w:id="6463" w:name="Bookmark_para_4_46"/>
      <w:bookmarkEnd w:id="6463"/>
      <w:r>
        <w:rPr>
          <w:rFonts w:ascii="Arial" w:eastAsia="Arial" w:hAnsi="Arial" w:cs="Arial"/>
          <w:color w:val="000000"/>
          <w:sz w:val="20"/>
        </w:rPr>
        <w:t>Appellant Devi Cusack appeals from the district court's judgment granting summary judgment for News America Marketing In-Store ("NAMIS") and dismissing her employment discrimination complaint. We assume the parties' familiarity with the facts, proceedings below, and specification of issues on appeal.</w:t>
      </w:r>
    </w:p>
    <w:p w14:paraId="63324C7E" w14:textId="77777777" w:rsidR="00D041A2" w:rsidRDefault="00000000">
      <w:pPr>
        <w:pStyle w:val="Normal47"/>
        <w:widowControl w:val="0"/>
        <w:spacing w:before="200" w:line="260" w:lineRule="atLeast"/>
        <w:jc w:val="both"/>
      </w:pPr>
      <w:bookmarkStart w:id="6464" w:name="Bookmark_para_5_46"/>
      <w:bookmarkEnd w:id="6464"/>
      <w:r>
        <w:rPr>
          <w:rFonts w:ascii="Arial" w:eastAsia="Arial" w:hAnsi="Arial" w:cs="Arial"/>
          <w:color w:val="000000"/>
          <w:sz w:val="20"/>
        </w:rPr>
        <w:t xml:space="preserve">As an initial matter, Cusack's pending motion to include additional exhibits in her appendix is hereby </w:t>
      </w:r>
      <w:r>
        <w:rPr>
          <w:rFonts w:ascii="Arial" w:eastAsia="Arial" w:hAnsi="Arial" w:cs="Arial"/>
          <w:b/>
          <w:color w:val="000000"/>
          <w:sz w:val="20"/>
        </w:rPr>
        <w:t>DENIED.</w:t>
      </w:r>
      <w:r>
        <w:rPr>
          <w:rFonts w:ascii="Arial" w:eastAsia="Arial" w:hAnsi="Arial" w:cs="Arial"/>
          <w:color w:val="000000"/>
          <w:sz w:val="20"/>
        </w:rPr>
        <w:t xml:space="preserve"> The exhibits were not filed in the district court, and Cusack has not shown that the documents were material omissions  [**2] to the record. </w:t>
      </w:r>
      <w:r>
        <w:rPr>
          <w:rFonts w:ascii="Arial" w:eastAsia="Arial" w:hAnsi="Arial" w:cs="Arial"/>
          <w:i/>
          <w:color w:val="000000"/>
          <w:sz w:val="20"/>
        </w:rPr>
        <w:t>See</w:t>
      </w:r>
      <w:r>
        <w:rPr>
          <w:rFonts w:ascii="Arial" w:eastAsia="Arial" w:hAnsi="Arial" w:cs="Arial"/>
          <w:color w:val="000000"/>
          <w:sz w:val="20"/>
        </w:rPr>
        <w:t xml:space="preserve"> Fed. R. App. P. 10(e)(2).</w:t>
      </w:r>
    </w:p>
    <w:p w14:paraId="1BAD5D4F" w14:textId="77777777" w:rsidR="00D041A2" w:rsidRDefault="00000000">
      <w:pPr>
        <w:pStyle w:val="Normal47"/>
        <w:widowControl w:val="0"/>
        <w:spacing w:before="200" w:line="260" w:lineRule="atLeast"/>
        <w:jc w:val="both"/>
      </w:pPr>
      <w:bookmarkStart w:id="6465" w:name="Bookmark_para_6_46"/>
      <w:bookmarkStart w:id="6466" w:name="Bookmark_I4YWRFS70K1MNJ0250000400"/>
      <w:bookmarkStart w:id="6467" w:name="Bookmark_I4YWRFS70K1MNJ0270000400"/>
      <w:bookmarkStart w:id="6468" w:name="Bookmark_I4YWRFS70K1MNJ0340000400"/>
      <w:bookmarkEnd w:id="6465"/>
      <w:bookmarkEnd w:id="6466"/>
      <w:bookmarkEnd w:id="6467"/>
      <w:bookmarkEnd w:id="6468"/>
      <w:r>
        <w:rPr>
          <w:rFonts w:ascii="Arial" w:eastAsia="Arial" w:hAnsi="Arial" w:cs="Arial"/>
          <w:color w:val="000000"/>
          <w:sz w:val="20"/>
        </w:rPr>
        <w:t xml:space="preserve">This Court reviews an order granting summary judgment </w:t>
      </w:r>
      <w:r>
        <w:rPr>
          <w:rFonts w:ascii="Arial" w:eastAsia="Arial" w:hAnsi="Arial" w:cs="Arial"/>
          <w:i/>
          <w:color w:val="000000"/>
          <w:sz w:val="20"/>
        </w:rPr>
        <w:t>de novo</w:t>
      </w:r>
      <w:r>
        <w:rPr>
          <w:rFonts w:ascii="Arial" w:eastAsia="Arial" w:hAnsi="Arial" w:cs="Arial"/>
          <w:color w:val="000000"/>
          <w:sz w:val="20"/>
        </w:rPr>
        <w:t xml:space="preserve"> and asks whether the district court properly concluded that there were no genuine issues of material fact and that the moving party was entitled to judgment as a matter of law. </w:t>
      </w:r>
      <w:bookmarkStart w:id="6469" w:name="Bookmark_I4YWRFS70K1MNJ0240000400"/>
      <w:bookmarkEnd w:id="6469"/>
      <w:r>
        <w:rPr>
          <w:rFonts w:ascii="Arial" w:eastAsia="Arial" w:hAnsi="Arial" w:cs="Arial"/>
          <w:i/>
          <w:color w:val="000000"/>
          <w:sz w:val="20"/>
        </w:rPr>
        <w:t>Miller v. Wolpoff &amp; Abramson, L.L.P.,</w:t>
      </w:r>
      <w:r>
        <w:rPr>
          <w:rFonts w:ascii="Arial" w:eastAsia="Arial" w:hAnsi="Arial" w:cs="Arial"/>
          <w:color w:val="000000"/>
          <w:sz w:val="20"/>
        </w:rPr>
        <w:t xml:space="preserve"> 321 F.3d 292, 300 (2d Cir. 2003). In determining whether there are genuine issues of material fact, this Court is "required to resolve all ambiguities and draw all permissible factual inferences in favor of the party against whom summary judgment is sought." </w:t>
      </w:r>
      <w:bookmarkStart w:id="6470" w:name="Bookmark_I4YWRFS70K1MNJ0260000400"/>
      <w:bookmarkEnd w:id="6470"/>
      <w:r>
        <w:rPr>
          <w:rFonts w:ascii="Arial" w:eastAsia="Arial" w:hAnsi="Arial" w:cs="Arial"/>
          <w:i/>
          <w:color w:val="000000"/>
          <w:sz w:val="20"/>
        </w:rPr>
        <w:t>Terry v. Ashcroft,</w:t>
      </w:r>
      <w:r>
        <w:rPr>
          <w:rFonts w:ascii="Arial" w:eastAsia="Arial" w:hAnsi="Arial" w:cs="Arial"/>
          <w:color w:val="000000"/>
          <w:sz w:val="20"/>
        </w:rPr>
        <w:t xml:space="preserve"> 336 F.3d 128, 137 (2d Cir. 2003) (quotation marks omitted). However, "conclusory statements or mere allegations [are] not sufficient to defeat a summary judgment motion." </w:t>
      </w:r>
      <w:bookmarkStart w:id="6471" w:name="Bookmark_I4YWRFS70K1MNJ0280000400"/>
      <w:bookmarkEnd w:id="6471"/>
      <w:r>
        <w:rPr>
          <w:rFonts w:ascii="Arial" w:eastAsia="Arial" w:hAnsi="Arial" w:cs="Arial"/>
          <w:i/>
          <w:color w:val="000000"/>
          <w:sz w:val="20"/>
        </w:rPr>
        <w:t>Davis v. New York,</w:t>
      </w:r>
      <w:r>
        <w:rPr>
          <w:rFonts w:ascii="Arial" w:eastAsia="Arial" w:hAnsi="Arial" w:cs="Arial"/>
          <w:color w:val="000000"/>
          <w:sz w:val="20"/>
        </w:rPr>
        <w:t xml:space="preserve"> 316 F.3d 93, 100 (2d Cir. 2002).</w:t>
      </w:r>
    </w:p>
    <w:p w14:paraId="64E169E0" w14:textId="77777777" w:rsidR="00D041A2" w:rsidRDefault="00000000">
      <w:pPr>
        <w:pStyle w:val="Normal47"/>
        <w:widowControl w:val="0"/>
        <w:spacing w:before="200" w:line="260" w:lineRule="atLeast"/>
        <w:jc w:val="both"/>
      </w:pPr>
      <w:bookmarkStart w:id="6472" w:name="Bookmark_para_7_46"/>
      <w:bookmarkStart w:id="6473" w:name="Bookmark_I4YWRFS70K1MNJ0360000400"/>
      <w:bookmarkEnd w:id="6472"/>
      <w:bookmarkEnd w:id="6473"/>
      <w:r>
        <w:rPr>
          <w:rFonts w:ascii="Arial" w:eastAsia="Arial" w:hAnsi="Arial" w:cs="Arial"/>
          <w:color w:val="000000"/>
          <w:sz w:val="20"/>
        </w:rPr>
        <w:t xml:space="preserve">Having conducted an independent and </w:t>
      </w:r>
      <w:r>
        <w:rPr>
          <w:rFonts w:ascii="Arial" w:eastAsia="Arial" w:hAnsi="Arial" w:cs="Arial"/>
          <w:i/>
          <w:color w:val="000000"/>
          <w:sz w:val="20"/>
        </w:rPr>
        <w:t>de novo</w:t>
      </w:r>
      <w:r>
        <w:rPr>
          <w:rFonts w:ascii="Arial" w:eastAsia="Arial" w:hAnsi="Arial" w:cs="Arial"/>
          <w:color w:val="000000"/>
          <w:sz w:val="20"/>
        </w:rPr>
        <w:t xml:space="preserve"> review of the record in light of these principles, we affirm the grant of summary judgment for substantially the same reasons stated by the district court. On appeal, Cusack argues that NAMIS did not engage in the interactive process envisioned by the ADA by which employers and employees work together to assess whether an employee's  [**3] disability can be reasonably accommodated. </w:t>
      </w:r>
      <w:bookmarkStart w:id="6474" w:name="Bookmark_I4YWRFS70K1MNJ0380000400"/>
      <w:bookmarkEnd w:id="6474"/>
      <w:r>
        <w:rPr>
          <w:rFonts w:ascii="Arial" w:eastAsia="Arial" w:hAnsi="Arial" w:cs="Arial"/>
          <w:i/>
          <w:color w:val="000000"/>
          <w:sz w:val="20"/>
        </w:rPr>
        <w:t xml:space="preserve">See, e.g., </w:t>
      </w:r>
      <w:bookmarkStart w:id="6475" w:name="Bookmark_I4YWRFS70K1MNJ0350000400"/>
      <w:bookmarkEnd w:id="6475"/>
      <w:r>
        <w:rPr>
          <w:rFonts w:ascii="Arial" w:eastAsia="Arial" w:hAnsi="Arial" w:cs="Arial"/>
          <w:i/>
          <w:color w:val="000000"/>
          <w:sz w:val="20"/>
        </w:rPr>
        <w:t>Brady v. Wal-Mart Stores, Inc.,</w:t>
      </w:r>
      <w:r>
        <w:rPr>
          <w:rFonts w:ascii="Arial" w:eastAsia="Arial" w:hAnsi="Arial" w:cs="Arial"/>
          <w:color w:val="000000"/>
          <w:sz w:val="20"/>
        </w:rPr>
        <w:t xml:space="preserve"> 531 F.3d 127, 135 (2d Cir. 2008). </w:t>
      </w:r>
      <w:bookmarkStart w:id="6476" w:name="Bookmark_I4YWRFS70K1MNJ0380000400_2"/>
      <w:bookmarkEnd w:id="6476"/>
      <w:r>
        <w:rPr>
          <w:rFonts w:ascii="Arial" w:eastAsia="Arial" w:hAnsi="Arial" w:cs="Arial"/>
          <w:color w:val="000000"/>
          <w:sz w:val="20"/>
        </w:rPr>
        <w:t xml:space="preserve">However, as the district court explained, Cusack failed to establish the requisite causal connection between NAMIS's alleged failure to accommodate her disability and an adverse employment action. </w:t>
      </w:r>
      <w:bookmarkStart w:id="6477" w:name="Bookmark_I4YWRFS70K1MNJ03W0000400"/>
      <w:bookmarkEnd w:id="6477"/>
      <w:r>
        <w:rPr>
          <w:rFonts w:ascii="Arial" w:eastAsia="Arial" w:hAnsi="Arial" w:cs="Arial"/>
          <w:i/>
          <w:color w:val="000000"/>
          <w:sz w:val="20"/>
        </w:rPr>
        <w:t xml:space="preserve">See </w:t>
      </w:r>
      <w:bookmarkStart w:id="6478" w:name="Bookmark_I4YWRFS70K1MNJ0370000400"/>
      <w:bookmarkEnd w:id="6478"/>
      <w:r>
        <w:rPr>
          <w:rFonts w:ascii="Arial" w:eastAsia="Arial" w:hAnsi="Arial" w:cs="Arial"/>
          <w:i/>
          <w:color w:val="000000"/>
          <w:sz w:val="20"/>
        </w:rPr>
        <w:t>Parker v. Sony Pictures Entm't, Inc.,</w:t>
      </w:r>
      <w:r>
        <w:rPr>
          <w:rFonts w:ascii="Arial" w:eastAsia="Arial" w:hAnsi="Arial" w:cs="Arial"/>
          <w:color w:val="000000"/>
          <w:sz w:val="20"/>
        </w:rPr>
        <w:t xml:space="preserve"> 260 F.3d 100, 108 (2d Cir. 2001). </w:t>
      </w:r>
      <w:bookmarkStart w:id="6479" w:name="Bookmark_I4YWRFS70K1MNJ03W0000400_2"/>
      <w:bookmarkEnd w:id="6479"/>
      <w:r>
        <w:rPr>
          <w:rFonts w:ascii="Arial" w:eastAsia="Arial" w:hAnsi="Arial" w:cs="Arial"/>
          <w:color w:val="000000"/>
          <w:sz w:val="20"/>
        </w:rPr>
        <w:t xml:space="preserve">Because we find that it was undisputed that a reasonable accommodation was not available, NAMIS was not required to engage in this interactive process. </w:t>
      </w:r>
      <w:r>
        <w:rPr>
          <w:rFonts w:ascii="Arial" w:eastAsia="Arial" w:hAnsi="Arial" w:cs="Arial"/>
          <w:i/>
          <w:color w:val="000000"/>
          <w:sz w:val="20"/>
        </w:rPr>
        <w:t xml:space="preserve">See </w:t>
      </w:r>
      <w:bookmarkStart w:id="6480" w:name="Bookmark_I4YWRFS70K1MNJ03V0000400"/>
      <w:bookmarkEnd w:id="6480"/>
      <w:r>
        <w:rPr>
          <w:rFonts w:ascii="Arial" w:eastAsia="Arial" w:hAnsi="Arial" w:cs="Arial"/>
          <w:i/>
          <w:color w:val="000000"/>
          <w:sz w:val="20"/>
        </w:rPr>
        <w:t>McBride v. BIC Consumer Prods. Mfg. Co.,</w:t>
      </w:r>
      <w:r>
        <w:rPr>
          <w:rFonts w:ascii="Arial" w:eastAsia="Arial" w:hAnsi="Arial" w:cs="Arial"/>
          <w:color w:val="000000"/>
          <w:sz w:val="20"/>
        </w:rPr>
        <w:t xml:space="preserve"> 583 F.3d 92, 100 (2d Cir. 2009).</w:t>
      </w:r>
    </w:p>
    <w:p w14:paraId="36A7AFD6" w14:textId="77777777" w:rsidR="00D041A2" w:rsidRDefault="00000000">
      <w:pPr>
        <w:pStyle w:val="Normal47"/>
        <w:widowControl w:val="0"/>
        <w:spacing w:before="200" w:line="260" w:lineRule="atLeast"/>
        <w:jc w:val="both"/>
      </w:pPr>
      <w:bookmarkStart w:id="6481" w:name="Bookmark_para_8_45"/>
      <w:bookmarkEnd w:id="6481"/>
      <w:r>
        <w:rPr>
          <w:rFonts w:ascii="Arial" w:eastAsia="Arial" w:hAnsi="Arial" w:cs="Arial"/>
          <w:color w:val="000000"/>
          <w:sz w:val="20"/>
        </w:rPr>
        <w:t xml:space="preserve">We have considered all of Cusack's other arguments on appeal and have found them to be without merit. Accordingly, the judgment of the district court is hereby </w:t>
      </w:r>
      <w:r>
        <w:rPr>
          <w:rFonts w:ascii="Arial" w:eastAsia="Arial" w:hAnsi="Arial" w:cs="Arial"/>
          <w:b/>
          <w:color w:val="000000"/>
          <w:sz w:val="20"/>
        </w:rPr>
        <w:t>AFFIRMED.</w:t>
      </w:r>
    </w:p>
    <w:p w14:paraId="5A116913" w14:textId="77777777" w:rsidR="00D041A2" w:rsidRDefault="00D041A2">
      <w:pPr>
        <w:pStyle w:val="Normal47"/>
      </w:pPr>
    </w:p>
    <w:p w14:paraId="68F8F0EA" w14:textId="198B96B0" w:rsidR="00D041A2" w:rsidRDefault="00000000">
      <w:pPr>
        <w:pStyle w:val="Normal47"/>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63712" behindDoc="0" locked="0" layoutInCell="1" allowOverlap="1" wp14:anchorId="22DDE009" wp14:editId="189EA779">
                <wp:simplePos x="0" y="0"/>
                <wp:positionH relativeFrom="column">
                  <wp:posOffset>0</wp:posOffset>
                </wp:positionH>
                <wp:positionV relativeFrom="paragraph">
                  <wp:posOffset>127000</wp:posOffset>
                </wp:positionV>
                <wp:extent cx="6502400" cy="0"/>
                <wp:effectExtent l="9525" t="12700" r="12700" b="6350"/>
                <wp:wrapNone/>
                <wp:docPr id="41967864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76165" id="Line 105"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13F3A3E" w14:textId="77777777" w:rsidR="00D041A2" w:rsidRDefault="00D041A2">
      <w:pPr>
        <w:pStyle w:val="Normal48"/>
        <w:sectPr w:rsidR="00D041A2">
          <w:headerReference w:type="even" r:id="rId295"/>
          <w:headerReference w:type="default" r:id="rId296"/>
          <w:footerReference w:type="even" r:id="rId297"/>
          <w:footerReference w:type="default" r:id="rId298"/>
          <w:headerReference w:type="first" r:id="rId299"/>
          <w:footerReference w:type="first" r:id="rId300"/>
          <w:pgSz w:w="12240" w:h="15840"/>
          <w:pgMar w:top="840" w:right="1000" w:bottom="840" w:left="1000" w:header="400" w:footer="400" w:gutter="0"/>
          <w:cols w:space="720"/>
          <w:titlePg/>
        </w:sectPr>
      </w:pPr>
    </w:p>
    <w:p w14:paraId="61AA3251" w14:textId="77777777" w:rsidR="00D041A2" w:rsidRDefault="00D041A2">
      <w:pPr>
        <w:pStyle w:val="Normal48"/>
      </w:pPr>
    </w:p>
    <w:p w14:paraId="59592670" w14:textId="77777777" w:rsidR="00D041A2" w:rsidRDefault="00000000">
      <w:pPr>
        <w:pStyle w:val="Heading147"/>
        <w:keepNext w:val="0"/>
        <w:widowControl w:val="0"/>
        <w:spacing w:after="200" w:line="340" w:lineRule="atLeast"/>
        <w:jc w:val="center"/>
      </w:pPr>
      <w:r>
        <w:rPr>
          <w:rFonts w:eastAsia="Arial"/>
          <w:color w:val="000000"/>
          <w:sz w:val="28"/>
        </w:rPr>
        <w:t>Wong v. Pape Mach., Inc.</w:t>
      </w:r>
    </w:p>
    <w:p w14:paraId="4C248ECC" w14:textId="77777777" w:rsidR="00D041A2" w:rsidRDefault="00000000">
      <w:pPr>
        <w:pStyle w:val="Normal48"/>
        <w:widowControl w:val="0"/>
        <w:spacing w:before="120" w:line="260" w:lineRule="atLeast"/>
        <w:jc w:val="center"/>
      </w:pPr>
      <w:r>
        <w:rPr>
          <w:rFonts w:ascii="Arial" w:eastAsia="Arial" w:hAnsi="Arial" w:cs="Arial"/>
          <w:color w:val="000000"/>
          <w:sz w:val="20"/>
        </w:rPr>
        <w:t>United States Court of Appeals for the Ninth Circuit</w:t>
      </w:r>
    </w:p>
    <w:p w14:paraId="31870878" w14:textId="77777777" w:rsidR="00D041A2" w:rsidRDefault="00000000">
      <w:pPr>
        <w:pStyle w:val="Normal48"/>
        <w:widowControl w:val="0"/>
        <w:spacing w:before="120" w:line="260" w:lineRule="atLeast"/>
        <w:jc w:val="center"/>
      </w:pPr>
      <w:r>
        <w:rPr>
          <w:rFonts w:ascii="Arial" w:eastAsia="Arial" w:hAnsi="Arial" w:cs="Arial"/>
          <w:color w:val="000000"/>
          <w:sz w:val="20"/>
        </w:rPr>
        <w:t xml:space="preserve">March 11, 2010 </w:t>
      </w:r>
      <w:r>
        <w:rPr>
          <w:rFonts w:ascii="Arial" w:eastAsia="Arial" w:hAnsi="Arial" w:cs="Arial"/>
          <w:vertAlign w:val="superscript"/>
        </w:rPr>
        <w:footnoteReference w:customMarkFollows="1" w:id="315"/>
        <w:t>**</w:t>
      </w:r>
      <w:r>
        <w:rPr>
          <w:rFonts w:ascii="Arial" w:eastAsia="Arial" w:hAnsi="Arial" w:cs="Arial"/>
          <w:color w:val="000000"/>
          <w:sz w:val="20"/>
        </w:rPr>
        <w:t xml:space="preserve"> , Submitted, San Francisco, California; March 15, 2010, Filed</w:t>
      </w:r>
    </w:p>
    <w:p w14:paraId="245CADB3" w14:textId="77777777" w:rsidR="00D041A2" w:rsidRDefault="00000000">
      <w:pPr>
        <w:pStyle w:val="Normal48"/>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09-15846</w:t>
      </w:r>
    </w:p>
    <w:p w14:paraId="12807828" w14:textId="77777777" w:rsidR="00D041A2" w:rsidRDefault="00D041A2">
      <w:pPr>
        <w:pStyle w:val="Normal48"/>
        <w:widowControl w:val="0"/>
        <w:spacing w:line="240" w:lineRule="atLeast"/>
        <w:jc w:val="both"/>
      </w:pPr>
      <w:bookmarkStart w:id="6483" w:name="Bookmark_49"/>
      <w:bookmarkEnd w:id="6483"/>
    </w:p>
    <w:p w14:paraId="658E5EFC" w14:textId="77777777" w:rsidR="00D041A2" w:rsidRDefault="00000000">
      <w:pPr>
        <w:pStyle w:val="Normal48"/>
        <w:widowControl w:val="0"/>
        <w:spacing w:before="200" w:line="240" w:lineRule="atLeast"/>
      </w:pPr>
      <w:bookmarkStart w:id="6484" w:name="Reporter_47"/>
      <w:bookmarkEnd w:id="6484"/>
      <w:r>
        <w:rPr>
          <w:rFonts w:ascii="Arial" w:eastAsia="Arial" w:hAnsi="Arial" w:cs="Arial"/>
          <w:b/>
          <w:color w:val="000000"/>
          <w:sz w:val="18"/>
        </w:rPr>
        <w:t>Reporter</w:t>
      </w:r>
    </w:p>
    <w:p w14:paraId="21DEDC30" w14:textId="77777777" w:rsidR="00D041A2" w:rsidRDefault="00000000">
      <w:pPr>
        <w:pStyle w:val="Normal48"/>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370 Fed. Appx. 871 *; 2010 U.S. App. LEXIS 5333 **</w:t>
      </w:r>
    </w:p>
    <w:p w14:paraId="7DB1F3D4" w14:textId="77777777" w:rsidR="00D041A2" w:rsidRDefault="00000000">
      <w:pPr>
        <w:pStyle w:val="Normal48"/>
        <w:widowControl w:val="0"/>
        <w:spacing w:before="120" w:line="260" w:lineRule="atLeast"/>
      </w:pPr>
      <w:r>
        <w:rPr>
          <w:rFonts w:ascii="Arial" w:eastAsia="Arial" w:hAnsi="Arial" w:cs="Arial"/>
          <w:color w:val="000000"/>
          <w:sz w:val="20"/>
        </w:rPr>
        <w:t>CARA WONG, Plaintiff - Appellant, v. PAPE MACHINERY, INC., an Oregon corporation, Defendant - Appellee.</w:t>
      </w:r>
    </w:p>
    <w:p w14:paraId="2EE3F66A" w14:textId="77777777" w:rsidR="00D041A2" w:rsidRDefault="00000000">
      <w:pPr>
        <w:pStyle w:val="Normal48"/>
        <w:widowControl w:val="0"/>
        <w:spacing w:before="240" w:line="260" w:lineRule="atLeast"/>
        <w:jc w:val="both"/>
      </w:pPr>
      <w:bookmarkStart w:id="6485" w:name="Notice_29"/>
      <w:bookmarkEnd w:id="6485"/>
      <w:r>
        <w:rPr>
          <w:rFonts w:ascii="Arial" w:eastAsia="Arial" w:hAnsi="Arial" w:cs="Arial"/>
          <w:b/>
          <w:color w:val="000000"/>
          <w:sz w:val="20"/>
        </w:rPr>
        <w:t>Notice:</w:t>
      </w:r>
      <w:r>
        <w:rPr>
          <w:rFonts w:ascii="Arial" w:eastAsia="Arial" w:hAnsi="Arial" w:cs="Arial"/>
          <w:color w:val="000000"/>
          <w:sz w:val="20"/>
        </w:rPr>
        <w:t> </w:t>
      </w:r>
      <w:bookmarkStart w:id="6486" w:name="Bookmark_para_1_47"/>
      <w:bookmarkEnd w:id="6486"/>
      <w:r>
        <w:rPr>
          <w:rFonts w:ascii="Arial" w:eastAsia="Arial" w:hAnsi="Arial" w:cs="Arial"/>
          <w:color w:val="000000"/>
          <w:sz w:val="20"/>
        </w:rPr>
        <w:t>PLEASE REFER TO FEDERAL RULES OF APPELLATE PROCEDURE RULE 32.1 GOVERNING THE CITATION TO UNPUBLISHED OPINIONS.</w:t>
      </w:r>
    </w:p>
    <w:p w14:paraId="7A7117A5" w14:textId="77777777" w:rsidR="00D041A2" w:rsidRDefault="00000000">
      <w:pPr>
        <w:pStyle w:val="Normal48"/>
        <w:widowControl w:val="0"/>
        <w:spacing w:before="240" w:line="260" w:lineRule="atLeast"/>
        <w:jc w:val="both"/>
      </w:pPr>
      <w:bookmarkStart w:id="6487" w:name="Prior_History_47"/>
      <w:bookmarkEnd w:id="6487"/>
      <w:r>
        <w:rPr>
          <w:rFonts w:ascii="Arial" w:eastAsia="Arial" w:hAnsi="Arial" w:cs="Arial"/>
          <w:b/>
          <w:color w:val="000000"/>
          <w:sz w:val="20"/>
        </w:rPr>
        <w:t>Prior History:</w:t>
      </w:r>
      <w:r>
        <w:rPr>
          <w:rFonts w:ascii="Arial" w:eastAsia="Arial" w:hAnsi="Arial" w:cs="Arial"/>
          <w:color w:val="000000"/>
          <w:sz w:val="20"/>
        </w:rPr>
        <w:t>  [**1] </w:t>
      </w:r>
      <w:bookmarkStart w:id="6488" w:name="Bookmark_para_2_47"/>
      <w:bookmarkEnd w:id="6488"/>
      <w:r>
        <w:rPr>
          <w:rFonts w:ascii="Arial" w:eastAsia="Arial" w:hAnsi="Arial" w:cs="Arial"/>
          <w:color w:val="000000"/>
          <w:sz w:val="20"/>
        </w:rPr>
        <w:t>Appeal from the United States District Court for the Eastern District of California. D.C. No. 2:08-cv-00042-FCD-DAD. Frank C. Damrell, Senior District Judge, Presiding.</w:t>
      </w:r>
    </w:p>
    <w:p w14:paraId="5FA51EA8" w14:textId="77777777" w:rsidR="00D041A2" w:rsidRDefault="00000000">
      <w:pPr>
        <w:pStyle w:val="Normal48"/>
        <w:widowControl w:val="0"/>
        <w:spacing w:before="120" w:line="260" w:lineRule="atLeast"/>
      </w:pPr>
      <w:r>
        <w:rPr>
          <w:rFonts w:ascii="Arial" w:eastAsia="Arial" w:hAnsi="Arial" w:cs="Arial"/>
          <w:color w:val="000000"/>
          <w:sz w:val="20"/>
        </w:rPr>
        <w:t>Wong v. Pape Mach., Inc., 2009 U.S. Dist. LEXIS 29252 (E.D. Cal., Apr. 6, 2009)</w:t>
      </w:r>
    </w:p>
    <w:p w14:paraId="5C960DD6" w14:textId="77777777" w:rsidR="00D041A2" w:rsidRDefault="00000000">
      <w:pPr>
        <w:pStyle w:val="Normal48"/>
        <w:widowControl w:val="0"/>
        <w:spacing w:before="240" w:line="260" w:lineRule="atLeast"/>
      </w:pPr>
      <w:bookmarkStart w:id="6489" w:name="Counsel_47"/>
      <w:bookmarkEnd w:id="6489"/>
      <w:r>
        <w:rPr>
          <w:rFonts w:ascii="Arial" w:eastAsia="Arial" w:hAnsi="Arial" w:cs="Arial"/>
          <w:b/>
          <w:color w:val="000000"/>
          <w:sz w:val="20"/>
        </w:rPr>
        <w:t>Counsel:</w:t>
      </w:r>
      <w:r>
        <w:rPr>
          <w:rFonts w:ascii="Arial" w:eastAsia="Arial" w:hAnsi="Arial" w:cs="Arial"/>
          <w:color w:val="000000"/>
          <w:sz w:val="20"/>
        </w:rPr>
        <w:t> For CARA WONG, Plaintiff - Appellant: Robert A. Carichoff, Attorney, LAW OFFICE OF ROBERT A. CARICHOFF, Sacramento, CA.</w:t>
      </w:r>
    </w:p>
    <w:p w14:paraId="039DBFC9" w14:textId="77777777" w:rsidR="00D041A2" w:rsidRDefault="00000000">
      <w:pPr>
        <w:pStyle w:val="Normal48"/>
        <w:widowControl w:val="0"/>
        <w:spacing w:before="120" w:line="260" w:lineRule="atLeast"/>
      </w:pPr>
      <w:r>
        <w:rPr>
          <w:rFonts w:ascii="Arial" w:eastAsia="Arial" w:hAnsi="Arial" w:cs="Arial"/>
          <w:color w:val="000000"/>
          <w:sz w:val="20"/>
        </w:rPr>
        <w:t>For PAPE MACHINERY, INC., an Oregon corporation, Defendant - Appellee: Barbara A. Blackburn, Attorney, Matthew J. Ruggles, Esquire, Attorney, LITTLER MENDELSON PC, Sacramento, CA.</w:t>
      </w:r>
    </w:p>
    <w:p w14:paraId="55D32ADB" w14:textId="77777777" w:rsidR="00D041A2" w:rsidRDefault="00000000">
      <w:pPr>
        <w:pStyle w:val="Normal48"/>
        <w:widowControl w:val="0"/>
        <w:spacing w:before="240" w:line="260" w:lineRule="atLeast"/>
      </w:pPr>
      <w:bookmarkStart w:id="6490" w:name="Judges_47"/>
      <w:bookmarkEnd w:id="6490"/>
      <w:r>
        <w:rPr>
          <w:rFonts w:ascii="Arial" w:eastAsia="Arial" w:hAnsi="Arial" w:cs="Arial"/>
          <w:b/>
          <w:color w:val="000000"/>
          <w:sz w:val="20"/>
        </w:rPr>
        <w:t>Judges:</w:t>
      </w:r>
      <w:r>
        <w:rPr>
          <w:rFonts w:ascii="Arial" w:eastAsia="Arial" w:hAnsi="Arial" w:cs="Arial"/>
          <w:color w:val="000000"/>
          <w:sz w:val="20"/>
        </w:rPr>
        <w:t> Before: FERNANDEZ, THOMAS and CALLAHAN, Circuit Judges.</w:t>
      </w:r>
    </w:p>
    <w:p w14:paraId="211FED2D" w14:textId="77777777" w:rsidR="00D041A2" w:rsidRDefault="00000000">
      <w:pPr>
        <w:pStyle w:val="Normal48"/>
        <w:keepNext/>
        <w:widowControl w:val="0"/>
        <w:spacing w:before="240" w:line="340" w:lineRule="atLeast"/>
      </w:pPr>
      <w:bookmarkStart w:id="6491" w:name="Opinion_47"/>
      <w:bookmarkEnd w:id="6491"/>
      <w:r>
        <w:rPr>
          <w:rFonts w:ascii="Arial" w:eastAsia="Arial" w:hAnsi="Arial" w:cs="Arial"/>
          <w:b/>
          <w:color w:val="000000"/>
          <w:sz w:val="28"/>
        </w:rPr>
        <w:t>Opinion</w:t>
      </w:r>
    </w:p>
    <w:p w14:paraId="60DA941D" w14:textId="25947224" w:rsidR="00D041A2" w:rsidRDefault="004D4403">
      <w:pPr>
        <w:pStyle w:val="Normal48"/>
        <w:spacing w:line="60" w:lineRule="exact"/>
      </w:pPr>
      <w:r>
        <w:rPr>
          <w:noProof/>
        </w:rPr>
        <mc:AlternateContent>
          <mc:Choice Requires="wps">
            <w:drawing>
              <wp:anchor distT="0" distB="0" distL="114300" distR="114300" simplePos="0" relativeHeight="251764736" behindDoc="0" locked="0" layoutInCell="1" allowOverlap="1" wp14:anchorId="34E886F9" wp14:editId="05BC584F">
                <wp:simplePos x="0" y="0"/>
                <wp:positionH relativeFrom="column">
                  <wp:posOffset>0</wp:posOffset>
                </wp:positionH>
                <wp:positionV relativeFrom="paragraph">
                  <wp:posOffset>25400</wp:posOffset>
                </wp:positionV>
                <wp:extent cx="3187700" cy="0"/>
                <wp:effectExtent l="19050" t="15875" r="12700" b="12700"/>
                <wp:wrapTopAndBottom/>
                <wp:docPr id="2073061820"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C6C696" id="Line 106"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C71024A" w14:textId="77777777" w:rsidR="00D041A2" w:rsidRDefault="00D041A2">
      <w:pPr>
        <w:pStyle w:val="Normal48"/>
      </w:pPr>
    </w:p>
    <w:p w14:paraId="56719DFC" w14:textId="77777777" w:rsidR="00D041A2" w:rsidRDefault="00000000">
      <w:pPr>
        <w:pStyle w:val="Normal48"/>
        <w:widowControl w:val="0"/>
        <w:spacing w:before="200" w:line="260" w:lineRule="atLeast"/>
        <w:jc w:val="both"/>
      </w:pPr>
      <w:bookmarkStart w:id="6492" w:name="Bookmark_para_3_47"/>
      <w:bookmarkEnd w:id="6492"/>
      <w:r>
        <w:rPr>
          <w:rFonts w:ascii="Arial" w:eastAsia="Arial" w:hAnsi="Arial" w:cs="Arial"/>
          <w:color w:val="000000"/>
          <w:sz w:val="20"/>
        </w:rPr>
        <w:t xml:space="preserve"> [*872]  MEMORANDUM </w:t>
      </w:r>
      <w:r>
        <w:rPr>
          <w:rFonts w:ascii="Arial" w:eastAsia="Arial" w:hAnsi="Arial" w:cs="Arial"/>
          <w:vertAlign w:val="superscript"/>
        </w:rPr>
        <w:footnoteReference w:customMarkFollows="1" w:id="316"/>
        <w:t>*</w:t>
      </w:r>
    </w:p>
    <w:p w14:paraId="5FC6A2DD" w14:textId="77777777" w:rsidR="00D041A2" w:rsidRDefault="00000000">
      <w:pPr>
        <w:pStyle w:val="Normal48"/>
        <w:widowControl w:val="0"/>
        <w:spacing w:before="200" w:line="260" w:lineRule="atLeast"/>
        <w:jc w:val="both"/>
      </w:pPr>
      <w:bookmarkStart w:id="6494" w:name="Bookmark_para_4_47"/>
      <w:bookmarkEnd w:id="6494"/>
      <w:r>
        <w:rPr>
          <w:rFonts w:ascii="Arial" w:eastAsia="Arial" w:hAnsi="Arial" w:cs="Arial"/>
          <w:color w:val="000000"/>
          <w:sz w:val="20"/>
        </w:rPr>
        <w:t>Before: FERNANDEZ, THOMAS and CALLAHAN, Circuit Judges.</w:t>
      </w:r>
    </w:p>
    <w:p w14:paraId="6262DBB7" w14:textId="77777777" w:rsidR="00D041A2" w:rsidRDefault="00000000">
      <w:pPr>
        <w:pStyle w:val="Normal48"/>
        <w:widowControl w:val="0"/>
        <w:spacing w:before="200" w:line="260" w:lineRule="atLeast"/>
        <w:jc w:val="both"/>
      </w:pPr>
      <w:bookmarkStart w:id="6495" w:name="Bookmark_para_5_47"/>
      <w:bookmarkStart w:id="6496" w:name="Bookmark_I4YSHXS10K1MNJ3510000400"/>
      <w:bookmarkEnd w:id="6495"/>
      <w:bookmarkEnd w:id="6496"/>
      <w:r>
        <w:rPr>
          <w:rFonts w:ascii="Arial" w:eastAsia="Arial" w:hAnsi="Arial" w:cs="Arial"/>
          <w:color w:val="000000"/>
          <w:sz w:val="20"/>
        </w:rPr>
        <w:t xml:space="preserve">Cara Wong ("Wong") appeals the district court's grant of Pape Machinery's ("Pape") motion for summary judgment in this diversity case, which alleges disability discrimination in violation of the California Fair Employment and Housing Act ("FEHA"), Cal. Gov't Code §§ 12900 </w:t>
      </w:r>
      <w:r>
        <w:rPr>
          <w:rFonts w:ascii="Arial" w:eastAsia="Arial" w:hAnsi="Arial" w:cs="Arial"/>
          <w:i/>
          <w:color w:val="000000"/>
          <w:sz w:val="20"/>
        </w:rPr>
        <w:t>et seq.</w:t>
      </w:r>
      <w:r>
        <w:rPr>
          <w:rFonts w:ascii="Arial" w:eastAsia="Arial" w:hAnsi="Arial" w:cs="Arial"/>
          <w:color w:val="000000"/>
          <w:sz w:val="20"/>
        </w:rPr>
        <w:t xml:space="preserve"> We have jurisdiction pursuant to 28 U.S.C. § 1291. We review the district court's grant of summary judgment de novo. </w:t>
      </w:r>
      <w:bookmarkStart w:id="6497" w:name="Bookmark_I4YSHXS10K1MNJ3500000400"/>
      <w:bookmarkEnd w:id="6497"/>
      <w:r>
        <w:rPr>
          <w:rFonts w:ascii="Arial" w:eastAsia="Arial" w:hAnsi="Arial" w:cs="Arial"/>
          <w:i/>
          <w:color w:val="000000"/>
          <w:sz w:val="20"/>
        </w:rPr>
        <w:t>Canyon Ferry Rd. Baptist Church of East Helena, Inc. v. Unsworth,</w:t>
      </w:r>
      <w:r>
        <w:rPr>
          <w:rFonts w:ascii="Arial" w:eastAsia="Arial" w:hAnsi="Arial" w:cs="Arial"/>
          <w:color w:val="000000"/>
          <w:sz w:val="20"/>
        </w:rPr>
        <w:t xml:space="preserve"> 556 F.3d 1021, 1027 (9th Cir. 2009).  [**2] We affirm the district court. </w:t>
      </w:r>
      <w:r>
        <w:rPr>
          <w:rFonts w:ascii="Arial" w:eastAsia="Arial" w:hAnsi="Arial" w:cs="Arial"/>
          <w:vertAlign w:val="superscript"/>
        </w:rPr>
        <w:footnoteReference w:customMarkFollows="1" w:id="317"/>
        <w:t>1</w:t>
      </w:r>
    </w:p>
    <w:p w14:paraId="0593D6BF" w14:textId="77777777" w:rsidR="00D041A2" w:rsidRDefault="00000000">
      <w:pPr>
        <w:pStyle w:val="Normal48"/>
        <w:widowControl w:val="0"/>
        <w:spacing w:before="200" w:line="260" w:lineRule="atLeast"/>
        <w:jc w:val="both"/>
      </w:pPr>
      <w:bookmarkStart w:id="6499" w:name="Bookmark_para_6_47"/>
      <w:bookmarkEnd w:id="6499"/>
      <w:r>
        <w:rPr>
          <w:rFonts w:ascii="Arial" w:eastAsia="Arial" w:hAnsi="Arial" w:cs="Arial"/>
          <w:b/>
          <w:color w:val="000000"/>
          <w:sz w:val="20"/>
        </w:rPr>
        <w:t>1.</w:t>
      </w:r>
      <w:r>
        <w:rPr>
          <w:rFonts w:ascii="Arial" w:eastAsia="Arial" w:hAnsi="Arial" w:cs="Arial"/>
          <w:color w:val="000000"/>
          <w:sz w:val="20"/>
        </w:rPr>
        <w:t xml:space="preserve"> FEHA prohibits an employer from discriminating against a disabled employee who can perform the essential duties of her position. </w:t>
      </w:r>
      <w:bookmarkStart w:id="6500" w:name="Bookmark_I41814486RS000RKDMF00003"/>
      <w:bookmarkStart w:id="6501" w:name="Bookmark_I4YSHXS10K1MNJ3530000400"/>
      <w:bookmarkEnd w:id="6500"/>
      <w:bookmarkEnd w:id="6501"/>
      <w:r>
        <w:rPr>
          <w:rFonts w:ascii="Arial" w:eastAsia="Arial" w:hAnsi="Arial" w:cs="Arial"/>
          <w:color w:val="000000"/>
          <w:sz w:val="20"/>
        </w:rPr>
        <w:t xml:space="preserve">Cal. Gov't Code § 12940(a)(1). California courts evaluate disability discrimination claims via a three-step burden shifting analysis. </w:t>
      </w:r>
      <w:bookmarkStart w:id="6502" w:name="Bookmark_I4YSHXS10K1MNJ3520000400"/>
      <w:bookmarkEnd w:id="6502"/>
      <w:r>
        <w:rPr>
          <w:rFonts w:ascii="Arial" w:eastAsia="Arial" w:hAnsi="Arial" w:cs="Arial"/>
          <w:i/>
          <w:color w:val="000000"/>
          <w:sz w:val="20"/>
        </w:rPr>
        <w:t>Scotch v. Art Inst. of California,</w:t>
      </w:r>
      <w:r>
        <w:rPr>
          <w:rFonts w:ascii="Arial" w:eastAsia="Arial" w:hAnsi="Arial" w:cs="Arial"/>
          <w:color w:val="000000"/>
          <w:sz w:val="20"/>
        </w:rPr>
        <w:t xml:space="preserve"> 173 Cal. App. 4th 986, 1004, 93 Cal. Rptr. 3d 338 (2009) (internal citations omitted). First, the employee establishes a prima facie case of discrimination by showing she (1) was a member of a protected class; (2) was qualified for the job; and (3) suffered an adverse employment action due to disability. </w:t>
      </w:r>
      <w:r>
        <w:rPr>
          <w:rFonts w:ascii="Arial" w:eastAsia="Arial" w:hAnsi="Arial" w:cs="Arial"/>
          <w:i/>
          <w:color w:val="000000"/>
          <w:sz w:val="20"/>
        </w:rPr>
        <w:t>Id.</w:t>
      </w:r>
      <w:r>
        <w:rPr>
          <w:rFonts w:ascii="Arial" w:eastAsia="Arial" w:hAnsi="Arial" w:cs="Arial"/>
          <w:color w:val="000000"/>
          <w:sz w:val="20"/>
        </w:rPr>
        <w:t xml:space="preserve"> Second, the employer must rebut the resulting presumption of discrimination by showing that  [*873]  it acted for a legitimate, non-discriminatory reason. </w:t>
      </w:r>
      <w:r>
        <w:rPr>
          <w:rFonts w:ascii="Arial" w:eastAsia="Arial" w:hAnsi="Arial" w:cs="Arial"/>
          <w:i/>
          <w:color w:val="000000"/>
          <w:sz w:val="20"/>
        </w:rPr>
        <w:t>Id.</w:t>
      </w:r>
      <w:r>
        <w:rPr>
          <w:rFonts w:ascii="Arial" w:eastAsia="Arial" w:hAnsi="Arial" w:cs="Arial"/>
          <w:color w:val="000000"/>
          <w:sz w:val="20"/>
        </w:rPr>
        <w:t xml:space="preserve"> Finally, the plaintiff must show that the employer's reasons are pretextual. </w:t>
      </w:r>
      <w:r>
        <w:rPr>
          <w:rFonts w:ascii="Arial" w:eastAsia="Arial" w:hAnsi="Arial" w:cs="Arial"/>
          <w:i/>
          <w:color w:val="000000"/>
          <w:sz w:val="20"/>
        </w:rPr>
        <w:t>Id.</w:t>
      </w:r>
    </w:p>
    <w:p w14:paraId="13A21A02" w14:textId="77777777" w:rsidR="00D041A2" w:rsidRDefault="00000000">
      <w:pPr>
        <w:pStyle w:val="Normal48"/>
        <w:widowControl w:val="0"/>
        <w:spacing w:before="200" w:line="260" w:lineRule="atLeast"/>
        <w:jc w:val="both"/>
      </w:pPr>
      <w:bookmarkStart w:id="6503" w:name="Bookmark_para_7_47"/>
      <w:bookmarkEnd w:id="6503"/>
      <w:r>
        <w:rPr>
          <w:rFonts w:ascii="Arial" w:eastAsia="Arial" w:hAnsi="Arial" w:cs="Arial"/>
          <w:b/>
          <w:color w:val="000000"/>
          <w:sz w:val="20"/>
        </w:rPr>
        <w:t>2.</w:t>
      </w:r>
      <w:r>
        <w:rPr>
          <w:rFonts w:ascii="Arial" w:eastAsia="Arial" w:hAnsi="Arial" w:cs="Arial"/>
          <w:color w:val="000000"/>
          <w:sz w:val="20"/>
        </w:rPr>
        <w:t xml:space="preserve"> Assuming that Wong established her prima facie case, Pape adequately rebutted the resulting presumption of discrimination by showing that it terminated Wong, and did not replace her, as part of a significant,  [**3] financially-driven reduction-in-force. Wong has not identified pretext sufficient to create a triable issue of fact material to Pape's motivation in terminating her. The district court properly granted summary judgment against Wong on her FEHA discrimination theory.</w:t>
      </w:r>
    </w:p>
    <w:p w14:paraId="4CCC702E" w14:textId="77777777" w:rsidR="00D041A2" w:rsidRDefault="00000000">
      <w:pPr>
        <w:pStyle w:val="Normal48"/>
        <w:widowControl w:val="0"/>
        <w:spacing w:before="200" w:line="260" w:lineRule="atLeast"/>
        <w:jc w:val="both"/>
      </w:pPr>
      <w:bookmarkStart w:id="6504" w:name="Bookmark_para_8_46"/>
      <w:bookmarkStart w:id="6505" w:name="Bookmark_I4YSHXS10K1MNJ3620000400"/>
      <w:bookmarkEnd w:id="6504"/>
      <w:bookmarkEnd w:id="6505"/>
      <w:r>
        <w:rPr>
          <w:rFonts w:ascii="Arial" w:eastAsia="Arial" w:hAnsi="Arial" w:cs="Arial"/>
          <w:b/>
          <w:color w:val="000000"/>
          <w:sz w:val="20"/>
        </w:rPr>
        <w:t>3.</w:t>
      </w:r>
      <w:r>
        <w:rPr>
          <w:rFonts w:ascii="Arial" w:eastAsia="Arial" w:hAnsi="Arial" w:cs="Arial"/>
          <w:color w:val="000000"/>
          <w:sz w:val="20"/>
        </w:rPr>
        <w:t xml:space="preserve"> FEHA requires that an employer accommodate an employee's known disability, unless the accommodation would pose undue hardship to the employer. Cal. Gov't Code § 12940(m). </w:t>
      </w:r>
      <w:bookmarkStart w:id="6506" w:name="Bookmark_I4YSHXS10K1MNJ3640000400"/>
      <w:bookmarkEnd w:id="6506"/>
      <w:r>
        <w:rPr>
          <w:rFonts w:ascii="Arial" w:eastAsia="Arial" w:hAnsi="Arial" w:cs="Arial"/>
          <w:color w:val="000000"/>
          <w:sz w:val="20"/>
        </w:rPr>
        <w:t xml:space="preserve">No authority appears to support Wong's contention that Pape should have continued to accommodate her after its non-discriminatory decision to terminate her. </w:t>
      </w:r>
      <w:r>
        <w:rPr>
          <w:rFonts w:ascii="Arial" w:eastAsia="Arial" w:hAnsi="Arial" w:cs="Arial"/>
          <w:i/>
          <w:color w:val="000000"/>
          <w:sz w:val="20"/>
        </w:rPr>
        <w:t xml:space="preserve">Cf. </w:t>
      </w:r>
      <w:bookmarkStart w:id="6507" w:name="Bookmark_I4YSHXS10K1MNJ3540000400"/>
      <w:bookmarkEnd w:id="6507"/>
      <w:r>
        <w:rPr>
          <w:rFonts w:ascii="Arial" w:eastAsia="Arial" w:hAnsi="Arial" w:cs="Arial"/>
          <w:i/>
          <w:color w:val="000000"/>
          <w:sz w:val="20"/>
        </w:rPr>
        <w:t>Nidds v. Schindler Elevator Corp.,</w:t>
      </w:r>
      <w:r>
        <w:rPr>
          <w:rFonts w:ascii="Arial" w:eastAsia="Arial" w:hAnsi="Arial" w:cs="Arial"/>
          <w:color w:val="000000"/>
          <w:sz w:val="20"/>
        </w:rPr>
        <w:t xml:space="preserve"> 113 F.3d 912, 916-19 (9th Cir. 1997). </w:t>
      </w:r>
      <w:bookmarkStart w:id="6508" w:name="Bookmark_I4YSHXS10K1MNJ3640000400_2"/>
      <w:bookmarkEnd w:id="6508"/>
      <w:r>
        <w:rPr>
          <w:rFonts w:ascii="Arial" w:eastAsia="Arial" w:hAnsi="Arial" w:cs="Arial"/>
          <w:color w:val="000000"/>
          <w:sz w:val="20"/>
        </w:rPr>
        <w:t xml:space="preserve">Since Wong's requested accommodation is not reasonable, Pape need not demonstrate the affirmative defense of undue hardship. </w:t>
      </w:r>
      <w:r>
        <w:rPr>
          <w:rFonts w:ascii="Arial" w:eastAsia="Arial" w:hAnsi="Arial" w:cs="Arial"/>
          <w:i/>
          <w:color w:val="000000"/>
          <w:sz w:val="20"/>
        </w:rPr>
        <w:t xml:space="preserve">See </w:t>
      </w:r>
      <w:bookmarkStart w:id="6509" w:name="Bookmark_I4YSHXS10K1MNJ3630000400"/>
      <w:bookmarkEnd w:id="6509"/>
      <w:r>
        <w:rPr>
          <w:rFonts w:ascii="Arial" w:eastAsia="Arial" w:hAnsi="Arial" w:cs="Arial"/>
          <w:i/>
          <w:color w:val="000000"/>
          <w:sz w:val="20"/>
        </w:rPr>
        <w:t>Raine v. City of Burbank,</w:t>
      </w:r>
      <w:r>
        <w:rPr>
          <w:rFonts w:ascii="Arial" w:eastAsia="Arial" w:hAnsi="Arial" w:cs="Arial"/>
          <w:color w:val="000000"/>
          <w:sz w:val="20"/>
        </w:rPr>
        <w:t xml:space="preserve"> 135 Cal. App. 4th 1215, 1226-27, 37 Cal. Rptr. 3d 899 (2006). The district court properly granted summary judgment against Wong on her FEHA reasonable accommodation theory.</w:t>
      </w:r>
    </w:p>
    <w:p w14:paraId="59F86A0E" w14:textId="77777777" w:rsidR="00D041A2" w:rsidRDefault="00000000">
      <w:pPr>
        <w:pStyle w:val="Normal48"/>
        <w:widowControl w:val="0"/>
        <w:spacing w:before="200" w:line="260" w:lineRule="atLeast"/>
        <w:jc w:val="both"/>
      </w:pPr>
      <w:bookmarkStart w:id="6510" w:name="Bookmark_para_9_43"/>
      <w:bookmarkEnd w:id="6510"/>
      <w:r>
        <w:rPr>
          <w:rFonts w:ascii="Arial" w:eastAsia="Arial" w:hAnsi="Arial" w:cs="Arial"/>
          <w:b/>
          <w:color w:val="000000"/>
          <w:sz w:val="20"/>
        </w:rPr>
        <w:t>4.</w:t>
      </w:r>
      <w:r>
        <w:rPr>
          <w:rFonts w:ascii="Arial" w:eastAsia="Arial" w:hAnsi="Arial" w:cs="Arial"/>
          <w:color w:val="000000"/>
          <w:sz w:val="20"/>
        </w:rPr>
        <w:t xml:space="preserve"> FEHA requires that an employer engage in an interactive process with a disabled employee, on request, to determine a reasonable accommodation. </w:t>
      </w:r>
      <w:bookmarkStart w:id="6511" w:name="Bookmark_I4YSHXS10K1MNJ3660000400"/>
      <w:bookmarkEnd w:id="6511"/>
      <w:r>
        <w:rPr>
          <w:rFonts w:ascii="Arial" w:eastAsia="Arial" w:hAnsi="Arial" w:cs="Arial"/>
          <w:color w:val="000000"/>
          <w:sz w:val="20"/>
        </w:rPr>
        <w:t xml:space="preserve">Cal. Gov't Code § 12940(n). Wong's interactive process claim fails because  [**4] FEHA does not require an employer to reasonably accommodate an employee after termination for a non-discriminatory reason, there is no evidence that Wong requested Pape to engage in the interactive process prior to her termination, and she failed to set forth her interactive process claim prior to summary judgment. </w:t>
      </w:r>
      <w:r>
        <w:rPr>
          <w:rFonts w:ascii="Arial" w:eastAsia="Arial" w:hAnsi="Arial" w:cs="Arial"/>
          <w:i/>
          <w:color w:val="000000"/>
          <w:sz w:val="20"/>
        </w:rPr>
        <w:t xml:space="preserve">See </w:t>
      </w:r>
      <w:bookmarkStart w:id="6512" w:name="Bookmark_I4YSHXS10K1MNJ3650000400"/>
      <w:bookmarkEnd w:id="6512"/>
      <w:r>
        <w:rPr>
          <w:rFonts w:ascii="Arial" w:eastAsia="Arial" w:hAnsi="Arial" w:cs="Arial"/>
          <w:i/>
          <w:color w:val="000000"/>
          <w:sz w:val="20"/>
        </w:rPr>
        <w:t>Nadaf-Rahrov v. Neiman Marcus Group, Inc.,</w:t>
      </w:r>
      <w:r>
        <w:rPr>
          <w:rFonts w:ascii="Arial" w:eastAsia="Arial" w:hAnsi="Arial" w:cs="Arial"/>
          <w:color w:val="000000"/>
          <w:sz w:val="20"/>
        </w:rPr>
        <w:t xml:space="preserve"> 166 Cal. App. 4th 952, 983-84, 83 Cal. Rptr. 3d 190 (2008); </w:t>
      </w:r>
      <w:bookmarkStart w:id="6513" w:name="Bookmark_I4YSHXS10K1MNJ3860000400"/>
      <w:bookmarkEnd w:id="6513"/>
      <w:r>
        <w:rPr>
          <w:rFonts w:ascii="Arial" w:eastAsia="Arial" w:hAnsi="Arial" w:cs="Arial"/>
          <w:i/>
          <w:color w:val="000000"/>
          <w:sz w:val="20"/>
        </w:rPr>
        <w:t>Wysinger v. Auto. Club of S. California,</w:t>
      </w:r>
      <w:r>
        <w:rPr>
          <w:rFonts w:ascii="Arial" w:eastAsia="Arial" w:hAnsi="Arial" w:cs="Arial"/>
          <w:color w:val="000000"/>
          <w:sz w:val="20"/>
        </w:rPr>
        <w:t xml:space="preserve"> 157 Cal. App. 4th 413, 424-25, 69 Cal. Rptr. 3d 1 (2007). The district court properly granted summary judgment against Wong on her FEHA interactive process theory.</w:t>
      </w:r>
    </w:p>
    <w:p w14:paraId="2A0970A8" w14:textId="77777777" w:rsidR="00D041A2" w:rsidRDefault="00000000">
      <w:pPr>
        <w:pStyle w:val="Normal48"/>
        <w:widowControl w:val="0"/>
        <w:spacing w:before="200" w:line="260" w:lineRule="atLeast"/>
        <w:jc w:val="both"/>
      </w:pPr>
      <w:bookmarkStart w:id="6514" w:name="Bookmark_para_10_43"/>
      <w:bookmarkStart w:id="6515" w:name="Bookmark_I4YSHXS10K1MNJ3890000400"/>
      <w:bookmarkEnd w:id="6514"/>
      <w:bookmarkEnd w:id="6515"/>
      <w:r>
        <w:rPr>
          <w:rFonts w:ascii="Arial" w:eastAsia="Arial" w:hAnsi="Arial" w:cs="Arial"/>
          <w:b/>
          <w:color w:val="000000"/>
          <w:sz w:val="20"/>
        </w:rPr>
        <w:t>5.</w:t>
      </w:r>
      <w:r>
        <w:rPr>
          <w:rFonts w:ascii="Arial" w:eastAsia="Arial" w:hAnsi="Arial" w:cs="Arial"/>
          <w:color w:val="000000"/>
          <w:sz w:val="20"/>
        </w:rPr>
        <w:t xml:space="preserve"> Wong has failed to raise and argue her remaining causes of action in her opening brief. We thus deem them abandoned. </w:t>
      </w:r>
      <w:r>
        <w:rPr>
          <w:rFonts w:ascii="Arial" w:eastAsia="Arial" w:hAnsi="Arial" w:cs="Arial"/>
          <w:i/>
          <w:color w:val="000000"/>
          <w:sz w:val="20"/>
        </w:rPr>
        <w:t xml:space="preserve">See </w:t>
      </w:r>
      <w:bookmarkStart w:id="6516" w:name="Bookmark_I4YSHXS10K1MNJ3880000400"/>
      <w:bookmarkEnd w:id="6516"/>
      <w:r>
        <w:rPr>
          <w:rFonts w:ascii="Arial" w:eastAsia="Arial" w:hAnsi="Arial" w:cs="Arial"/>
          <w:i/>
          <w:color w:val="000000"/>
          <w:sz w:val="20"/>
        </w:rPr>
        <w:t>Rattlesnake Coal. v. U.S. EPA,</w:t>
      </w:r>
      <w:r>
        <w:rPr>
          <w:rFonts w:ascii="Arial" w:eastAsia="Arial" w:hAnsi="Arial" w:cs="Arial"/>
          <w:color w:val="000000"/>
          <w:sz w:val="20"/>
        </w:rPr>
        <w:t xml:space="preserve"> 509 F.3d 1095, 1100 (9th Cir. 2007).</w:t>
      </w:r>
    </w:p>
    <w:p w14:paraId="4733A124" w14:textId="77777777" w:rsidR="00D041A2" w:rsidRDefault="00000000">
      <w:pPr>
        <w:pStyle w:val="Normal48"/>
        <w:widowControl w:val="0"/>
        <w:spacing w:before="200" w:line="260" w:lineRule="atLeast"/>
        <w:jc w:val="both"/>
      </w:pPr>
      <w:bookmarkStart w:id="6517" w:name="Bookmark_para_11_41"/>
      <w:bookmarkEnd w:id="6517"/>
      <w:r>
        <w:rPr>
          <w:rFonts w:ascii="Arial" w:eastAsia="Arial" w:hAnsi="Arial" w:cs="Arial"/>
          <w:color w:val="000000"/>
          <w:sz w:val="20"/>
        </w:rPr>
        <w:t xml:space="preserve">Accordingly, the judgment of the district court is </w:t>
      </w:r>
      <w:r>
        <w:rPr>
          <w:rFonts w:ascii="Arial" w:eastAsia="Arial" w:hAnsi="Arial" w:cs="Arial"/>
          <w:b/>
          <w:color w:val="000000"/>
          <w:sz w:val="20"/>
        </w:rPr>
        <w:t>AFFIRMED.</w:t>
      </w:r>
    </w:p>
    <w:p w14:paraId="22B9C031" w14:textId="77777777" w:rsidR="00D041A2" w:rsidRDefault="00D041A2">
      <w:pPr>
        <w:pStyle w:val="Normal48"/>
      </w:pPr>
    </w:p>
    <w:p w14:paraId="4B0ED0AC" w14:textId="01D38CC8" w:rsidR="00D041A2" w:rsidRDefault="00000000">
      <w:pPr>
        <w:pStyle w:val="Normal48"/>
        <w:ind w:left="200"/>
        <w:sectPr w:rsidR="00D041A2">
          <w:type w:val="continuous"/>
          <w:pgSz w:w="12240" w:h="15840"/>
          <w:pgMar w:top="840" w:right="1000" w:bottom="840" w:left="1000" w:header="400" w:footer="400" w:gutter="0"/>
          <w:cols w:num="2" w:space="240"/>
        </w:sectPr>
      </w:pPr>
      <w:r>
        <w:br/>
      </w:r>
      <w:r w:rsidR="004D4403">
        <w:rPr>
          <w:noProof/>
        </w:rPr>
        <mc:AlternateContent>
          <mc:Choice Requires="wps">
            <w:drawing>
              <wp:anchor distT="0" distB="0" distL="114300" distR="114300" simplePos="0" relativeHeight="251765760" behindDoc="0" locked="0" layoutInCell="1" allowOverlap="1" wp14:anchorId="578EBFCB" wp14:editId="0FFD41D7">
                <wp:simplePos x="0" y="0"/>
                <wp:positionH relativeFrom="column">
                  <wp:posOffset>0</wp:posOffset>
                </wp:positionH>
                <wp:positionV relativeFrom="paragraph">
                  <wp:posOffset>127000</wp:posOffset>
                </wp:positionV>
                <wp:extent cx="6502400" cy="0"/>
                <wp:effectExtent l="9525" t="12700" r="12700" b="6350"/>
                <wp:wrapNone/>
                <wp:docPr id="1225417684"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77DFB" id="Line 107"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2682B28" w14:textId="77777777" w:rsidR="00D041A2" w:rsidRDefault="00D041A2">
      <w:pPr>
        <w:pStyle w:val="Normal49"/>
        <w:sectPr w:rsidR="00D041A2">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gutter="0"/>
          <w:cols w:space="720"/>
          <w:titlePg/>
        </w:sectPr>
      </w:pPr>
    </w:p>
    <w:p w14:paraId="414C5ABF" w14:textId="77777777" w:rsidR="00D041A2" w:rsidRDefault="00D041A2">
      <w:pPr>
        <w:pStyle w:val="Normal49"/>
      </w:pPr>
    </w:p>
    <w:p w14:paraId="29423A96" w14:textId="77777777" w:rsidR="00D041A2" w:rsidRDefault="00000000">
      <w:pPr>
        <w:pStyle w:val="Heading148"/>
        <w:keepNext w:val="0"/>
        <w:widowControl w:val="0"/>
        <w:spacing w:after="200" w:line="340" w:lineRule="atLeast"/>
        <w:jc w:val="center"/>
      </w:pPr>
      <w:r>
        <w:rPr>
          <w:rFonts w:eastAsia="Arial"/>
          <w:color w:val="000000"/>
          <w:sz w:val="28"/>
        </w:rPr>
        <w:t>Quad Enters. Co., LLC v. Town of Southold</w:t>
      </w:r>
    </w:p>
    <w:p w14:paraId="6CCE673A" w14:textId="77777777" w:rsidR="00D041A2" w:rsidRDefault="00000000">
      <w:pPr>
        <w:pStyle w:val="Normal49"/>
        <w:widowControl w:val="0"/>
        <w:spacing w:before="120" w:line="260" w:lineRule="atLeast"/>
        <w:jc w:val="center"/>
      </w:pPr>
      <w:r>
        <w:rPr>
          <w:rFonts w:ascii="Arial" w:eastAsia="Arial" w:hAnsi="Arial" w:cs="Arial"/>
          <w:color w:val="000000"/>
          <w:sz w:val="20"/>
        </w:rPr>
        <w:t>United States Court of Appeals for the Second Circuit</w:t>
      </w:r>
    </w:p>
    <w:p w14:paraId="455B1B00" w14:textId="77777777" w:rsidR="00D041A2" w:rsidRDefault="00000000">
      <w:pPr>
        <w:pStyle w:val="Normal49"/>
        <w:widowControl w:val="0"/>
        <w:spacing w:before="120" w:line="260" w:lineRule="atLeast"/>
        <w:jc w:val="center"/>
      </w:pPr>
      <w:r>
        <w:rPr>
          <w:rFonts w:ascii="Arial" w:eastAsia="Arial" w:hAnsi="Arial" w:cs="Arial"/>
          <w:color w:val="000000"/>
          <w:sz w:val="20"/>
        </w:rPr>
        <w:t>March 10, 2010, Decided</w:t>
      </w:r>
    </w:p>
    <w:p w14:paraId="53279D73" w14:textId="77777777" w:rsidR="00D041A2" w:rsidRDefault="00000000">
      <w:pPr>
        <w:pStyle w:val="Normal49"/>
        <w:widowControl w:val="0"/>
        <w:spacing w:before="120" w:line="260" w:lineRule="atLeast"/>
        <w:jc w:val="center"/>
        <w:sectPr w:rsidR="00D041A2">
          <w:type w:val="continuous"/>
          <w:pgSz w:w="12240" w:h="15840"/>
          <w:pgMar w:top="840" w:right="1000" w:bottom="840" w:left="1000" w:header="400" w:footer="400" w:gutter="0"/>
          <w:cols w:space="240"/>
        </w:sectPr>
      </w:pPr>
      <w:r>
        <w:rPr>
          <w:rFonts w:ascii="Arial" w:eastAsia="Arial" w:hAnsi="Arial" w:cs="Arial"/>
          <w:color w:val="000000"/>
          <w:sz w:val="20"/>
        </w:rPr>
        <w:t>No. 09-2963-cv</w:t>
      </w:r>
    </w:p>
    <w:p w14:paraId="31D02570" w14:textId="77777777" w:rsidR="00D041A2" w:rsidRDefault="00D041A2">
      <w:pPr>
        <w:pStyle w:val="Normal49"/>
        <w:widowControl w:val="0"/>
        <w:spacing w:line="240" w:lineRule="atLeast"/>
        <w:jc w:val="both"/>
      </w:pPr>
      <w:bookmarkStart w:id="6518" w:name="Bookmark_50"/>
      <w:bookmarkEnd w:id="6518"/>
    </w:p>
    <w:p w14:paraId="1938F94E" w14:textId="77777777" w:rsidR="00D041A2" w:rsidRDefault="00000000">
      <w:pPr>
        <w:pStyle w:val="Normal49"/>
        <w:widowControl w:val="0"/>
        <w:spacing w:before="200" w:line="240" w:lineRule="atLeast"/>
      </w:pPr>
      <w:bookmarkStart w:id="6519" w:name="Reporter_48"/>
      <w:bookmarkEnd w:id="6519"/>
      <w:r>
        <w:rPr>
          <w:rFonts w:ascii="Arial" w:eastAsia="Arial" w:hAnsi="Arial" w:cs="Arial"/>
          <w:b/>
          <w:color w:val="000000"/>
          <w:sz w:val="18"/>
        </w:rPr>
        <w:t>Reporter</w:t>
      </w:r>
    </w:p>
    <w:p w14:paraId="39C0E0FB" w14:textId="77777777" w:rsidR="00D041A2" w:rsidRDefault="00000000">
      <w:pPr>
        <w:pStyle w:val="Normal49"/>
        <w:widowControl w:val="0"/>
        <w:spacing w:line="240" w:lineRule="atLeast"/>
        <w:sectPr w:rsidR="00D041A2">
          <w:type w:val="continuous"/>
          <w:pgSz w:w="12240" w:h="15840"/>
          <w:pgMar w:top="840" w:right="1000" w:bottom="840" w:left="1000" w:header="400" w:footer="400" w:gutter="0"/>
          <w:cols w:space="240"/>
        </w:sectPr>
      </w:pPr>
      <w:r>
        <w:rPr>
          <w:rFonts w:ascii="Arial" w:eastAsia="Arial" w:hAnsi="Arial" w:cs="Arial"/>
          <w:color w:val="000000"/>
          <w:sz w:val="18"/>
        </w:rPr>
        <w:t>369 Fed. Appx. 202 *; 2010 U.S. App. LEXIS 5073 **</w:t>
      </w:r>
    </w:p>
    <w:p w14:paraId="3783C723" w14:textId="77777777" w:rsidR="00D041A2" w:rsidRDefault="00000000">
      <w:pPr>
        <w:pStyle w:val="Normal49"/>
        <w:widowControl w:val="0"/>
        <w:spacing w:before="120" w:line="260" w:lineRule="atLeast"/>
      </w:pPr>
      <w:r>
        <w:rPr>
          <w:rFonts w:ascii="Arial" w:eastAsia="Arial" w:hAnsi="Arial" w:cs="Arial"/>
          <w:color w:val="000000"/>
          <w:sz w:val="20"/>
        </w:rPr>
        <w:t>QUAD ENTERPRISES CO., LLC, a successor in interest to Quad Enterprises Co., a partnership, CONSTANTINE KONTOKOSTA, in his capacity as a Member of Quad Enterprises Co., and JANE DOES 1-5, Plaintiffs-Appellants, -v.- TOWN OF SOUTHOLD, TOWN BOARD OF THE TOWN OF SOUTHOLD, ZONING BOARD OF APPEALS OF THE TOWN OF SOUTHOLD and PLANNING BOARD OF THE TOWN OF SOUTHOLD, Defendants-Appellees.</w:t>
      </w:r>
    </w:p>
    <w:p w14:paraId="557B6E45" w14:textId="77777777" w:rsidR="00D041A2" w:rsidRDefault="00000000">
      <w:pPr>
        <w:pStyle w:val="Normal49"/>
        <w:widowControl w:val="0"/>
        <w:spacing w:before="240" w:line="260" w:lineRule="atLeast"/>
        <w:jc w:val="both"/>
      </w:pPr>
      <w:bookmarkStart w:id="6520" w:name="Notice_30"/>
      <w:bookmarkEnd w:id="6520"/>
      <w:r>
        <w:rPr>
          <w:rFonts w:ascii="Arial" w:eastAsia="Arial" w:hAnsi="Arial" w:cs="Arial"/>
          <w:b/>
          <w:color w:val="000000"/>
          <w:sz w:val="20"/>
        </w:rPr>
        <w:t>Notice:</w:t>
      </w:r>
      <w:r>
        <w:rPr>
          <w:rFonts w:ascii="Arial" w:eastAsia="Arial" w:hAnsi="Arial" w:cs="Arial"/>
          <w:color w:val="000000"/>
          <w:sz w:val="20"/>
        </w:rPr>
        <w:t> </w:t>
      </w:r>
      <w:bookmarkStart w:id="6521" w:name="Bookmark_para_1_48"/>
      <w:bookmarkEnd w:id="6521"/>
      <w:r>
        <w:rPr>
          <w:rFonts w:ascii="Arial" w:eastAsia="Arial" w:hAnsi="Arial" w:cs="Arial"/>
          <w:color w:val="000000"/>
          <w:sz w:val="20"/>
        </w:rPr>
        <w:t>PLEASE REFER TO FEDERAL RULES OF APPELLATE PROCEDURE RULE 32.1 GOVERNING THE CITATION TO UNPUBLISHED OPINIONS.</w:t>
      </w:r>
    </w:p>
    <w:p w14:paraId="7B421DC3" w14:textId="77777777" w:rsidR="00D041A2" w:rsidRDefault="00000000">
      <w:pPr>
        <w:pStyle w:val="Normal49"/>
        <w:widowControl w:val="0"/>
        <w:spacing w:before="240" w:line="260" w:lineRule="atLeast"/>
      </w:pPr>
      <w:bookmarkStart w:id="6522" w:name="Prior_History_48"/>
      <w:bookmarkEnd w:id="6522"/>
      <w:r>
        <w:rPr>
          <w:rFonts w:ascii="Arial" w:eastAsia="Arial" w:hAnsi="Arial" w:cs="Arial"/>
          <w:b/>
          <w:color w:val="000000"/>
          <w:sz w:val="20"/>
        </w:rPr>
        <w:t>Prior History:</w:t>
      </w:r>
      <w:r>
        <w:rPr>
          <w:rFonts w:ascii="Arial" w:eastAsia="Arial" w:hAnsi="Arial" w:cs="Arial"/>
          <w:color w:val="000000"/>
          <w:sz w:val="20"/>
        </w:rPr>
        <w:t> Quad Enters. Co. LLC v. Town of Southold, 2009 U.S. Dist. LEXIS 132707 (E.D.N.Y., July 2, 2009)</w:t>
      </w:r>
    </w:p>
    <w:p w14:paraId="327CB3BB" w14:textId="77777777" w:rsidR="00D041A2" w:rsidRDefault="00000000">
      <w:pPr>
        <w:pStyle w:val="Normal49"/>
        <w:widowControl w:val="0"/>
        <w:spacing w:before="240" w:line="260" w:lineRule="atLeast"/>
      </w:pPr>
      <w:bookmarkStart w:id="6523" w:name="Counsel_48"/>
      <w:bookmarkEnd w:id="6523"/>
      <w:r>
        <w:rPr>
          <w:rFonts w:ascii="Arial" w:eastAsia="Arial" w:hAnsi="Arial" w:cs="Arial"/>
          <w:b/>
          <w:color w:val="000000"/>
          <w:sz w:val="20"/>
        </w:rPr>
        <w:t>Counsel:</w:t>
      </w:r>
      <w:r>
        <w:rPr>
          <w:rFonts w:ascii="Arial" w:eastAsia="Arial" w:hAnsi="Arial" w:cs="Arial"/>
          <w:color w:val="000000"/>
          <w:sz w:val="20"/>
        </w:rPr>
        <w:t>  [**1] Nicholas Fortuna, Allyn &amp; Fortuna LLP, New York, NY, for Plaintiffs-Appellants.</w:t>
      </w:r>
    </w:p>
    <w:p w14:paraId="7507EA5E" w14:textId="77777777" w:rsidR="00D041A2" w:rsidRDefault="00000000">
      <w:pPr>
        <w:pStyle w:val="Normal49"/>
        <w:widowControl w:val="0"/>
        <w:spacing w:before="120" w:line="260" w:lineRule="atLeast"/>
      </w:pPr>
      <w:r>
        <w:rPr>
          <w:rFonts w:ascii="Arial" w:eastAsia="Arial" w:hAnsi="Arial" w:cs="Arial"/>
          <w:color w:val="000000"/>
          <w:sz w:val="20"/>
        </w:rPr>
        <w:t>Robert J. Hindman and Brendan T. Fitzpatrick, Ahmuty, Demers &amp; McManus, Albertson, NY, for Defendants-Appellees.</w:t>
      </w:r>
    </w:p>
    <w:p w14:paraId="4BB70565" w14:textId="77777777" w:rsidR="00D041A2" w:rsidRDefault="00000000">
      <w:pPr>
        <w:pStyle w:val="Normal49"/>
        <w:widowControl w:val="0"/>
        <w:spacing w:before="240" w:line="260" w:lineRule="atLeast"/>
      </w:pPr>
      <w:bookmarkStart w:id="6524" w:name="Judges_48"/>
      <w:bookmarkEnd w:id="6524"/>
      <w:r>
        <w:rPr>
          <w:rFonts w:ascii="Arial" w:eastAsia="Arial" w:hAnsi="Arial" w:cs="Arial"/>
          <w:b/>
          <w:color w:val="000000"/>
          <w:sz w:val="20"/>
        </w:rPr>
        <w:t>Judges:</w:t>
      </w:r>
      <w:r>
        <w:rPr>
          <w:rFonts w:ascii="Arial" w:eastAsia="Arial" w:hAnsi="Arial" w:cs="Arial"/>
          <w:color w:val="000000"/>
          <w:sz w:val="20"/>
        </w:rPr>
        <w:t> PRESENT: JOHN M. WALKER, JR., DEBRA ANN LIVINGSTON, GERARD E. LYNCH, Circuit Judges.</w:t>
      </w:r>
    </w:p>
    <w:p w14:paraId="4756C73D" w14:textId="77777777" w:rsidR="00D041A2" w:rsidRDefault="00000000">
      <w:pPr>
        <w:pStyle w:val="Normal49"/>
        <w:keepNext/>
        <w:widowControl w:val="0"/>
        <w:spacing w:before="240" w:line="340" w:lineRule="atLeast"/>
      </w:pPr>
      <w:bookmarkStart w:id="6525" w:name="Opinion_48"/>
      <w:bookmarkEnd w:id="6525"/>
      <w:r>
        <w:rPr>
          <w:rFonts w:ascii="Arial" w:eastAsia="Arial" w:hAnsi="Arial" w:cs="Arial"/>
          <w:b/>
          <w:color w:val="000000"/>
          <w:sz w:val="28"/>
        </w:rPr>
        <w:t>Opinion</w:t>
      </w:r>
    </w:p>
    <w:p w14:paraId="672636F0" w14:textId="1CA6A91A" w:rsidR="00D041A2" w:rsidRDefault="004D4403">
      <w:pPr>
        <w:pStyle w:val="Normal49"/>
        <w:spacing w:line="60" w:lineRule="exact"/>
      </w:pPr>
      <w:r>
        <w:rPr>
          <w:noProof/>
        </w:rPr>
        <mc:AlternateContent>
          <mc:Choice Requires="wps">
            <w:drawing>
              <wp:anchor distT="0" distB="0" distL="114300" distR="114300" simplePos="0" relativeHeight="251766784" behindDoc="0" locked="0" layoutInCell="1" allowOverlap="1" wp14:anchorId="1A60B793" wp14:editId="78422587">
                <wp:simplePos x="0" y="0"/>
                <wp:positionH relativeFrom="column">
                  <wp:posOffset>0</wp:posOffset>
                </wp:positionH>
                <wp:positionV relativeFrom="paragraph">
                  <wp:posOffset>25400</wp:posOffset>
                </wp:positionV>
                <wp:extent cx="3187700" cy="0"/>
                <wp:effectExtent l="19050" t="15875" r="12700" b="12700"/>
                <wp:wrapTopAndBottom/>
                <wp:docPr id="1706207651"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7600B" id="Line 108"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01695D7" w14:textId="77777777" w:rsidR="00D041A2" w:rsidRDefault="00D041A2">
      <w:pPr>
        <w:pStyle w:val="Normal49"/>
        <w:spacing w:line="120" w:lineRule="exact"/>
      </w:pPr>
    </w:p>
    <w:p w14:paraId="3D7F2E39" w14:textId="77777777" w:rsidR="00D041A2" w:rsidRDefault="00000000">
      <w:pPr>
        <w:pStyle w:val="Normal49"/>
        <w:widowControl w:val="0"/>
        <w:spacing w:before="240" w:line="260" w:lineRule="atLeast"/>
      </w:pPr>
      <w:r>
        <w:br/>
      </w:r>
      <w:r>
        <w:rPr>
          <w:rFonts w:ascii="Arial" w:eastAsia="Arial" w:hAnsi="Arial" w:cs="Arial"/>
          <w:color w:val="000000"/>
          <w:sz w:val="20"/>
        </w:rPr>
        <w:t xml:space="preserve"> [*204]  </w:t>
      </w:r>
      <w:r>
        <w:rPr>
          <w:rFonts w:ascii="Arial" w:eastAsia="Arial" w:hAnsi="Arial" w:cs="Arial"/>
          <w:b/>
          <w:color w:val="000000"/>
          <w:sz w:val="20"/>
        </w:rPr>
        <w:t>SUMMARY ORDER</w:t>
      </w:r>
    </w:p>
    <w:p w14:paraId="531D27BC" w14:textId="77777777" w:rsidR="00D041A2" w:rsidRDefault="00000000">
      <w:pPr>
        <w:pStyle w:val="Normal49"/>
        <w:widowControl w:val="0"/>
        <w:spacing w:before="200" w:line="260" w:lineRule="atLeast"/>
        <w:jc w:val="both"/>
      </w:pPr>
      <w:bookmarkStart w:id="6526" w:name="Bookmark_para_2_48"/>
      <w:bookmarkEnd w:id="6526"/>
      <w:r>
        <w:rPr>
          <w:rFonts w:ascii="Arial" w:eastAsia="Arial" w:hAnsi="Arial" w:cs="Arial"/>
          <w:color w:val="000000"/>
          <w:sz w:val="20"/>
        </w:rPr>
        <w:t>UPON DUE CONSIDERATION, it is hereby ORDERED, ADJUDGED, AND DECREED that the judgment of the district court be AFFIRMED.</w:t>
      </w:r>
    </w:p>
    <w:p w14:paraId="208A27C6" w14:textId="77777777" w:rsidR="00D041A2" w:rsidRDefault="00000000">
      <w:pPr>
        <w:pStyle w:val="Normal49"/>
        <w:widowControl w:val="0"/>
        <w:spacing w:before="200" w:line="260" w:lineRule="atLeast"/>
        <w:jc w:val="both"/>
      </w:pPr>
      <w:bookmarkStart w:id="6527" w:name="Bookmark_para_3_48"/>
      <w:bookmarkEnd w:id="6527"/>
      <w:r>
        <w:rPr>
          <w:rFonts w:ascii="Arial" w:eastAsia="Arial" w:hAnsi="Arial" w:cs="Arial"/>
          <w:color w:val="000000"/>
          <w:sz w:val="20"/>
        </w:rPr>
        <w:t xml:space="preserve"> [*205]  Plaintiffs-Appellants Quad Enterprises Co., LLC, Constantine Kontokosta, and Jane Does 1-5 ("Plaintiffs") appeal from the July 2, 2009, judgment of the United States District Court for the Eastern District of New York (Seybert, </w:t>
      </w:r>
      <w:r>
        <w:rPr>
          <w:rFonts w:ascii="Arial" w:eastAsia="Arial" w:hAnsi="Arial" w:cs="Arial"/>
          <w:i/>
          <w:color w:val="000000"/>
          <w:sz w:val="20"/>
        </w:rPr>
        <w:t>J.),</w:t>
      </w:r>
      <w:r>
        <w:rPr>
          <w:rFonts w:ascii="Arial" w:eastAsia="Arial" w:hAnsi="Arial" w:cs="Arial"/>
          <w:color w:val="000000"/>
          <w:sz w:val="20"/>
        </w:rPr>
        <w:t xml:space="preserve"> granting the motion for summary judgment of Defendants-Appellees Town of Southold, Town Board of the Town of Southold, Zoning Board of Appeals of the Town of Southold, and Planning Board of the Town of Southold ("Town") and denying Plaintiffs' motion for summary judgment. Plaintiffs argue that the district court erroneously found that they had failed to make out a prima facie case of discrimination under the Fair Housing Amendments Act and Americans with Disabilities Act and failed to raise a genuine issue of material fact as to whether the Town violated  [**2] the Southold Town Code. We assume the parties' familiarity with the underlying facts, procedural history, and specification of the issues on appeal.</w:t>
      </w:r>
    </w:p>
    <w:p w14:paraId="6F248D8D" w14:textId="77777777" w:rsidR="00D041A2" w:rsidRDefault="00000000">
      <w:pPr>
        <w:pStyle w:val="Normal49"/>
        <w:widowControl w:val="0"/>
        <w:spacing w:before="200" w:line="260" w:lineRule="atLeast"/>
        <w:jc w:val="both"/>
      </w:pPr>
      <w:bookmarkStart w:id="6528" w:name="Bookmark_para_4_48"/>
      <w:bookmarkStart w:id="6529" w:name="Bookmark_LNHNREFclscc1_36"/>
      <w:bookmarkStart w:id="6530" w:name="Bookmark_I4YRG13R0K1MNJ32P0000400"/>
      <w:bookmarkEnd w:id="6528"/>
      <w:bookmarkEnd w:id="6529"/>
      <w:bookmarkEnd w:id="6530"/>
      <w:r>
        <w:rPr>
          <w:rFonts w:ascii="Arial" w:eastAsia="Arial" w:hAnsi="Arial" w:cs="Arial"/>
          <w:color w:val="000000"/>
          <w:sz w:val="20"/>
        </w:rPr>
        <w:t xml:space="preserve">We review a grant of summary judgment </w:t>
      </w:r>
      <w:r>
        <w:rPr>
          <w:rFonts w:ascii="Arial" w:eastAsia="Arial" w:hAnsi="Arial" w:cs="Arial"/>
          <w:i/>
          <w:color w:val="000000"/>
          <w:sz w:val="20"/>
        </w:rPr>
        <w:t>de novo,</w:t>
      </w:r>
      <w:r>
        <w:rPr>
          <w:rFonts w:ascii="Arial" w:eastAsia="Arial" w:hAnsi="Arial" w:cs="Arial"/>
          <w:color w:val="000000"/>
          <w:sz w:val="20"/>
        </w:rPr>
        <w:t xml:space="preserve"> construing the evidence in the light most favorable to the nonmoving party. </w:t>
      </w:r>
      <w:bookmarkStart w:id="6531" w:name="Bookmark_I4YRG13R0K1MNJ32S0000400"/>
      <w:bookmarkStart w:id="6532" w:name="Bookmark_I4YRG13R0K1MNJ32N0000400"/>
      <w:bookmarkEnd w:id="6531"/>
      <w:bookmarkEnd w:id="6532"/>
      <w:r>
        <w:rPr>
          <w:rFonts w:ascii="Arial" w:eastAsia="Arial" w:hAnsi="Arial" w:cs="Arial"/>
          <w:i/>
          <w:color w:val="000000"/>
          <w:sz w:val="20"/>
        </w:rPr>
        <w:t>Mitchell v. Shane,</w:t>
      </w:r>
      <w:r>
        <w:rPr>
          <w:rFonts w:ascii="Arial" w:eastAsia="Arial" w:hAnsi="Arial" w:cs="Arial"/>
          <w:color w:val="000000"/>
          <w:sz w:val="20"/>
        </w:rPr>
        <w:t xml:space="preserve"> 350 F.3d 39, 47 (2d Cir. 2003). </w:t>
      </w:r>
      <w:bookmarkStart w:id="6533" w:name="Bookmark_LNHNREFclscc2_36"/>
      <w:bookmarkEnd w:id="6533"/>
      <w:r>
        <w:rPr>
          <w:rFonts w:ascii="Arial" w:eastAsia="Arial" w:hAnsi="Arial" w:cs="Arial"/>
          <w:color w:val="000000"/>
          <w:sz w:val="20"/>
        </w:rPr>
        <w:t xml:space="preserve">Summary judgment is appropriate when "there is no genuine issue as to any material fact and . . . the movant is entitled to judgment as a matter of law." Fed. R. Civ. P. 56(c). </w:t>
      </w:r>
      <w:bookmarkStart w:id="6534" w:name="Bookmark_LNHNREFclscc3_34"/>
      <w:bookmarkStart w:id="6535" w:name="Bookmark_I4YRG13R0K1MNJ32S0000400_2"/>
      <w:bookmarkEnd w:id="6534"/>
      <w:bookmarkEnd w:id="6535"/>
      <w:r>
        <w:rPr>
          <w:rFonts w:ascii="Arial" w:eastAsia="Arial" w:hAnsi="Arial" w:cs="Arial"/>
          <w:color w:val="000000"/>
          <w:sz w:val="20"/>
        </w:rPr>
        <w:t xml:space="preserve">An issue of fact is "genuine" if "the evidence is such that a reasonable jury could return a verdict for the nonmoving party." </w:t>
      </w:r>
      <w:bookmarkStart w:id="6536" w:name="Bookmark_I4YRG13R0K1MNJ32R0000400"/>
      <w:bookmarkEnd w:id="6536"/>
      <w:r>
        <w:rPr>
          <w:rFonts w:ascii="Arial" w:eastAsia="Arial" w:hAnsi="Arial" w:cs="Arial"/>
          <w:i/>
          <w:color w:val="000000"/>
          <w:sz w:val="20"/>
        </w:rPr>
        <w:t>Anderson v. Liberty Lobby, Inc.,</w:t>
      </w:r>
      <w:r>
        <w:rPr>
          <w:rFonts w:ascii="Arial" w:eastAsia="Arial" w:hAnsi="Arial" w:cs="Arial"/>
          <w:color w:val="000000"/>
          <w:sz w:val="20"/>
        </w:rPr>
        <w:t xml:space="preserve"> 477 U.S. 242, 248, 106 S. Ct. 2505, 91 L. Ed. 2d 202 (1986).</w:t>
      </w:r>
    </w:p>
    <w:p w14:paraId="68574405" w14:textId="77777777" w:rsidR="00D041A2" w:rsidRDefault="00000000">
      <w:pPr>
        <w:pStyle w:val="Normal49"/>
        <w:widowControl w:val="0"/>
        <w:spacing w:before="200" w:line="260" w:lineRule="atLeast"/>
        <w:jc w:val="both"/>
      </w:pPr>
      <w:bookmarkStart w:id="6537" w:name="Bookmark_para_5_48"/>
      <w:bookmarkStart w:id="6538" w:name="Bookmark_LNHNREFclscc4_33"/>
      <w:bookmarkEnd w:id="6537"/>
      <w:bookmarkEnd w:id="6538"/>
      <w:r>
        <w:rPr>
          <w:rFonts w:ascii="Arial" w:eastAsia="Arial" w:hAnsi="Arial" w:cs="Arial"/>
          <w:color w:val="000000"/>
          <w:sz w:val="20"/>
        </w:rPr>
        <w:t xml:space="preserve">The Fair Housing Amendments Act ("FHAA"), in an amendment of the Fair Housing Act, 42 U.S.C. § 3601 </w:t>
      </w:r>
      <w:r>
        <w:rPr>
          <w:rFonts w:ascii="Arial" w:eastAsia="Arial" w:hAnsi="Arial" w:cs="Arial"/>
          <w:i/>
          <w:color w:val="000000"/>
          <w:sz w:val="20"/>
        </w:rPr>
        <w:t>et seq.,</w:t>
      </w:r>
      <w:r>
        <w:rPr>
          <w:rFonts w:ascii="Arial" w:eastAsia="Arial" w:hAnsi="Arial" w:cs="Arial"/>
          <w:color w:val="000000"/>
          <w:sz w:val="20"/>
        </w:rPr>
        <w:t xml:space="preserve"> provides that it is unlawful "[t]o discriminate in the sale or rental, or to otherwise make unavailable or deny, a dwelling to any buyer or renter because of a handicap." </w:t>
      </w:r>
      <w:r>
        <w:rPr>
          <w:rFonts w:ascii="Arial" w:eastAsia="Arial" w:hAnsi="Arial" w:cs="Arial"/>
          <w:i/>
          <w:color w:val="000000"/>
          <w:sz w:val="20"/>
        </w:rPr>
        <w:t>Id.</w:t>
      </w:r>
      <w:r>
        <w:rPr>
          <w:rFonts w:ascii="Arial" w:eastAsia="Arial" w:hAnsi="Arial" w:cs="Arial"/>
          <w:color w:val="000000"/>
          <w:sz w:val="20"/>
        </w:rPr>
        <w:t xml:space="preserve"> § 3604(f)(1). Discrimination includes "a refusal to make reasonable accommodations in rules, policies, practices, or services, when such accommodations may be necessary to afford [a handicapped] person equal opportunity to use and enjoy  [**3] a dwelling." </w:t>
      </w:r>
      <w:r>
        <w:rPr>
          <w:rFonts w:ascii="Arial" w:eastAsia="Arial" w:hAnsi="Arial" w:cs="Arial"/>
          <w:i/>
          <w:color w:val="000000"/>
          <w:sz w:val="20"/>
        </w:rPr>
        <w:t>Id.</w:t>
      </w:r>
      <w:r>
        <w:rPr>
          <w:rFonts w:ascii="Arial" w:eastAsia="Arial" w:hAnsi="Arial" w:cs="Arial"/>
          <w:color w:val="000000"/>
          <w:sz w:val="20"/>
        </w:rPr>
        <w:t xml:space="preserve"> § 3604(f)(3)(B). </w:t>
      </w:r>
      <w:bookmarkStart w:id="6539" w:name="Bookmark_LNHNREFclscc5_33"/>
      <w:bookmarkStart w:id="6540" w:name="Bookmark_I4YRG13R0K1MNJ33J0000400"/>
      <w:bookmarkEnd w:id="6539"/>
      <w:bookmarkEnd w:id="6540"/>
      <w:r>
        <w:rPr>
          <w:rFonts w:ascii="Arial" w:eastAsia="Arial" w:hAnsi="Arial" w:cs="Arial"/>
          <w:color w:val="000000"/>
          <w:sz w:val="20"/>
        </w:rPr>
        <w:t xml:space="preserve">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prohibits discrimination by public entities based on disability, providing that "no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6541" w:name="Bookmark_LNHNREFclscc6_33"/>
      <w:bookmarkEnd w:id="6541"/>
      <w:r>
        <w:rPr>
          <w:rFonts w:ascii="Arial" w:eastAsia="Arial" w:hAnsi="Arial" w:cs="Arial"/>
          <w:color w:val="000000"/>
          <w:sz w:val="20"/>
        </w:rPr>
        <w:t xml:space="preserve">Like the FHAA, the ADA requires entities to make reasonable accommodations for the disabled. </w:t>
      </w:r>
      <w:bookmarkStart w:id="6542" w:name="Bookmark_I4YRG13R0K1MNJ33M0000400"/>
      <w:bookmarkStart w:id="6543" w:name="Bookmark_I4YRG13R0K1MNJ32T0000400"/>
      <w:bookmarkEnd w:id="6542"/>
      <w:bookmarkEnd w:id="6543"/>
      <w:r>
        <w:rPr>
          <w:rFonts w:ascii="Arial" w:eastAsia="Arial" w:hAnsi="Arial" w:cs="Arial"/>
          <w:i/>
          <w:color w:val="000000"/>
          <w:sz w:val="20"/>
        </w:rPr>
        <w:t>Reg'l Econ. Cmty. Action Program, Inc. v. City of Middletown,</w:t>
      </w:r>
      <w:r>
        <w:rPr>
          <w:rFonts w:ascii="Arial" w:eastAsia="Arial" w:hAnsi="Arial" w:cs="Arial"/>
          <w:color w:val="000000"/>
          <w:sz w:val="20"/>
        </w:rPr>
        <w:t xml:space="preserve"> 294 F.3d 35, 45 (2d Cir. 2002). </w:t>
      </w:r>
      <w:bookmarkStart w:id="6544" w:name="Bookmark_I4YRG13R0K1MNJ33M0000400_2"/>
      <w:bookmarkStart w:id="6545" w:name="Bookmark_I5PTYXD9H24000RG2XX005ND"/>
      <w:bookmarkStart w:id="6546" w:name="Bookmark_I4YRG13R0K1MNJ3490000400"/>
      <w:bookmarkEnd w:id="6544"/>
      <w:bookmarkEnd w:id="6545"/>
      <w:bookmarkEnd w:id="6546"/>
      <w:r>
        <w:rPr>
          <w:rFonts w:ascii="Arial" w:eastAsia="Arial" w:hAnsi="Arial" w:cs="Arial"/>
          <w:color w:val="000000"/>
          <w:sz w:val="20"/>
        </w:rPr>
        <w:t xml:space="preserve">Both statutes are applicable to municipal zoning decisions. </w:t>
      </w:r>
      <w:bookmarkStart w:id="6547" w:name="Bookmark_I4YRG13R0K1MNJ33K0000400"/>
      <w:bookmarkEnd w:id="6547"/>
      <w:r>
        <w:rPr>
          <w:rFonts w:ascii="Arial" w:eastAsia="Arial" w:hAnsi="Arial" w:cs="Arial"/>
          <w:i/>
          <w:color w:val="000000"/>
          <w:sz w:val="20"/>
        </w:rPr>
        <w:t>Id.</w:t>
      </w:r>
      <w:r>
        <w:rPr>
          <w:rFonts w:ascii="Arial" w:eastAsia="Arial" w:hAnsi="Arial" w:cs="Arial"/>
          <w:color w:val="000000"/>
          <w:sz w:val="20"/>
        </w:rPr>
        <w:t xml:space="preserve"> at 45-46 (citing </w:t>
      </w:r>
      <w:bookmarkStart w:id="6548" w:name="Bookmark_I4YRG13R0K1MNJ33N0000400"/>
      <w:bookmarkEnd w:id="6548"/>
      <w:r>
        <w:rPr>
          <w:rFonts w:ascii="Arial" w:eastAsia="Arial" w:hAnsi="Arial" w:cs="Arial"/>
          <w:i/>
          <w:color w:val="000000"/>
          <w:sz w:val="20"/>
        </w:rPr>
        <w:t>Forest City Daly Hous., Inc. v. Town of N. Hempstead,</w:t>
      </w:r>
      <w:r>
        <w:rPr>
          <w:rFonts w:ascii="Arial" w:eastAsia="Arial" w:hAnsi="Arial" w:cs="Arial"/>
          <w:color w:val="000000"/>
          <w:sz w:val="20"/>
        </w:rPr>
        <w:t xml:space="preserve"> 175 F.3d 144, 151 (2d Cir. 1999)). </w:t>
      </w:r>
      <w:bookmarkStart w:id="6549" w:name="Bookmark_I4YRG13R0K1MNJ3490000400_2"/>
      <w:bookmarkEnd w:id="6549"/>
      <w:r>
        <w:rPr>
          <w:rFonts w:ascii="Arial" w:eastAsia="Arial" w:hAnsi="Arial" w:cs="Arial"/>
          <w:color w:val="000000"/>
          <w:sz w:val="20"/>
        </w:rPr>
        <w:t xml:space="preserve">"To establish discrimination under either the FHAA or the ADA, plaintiffs have three available theories: (1) intentional discrimination (disparate treatment); (2) disparate impact; and (3) failure to make a reasonable accommodation." </w:t>
      </w:r>
      <w:bookmarkStart w:id="6550" w:name="Bookmark_I4YRG13R0K1MNJ3480000400"/>
      <w:bookmarkEnd w:id="6550"/>
      <w:r>
        <w:rPr>
          <w:rFonts w:ascii="Arial" w:eastAsia="Arial" w:hAnsi="Arial" w:cs="Arial"/>
          <w:i/>
          <w:color w:val="000000"/>
          <w:sz w:val="20"/>
        </w:rPr>
        <w:t>Tsombanidis v. W. Haven Fire Dep't,</w:t>
      </w:r>
      <w:r>
        <w:rPr>
          <w:rFonts w:ascii="Arial" w:eastAsia="Arial" w:hAnsi="Arial" w:cs="Arial"/>
          <w:color w:val="000000"/>
          <w:sz w:val="20"/>
        </w:rPr>
        <w:t xml:space="preserve"> 352 F.3d 565, 573 (2d Cir. 2003).</w:t>
      </w:r>
    </w:p>
    <w:p w14:paraId="76D95FEF" w14:textId="77777777" w:rsidR="00D041A2" w:rsidRDefault="00000000">
      <w:pPr>
        <w:pStyle w:val="Normal49"/>
        <w:widowControl w:val="0"/>
        <w:spacing w:before="200" w:line="260" w:lineRule="atLeast"/>
        <w:jc w:val="both"/>
      </w:pPr>
      <w:bookmarkStart w:id="6551" w:name="Bookmark_para_6_48"/>
      <w:bookmarkStart w:id="6552" w:name="Bookmark_I4YRG13R0K1MNJ34C0000400"/>
      <w:bookmarkEnd w:id="6551"/>
      <w:bookmarkEnd w:id="6552"/>
      <w:r>
        <w:rPr>
          <w:rFonts w:ascii="Arial" w:eastAsia="Arial" w:hAnsi="Arial" w:cs="Arial"/>
          <w:color w:val="000000"/>
          <w:sz w:val="20"/>
        </w:rPr>
        <w:t xml:space="preserve">Plaintiffs first argue that they have successfully made out a prima facie case  [**4] of discrimination under the disparate impact theory. </w:t>
      </w:r>
      <w:bookmarkStart w:id="6553" w:name="Bookmark_LNHNREFclscc7_32"/>
      <w:bookmarkStart w:id="6554" w:name="Bookmark_I5PTYXD9V04000RG2XX005NG"/>
      <w:bookmarkStart w:id="6555" w:name="Bookmark_I5PTYXDB3MD000RG2XX005NJ"/>
      <w:bookmarkStart w:id="6556" w:name="Bookmark_I4YRG13R0K1MNJ3540000400"/>
      <w:bookmarkEnd w:id="6553"/>
      <w:bookmarkEnd w:id="6554"/>
      <w:bookmarkEnd w:id="6555"/>
      <w:bookmarkEnd w:id="6556"/>
      <w:r>
        <w:rPr>
          <w:rFonts w:ascii="Arial" w:eastAsia="Arial" w:hAnsi="Arial" w:cs="Arial"/>
          <w:color w:val="000000"/>
          <w:sz w:val="20"/>
        </w:rPr>
        <w:t xml:space="preserve">We analyze claims of disparate impact under the FHAA and ADA under a modified version of the burden-shifting analysis usually applied to employment  [*206]  discrimination cases under Title VII of the Civil Rights Act of 1964. </w:t>
      </w:r>
      <w:bookmarkStart w:id="6557" w:name="Bookmark_I4YRG13R0K1MNJ35T0000400"/>
      <w:bookmarkStart w:id="6558" w:name="Bookmark_I4YRG13R0K1MNJ34B0000400"/>
      <w:bookmarkEnd w:id="6557"/>
      <w:bookmarkEnd w:id="6558"/>
      <w:r>
        <w:rPr>
          <w:rFonts w:ascii="Arial" w:eastAsia="Arial" w:hAnsi="Arial" w:cs="Arial"/>
          <w:i/>
          <w:color w:val="000000"/>
          <w:sz w:val="20"/>
        </w:rPr>
        <w:t>Id.</w:t>
      </w:r>
      <w:r>
        <w:rPr>
          <w:rFonts w:ascii="Arial" w:eastAsia="Arial" w:hAnsi="Arial" w:cs="Arial"/>
          <w:color w:val="000000"/>
          <w:sz w:val="20"/>
        </w:rPr>
        <w:t xml:space="preserve"> at 575; </w:t>
      </w:r>
      <w:bookmarkStart w:id="6559" w:name="Bookmark_I4YRG13R0K1MNJ34D0000400"/>
      <w:bookmarkEnd w:id="6559"/>
      <w:r>
        <w:rPr>
          <w:rFonts w:ascii="Arial" w:eastAsia="Arial" w:hAnsi="Arial" w:cs="Arial"/>
          <w:i/>
          <w:color w:val="000000"/>
          <w:sz w:val="20"/>
        </w:rPr>
        <w:t>Huntington Branch, NAACP v. Town of Huntington,</w:t>
      </w:r>
      <w:r>
        <w:rPr>
          <w:rFonts w:ascii="Arial" w:eastAsia="Arial" w:hAnsi="Arial" w:cs="Arial"/>
          <w:color w:val="000000"/>
          <w:sz w:val="20"/>
        </w:rPr>
        <w:t xml:space="preserve"> 844 F.2d 926, 934 (2d Cir. 1988); </w:t>
      </w:r>
      <w:r>
        <w:rPr>
          <w:rFonts w:ascii="Arial" w:eastAsia="Arial" w:hAnsi="Arial" w:cs="Arial"/>
          <w:i/>
          <w:color w:val="000000"/>
          <w:sz w:val="20"/>
        </w:rPr>
        <w:t xml:space="preserve">see </w:t>
      </w:r>
      <w:bookmarkStart w:id="6560" w:name="Bookmark_I4YRG13R0K1MNJ3510000400"/>
      <w:bookmarkEnd w:id="6560"/>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w:t>
      </w:r>
      <w:bookmarkStart w:id="6561" w:name="Bookmark_I4YRG13R0K1MNJ35T0000400_2"/>
      <w:bookmarkStart w:id="6562" w:name="Bookmark_I4YRG13R0K1MNJ3540000400_2"/>
      <w:bookmarkEnd w:id="6561"/>
      <w:bookmarkEnd w:id="6562"/>
      <w:r>
        <w:rPr>
          <w:rFonts w:ascii="Arial" w:eastAsia="Arial" w:hAnsi="Arial" w:cs="Arial"/>
          <w:color w:val="000000"/>
          <w:sz w:val="20"/>
        </w:rPr>
        <w:t xml:space="preserve">In order to establish a prima facie case of disparate impact, the plaintiff must provide evidence showing "(1) the occurrence of certain outwardly neutral practices, and (2) a significantly adverse or disproportionate impact on persons of a particular type produced by the defendant's facially neutral acts or practices." </w:t>
      </w:r>
      <w:bookmarkStart w:id="6563" w:name="Bookmark_I4YRG13R0K1MNJ3530000400"/>
      <w:bookmarkEnd w:id="6563"/>
      <w:r>
        <w:rPr>
          <w:rFonts w:ascii="Arial" w:eastAsia="Arial" w:hAnsi="Arial" w:cs="Arial"/>
          <w:i/>
          <w:color w:val="000000"/>
          <w:sz w:val="20"/>
        </w:rPr>
        <w:t>Tsombanidis,</w:t>
      </w:r>
      <w:r>
        <w:rPr>
          <w:rFonts w:ascii="Arial" w:eastAsia="Arial" w:hAnsi="Arial" w:cs="Arial"/>
          <w:color w:val="000000"/>
          <w:sz w:val="20"/>
        </w:rPr>
        <w:t xml:space="preserve"> 352 F.3d at 575 (quoting </w:t>
      </w:r>
      <w:bookmarkStart w:id="6564" w:name="Bookmark_I4YRG13R0K1MNJ35P0000400"/>
      <w:bookmarkEnd w:id="6564"/>
      <w:r>
        <w:rPr>
          <w:rFonts w:ascii="Arial" w:eastAsia="Arial" w:hAnsi="Arial" w:cs="Arial"/>
          <w:i/>
          <w:color w:val="000000"/>
          <w:sz w:val="20"/>
        </w:rPr>
        <w:t>Reg'l Econ. Cmty. Action Program,</w:t>
      </w:r>
      <w:r>
        <w:rPr>
          <w:rFonts w:ascii="Arial" w:eastAsia="Arial" w:hAnsi="Arial" w:cs="Arial"/>
          <w:color w:val="000000"/>
          <w:sz w:val="20"/>
        </w:rPr>
        <w:t xml:space="preserve"> 294 F.3d at 52-53) (internal quotation marks omitted) (emphasis omitted). Although the plaintiff need not show discriminatory intent under this theory, it must prove that the practice "actually or predictably results in . . . discrimination." </w:t>
      </w:r>
      <w:r>
        <w:rPr>
          <w:rFonts w:ascii="Arial" w:eastAsia="Arial" w:hAnsi="Arial" w:cs="Arial"/>
          <w:i/>
          <w:color w:val="000000"/>
          <w:sz w:val="20"/>
        </w:rPr>
        <w:t>Id.</w:t>
      </w:r>
      <w:r>
        <w:rPr>
          <w:rFonts w:ascii="Arial" w:eastAsia="Arial" w:hAnsi="Arial" w:cs="Arial"/>
          <w:color w:val="000000"/>
          <w:sz w:val="20"/>
        </w:rPr>
        <w:t xml:space="preserve"> (quoting </w:t>
      </w:r>
      <w:bookmarkStart w:id="6565" w:name="Bookmark_I4YRG13R0K1MNJ35S0000400"/>
      <w:bookmarkEnd w:id="6565"/>
      <w:r>
        <w:rPr>
          <w:rFonts w:ascii="Arial" w:eastAsia="Arial" w:hAnsi="Arial" w:cs="Arial"/>
          <w:i/>
          <w:color w:val="000000"/>
          <w:sz w:val="20"/>
        </w:rPr>
        <w:t>Hack v. President &amp; Fellows of Yale Coll.,</w:t>
      </w:r>
      <w:r>
        <w:rPr>
          <w:rFonts w:ascii="Arial" w:eastAsia="Arial" w:hAnsi="Arial" w:cs="Arial"/>
          <w:color w:val="000000"/>
          <w:sz w:val="20"/>
        </w:rPr>
        <w:t xml:space="preserve"> 237 F.3d 81, 90 (2d Cir. 2000)) (internal quotation marks omitted) (alteration in original).  [**5] Moreover, there must be a causal connection between the policy at issue and the discriminatory effect. </w:t>
      </w:r>
      <w:r>
        <w:rPr>
          <w:rFonts w:ascii="Arial" w:eastAsia="Arial" w:hAnsi="Arial" w:cs="Arial"/>
          <w:i/>
          <w:color w:val="000000"/>
          <w:sz w:val="20"/>
        </w:rPr>
        <w:t>Id.</w:t>
      </w:r>
    </w:p>
    <w:p w14:paraId="0C425827" w14:textId="77777777" w:rsidR="00D041A2" w:rsidRDefault="00000000">
      <w:pPr>
        <w:pStyle w:val="Normal49"/>
        <w:widowControl w:val="0"/>
        <w:spacing w:before="200" w:line="260" w:lineRule="atLeast"/>
        <w:jc w:val="both"/>
      </w:pPr>
      <w:bookmarkStart w:id="6566" w:name="Bookmark_para_7_48"/>
      <w:bookmarkEnd w:id="6566"/>
      <w:r>
        <w:rPr>
          <w:rFonts w:ascii="Arial" w:eastAsia="Arial" w:hAnsi="Arial" w:cs="Arial"/>
          <w:color w:val="000000"/>
          <w:sz w:val="20"/>
        </w:rPr>
        <w:t>In this case, Plaintiffs have identified a facially neutral policy: the zoning code of Southold and its application to requests for grants of rezoning. Specifically, Plaintiffs identify the density restrictions and building type restrictions of the zoning code and allege that these restrictions prevent them from building a multifamily development for the elderly, thus limiting the access of the handicapped to desired types of housing. Plaintiffs rely principally on evidence that the number of handicapped people in the Town of Southold is larger than the number of handicapped-accessible housing units. This evidence, however, is insufficient to show that the zoning restrictions cause disproportionate impact.</w:t>
      </w:r>
    </w:p>
    <w:p w14:paraId="683C7B40" w14:textId="77777777" w:rsidR="00D041A2" w:rsidRDefault="00000000">
      <w:pPr>
        <w:pStyle w:val="Normal49"/>
        <w:widowControl w:val="0"/>
        <w:spacing w:before="200" w:line="260" w:lineRule="atLeast"/>
        <w:jc w:val="both"/>
      </w:pPr>
      <w:bookmarkStart w:id="6567" w:name="Bookmark_para_8_47"/>
      <w:bookmarkStart w:id="6568" w:name="Bookmark_I4YRG13R0K1MNJ36S0000400"/>
      <w:bookmarkEnd w:id="6567"/>
      <w:bookmarkEnd w:id="6568"/>
      <w:r>
        <w:rPr>
          <w:rFonts w:ascii="Arial" w:eastAsia="Arial" w:hAnsi="Arial" w:cs="Arial"/>
          <w:color w:val="000000"/>
          <w:sz w:val="20"/>
        </w:rPr>
        <w:t xml:space="preserve">As the district court noted, density and multifamily dwelling restrictions limit only the number and building type of handicapped-accessible units that may be built, not whether Plaintiffs may build handicapped-accessible units at all. What Plaintiffs are being prevented from building, moreover, is a multifamily age-restricted development. Plaintiffs needed to show that this particular  [**6] restriction causes a disproportionately adverse impact on handicapped individuals. </w:t>
      </w:r>
      <w:bookmarkStart w:id="6569" w:name="Bookmark_I4YRG13R0K1MNJ36V0000400"/>
      <w:bookmarkEnd w:id="6569"/>
      <w:r>
        <w:rPr>
          <w:rFonts w:ascii="Arial" w:eastAsia="Arial" w:hAnsi="Arial" w:cs="Arial"/>
          <w:color w:val="000000"/>
          <w:sz w:val="20"/>
        </w:rPr>
        <w:t xml:space="preserve">Because the proposed housing is limited to seniors, the relevant protected population is seniors with handicaps and the appropriate, similarly situated comparison group is the non-handicapped senior community; age itself is not a protected category under the FHAA or ADA. </w:t>
      </w:r>
      <w:bookmarkStart w:id="6570" w:name="Bookmark_I4YRG13R0K1MNJ35V0000400"/>
      <w:bookmarkEnd w:id="6570"/>
      <w:r>
        <w:rPr>
          <w:rFonts w:ascii="Arial" w:eastAsia="Arial" w:hAnsi="Arial" w:cs="Arial"/>
          <w:i/>
          <w:color w:val="000000"/>
          <w:sz w:val="20"/>
        </w:rPr>
        <w:t>Id.</w:t>
      </w:r>
      <w:r>
        <w:rPr>
          <w:rFonts w:ascii="Arial" w:eastAsia="Arial" w:hAnsi="Arial" w:cs="Arial"/>
          <w:color w:val="000000"/>
          <w:sz w:val="20"/>
        </w:rPr>
        <w:t xml:space="preserve"> at 576-77 (stating that </w:t>
      </w:r>
      <w:bookmarkStart w:id="6571" w:name="Bookmark_LNHNREFclscc8_32"/>
      <w:bookmarkEnd w:id="6571"/>
      <w:r>
        <w:rPr>
          <w:rFonts w:ascii="Arial" w:eastAsia="Arial" w:hAnsi="Arial" w:cs="Arial"/>
          <w:color w:val="000000"/>
          <w:sz w:val="20"/>
        </w:rPr>
        <w:t xml:space="preserve">evidence of disparate impact should compare "members of a protected group that are affected by the neutral policy and . . . similarly situated persons who are unaffected"). </w:t>
      </w:r>
      <w:bookmarkStart w:id="6572" w:name="Bookmark_I4YRG13R0K1MNJ36V0000400_2"/>
      <w:bookmarkEnd w:id="6572"/>
      <w:r>
        <w:rPr>
          <w:rFonts w:ascii="Arial" w:eastAsia="Arial" w:hAnsi="Arial" w:cs="Arial"/>
          <w:color w:val="000000"/>
          <w:sz w:val="20"/>
        </w:rPr>
        <w:t xml:space="preserve">Notwithstanding that the planned development was so designed that federal regulations would require nearly all units to be handicapped-accessible, Plaintiffs have provided neither statistical nor qualitative evidence that handicapped seniors have a proportionally greater need or preference for this type of multifamily age-restricted unit than do non-handicapped seniors. </w:t>
      </w:r>
      <w:bookmarkStart w:id="6573" w:name="Bookmark_I5PTYXDBC8P000RG2XX005NM"/>
      <w:bookmarkStart w:id="6574" w:name="Bookmark_I4YRG13R0K1MNJ36X0000400"/>
      <w:bookmarkEnd w:id="6573"/>
      <w:bookmarkEnd w:id="6574"/>
      <w:r>
        <w:rPr>
          <w:rFonts w:ascii="Arial" w:eastAsia="Arial" w:hAnsi="Arial" w:cs="Arial"/>
          <w:color w:val="000000"/>
          <w:sz w:val="20"/>
        </w:rPr>
        <w:t xml:space="preserve">Moreover, as we noted in </w:t>
      </w:r>
      <w:r>
        <w:rPr>
          <w:rFonts w:ascii="Arial" w:eastAsia="Arial" w:hAnsi="Arial" w:cs="Arial"/>
          <w:i/>
          <w:color w:val="000000"/>
          <w:sz w:val="20"/>
        </w:rPr>
        <w:t>Tsombanidis,</w:t>
      </w:r>
      <w:r>
        <w:rPr>
          <w:rFonts w:ascii="Arial" w:eastAsia="Arial" w:hAnsi="Arial" w:cs="Arial"/>
          <w:color w:val="000000"/>
          <w:sz w:val="20"/>
        </w:rPr>
        <w:t xml:space="preserve"> the comparison should "identif[y] the handicap and allow[] for a causal analysis between the claim of discrimination based on the handicap . . . and the facially neutral policy." </w:t>
      </w:r>
      <w:bookmarkStart w:id="6575" w:name="Bookmark_I4YRG13R0K1MNJ36T0000400"/>
      <w:bookmarkEnd w:id="6575"/>
      <w:r>
        <w:rPr>
          <w:rFonts w:ascii="Arial" w:eastAsia="Arial" w:hAnsi="Arial" w:cs="Arial"/>
          <w:i/>
          <w:color w:val="000000"/>
          <w:sz w:val="20"/>
        </w:rPr>
        <w:t>Id.</w:t>
      </w:r>
      <w:r>
        <w:rPr>
          <w:rFonts w:ascii="Arial" w:eastAsia="Arial" w:hAnsi="Arial" w:cs="Arial"/>
          <w:color w:val="000000"/>
          <w:sz w:val="20"/>
        </w:rPr>
        <w:t xml:space="preserve"> at 577. </w:t>
      </w:r>
      <w:bookmarkStart w:id="6576" w:name="Bookmark_I4YRG13R0K1MNJ36X0000400_2"/>
      <w:bookmarkEnd w:id="6576"/>
      <w:r>
        <w:rPr>
          <w:rFonts w:ascii="Arial" w:eastAsia="Arial" w:hAnsi="Arial" w:cs="Arial"/>
          <w:color w:val="000000"/>
          <w:sz w:val="20"/>
        </w:rPr>
        <w:t xml:space="preserve">Simply proffering evidence that there is a  [**7] shortage of handicapped-accessible housing in the Town of Southold compared to its handicapped population does not show that the neutral policy at issue is the cause. </w:t>
      </w:r>
      <w:r>
        <w:rPr>
          <w:rFonts w:ascii="Arial" w:eastAsia="Arial" w:hAnsi="Arial" w:cs="Arial"/>
          <w:i/>
          <w:color w:val="000000"/>
          <w:sz w:val="20"/>
        </w:rPr>
        <w:t xml:space="preserve">See </w:t>
      </w:r>
      <w:bookmarkStart w:id="6577" w:name="Bookmark_I4YRG13R0K1MNJ36W0000400"/>
      <w:bookmarkEnd w:id="6577"/>
      <w:r>
        <w:rPr>
          <w:rFonts w:ascii="Arial" w:eastAsia="Arial" w:hAnsi="Arial" w:cs="Arial"/>
          <w:i/>
          <w:color w:val="000000"/>
          <w:sz w:val="20"/>
        </w:rPr>
        <w:t>Budnick v. Town of Carefree,</w:t>
      </w:r>
      <w:r>
        <w:rPr>
          <w:rFonts w:ascii="Arial" w:eastAsia="Arial" w:hAnsi="Arial" w:cs="Arial"/>
          <w:color w:val="000000"/>
          <w:sz w:val="20"/>
        </w:rPr>
        <w:t xml:space="preserve"> 518 F.3d 1109, 1119 (9th Cir. 2008) (</w:t>
      </w:r>
      <w:bookmarkStart w:id="6578" w:name="Bookmark_LNHNREFclscc9_31"/>
      <w:bookmarkEnd w:id="6578"/>
      <w:r>
        <w:rPr>
          <w:rFonts w:ascii="Arial" w:eastAsia="Arial" w:hAnsi="Arial" w:cs="Arial"/>
          <w:color w:val="000000"/>
          <w:sz w:val="20"/>
        </w:rPr>
        <w:t>"[T]he absence of a certain type of facility alone is not actionable; in other words, proof of a  [*207]  void in the community is insufficient proof of disparate impact.").</w:t>
      </w:r>
    </w:p>
    <w:p w14:paraId="73513118" w14:textId="77777777" w:rsidR="00D041A2" w:rsidRDefault="00000000">
      <w:pPr>
        <w:pStyle w:val="Normal49"/>
        <w:widowControl w:val="0"/>
        <w:spacing w:before="200" w:line="260" w:lineRule="atLeast"/>
        <w:jc w:val="both"/>
      </w:pPr>
      <w:bookmarkStart w:id="6579" w:name="Bookmark_para_9_44"/>
      <w:bookmarkStart w:id="6580" w:name="Bookmark_I5PTYXDBMY0000RG2XX005NP"/>
      <w:bookmarkStart w:id="6581" w:name="Bookmark_I5PTYXDBSS4000RG2XX005NR"/>
      <w:bookmarkStart w:id="6582" w:name="Bookmark_I4YRG13R0K1MNJ37B0000400"/>
      <w:bookmarkStart w:id="6583" w:name="Bookmark_I4YRG13R0K1MNJ37N0000400"/>
      <w:bookmarkEnd w:id="6579"/>
      <w:bookmarkEnd w:id="6580"/>
      <w:bookmarkEnd w:id="6581"/>
      <w:bookmarkEnd w:id="6582"/>
      <w:bookmarkEnd w:id="6583"/>
      <w:r>
        <w:rPr>
          <w:rFonts w:ascii="Arial" w:eastAsia="Arial" w:hAnsi="Arial" w:cs="Arial"/>
          <w:color w:val="000000"/>
          <w:sz w:val="20"/>
        </w:rPr>
        <w:t xml:space="preserve">Plaintiffs also argue that they have successfully made out a prima facie case of discrimination under the theory of disparate treatment under the FHAA. </w:t>
      </w:r>
      <w:bookmarkStart w:id="6584" w:name="Bookmark_LNHNREFclscc10_28"/>
      <w:bookmarkEnd w:id="6584"/>
      <w:r>
        <w:rPr>
          <w:rFonts w:ascii="Arial" w:eastAsia="Arial" w:hAnsi="Arial" w:cs="Arial"/>
          <w:color w:val="000000"/>
          <w:sz w:val="20"/>
        </w:rPr>
        <w:t xml:space="preserve">"To establish a prima facie case of discrimination under the FHA[A] and the ADA, the plaintiffs must present evidence that 'animus against the protected group was a significant factor in the position taken by the municipal decision-makers themselves or by those to whom the decision-makers were knowingly responsive.'" </w:t>
      </w:r>
      <w:bookmarkStart w:id="6585" w:name="Bookmark_I4YRG13R0K1MNJ3790000400"/>
      <w:bookmarkEnd w:id="6585"/>
      <w:r>
        <w:rPr>
          <w:rFonts w:ascii="Arial" w:eastAsia="Arial" w:hAnsi="Arial" w:cs="Arial"/>
          <w:i/>
          <w:color w:val="000000"/>
          <w:sz w:val="20"/>
        </w:rPr>
        <w:t>Reg'l Econ. Cmty. Action Program,</w:t>
      </w:r>
      <w:r>
        <w:rPr>
          <w:rFonts w:ascii="Arial" w:eastAsia="Arial" w:hAnsi="Arial" w:cs="Arial"/>
          <w:color w:val="000000"/>
          <w:sz w:val="20"/>
        </w:rPr>
        <w:t xml:space="preserve"> 294 F.3d at 49 (quoting </w:t>
      </w:r>
      <w:bookmarkStart w:id="6586" w:name="Bookmark_I4YRG13R0K1MNJ37C0000400"/>
      <w:bookmarkEnd w:id="6586"/>
      <w:r>
        <w:rPr>
          <w:rFonts w:ascii="Arial" w:eastAsia="Arial" w:hAnsi="Arial" w:cs="Arial"/>
          <w:i/>
          <w:color w:val="000000"/>
          <w:sz w:val="20"/>
        </w:rPr>
        <w:t>LeBlanc-Sternberg v. Fletcher,</w:t>
      </w:r>
      <w:r>
        <w:rPr>
          <w:rFonts w:ascii="Arial" w:eastAsia="Arial" w:hAnsi="Arial" w:cs="Arial"/>
          <w:color w:val="000000"/>
          <w:sz w:val="20"/>
        </w:rPr>
        <w:t xml:space="preserve"> 67 F.3d 412, 425 (2d Cir. 1995)) (emphasis omitted). </w:t>
      </w:r>
      <w:bookmarkStart w:id="6587" w:name="Bookmark_I5PTYXDBXK8000RG2XX005NS"/>
      <w:bookmarkStart w:id="6588" w:name="Bookmark_I4YRG13R0K1MNJ37R0000400"/>
      <w:bookmarkEnd w:id="6587"/>
      <w:bookmarkEnd w:id="6588"/>
      <w:r>
        <w:rPr>
          <w:rFonts w:ascii="Arial" w:eastAsia="Arial" w:hAnsi="Arial" w:cs="Arial"/>
          <w:color w:val="000000"/>
          <w:sz w:val="20"/>
        </w:rPr>
        <w:t xml:space="preserve">Once plaintiffs make out a prima facie case, then defendants must provide a legitimate, nondiscriminatory reason for their decision. </w:t>
      </w:r>
      <w:bookmarkStart w:id="6589" w:name="Bookmark_I4YRG13R0K1MNJ37F0000400"/>
      <w:bookmarkEnd w:id="6589"/>
      <w:r>
        <w:rPr>
          <w:rFonts w:ascii="Arial" w:eastAsia="Arial" w:hAnsi="Arial" w:cs="Arial"/>
          <w:i/>
          <w:color w:val="000000"/>
          <w:sz w:val="20"/>
        </w:rPr>
        <w:t>Id.</w:t>
      </w:r>
      <w:r>
        <w:rPr>
          <w:rFonts w:ascii="Arial" w:eastAsia="Arial" w:hAnsi="Arial" w:cs="Arial"/>
          <w:color w:val="000000"/>
          <w:sz w:val="20"/>
        </w:rPr>
        <w:t xml:space="preserve"> Finally, the burden returns to plaintiffs to prove  [**8] that they were intentionally discriminated against on a prohibited ground, which may occur via a substantial showing that defendants' proffered explanation was false or pretextual. </w:t>
      </w:r>
      <w:bookmarkStart w:id="6590" w:name="Bookmark_I4YRG13R0K1MNJ37R0000400_2"/>
      <w:bookmarkEnd w:id="6590"/>
      <w:r>
        <w:rPr>
          <w:rFonts w:ascii="Arial" w:eastAsia="Arial" w:hAnsi="Arial" w:cs="Arial"/>
          <w:i/>
          <w:color w:val="000000"/>
          <w:sz w:val="20"/>
        </w:rPr>
        <w:t xml:space="preserve">See </w:t>
      </w:r>
      <w:bookmarkStart w:id="6591" w:name="Bookmark_I4YRG13R0K1MNJ37P0000400"/>
      <w:bookmarkEnd w:id="6591"/>
      <w:r>
        <w:rPr>
          <w:rFonts w:ascii="Arial" w:eastAsia="Arial" w:hAnsi="Arial" w:cs="Arial"/>
          <w:i/>
          <w:color w:val="000000"/>
          <w:sz w:val="20"/>
        </w:rPr>
        <w:t>id.</w:t>
      </w:r>
      <w:r>
        <w:rPr>
          <w:rFonts w:ascii="Arial" w:eastAsia="Arial" w:hAnsi="Arial" w:cs="Arial"/>
          <w:color w:val="000000"/>
          <w:sz w:val="20"/>
        </w:rPr>
        <w:t xml:space="preserve"> Factors that may be considered in evaluating an intentional discrimination claim include "(1) the discriminatory impact of the governmental decision; (2) the decision's historical background; (3) the specific sequence of events leading up to the challenged decision; (4) departures from the normal procedural sequences; and (5) departures from normal substantive criteria." </w:t>
      </w:r>
      <w:bookmarkStart w:id="6592" w:name="Bookmark_I4YRG13R0K1MNJ37S0000400"/>
      <w:bookmarkEnd w:id="6592"/>
      <w:r>
        <w:rPr>
          <w:rFonts w:ascii="Arial" w:eastAsia="Arial" w:hAnsi="Arial" w:cs="Arial"/>
          <w:i/>
          <w:color w:val="000000"/>
          <w:sz w:val="20"/>
        </w:rPr>
        <w:t>Tsombanidis,</w:t>
      </w:r>
      <w:r>
        <w:rPr>
          <w:rFonts w:ascii="Arial" w:eastAsia="Arial" w:hAnsi="Arial" w:cs="Arial"/>
          <w:color w:val="000000"/>
          <w:sz w:val="20"/>
        </w:rPr>
        <w:t xml:space="preserve"> 352 F.3d at 580 (internal quotation marks omitted). When those factors are weighed, taking particularly into account the lack of provable discriminatory impact of the policy, we conclude for substantially the reasons stated by the district court that Plaintiffs have not shown animus as a significant factor in the Town's application of zoning rules.</w:t>
      </w:r>
    </w:p>
    <w:p w14:paraId="0CD566AC" w14:textId="77777777" w:rsidR="00D041A2" w:rsidRDefault="00000000">
      <w:pPr>
        <w:pStyle w:val="Normal49"/>
        <w:widowControl w:val="0"/>
        <w:spacing w:before="200" w:line="260" w:lineRule="atLeast"/>
        <w:jc w:val="both"/>
      </w:pPr>
      <w:bookmarkStart w:id="6593" w:name="Bookmark_para_10_44"/>
      <w:bookmarkStart w:id="6594" w:name="Bookmark_I4YRG13R0K1MNJ37W0000400"/>
      <w:bookmarkEnd w:id="6593"/>
      <w:bookmarkEnd w:id="6594"/>
      <w:r>
        <w:rPr>
          <w:rFonts w:ascii="Arial" w:eastAsia="Arial" w:hAnsi="Arial" w:cs="Arial"/>
          <w:color w:val="000000"/>
          <w:sz w:val="20"/>
        </w:rPr>
        <w:t xml:space="preserve">Plaintiffs also appeal the determination of the district court that they failed to make out a prima facie case of discrimination based on a failure to reasonably accommodate. </w:t>
      </w:r>
      <w:bookmarkStart w:id="6595" w:name="Bookmark_LNHNREFclscc11_24"/>
      <w:bookmarkStart w:id="6596" w:name="Bookmark_I5PTYXDC7H8000RG2XX005NV"/>
      <w:bookmarkStart w:id="6597" w:name="Bookmark_I4YRG13R0K1MNJ3810000400"/>
      <w:bookmarkEnd w:id="6595"/>
      <w:bookmarkEnd w:id="6596"/>
      <w:bookmarkEnd w:id="6597"/>
      <w:r>
        <w:rPr>
          <w:rFonts w:ascii="Arial" w:eastAsia="Arial" w:hAnsi="Arial" w:cs="Arial"/>
          <w:color w:val="000000"/>
          <w:sz w:val="20"/>
        </w:rPr>
        <w:t xml:space="preserve">"A municipality discriminates in violation of the FHA[A] [or] the ADA . . . if it refuses to make changes  [**9] to 'traditional rules or practices if necessary to permit a person with handicaps an equal opportunity to use and enjoy a dwelling.'" </w:t>
      </w:r>
      <w:bookmarkStart w:id="6598" w:name="Bookmark_I4YRG13R0K1MNJ37V0000400"/>
      <w:bookmarkEnd w:id="6598"/>
      <w:r>
        <w:rPr>
          <w:rFonts w:ascii="Arial" w:eastAsia="Arial" w:hAnsi="Arial" w:cs="Arial"/>
          <w:i/>
          <w:color w:val="000000"/>
          <w:sz w:val="20"/>
        </w:rPr>
        <w:t>Reg'l Econ. Cmty. Action Program, Inc.,</w:t>
      </w:r>
      <w:r>
        <w:rPr>
          <w:rFonts w:ascii="Arial" w:eastAsia="Arial" w:hAnsi="Arial" w:cs="Arial"/>
          <w:color w:val="000000"/>
          <w:sz w:val="20"/>
        </w:rPr>
        <w:t xml:space="preserve"> 294 F.3d at 53 (quoting </w:t>
      </w:r>
      <w:bookmarkStart w:id="6599" w:name="Bookmark_I4YRG13R0K1MNJ37X0000400"/>
      <w:bookmarkEnd w:id="6599"/>
      <w:r>
        <w:rPr>
          <w:rFonts w:ascii="Arial" w:eastAsia="Arial" w:hAnsi="Arial" w:cs="Arial"/>
          <w:i/>
          <w:color w:val="000000"/>
          <w:sz w:val="20"/>
        </w:rPr>
        <w:t>Shapiro v. Cadman Towers, Inc.,</w:t>
      </w:r>
      <w:r>
        <w:rPr>
          <w:rFonts w:ascii="Arial" w:eastAsia="Arial" w:hAnsi="Arial" w:cs="Arial"/>
          <w:color w:val="000000"/>
          <w:sz w:val="20"/>
        </w:rPr>
        <w:t xml:space="preserve"> 51 F.3d 328, 333 (2d Cir. 1995)). In order to prove a reasonable accommodation claim under these statutes, a plaintiff must show that he will likely be denied an equal opportunity to enjoy the housing of his choice absent the accommodation. </w:t>
      </w:r>
      <w:bookmarkStart w:id="6600" w:name="Bookmark_I4YRG13R0K1MNJ3810000400_2"/>
      <w:bookmarkEnd w:id="6600"/>
      <w:r>
        <w:rPr>
          <w:rFonts w:ascii="Arial" w:eastAsia="Arial" w:hAnsi="Arial" w:cs="Arial"/>
          <w:i/>
          <w:color w:val="000000"/>
          <w:sz w:val="20"/>
        </w:rPr>
        <w:t xml:space="preserve">See </w:t>
      </w:r>
      <w:bookmarkStart w:id="6601" w:name="Bookmark_I4YRG13R0K1MNJ3800000400"/>
      <w:bookmarkEnd w:id="6601"/>
      <w:r>
        <w:rPr>
          <w:rFonts w:ascii="Arial" w:eastAsia="Arial" w:hAnsi="Arial" w:cs="Arial"/>
          <w:i/>
          <w:color w:val="000000"/>
          <w:sz w:val="20"/>
        </w:rPr>
        <w:t>Tsombanidis,</w:t>
      </w:r>
      <w:r>
        <w:rPr>
          <w:rFonts w:ascii="Arial" w:eastAsia="Arial" w:hAnsi="Arial" w:cs="Arial"/>
          <w:color w:val="000000"/>
          <w:sz w:val="20"/>
        </w:rPr>
        <w:t xml:space="preserve"> 352 F.3d at 578. "A defendant must incur reasonable costs and take modest, affirmative steps to accommodate the handicapped as long as the accommodations sought do not pose an undue hardship or a substantial burden." </w:t>
      </w:r>
      <w:r>
        <w:rPr>
          <w:rFonts w:ascii="Arial" w:eastAsia="Arial" w:hAnsi="Arial" w:cs="Arial"/>
          <w:i/>
          <w:color w:val="000000"/>
          <w:sz w:val="20"/>
        </w:rPr>
        <w:t>Id.</w:t>
      </w:r>
    </w:p>
    <w:p w14:paraId="71D09F2F" w14:textId="77777777" w:rsidR="00D041A2" w:rsidRDefault="00000000">
      <w:pPr>
        <w:pStyle w:val="Normal49"/>
        <w:widowControl w:val="0"/>
        <w:spacing w:before="200" w:line="260" w:lineRule="atLeast"/>
        <w:jc w:val="both"/>
      </w:pPr>
      <w:bookmarkStart w:id="6602" w:name="Bookmark_para_11_42"/>
      <w:bookmarkStart w:id="6603" w:name="Bookmark_I4YRG13R0K1MNJ3830000400"/>
      <w:bookmarkStart w:id="6604" w:name="Bookmark_I4YRG13R0K1MNJ3870000400"/>
      <w:bookmarkEnd w:id="6602"/>
      <w:bookmarkEnd w:id="6603"/>
      <w:bookmarkEnd w:id="6604"/>
      <w:r>
        <w:rPr>
          <w:rFonts w:ascii="Arial" w:eastAsia="Arial" w:hAnsi="Arial" w:cs="Arial"/>
          <w:color w:val="000000"/>
          <w:sz w:val="20"/>
        </w:rPr>
        <w:t xml:space="preserve">In this case, Plaintiffs have failed to show that permitting them to build a multifamily age-restricted development is or may be necessary to allow handicapped seniors an equal opportunity to use and enjoy housing in the community. </w:t>
      </w:r>
      <w:r>
        <w:rPr>
          <w:rFonts w:ascii="Arial" w:eastAsia="Arial" w:hAnsi="Arial" w:cs="Arial"/>
          <w:i/>
          <w:color w:val="000000"/>
          <w:sz w:val="20"/>
        </w:rPr>
        <w:t xml:space="preserve">See </w:t>
      </w:r>
      <w:bookmarkStart w:id="6605" w:name="Bookmark_I4YRG13R0K1MNJ3820000400"/>
      <w:bookmarkEnd w:id="6605"/>
      <w:r>
        <w:rPr>
          <w:rFonts w:ascii="Arial" w:eastAsia="Arial" w:hAnsi="Arial" w:cs="Arial"/>
          <w:i/>
          <w:color w:val="000000"/>
          <w:sz w:val="20"/>
        </w:rPr>
        <w:t>Smith &amp; Lee Assocs., Inc. v. City of Taylor, Mich.,</w:t>
      </w:r>
      <w:r>
        <w:rPr>
          <w:rFonts w:ascii="Arial" w:eastAsia="Arial" w:hAnsi="Arial" w:cs="Arial"/>
          <w:color w:val="000000"/>
          <w:sz w:val="20"/>
        </w:rPr>
        <w:t xml:space="preserve"> 102 F.3d 781, 795 (6th Cir. 1996) (</w:t>
      </w:r>
      <w:bookmarkStart w:id="6606" w:name="Bookmark_LNHNREFclscc12_23"/>
      <w:bookmarkEnd w:id="6606"/>
      <w:r>
        <w:rPr>
          <w:rFonts w:ascii="Arial" w:eastAsia="Arial" w:hAnsi="Arial" w:cs="Arial"/>
          <w:color w:val="000000"/>
          <w:sz w:val="20"/>
        </w:rPr>
        <w:t xml:space="preserve">"[T]he [FHAA] prohibits local governments from applying land use regulations in a manner that will exclude people with disabilities entirely from zoning neighborhoods, particularly  [**10] residential neighborhoods, or that will give disabled people less opportunity to live in certain neighborhoods than people without disabilities." (quoting </w:t>
      </w:r>
      <w:bookmarkStart w:id="6607" w:name="Bookmark_I4YRG13R0K1MNJ3840000400"/>
      <w:bookmarkEnd w:id="6607"/>
      <w:r>
        <w:rPr>
          <w:rFonts w:ascii="Arial" w:eastAsia="Arial" w:hAnsi="Arial" w:cs="Arial"/>
          <w:i/>
          <w:color w:val="000000"/>
          <w:sz w:val="20"/>
        </w:rPr>
        <w:t>Bryant Woods Inn, Inc. v. Howard County, Md.,</w:t>
      </w:r>
      <w:r>
        <w:rPr>
          <w:rFonts w:ascii="Arial" w:eastAsia="Arial" w:hAnsi="Arial" w:cs="Arial"/>
          <w:color w:val="000000"/>
          <w:sz w:val="20"/>
        </w:rPr>
        <w:t xml:space="preserve"> 911 F. Supp. 918, 946 (D. Md. 1996))). In order to fulfill this element, Plaintiffs needed to provide evidence that "the desired accommodation will affirmatively enhance a disabled plaintiff's quality of life by ameliorating the effects of  [*208]  the disability." </w:t>
      </w:r>
      <w:bookmarkStart w:id="6608" w:name="Bookmark_I4YRG13R0K1MNJ3860000400"/>
      <w:bookmarkEnd w:id="6608"/>
      <w:r>
        <w:rPr>
          <w:rFonts w:ascii="Arial" w:eastAsia="Arial" w:hAnsi="Arial" w:cs="Arial"/>
          <w:i/>
          <w:color w:val="000000"/>
          <w:sz w:val="20"/>
        </w:rPr>
        <w:t>Bronk v. Ineichen,</w:t>
      </w:r>
      <w:r>
        <w:rPr>
          <w:rFonts w:ascii="Arial" w:eastAsia="Arial" w:hAnsi="Arial" w:cs="Arial"/>
          <w:color w:val="000000"/>
          <w:sz w:val="20"/>
        </w:rPr>
        <w:t xml:space="preserve"> 54 F.3d 425, 429 (7th Cir. 1995). As discussed above, Plaintiffs have offered no evidence that the dense multifamily aspect of its proposed development, the characteristic for which it requested accommodation, bears a relationship to the handicapped-accessible nature of its units or will ameliorate the effects of its residents' disability. Nor have they shown that development of handicapped-accessible units is fiscally unfeasible at the lower densities required by the current zoning. Therefore, we need not consider whether the requested accommodation is reasonable. </w:t>
      </w:r>
      <w:r>
        <w:rPr>
          <w:rFonts w:ascii="Arial" w:eastAsia="Arial" w:hAnsi="Arial" w:cs="Arial"/>
          <w:vertAlign w:val="superscript"/>
        </w:rPr>
        <w:footnoteReference w:customMarkFollows="1" w:id="318"/>
        <w:t>1</w:t>
      </w:r>
    </w:p>
    <w:p w14:paraId="6B77D1F2" w14:textId="77777777" w:rsidR="00D041A2" w:rsidRDefault="00000000">
      <w:pPr>
        <w:pStyle w:val="Normal49"/>
        <w:widowControl w:val="0"/>
        <w:spacing w:before="200" w:line="260" w:lineRule="atLeast"/>
        <w:jc w:val="both"/>
      </w:pPr>
      <w:bookmarkStart w:id="6610" w:name="Bookmark_para_12_40"/>
      <w:bookmarkEnd w:id="6610"/>
      <w:r>
        <w:rPr>
          <w:rFonts w:ascii="Arial" w:eastAsia="Arial" w:hAnsi="Arial" w:cs="Arial"/>
          <w:color w:val="000000"/>
          <w:sz w:val="20"/>
        </w:rPr>
        <w:t>Finally, Plaintiffs contend that Section 280-157 of the Southold Town Code obligated the Town to hold a public hearing on their petition for a zoning change and that the Town violated the Code in failing to do so. Plaintiffs read the provision to indicate that any action taken on a petition for amendment triggers the requirement of a public hearing. The language unambiguously does not support this reading.</w:t>
      </w:r>
      <w:bookmarkStart w:id="6611" w:name="Bookmark_LNHNREFclscc13_22"/>
      <w:bookmarkEnd w:id="6611"/>
      <w:r>
        <w:rPr>
          <w:rFonts w:ascii="Arial" w:eastAsia="Arial" w:hAnsi="Arial" w:cs="Arial"/>
          <w:color w:val="000000"/>
          <w:sz w:val="20"/>
        </w:rPr>
        <w:t xml:space="preserve"> The provision states that the Town </w:t>
      </w:r>
      <w:r>
        <w:rPr>
          <w:rFonts w:ascii="Arial" w:eastAsia="Arial" w:hAnsi="Arial" w:cs="Arial"/>
          <w:i/>
          <w:color w:val="000000"/>
          <w:sz w:val="20"/>
        </w:rPr>
        <w:t>may</w:t>
      </w:r>
      <w:r>
        <w:rPr>
          <w:rFonts w:ascii="Arial" w:eastAsia="Arial" w:hAnsi="Arial" w:cs="Arial"/>
          <w:color w:val="000000"/>
          <w:sz w:val="20"/>
        </w:rPr>
        <w:t xml:space="preserve"> amend the zoning code from time to time by proceeding in the given manner. This is not a rule requiring that all decisions on amendment be made via a given procedure, but rather one that controls how a positive decision is made: for a change to be made under these requirements, the Board must first have made a written request to the Town Planning Board to get a report and then set a time and place for the requisite public hearing, with at least 10 days notice. The Town here did not violate that order when no change was made; it requested a report and then determined that the amendment would not move forward. In such a situation, the language of the provision does not require a public hearing.</w:t>
      </w:r>
    </w:p>
    <w:p w14:paraId="6EBE2520" w14:textId="77777777" w:rsidR="00D041A2" w:rsidRDefault="00000000">
      <w:pPr>
        <w:pStyle w:val="Normal49"/>
        <w:widowControl w:val="0"/>
        <w:spacing w:before="200" w:line="260" w:lineRule="atLeast"/>
        <w:jc w:val="both"/>
      </w:pPr>
      <w:bookmarkStart w:id="6612" w:name="Bookmark_para_13_38"/>
      <w:bookmarkEnd w:id="6612"/>
      <w:r>
        <w:rPr>
          <w:rFonts w:ascii="Arial" w:eastAsia="Arial" w:hAnsi="Arial" w:cs="Arial"/>
          <w:color w:val="000000"/>
          <w:sz w:val="20"/>
        </w:rPr>
        <w:t>All arguments not otherwise discussed  [**12] in this summary order are found to be moot or without merit.</w:t>
      </w:r>
    </w:p>
    <w:p w14:paraId="0FA33257" w14:textId="77777777" w:rsidR="00D041A2" w:rsidRDefault="00000000">
      <w:pPr>
        <w:pStyle w:val="Normal49"/>
        <w:widowControl w:val="0"/>
        <w:spacing w:before="200" w:line="260" w:lineRule="atLeast"/>
        <w:jc w:val="both"/>
      </w:pPr>
      <w:bookmarkStart w:id="6613" w:name="Bookmark_para_14_34"/>
      <w:bookmarkEnd w:id="6613"/>
      <w:r>
        <w:rPr>
          <w:rFonts w:ascii="Arial" w:eastAsia="Arial" w:hAnsi="Arial" w:cs="Arial"/>
          <w:color w:val="000000"/>
          <w:sz w:val="20"/>
        </w:rPr>
        <w:t>For the foregoing reasons, the judgment of the district court is hereby affirmed.</w:t>
      </w:r>
    </w:p>
    <w:p w14:paraId="02CEF4DF" w14:textId="77777777" w:rsidR="00D041A2" w:rsidRDefault="00D041A2">
      <w:pPr>
        <w:pStyle w:val="Normal49"/>
      </w:pPr>
    </w:p>
    <w:p w14:paraId="5894CA81" w14:textId="0AC6F0F3" w:rsidR="00D041A2" w:rsidRDefault="00000000">
      <w:pPr>
        <w:pStyle w:val="Normal49"/>
        <w:ind w:left="200"/>
      </w:pPr>
      <w:r>
        <w:br/>
      </w:r>
      <w:r w:rsidR="004D4403">
        <w:rPr>
          <w:noProof/>
        </w:rPr>
        <mc:AlternateContent>
          <mc:Choice Requires="wps">
            <w:drawing>
              <wp:anchor distT="0" distB="0" distL="114300" distR="114300" simplePos="0" relativeHeight="251767808" behindDoc="0" locked="0" layoutInCell="1" allowOverlap="1" wp14:anchorId="0B6F3A4D" wp14:editId="2F55D486">
                <wp:simplePos x="0" y="0"/>
                <wp:positionH relativeFrom="column">
                  <wp:posOffset>0</wp:posOffset>
                </wp:positionH>
                <wp:positionV relativeFrom="paragraph">
                  <wp:posOffset>127000</wp:posOffset>
                </wp:positionV>
                <wp:extent cx="6502400" cy="0"/>
                <wp:effectExtent l="9525" t="12700" r="12700" b="6350"/>
                <wp:wrapNone/>
                <wp:docPr id="664661388"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FB6CF" id="Line 10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sectPr w:rsidR="00D041A2">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A2F8E" w14:textId="77777777" w:rsidR="00C46C6B" w:rsidRDefault="00C46C6B">
      <w:r>
        <w:separator/>
      </w:r>
    </w:p>
  </w:endnote>
  <w:endnote w:type="continuationSeparator" w:id="0">
    <w:p w14:paraId="2A3F34C5" w14:textId="77777777" w:rsidR="00C46C6B" w:rsidRDefault="00C46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8CDB4" w14:textId="77777777" w:rsidR="00D041A2" w:rsidRDefault="00D041A2">
    <w:pPr>
      <w:pStyle w:val="Norm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4412AE8E" w14:textId="77777777">
      <w:trPr>
        <w:jc w:val="center"/>
      </w:trPr>
      <w:tc>
        <w:tcPr>
          <w:tcW w:w="2600" w:type="dxa"/>
          <w:tcMar>
            <w:top w:w="200" w:type="dxa"/>
          </w:tcMar>
          <w:vAlign w:val="center"/>
        </w:tcPr>
        <w:p w14:paraId="39E900C4" w14:textId="77777777" w:rsidR="00D041A2" w:rsidRDefault="00D041A2">
          <w:pPr>
            <w:pStyle w:val="Normal0"/>
          </w:pPr>
        </w:p>
      </w:tc>
      <w:tc>
        <w:tcPr>
          <w:tcW w:w="4880" w:type="dxa"/>
          <w:tcMar>
            <w:top w:w="200" w:type="dxa"/>
          </w:tcMar>
          <w:vAlign w:val="center"/>
        </w:tcPr>
        <w:p w14:paraId="3ACF317A" w14:textId="77777777" w:rsidR="00D041A2" w:rsidRDefault="00D041A2">
          <w:pPr>
            <w:pStyle w:val="Normal0"/>
            <w:jc w:val="center"/>
          </w:pPr>
        </w:p>
      </w:tc>
      <w:tc>
        <w:tcPr>
          <w:tcW w:w="2600" w:type="dxa"/>
          <w:tcMar>
            <w:top w:w="200" w:type="dxa"/>
          </w:tcMar>
          <w:vAlign w:val="center"/>
        </w:tcPr>
        <w:p w14:paraId="39A9D9BB" w14:textId="77777777" w:rsidR="00D041A2" w:rsidRDefault="00D041A2">
          <w:pPr>
            <w:pStyle w:val="Normal0"/>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FBAB9" w14:textId="77777777" w:rsidR="00D041A2" w:rsidRDefault="00D041A2">
    <w:pPr>
      <w:pStyle w:val="Normal0"/>
      <w:spacing w:before="20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0720B" w14:textId="77777777" w:rsidR="00D041A2" w:rsidRDefault="00D041A2">
    <w:pPr>
      <w:pStyle w:val="Norm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27721B52" w14:textId="77777777">
      <w:trPr>
        <w:jc w:val="center"/>
      </w:trPr>
      <w:tc>
        <w:tcPr>
          <w:tcW w:w="2600" w:type="dxa"/>
          <w:tcMar>
            <w:top w:w="200" w:type="dxa"/>
          </w:tcMar>
          <w:vAlign w:val="center"/>
        </w:tcPr>
        <w:p w14:paraId="2FFB1136" w14:textId="77777777" w:rsidR="00D041A2" w:rsidRDefault="00D041A2">
          <w:pPr>
            <w:pStyle w:val="Normal1"/>
          </w:pPr>
        </w:p>
      </w:tc>
      <w:tc>
        <w:tcPr>
          <w:tcW w:w="4880" w:type="dxa"/>
          <w:tcMar>
            <w:top w:w="200" w:type="dxa"/>
          </w:tcMar>
          <w:vAlign w:val="center"/>
        </w:tcPr>
        <w:p w14:paraId="4DD00355" w14:textId="77777777" w:rsidR="00D041A2" w:rsidRDefault="00D041A2">
          <w:pPr>
            <w:pStyle w:val="Normal1"/>
            <w:jc w:val="center"/>
          </w:pPr>
        </w:p>
      </w:tc>
      <w:tc>
        <w:tcPr>
          <w:tcW w:w="2600" w:type="dxa"/>
          <w:tcMar>
            <w:top w:w="200" w:type="dxa"/>
          </w:tcMar>
          <w:vAlign w:val="center"/>
        </w:tcPr>
        <w:p w14:paraId="401CAEFE" w14:textId="77777777" w:rsidR="00D041A2" w:rsidRDefault="00D041A2">
          <w:pPr>
            <w:pStyle w:val="Normal1"/>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59C2" w14:textId="77777777" w:rsidR="00D041A2" w:rsidRDefault="00D041A2">
    <w:pPr>
      <w:pStyle w:val="Normal1"/>
      <w:spacing w:before="20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178F3" w14:textId="77777777" w:rsidR="00D041A2" w:rsidRDefault="00D041A2">
    <w:pPr>
      <w:pStyle w:val="Normal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7FCBC99" w14:textId="77777777">
      <w:trPr>
        <w:jc w:val="center"/>
      </w:trPr>
      <w:tc>
        <w:tcPr>
          <w:tcW w:w="2600" w:type="dxa"/>
          <w:tcMar>
            <w:top w:w="200" w:type="dxa"/>
          </w:tcMar>
          <w:vAlign w:val="center"/>
        </w:tcPr>
        <w:p w14:paraId="0C2B671B" w14:textId="77777777" w:rsidR="00D041A2" w:rsidRDefault="00D041A2">
          <w:pPr>
            <w:pStyle w:val="Normal2"/>
          </w:pPr>
        </w:p>
      </w:tc>
      <w:tc>
        <w:tcPr>
          <w:tcW w:w="4880" w:type="dxa"/>
          <w:tcMar>
            <w:top w:w="200" w:type="dxa"/>
          </w:tcMar>
          <w:vAlign w:val="center"/>
        </w:tcPr>
        <w:p w14:paraId="781F3047" w14:textId="77777777" w:rsidR="00D041A2" w:rsidRDefault="00D041A2">
          <w:pPr>
            <w:pStyle w:val="Normal2"/>
            <w:jc w:val="center"/>
          </w:pPr>
        </w:p>
      </w:tc>
      <w:tc>
        <w:tcPr>
          <w:tcW w:w="2600" w:type="dxa"/>
          <w:tcMar>
            <w:top w:w="200" w:type="dxa"/>
          </w:tcMar>
          <w:vAlign w:val="center"/>
        </w:tcPr>
        <w:p w14:paraId="5F8BF9D8" w14:textId="77777777" w:rsidR="00D041A2" w:rsidRDefault="00D041A2">
          <w:pPr>
            <w:pStyle w:val="Normal2"/>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3478" w14:textId="77777777" w:rsidR="00D041A2" w:rsidRDefault="00D041A2">
    <w:pPr>
      <w:pStyle w:val="Normal2"/>
      <w:spacing w:before="20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78EDD" w14:textId="77777777" w:rsidR="00D041A2" w:rsidRDefault="00D041A2">
    <w:pPr>
      <w:pStyle w:val="Normal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4647A287" w14:textId="77777777">
      <w:trPr>
        <w:jc w:val="center"/>
      </w:trPr>
      <w:tc>
        <w:tcPr>
          <w:tcW w:w="2600" w:type="dxa"/>
          <w:tcMar>
            <w:top w:w="200" w:type="dxa"/>
          </w:tcMar>
          <w:vAlign w:val="center"/>
        </w:tcPr>
        <w:p w14:paraId="0AB695A5" w14:textId="77777777" w:rsidR="00D041A2" w:rsidRDefault="00D041A2">
          <w:pPr>
            <w:pStyle w:val="Normal3"/>
          </w:pPr>
        </w:p>
      </w:tc>
      <w:tc>
        <w:tcPr>
          <w:tcW w:w="4880" w:type="dxa"/>
          <w:tcMar>
            <w:top w:w="200" w:type="dxa"/>
          </w:tcMar>
          <w:vAlign w:val="center"/>
        </w:tcPr>
        <w:p w14:paraId="19979217" w14:textId="77777777" w:rsidR="00D041A2" w:rsidRDefault="00D041A2">
          <w:pPr>
            <w:pStyle w:val="Normal3"/>
            <w:jc w:val="center"/>
          </w:pPr>
        </w:p>
      </w:tc>
      <w:tc>
        <w:tcPr>
          <w:tcW w:w="2600" w:type="dxa"/>
          <w:tcMar>
            <w:top w:w="200" w:type="dxa"/>
          </w:tcMar>
          <w:vAlign w:val="center"/>
        </w:tcPr>
        <w:p w14:paraId="66CC4A34" w14:textId="77777777" w:rsidR="00D041A2" w:rsidRDefault="00D041A2">
          <w:pPr>
            <w:pStyle w:val="Normal3"/>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A844" w14:textId="77777777" w:rsidR="00D041A2" w:rsidRDefault="00D041A2">
    <w:pPr>
      <w:pStyle w:val="Normal3"/>
      <w:spacing w:before="20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7AAF2" w14:textId="77777777" w:rsidR="00D041A2" w:rsidRDefault="00D041A2">
    <w:pPr>
      <w:pStyle w:val="Normal4"/>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399B925" w14:textId="77777777">
      <w:trPr>
        <w:jc w:val="center"/>
      </w:trPr>
      <w:tc>
        <w:tcPr>
          <w:tcW w:w="2600" w:type="dxa"/>
          <w:tcMar>
            <w:top w:w="200" w:type="dxa"/>
          </w:tcMar>
          <w:vAlign w:val="center"/>
        </w:tcPr>
        <w:p w14:paraId="4958E2DF" w14:textId="77777777" w:rsidR="00D041A2" w:rsidRDefault="00D041A2">
          <w:pPr>
            <w:pStyle w:val="Normal4"/>
          </w:pPr>
        </w:p>
      </w:tc>
      <w:tc>
        <w:tcPr>
          <w:tcW w:w="4880" w:type="dxa"/>
          <w:tcMar>
            <w:top w:w="200" w:type="dxa"/>
          </w:tcMar>
          <w:vAlign w:val="center"/>
        </w:tcPr>
        <w:p w14:paraId="72047148" w14:textId="77777777" w:rsidR="00D041A2" w:rsidRDefault="00D041A2">
          <w:pPr>
            <w:pStyle w:val="Normal4"/>
            <w:jc w:val="center"/>
          </w:pPr>
        </w:p>
      </w:tc>
      <w:tc>
        <w:tcPr>
          <w:tcW w:w="2600" w:type="dxa"/>
          <w:tcMar>
            <w:top w:w="200" w:type="dxa"/>
          </w:tcMar>
          <w:vAlign w:val="center"/>
        </w:tcPr>
        <w:p w14:paraId="2F7AC30E" w14:textId="77777777" w:rsidR="00D041A2" w:rsidRDefault="00D041A2">
          <w:pPr>
            <w:pStyle w:val="Normal4"/>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41189" w14:textId="77777777" w:rsidR="00D041A2" w:rsidRDefault="00D041A2">
    <w:pPr>
      <w:pStyle w:val="Normal4"/>
      <w:spacing w:before="20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70B1A" w14:textId="77777777" w:rsidR="00D041A2" w:rsidRDefault="00D041A2">
    <w:pPr>
      <w:pStyle w:val="Normal5"/>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3895E0FD" w14:textId="77777777">
      <w:trPr>
        <w:jc w:val="center"/>
      </w:trPr>
      <w:tc>
        <w:tcPr>
          <w:tcW w:w="2600" w:type="dxa"/>
          <w:tcMar>
            <w:top w:w="200" w:type="dxa"/>
          </w:tcMar>
          <w:vAlign w:val="center"/>
        </w:tcPr>
        <w:p w14:paraId="7C2F3405" w14:textId="77777777" w:rsidR="00D041A2" w:rsidRDefault="00D041A2">
          <w:pPr>
            <w:pStyle w:val="Normal5"/>
          </w:pPr>
        </w:p>
      </w:tc>
      <w:tc>
        <w:tcPr>
          <w:tcW w:w="4880" w:type="dxa"/>
          <w:tcMar>
            <w:top w:w="200" w:type="dxa"/>
          </w:tcMar>
          <w:vAlign w:val="center"/>
        </w:tcPr>
        <w:p w14:paraId="39EBACB6" w14:textId="77777777" w:rsidR="00D041A2" w:rsidRDefault="00D041A2">
          <w:pPr>
            <w:pStyle w:val="Normal5"/>
            <w:jc w:val="center"/>
          </w:pPr>
        </w:p>
      </w:tc>
      <w:tc>
        <w:tcPr>
          <w:tcW w:w="2600" w:type="dxa"/>
          <w:tcMar>
            <w:top w:w="200" w:type="dxa"/>
          </w:tcMar>
          <w:vAlign w:val="center"/>
        </w:tcPr>
        <w:p w14:paraId="214D9690" w14:textId="77777777" w:rsidR="00D041A2" w:rsidRDefault="00D041A2">
          <w:pPr>
            <w:pStyle w:val="Normal5"/>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07190" w14:textId="77777777" w:rsidR="00D041A2" w:rsidRDefault="00D041A2">
    <w:pPr>
      <w:pStyle w:val="Normal5"/>
      <w:spacing w:before="20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4EDD6" w14:textId="77777777" w:rsidR="00D041A2" w:rsidRDefault="00D041A2">
    <w:pPr>
      <w:pStyle w:val="Normal6"/>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612BF630" w14:textId="77777777">
      <w:trPr>
        <w:jc w:val="center"/>
      </w:trPr>
      <w:tc>
        <w:tcPr>
          <w:tcW w:w="2600" w:type="dxa"/>
          <w:tcMar>
            <w:top w:w="200" w:type="dxa"/>
          </w:tcMar>
          <w:vAlign w:val="center"/>
        </w:tcPr>
        <w:p w14:paraId="7891B4A4" w14:textId="77777777" w:rsidR="00D041A2" w:rsidRDefault="00D041A2">
          <w:pPr>
            <w:pStyle w:val="Normal6"/>
          </w:pPr>
        </w:p>
      </w:tc>
      <w:tc>
        <w:tcPr>
          <w:tcW w:w="4880" w:type="dxa"/>
          <w:tcMar>
            <w:top w:w="200" w:type="dxa"/>
          </w:tcMar>
          <w:vAlign w:val="center"/>
        </w:tcPr>
        <w:p w14:paraId="08CBF29D" w14:textId="77777777" w:rsidR="00D041A2" w:rsidRDefault="00D041A2">
          <w:pPr>
            <w:pStyle w:val="Normal6"/>
            <w:jc w:val="center"/>
          </w:pPr>
        </w:p>
      </w:tc>
      <w:tc>
        <w:tcPr>
          <w:tcW w:w="2600" w:type="dxa"/>
          <w:tcMar>
            <w:top w:w="200" w:type="dxa"/>
          </w:tcMar>
          <w:vAlign w:val="center"/>
        </w:tcPr>
        <w:p w14:paraId="13272E68" w14:textId="77777777" w:rsidR="00D041A2" w:rsidRDefault="00D041A2">
          <w:pPr>
            <w:pStyle w:val="Normal6"/>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D75EF" w14:textId="77777777" w:rsidR="00D041A2" w:rsidRDefault="00D041A2">
    <w:pPr>
      <w:pStyle w:val="Normal6"/>
      <w:spacing w:before="20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D5FBB" w14:textId="77777777" w:rsidR="00D041A2" w:rsidRDefault="00D041A2">
    <w:pPr>
      <w:pStyle w:val="Normal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40D6500F" w14:textId="77777777">
      <w:trPr>
        <w:jc w:val="center"/>
      </w:trPr>
      <w:tc>
        <w:tcPr>
          <w:tcW w:w="2600" w:type="dxa"/>
          <w:tcMar>
            <w:top w:w="200" w:type="dxa"/>
          </w:tcMar>
          <w:vAlign w:val="center"/>
        </w:tcPr>
        <w:p w14:paraId="5AB39935" w14:textId="77777777" w:rsidR="00D041A2" w:rsidRDefault="00D041A2">
          <w:pPr>
            <w:pStyle w:val="Normal7"/>
          </w:pPr>
        </w:p>
      </w:tc>
      <w:tc>
        <w:tcPr>
          <w:tcW w:w="4880" w:type="dxa"/>
          <w:tcMar>
            <w:top w:w="200" w:type="dxa"/>
          </w:tcMar>
          <w:vAlign w:val="center"/>
        </w:tcPr>
        <w:p w14:paraId="37097CA4" w14:textId="77777777" w:rsidR="00D041A2" w:rsidRDefault="00D041A2">
          <w:pPr>
            <w:pStyle w:val="Normal7"/>
            <w:jc w:val="center"/>
          </w:pPr>
        </w:p>
      </w:tc>
      <w:tc>
        <w:tcPr>
          <w:tcW w:w="2600" w:type="dxa"/>
          <w:tcMar>
            <w:top w:w="200" w:type="dxa"/>
          </w:tcMar>
          <w:vAlign w:val="center"/>
        </w:tcPr>
        <w:p w14:paraId="01FF791F" w14:textId="77777777" w:rsidR="00D041A2" w:rsidRDefault="00D041A2">
          <w:pPr>
            <w:pStyle w:val="Normal7"/>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C1BF" w14:textId="77777777" w:rsidR="00D041A2" w:rsidRDefault="00D041A2">
    <w:pPr>
      <w:pStyle w:val="Normal7"/>
      <w:spacing w:before="20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94604" w14:textId="77777777" w:rsidR="00D041A2" w:rsidRDefault="00D041A2">
    <w:pPr>
      <w:pStyle w:val="Normal8"/>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47E81058" w14:textId="77777777">
      <w:trPr>
        <w:jc w:val="center"/>
      </w:trPr>
      <w:tc>
        <w:tcPr>
          <w:tcW w:w="2600" w:type="dxa"/>
          <w:tcMar>
            <w:top w:w="200" w:type="dxa"/>
          </w:tcMar>
          <w:vAlign w:val="center"/>
        </w:tcPr>
        <w:p w14:paraId="66EB970A" w14:textId="77777777" w:rsidR="00D041A2" w:rsidRDefault="00D041A2">
          <w:pPr>
            <w:pStyle w:val="Normal8"/>
          </w:pPr>
        </w:p>
      </w:tc>
      <w:tc>
        <w:tcPr>
          <w:tcW w:w="4880" w:type="dxa"/>
          <w:tcMar>
            <w:top w:w="200" w:type="dxa"/>
          </w:tcMar>
          <w:vAlign w:val="center"/>
        </w:tcPr>
        <w:p w14:paraId="770E3D29" w14:textId="77777777" w:rsidR="00D041A2" w:rsidRDefault="00D041A2">
          <w:pPr>
            <w:pStyle w:val="Normal8"/>
            <w:jc w:val="center"/>
          </w:pPr>
        </w:p>
      </w:tc>
      <w:tc>
        <w:tcPr>
          <w:tcW w:w="2600" w:type="dxa"/>
          <w:tcMar>
            <w:top w:w="200" w:type="dxa"/>
          </w:tcMar>
          <w:vAlign w:val="center"/>
        </w:tcPr>
        <w:p w14:paraId="784D48A0" w14:textId="77777777" w:rsidR="00D041A2" w:rsidRDefault="00D041A2">
          <w:pPr>
            <w:pStyle w:val="Normal8"/>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A88EB" w14:textId="77777777" w:rsidR="00D041A2" w:rsidRDefault="00D041A2">
    <w:pPr>
      <w:pStyle w:val="Normal8"/>
      <w:spacing w:before="200"/>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1D321" w14:textId="77777777" w:rsidR="00D041A2" w:rsidRDefault="00D041A2">
    <w:pPr>
      <w:pStyle w:val="Normal9"/>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5E590CC0" w14:textId="77777777">
      <w:trPr>
        <w:jc w:val="center"/>
      </w:trPr>
      <w:tc>
        <w:tcPr>
          <w:tcW w:w="2600" w:type="dxa"/>
          <w:tcMar>
            <w:top w:w="200" w:type="dxa"/>
          </w:tcMar>
          <w:vAlign w:val="center"/>
        </w:tcPr>
        <w:p w14:paraId="1D2F3ABE" w14:textId="77777777" w:rsidR="00D041A2" w:rsidRDefault="00D041A2">
          <w:pPr>
            <w:pStyle w:val="Normal9"/>
          </w:pPr>
        </w:p>
      </w:tc>
      <w:tc>
        <w:tcPr>
          <w:tcW w:w="4880" w:type="dxa"/>
          <w:tcMar>
            <w:top w:w="200" w:type="dxa"/>
          </w:tcMar>
          <w:vAlign w:val="center"/>
        </w:tcPr>
        <w:p w14:paraId="37ED404C" w14:textId="77777777" w:rsidR="00D041A2" w:rsidRDefault="00D041A2">
          <w:pPr>
            <w:pStyle w:val="Normal9"/>
            <w:jc w:val="center"/>
          </w:pPr>
        </w:p>
      </w:tc>
      <w:tc>
        <w:tcPr>
          <w:tcW w:w="2600" w:type="dxa"/>
          <w:tcMar>
            <w:top w:w="200" w:type="dxa"/>
          </w:tcMar>
          <w:vAlign w:val="center"/>
        </w:tcPr>
        <w:p w14:paraId="23C88312" w14:textId="77777777" w:rsidR="00D041A2" w:rsidRDefault="00D041A2">
          <w:pPr>
            <w:pStyle w:val="Normal9"/>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8269A" w14:textId="77777777" w:rsidR="00D041A2" w:rsidRDefault="00D041A2">
    <w:pPr>
      <w:pStyle w:val="Normal9"/>
      <w:spacing w:before="200"/>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9425B" w14:textId="77777777" w:rsidR="00D041A2" w:rsidRDefault="00D041A2">
    <w:pPr>
      <w:pStyle w:val="Normal1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2CD7383D" w14:textId="77777777">
      <w:trPr>
        <w:jc w:val="center"/>
      </w:trPr>
      <w:tc>
        <w:tcPr>
          <w:tcW w:w="2600" w:type="dxa"/>
          <w:tcMar>
            <w:top w:w="200" w:type="dxa"/>
          </w:tcMar>
          <w:vAlign w:val="center"/>
        </w:tcPr>
        <w:p w14:paraId="71D034BB" w14:textId="77777777" w:rsidR="00D041A2" w:rsidRDefault="00D041A2">
          <w:pPr>
            <w:pStyle w:val="Normal10"/>
          </w:pPr>
        </w:p>
      </w:tc>
      <w:tc>
        <w:tcPr>
          <w:tcW w:w="4880" w:type="dxa"/>
          <w:tcMar>
            <w:top w:w="200" w:type="dxa"/>
          </w:tcMar>
          <w:vAlign w:val="center"/>
        </w:tcPr>
        <w:p w14:paraId="5B83DBD3" w14:textId="77777777" w:rsidR="00D041A2" w:rsidRDefault="00D041A2">
          <w:pPr>
            <w:pStyle w:val="Normal10"/>
            <w:jc w:val="center"/>
          </w:pPr>
        </w:p>
      </w:tc>
      <w:tc>
        <w:tcPr>
          <w:tcW w:w="2600" w:type="dxa"/>
          <w:tcMar>
            <w:top w:w="200" w:type="dxa"/>
          </w:tcMar>
          <w:vAlign w:val="center"/>
        </w:tcPr>
        <w:p w14:paraId="6C950B16" w14:textId="77777777" w:rsidR="00D041A2" w:rsidRDefault="00D041A2">
          <w:pPr>
            <w:pStyle w:val="Normal10"/>
          </w:pP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D9892" w14:textId="77777777" w:rsidR="00D041A2" w:rsidRDefault="00D041A2">
    <w:pPr>
      <w:pStyle w:val="Normal10"/>
      <w:spacing w:before="200"/>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179F4" w14:textId="77777777" w:rsidR="00D041A2" w:rsidRDefault="00D041A2">
    <w:pPr>
      <w:pStyle w:val="Normal1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51263805" w14:textId="77777777">
      <w:trPr>
        <w:jc w:val="center"/>
      </w:trPr>
      <w:tc>
        <w:tcPr>
          <w:tcW w:w="2600" w:type="dxa"/>
          <w:tcMar>
            <w:top w:w="200" w:type="dxa"/>
          </w:tcMar>
          <w:vAlign w:val="center"/>
        </w:tcPr>
        <w:p w14:paraId="232EC456" w14:textId="77777777" w:rsidR="00D041A2" w:rsidRDefault="00D041A2">
          <w:pPr>
            <w:pStyle w:val="Normal11"/>
          </w:pPr>
        </w:p>
      </w:tc>
      <w:tc>
        <w:tcPr>
          <w:tcW w:w="4880" w:type="dxa"/>
          <w:tcMar>
            <w:top w:w="200" w:type="dxa"/>
          </w:tcMar>
          <w:vAlign w:val="center"/>
        </w:tcPr>
        <w:p w14:paraId="542ED954" w14:textId="77777777" w:rsidR="00D041A2" w:rsidRDefault="00D041A2">
          <w:pPr>
            <w:pStyle w:val="Normal11"/>
            <w:jc w:val="center"/>
          </w:pPr>
        </w:p>
      </w:tc>
      <w:tc>
        <w:tcPr>
          <w:tcW w:w="2600" w:type="dxa"/>
          <w:tcMar>
            <w:top w:w="200" w:type="dxa"/>
          </w:tcMar>
          <w:vAlign w:val="center"/>
        </w:tcPr>
        <w:p w14:paraId="24544D4D" w14:textId="77777777" w:rsidR="00D041A2" w:rsidRDefault="00D041A2">
          <w:pPr>
            <w:pStyle w:val="Normal11"/>
          </w:pP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B256" w14:textId="77777777" w:rsidR="00D041A2" w:rsidRDefault="00D041A2">
    <w:pPr>
      <w:pStyle w:val="Normal11"/>
      <w:spacing w:before="200"/>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1E2F2" w14:textId="77777777" w:rsidR="00D041A2" w:rsidRDefault="00D041A2">
    <w:pPr>
      <w:pStyle w:val="Normal12"/>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3D6B81B4" w14:textId="77777777">
      <w:trPr>
        <w:jc w:val="center"/>
      </w:trPr>
      <w:tc>
        <w:tcPr>
          <w:tcW w:w="2600" w:type="dxa"/>
          <w:tcMar>
            <w:top w:w="200" w:type="dxa"/>
          </w:tcMar>
          <w:vAlign w:val="center"/>
        </w:tcPr>
        <w:p w14:paraId="360A7770" w14:textId="77777777" w:rsidR="00D041A2" w:rsidRDefault="00D041A2">
          <w:pPr>
            <w:pStyle w:val="Normal12"/>
          </w:pPr>
        </w:p>
      </w:tc>
      <w:tc>
        <w:tcPr>
          <w:tcW w:w="4880" w:type="dxa"/>
          <w:tcMar>
            <w:top w:w="200" w:type="dxa"/>
          </w:tcMar>
          <w:vAlign w:val="center"/>
        </w:tcPr>
        <w:p w14:paraId="4A94C865" w14:textId="77777777" w:rsidR="00D041A2" w:rsidRDefault="00D041A2">
          <w:pPr>
            <w:pStyle w:val="Normal12"/>
            <w:jc w:val="center"/>
          </w:pPr>
        </w:p>
      </w:tc>
      <w:tc>
        <w:tcPr>
          <w:tcW w:w="2600" w:type="dxa"/>
          <w:tcMar>
            <w:top w:w="200" w:type="dxa"/>
          </w:tcMar>
          <w:vAlign w:val="center"/>
        </w:tcPr>
        <w:p w14:paraId="48D8BA2F" w14:textId="77777777" w:rsidR="00D041A2" w:rsidRDefault="00D041A2">
          <w:pPr>
            <w:pStyle w:val="Normal12"/>
          </w:pP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1AEDE" w14:textId="77777777" w:rsidR="00D041A2" w:rsidRDefault="00D041A2">
    <w:pPr>
      <w:pStyle w:val="Normal12"/>
      <w:spacing w:before="200"/>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80310" w14:textId="77777777" w:rsidR="00D041A2" w:rsidRDefault="00D041A2">
    <w:pPr>
      <w:pStyle w:val="Normal13"/>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33C5678" w14:textId="77777777">
      <w:trPr>
        <w:jc w:val="center"/>
      </w:trPr>
      <w:tc>
        <w:tcPr>
          <w:tcW w:w="2600" w:type="dxa"/>
          <w:tcMar>
            <w:top w:w="200" w:type="dxa"/>
          </w:tcMar>
          <w:vAlign w:val="center"/>
        </w:tcPr>
        <w:p w14:paraId="61BD94C9" w14:textId="77777777" w:rsidR="00D041A2" w:rsidRDefault="00D041A2">
          <w:pPr>
            <w:pStyle w:val="Normal13"/>
          </w:pPr>
        </w:p>
      </w:tc>
      <w:tc>
        <w:tcPr>
          <w:tcW w:w="4880" w:type="dxa"/>
          <w:tcMar>
            <w:top w:w="200" w:type="dxa"/>
          </w:tcMar>
          <w:vAlign w:val="center"/>
        </w:tcPr>
        <w:p w14:paraId="4101D7AF" w14:textId="77777777" w:rsidR="00D041A2" w:rsidRDefault="00D041A2">
          <w:pPr>
            <w:pStyle w:val="Normal13"/>
            <w:jc w:val="center"/>
          </w:pPr>
        </w:p>
      </w:tc>
      <w:tc>
        <w:tcPr>
          <w:tcW w:w="2600" w:type="dxa"/>
          <w:tcMar>
            <w:top w:w="200" w:type="dxa"/>
          </w:tcMar>
          <w:vAlign w:val="center"/>
        </w:tcPr>
        <w:p w14:paraId="7EBC274B" w14:textId="77777777" w:rsidR="00D041A2" w:rsidRDefault="00D041A2">
          <w:pPr>
            <w:pStyle w:val="Normal13"/>
          </w:pP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E413A" w14:textId="77777777" w:rsidR="00D041A2" w:rsidRDefault="00D041A2">
    <w:pPr>
      <w:pStyle w:val="Normal13"/>
      <w:spacing w:before="200"/>
      <w:jc w:val="cen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6E9CB" w14:textId="77777777" w:rsidR="00D041A2" w:rsidRDefault="00D041A2">
    <w:pPr>
      <w:pStyle w:val="Normal14"/>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3BFD084D" w14:textId="77777777">
      <w:trPr>
        <w:jc w:val="center"/>
      </w:trPr>
      <w:tc>
        <w:tcPr>
          <w:tcW w:w="2600" w:type="dxa"/>
          <w:tcMar>
            <w:top w:w="200" w:type="dxa"/>
          </w:tcMar>
          <w:vAlign w:val="center"/>
        </w:tcPr>
        <w:p w14:paraId="6F02A426" w14:textId="77777777" w:rsidR="00D041A2" w:rsidRDefault="00D041A2">
          <w:pPr>
            <w:pStyle w:val="Normal14"/>
          </w:pPr>
        </w:p>
      </w:tc>
      <w:tc>
        <w:tcPr>
          <w:tcW w:w="4880" w:type="dxa"/>
          <w:tcMar>
            <w:top w:w="200" w:type="dxa"/>
          </w:tcMar>
          <w:vAlign w:val="center"/>
        </w:tcPr>
        <w:p w14:paraId="5360293C" w14:textId="77777777" w:rsidR="00D041A2" w:rsidRDefault="00D041A2">
          <w:pPr>
            <w:pStyle w:val="Normal14"/>
            <w:jc w:val="center"/>
          </w:pPr>
        </w:p>
      </w:tc>
      <w:tc>
        <w:tcPr>
          <w:tcW w:w="2600" w:type="dxa"/>
          <w:tcMar>
            <w:top w:w="200" w:type="dxa"/>
          </w:tcMar>
          <w:vAlign w:val="center"/>
        </w:tcPr>
        <w:p w14:paraId="2B1ABE23" w14:textId="77777777" w:rsidR="00D041A2" w:rsidRDefault="00D041A2">
          <w:pPr>
            <w:pStyle w:val="Normal14"/>
          </w:pP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B861D" w14:textId="77777777" w:rsidR="00D041A2" w:rsidRDefault="00D041A2">
    <w:pPr>
      <w:pStyle w:val="Normal14"/>
      <w:spacing w:before="200"/>
      <w:jc w:val="cen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25EEF" w14:textId="77777777" w:rsidR="00D041A2" w:rsidRDefault="00D041A2">
    <w:pPr>
      <w:pStyle w:val="Normal15"/>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26D9D292" w14:textId="77777777">
      <w:trPr>
        <w:jc w:val="center"/>
      </w:trPr>
      <w:tc>
        <w:tcPr>
          <w:tcW w:w="2600" w:type="dxa"/>
          <w:tcMar>
            <w:top w:w="200" w:type="dxa"/>
          </w:tcMar>
          <w:vAlign w:val="center"/>
        </w:tcPr>
        <w:p w14:paraId="267B9F50" w14:textId="77777777" w:rsidR="00D041A2" w:rsidRDefault="00D041A2">
          <w:pPr>
            <w:pStyle w:val="Normal15"/>
          </w:pPr>
        </w:p>
      </w:tc>
      <w:tc>
        <w:tcPr>
          <w:tcW w:w="4880" w:type="dxa"/>
          <w:tcMar>
            <w:top w:w="200" w:type="dxa"/>
          </w:tcMar>
          <w:vAlign w:val="center"/>
        </w:tcPr>
        <w:p w14:paraId="6F9B7BA1" w14:textId="77777777" w:rsidR="00D041A2" w:rsidRDefault="00D041A2">
          <w:pPr>
            <w:pStyle w:val="Normal15"/>
            <w:jc w:val="center"/>
          </w:pPr>
        </w:p>
      </w:tc>
      <w:tc>
        <w:tcPr>
          <w:tcW w:w="2600" w:type="dxa"/>
          <w:tcMar>
            <w:top w:w="200" w:type="dxa"/>
          </w:tcMar>
          <w:vAlign w:val="center"/>
        </w:tcPr>
        <w:p w14:paraId="3AE2B8D7" w14:textId="77777777" w:rsidR="00D041A2" w:rsidRDefault="00D041A2">
          <w:pPr>
            <w:pStyle w:val="Normal15"/>
          </w:pP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63024" w14:textId="77777777" w:rsidR="00D041A2" w:rsidRDefault="00D041A2">
    <w:pPr>
      <w:pStyle w:val="Normal15"/>
      <w:spacing w:before="200"/>
      <w:jc w:val="cen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79793" w14:textId="77777777" w:rsidR="00D041A2" w:rsidRDefault="00D041A2">
    <w:pPr>
      <w:pStyle w:val="Normal16"/>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0DA74492" w14:textId="77777777">
      <w:trPr>
        <w:jc w:val="center"/>
      </w:trPr>
      <w:tc>
        <w:tcPr>
          <w:tcW w:w="2600" w:type="dxa"/>
          <w:tcMar>
            <w:top w:w="200" w:type="dxa"/>
          </w:tcMar>
          <w:vAlign w:val="center"/>
        </w:tcPr>
        <w:p w14:paraId="381C0AE9" w14:textId="77777777" w:rsidR="00D041A2" w:rsidRDefault="00D041A2">
          <w:pPr>
            <w:pStyle w:val="Normal16"/>
          </w:pPr>
        </w:p>
      </w:tc>
      <w:tc>
        <w:tcPr>
          <w:tcW w:w="4880" w:type="dxa"/>
          <w:tcMar>
            <w:top w:w="200" w:type="dxa"/>
          </w:tcMar>
          <w:vAlign w:val="center"/>
        </w:tcPr>
        <w:p w14:paraId="26DB6FDA" w14:textId="77777777" w:rsidR="00D041A2" w:rsidRDefault="00D041A2">
          <w:pPr>
            <w:pStyle w:val="Normal16"/>
            <w:jc w:val="center"/>
          </w:pPr>
        </w:p>
      </w:tc>
      <w:tc>
        <w:tcPr>
          <w:tcW w:w="2600" w:type="dxa"/>
          <w:tcMar>
            <w:top w:w="200" w:type="dxa"/>
          </w:tcMar>
          <w:vAlign w:val="center"/>
        </w:tcPr>
        <w:p w14:paraId="4B5EC48D" w14:textId="77777777" w:rsidR="00D041A2" w:rsidRDefault="00D041A2">
          <w:pPr>
            <w:pStyle w:val="Normal16"/>
          </w:pP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29DA9" w14:textId="77777777" w:rsidR="00D041A2" w:rsidRDefault="00D041A2">
    <w:pPr>
      <w:pStyle w:val="Normal16"/>
      <w:spacing w:before="200"/>
      <w:jc w:val="cen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E3586" w14:textId="77777777" w:rsidR="00D041A2" w:rsidRDefault="00D041A2">
    <w:pPr>
      <w:pStyle w:val="Normal17"/>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3F473D1F" w14:textId="77777777">
      <w:trPr>
        <w:jc w:val="center"/>
      </w:trPr>
      <w:tc>
        <w:tcPr>
          <w:tcW w:w="2600" w:type="dxa"/>
          <w:tcMar>
            <w:top w:w="200" w:type="dxa"/>
          </w:tcMar>
          <w:vAlign w:val="center"/>
        </w:tcPr>
        <w:p w14:paraId="51A8F217" w14:textId="77777777" w:rsidR="00D041A2" w:rsidRDefault="00D041A2">
          <w:pPr>
            <w:pStyle w:val="Normal17"/>
          </w:pPr>
        </w:p>
      </w:tc>
      <w:tc>
        <w:tcPr>
          <w:tcW w:w="4880" w:type="dxa"/>
          <w:tcMar>
            <w:top w:w="200" w:type="dxa"/>
          </w:tcMar>
          <w:vAlign w:val="center"/>
        </w:tcPr>
        <w:p w14:paraId="595C3F1C" w14:textId="77777777" w:rsidR="00D041A2" w:rsidRDefault="00D041A2">
          <w:pPr>
            <w:pStyle w:val="Normal17"/>
            <w:jc w:val="center"/>
          </w:pPr>
        </w:p>
      </w:tc>
      <w:tc>
        <w:tcPr>
          <w:tcW w:w="2600" w:type="dxa"/>
          <w:tcMar>
            <w:top w:w="200" w:type="dxa"/>
          </w:tcMar>
          <w:vAlign w:val="center"/>
        </w:tcPr>
        <w:p w14:paraId="42EDFE72" w14:textId="77777777" w:rsidR="00D041A2" w:rsidRDefault="00D041A2">
          <w:pPr>
            <w:pStyle w:val="Normal17"/>
          </w:pP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C4583" w14:textId="77777777" w:rsidR="00D041A2" w:rsidRDefault="00D041A2">
    <w:pPr>
      <w:pStyle w:val="Normal17"/>
      <w:spacing w:before="200"/>
      <w:jc w:val="cen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9C0C" w14:textId="77777777" w:rsidR="00D041A2" w:rsidRDefault="00D041A2">
    <w:pPr>
      <w:pStyle w:val="Normal18"/>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3FCFB4E" w14:textId="77777777">
      <w:trPr>
        <w:jc w:val="center"/>
      </w:trPr>
      <w:tc>
        <w:tcPr>
          <w:tcW w:w="2600" w:type="dxa"/>
          <w:tcMar>
            <w:top w:w="200" w:type="dxa"/>
          </w:tcMar>
          <w:vAlign w:val="center"/>
        </w:tcPr>
        <w:p w14:paraId="7C616791" w14:textId="77777777" w:rsidR="00D041A2" w:rsidRDefault="00D041A2">
          <w:pPr>
            <w:pStyle w:val="Normal18"/>
          </w:pPr>
        </w:p>
      </w:tc>
      <w:tc>
        <w:tcPr>
          <w:tcW w:w="4880" w:type="dxa"/>
          <w:tcMar>
            <w:top w:w="200" w:type="dxa"/>
          </w:tcMar>
          <w:vAlign w:val="center"/>
        </w:tcPr>
        <w:p w14:paraId="3FCF2A26" w14:textId="77777777" w:rsidR="00D041A2" w:rsidRDefault="00D041A2">
          <w:pPr>
            <w:pStyle w:val="Normal18"/>
            <w:jc w:val="center"/>
          </w:pPr>
        </w:p>
      </w:tc>
      <w:tc>
        <w:tcPr>
          <w:tcW w:w="2600" w:type="dxa"/>
          <w:tcMar>
            <w:top w:w="200" w:type="dxa"/>
          </w:tcMar>
          <w:vAlign w:val="center"/>
        </w:tcPr>
        <w:p w14:paraId="0990D30B" w14:textId="77777777" w:rsidR="00D041A2" w:rsidRDefault="00D041A2">
          <w:pPr>
            <w:pStyle w:val="Normal18"/>
          </w:pP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85406" w14:textId="77777777" w:rsidR="00D041A2" w:rsidRDefault="00D041A2">
    <w:pPr>
      <w:pStyle w:val="Normal18"/>
      <w:spacing w:before="200"/>
      <w:jc w:val="cen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51550" w14:textId="77777777" w:rsidR="00D041A2" w:rsidRDefault="00D041A2">
    <w:pPr>
      <w:pStyle w:val="Normal19"/>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3D5C784B" w14:textId="77777777">
      <w:trPr>
        <w:jc w:val="center"/>
      </w:trPr>
      <w:tc>
        <w:tcPr>
          <w:tcW w:w="2600" w:type="dxa"/>
          <w:tcMar>
            <w:top w:w="200" w:type="dxa"/>
          </w:tcMar>
          <w:vAlign w:val="center"/>
        </w:tcPr>
        <w:p w14:paraId="4DD63574" w14:textId="77777777" w:rsidR="00D041A2" w:rsidRDefault="00D041A2">
          <w:pPr>
            <w:pStyle w:val="Normal19"/>
          </w:pPr>
        </w:p>
      </w:tc>
      <w:tc>
        <w:tcPr>
          <w:tcW w:w="4880" w:type="dxa"/>
          <w:tcMar>
            <w:top w:w="200" w:type="dxa"/>
          </w:tcMar>
          <w:vAlign w:val="center"/>
        </w:tcPr>
        <w:p w14:paraId="2DCD7D6E" w14:textId="77777777" w:rsidR="00D041A2" w:rsidRDefault="00D041A2">
          <w:pPr>
            <w:pStyle w:val="Normal19"/>
            <w:jc w:val="center"/>
          </w:pPr>
        </w:p>
      </w:tc>
      <w:tc>
        <w:tcPr>
          <w:tcW w:w="2600" w:type="dxa"/>
          <w:tcMar>
            <w:top w:w="200" w:type="dxa"/>
          </w:tcMar>
          <w:vAlign w:val="center"/>
        </w:tcPr>
        <w:p w14:paraId="3F51BA14" w14:textId="77777777" w:rsidR="00D041A2" w:rsidRDefault="00D041A2">
          <w:pPr>
            <w:pStyle w:val="Normal19"/>
          </w:pP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3ADAE" w14:textId="77777777" w:rsidR="00D041A2" w:rsidRDefault="00D041A2">
    <w:pPr>
      <w:pStyle w:val="Normal19"/>
      <w:spacing w:before="200"/>
      <w:jc w:val="cen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65BF9" w14:textId="77777777" w:rsidR="00D041A2" w:rsidRDefault="00D041A2">
    <w:pPr>
      <w:pStyle w:val="Normal2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58417769" w14:textId="77777777">
      <w:trPr>
        <w:jc w:val="center"/>
      </w:trPr>
      <w:tc>
        <w:tcPr>
          <w:tcW w:w="2600" w:type="dxa"/>
          <w:tcMar>
            <w:top w:w="200" w:type="dxa"/>
          </w:tcMar>
          <w:vAlign w:val="center"/>
        </w:tcPr>
        <w:p w14:paraId="0C465E46" w14:textId="77777777" w:rsidR="00D041A2" w:rsidRDefault="00D041A2">
          <w:pPr>
            <w:pStyle w:val="Normal20"/>
          </w:pPr>
        </w:p>
      </w:tc>
      <w:tc>
        <w:tcPr>
          <w:tcW w:w="4880" w:type="dxa"/>
          <w:tcMar>
            <w:top w:w="200" w:type="dxa"/>
          </w:tcMar>
          <w:vAlign w:val="center"/>
        </w:tcPr>
        <w:p w14:paraId="029B5D81" w14:textId="77777777" w:rsidR="00D041A2" w:rsidRDefault="00D041A2">
          <w:pPr>
            <w:pStyle w:val="Normal20"/>
            <w:jc w:val="center"/>
          </w:pPr>
        </w:p>
      </w:tc>
      <w:tc>
        <w:tcPr>
          <w:tcW w:w="2600" w:type="dxa"/>
          <w:tcMar>
            <w:top w:w="200" w:type="dxa"/>
          </w:tcMar>
          <w:vAlign w:val="center"/>
        </w:tcPr>
        <w:p w14:paraId="1D5EC893" w14:textId="77777777" w:rsidR="00D041A2" w:rsidRDefault="00D041A2">
          <w:pPr>
            <w:pStyle w:val="Normal20"/>
          </w:pPr>
        </w:p>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940BE" w14:textId="77777777" w:rsidR="00D041A2" w:rsidRDefault="00D041A2">
    <w:pPr>
      <w:pStyle w:val="Normal20"/>
      <w:spacing w:before="200"/>
      <w:jc w:val="cen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0206A" w14:textId="77777777" w:rsidR="00D041A2" w:rsidRDefault="00D041A2">
    <w:pPr>
      <w:pStyle w:val="Normal21"/>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4A7D4E09" w14:textId="77777777">
      <w:trPr>
        <w:jc w:val="center"/>
      </w:trPr>
      <w:tc>
        <w:tcPr>
          <w:tcW w:w="2600" w:type="dxa"/>
          <w:tcMar>
            <w:top w:w="200" w:type="dxa"/>
          </w:tcMar>
          <w:vAlign w:val="center"/>
        </w:tcPr>
        <w:p w14:paraId="6FD78FDD" w14:textId="77777777" w:rsidR="00D041A2" w:rsidRDefault="00D041A2">
          <w:pPr>
            <w:pStyle w:val="Normal21"/>
          </w:pPr>
        </w:p>
      </w:tc>
      <w:tc>
        <w:tcPr>
          <w:tcW w:w="4880" w:type="dxa"/>
          <w:tcMar>
            <w:top w:w="200" w:type="dxa"/>
          </w:tcMar>
          <w:vAlign w:val="center"/>
        </w:tcPr>
        <w:p w14:paraId="3BB70041" w14:textId="77777777" w:rsidR="00D041A2" w:rsidRDefault="00D041A2">
          <w:pPr>
            <w:pStyle w:val="Normal21"/>
            <w:jc w:val="center"/>
          </w:pPr>
        </w:p>
      </w:tc>
      <w:tc>
        <w:tcPr>
          <w:tcW w:w="2600" w:type="dxa"/>
          <w:tcMar>
            <w:top w:w="200" w:type="dxa"/>
          </w:tcMar>
          <w:vAlign w:val="center"/>
        </w:tcPr>
        <w:p w14:paraId="769197E6" w14:textId="77777777" w:rsidR="00D041A2" w:rsidRDefault="00D041A2">
          <w:pPr>
            <w:pStyle w:val="Normal21"/>
          </w:pPr>
        </w:p>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BECD6" w14:textId="77777777" w:rsidR="00D041A2" w:rsidRDefault="00D041A2">
    <w:pPr>
      <w:pStyle w:val="Normal21"/>
      <w:spacing w:before="200"/>
      <w:jc w:val="cen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C2318" w14:textId="77777777" w:rsidR="00D041A2" w:rsidRDefault="00D041A2">
    <w:pPr>
      <w:pStyle w:val="Normal22"/>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25021B31" w14:textId="77777777">
      <w:trPr>
        <w:jc w:val="center"/>
      </w:trPr>
      <w:tc>
        <w:tcPr>
          <w:tcW w:w="2600" w:type="dxa"/>
          <w:tcMar>
            <w:top w:w="200" w:type="dxa"/>
          </w:tcMar>
          <w:vAlign w:val="center"/>
        </w:tcPr>
        <w:p w14:paraId="42F3F70B" w14:textId="77777777" w:rsidR="00D041A2" w:rsidRDefault="00D041A2">
          <w:pPr>
            <w:pStyle w:val="Normal22"/>
          </w:pPr>
        </w:p>
      </w:tc>
      <w:tc>
        <w:tcPr>
          <w:tcW w:w="4880" w:type="dxa"/>
          <w:tcMar>
            <w:top w:w="200" w:type="dxa"/>
          </w:tcMar>
          <w:vAlign w:val="center"/>
        </w:tcPr>
        <w:p w14:paraId="24592FAC" w14:textId="77777777" w:rsidR="00D041A2" w:rsidRDefault="00D041A2">
          <w:pPr>
            <w:pStyle w:val="Normal22"/>
            <w:jc w:val="center"/>
          </w:pPr>
        </w:p>
      </w:tc>
      <w:tc>
        <w:tcPr>
          <w:tcW w:w="2600" w:type="dxa"/>
          <w:tcMar>
            <w:top w:w="200" w:type="dxa"/>
          </w:tcMar>
          <w:vAlign w:val="center"/>
        </w:tcPr>
        <w:p w14:paraId="0C86A8B0" w14:textId="77777777" w:rsidR="00D041A2" w:rsidRDefault="00D041A2">
          <w:pPr>
            <w:pStyle w:val="Normal22"/>
          </w:pPr>
        </w:p>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1D022" w14:textId="77777777" w:rsidR="00D041A2" w:rsidRDefault="00D041A2">
    <w:pPr>
      <w:pStyle w:val="Normal22"/>
      <w:spacing w:before="200"/>
      <w:jc w:val="cen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D1EA8" w14:textId="77777777" w:rsidR="00D041A2" w:rsidRDefault="00D041A2">
    <w:pPr>
      <w:pStyle w:val="Normal23"/>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7452F53B" w14:textId="77777777">
      <w:trPr>
        <w:jc w:val="center"/>
      </w:trPr>
      <w:tc>
        <w:tcPr>
          <w:tcW w:w="2600" w:type="dxa"/>
          <w:tcMar>
            <w:top w:w="200" w:type="dxa"/>
          </w:tcMar>
          <w:vAlign w:val="center"/>
        </w:tcPr>
        <w:p w14:paraId="401B7751" w14:textId="77777777" w:rsidR="00D041A2" w:rsidRDefault="00D041A2">
          <w:pPr>
            <w:pStyle w:val="Normal23"/>
          </w:pPr>
        </w:p>
      </w:tc>
      <w:tc>
        <w:tcPr>
          <w:tcW w:w="4880" w:type="dxa"/>
          <w:tcMar>
            <w:top w:w="200" w:type="dxa"/>
          </w:tcMar>
          <w:vAlign w:val="center"/>
        </w:tcPr>
        <w:p w14:paraId="78BD3BB5" w14:textId="77777777" w:rsidR="00D041A2" w:rsidRDefault="00D041A2">
          <w:pPr>
            <w:pStyle w:val="Normal23"/>
            <w:jc w:val="center"/>
          </w:pPr>
        </w:p>
      </w:tc>
      <w:tc>
        <w:tcPr>
          <w:tcW w:w="2600" w:type="dxa"/>
          <w:tcMar>
            <w:top w:w="200" w:type="dxa"/>
          </w:tcMar>
          <w:vAlign w:val="center"/>
        </w:tcPr>
        <w:p w14:paraId="0EA8946E" w14:textId="77777777" w:rsidR="00D041A2" w:rsidRDefault="00D041A2">
          <w:pPr>
            <w:pStyle w:val="Normal23"/>
          </w:pPr>
        </w:p>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021C6" w14:textId="77777777" w:rsidR="00D041A2" w:rsidRDefault="00D041A2">
    <w:pPr>
      <w:pStyle w:val="Normal23"/>
      <w:spacing w:before="200"/>
      <w:jc w:val="cen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6861" w14:textId="77777777" w:rsidR="00D041A2" w:rsidRDefault="00D041A2">
    <w:pPr>
      <w:pStyle w:val="Normal24"/>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410CF33E" w14:textId="77777777">
      <w:trPr>
        <w:jc w:val="center"/>
      </w:trPr>
      <w:tc>
        <w:tcPr>
          <w:tcW w:w="2600" w:type="dxa"/>
          <w:tcMar>
            <w:top w:w="200" w:type="dxa"/>
          </w:tcMar>
          <w:vAlign w:val="center"/>
        </w:tcPr>
        <w:p w14:paraId="6BAF8CE7" w14:textId="77777777" w:rsidR="00D041A2" w:rsidRDefault="00D041A2">
          <w:pPr>
            <w:pStyle w:val="Normal24"/>
          </w:pPr>
        </w:p>
      </w:tc>
      <w:tc>
        <w:tcPr>
          <w:tcW w:w="4880" w:type="dxa"/>
          <w:tcMar>
            <w:top w:w="200" w:type="dxa"/>
          </w:tcMar>
          <w:vAlign w:val="center"/>
        </w:tcPr>
        <w:p w14:paraId="48BD7C11" w14:textId="77777777" w:rsidR="00D041A2" w:rsidRDefault="00D041A2">
          <w:pPr>
            <w:pStyle w:val="Normal24"/>
            <w:jc w:val="center"/>
          </w:pPr>
        </w:p>
      </w:tc>
      <w:tc>
        <w:tcPr>
          <w:tcW w:w="2600" w:type="dxa"/>
          <w:tcMar>
            <w:top w:w="200" w:type="dxa"/>
          </w:tcMar>
          <w:vAlign w:val="center"/>
        </w:tcPr>
        <w:p w14:paraId="284D85A6" w14:textId="77777777" w:rsidR="00D041A2" w:rsidRDefault="00D041A2">
          <w:pPr>
            <w:pStyle w:val="Normal24"/>
          </w:pPr>
        </w:p>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9EC32" w14:textId="77777777" w:rsidR="00D041A2" w:rsidRDefault="00D041A2">
    <w:pPr>
      <w:pStyle w:val="Normal24"/>
      <w:spacing w:before="200"/>
      <w:jc w:val="cen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EBCA" w14:textId="77777777" w:rsidR="00D041A2" w:rsidRDefault="00D041A2">
    <w:pPr>
      <w:pStyle w:val="Normal25"/>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0D85ED11" w14:textId="77777777">
      <w:trPr>
        <w:jc w:val="center"/>
      </w:trPr>
      <w:tc>
        <w:tcPr>
          <w:tcW w:w="2600" w:type="dxa"/>
          <w:tcMar>
            <w:top w:w="200" w:type="dxa"/>
          </w:tcMar>
          <w:vAlign w:val="center"/>
        </w:tcPr>
        <w:p w14:paraId="7D4111C4" w14:textId="77777777" w:rsidR="00D041A2" w:rsidRDefault="00D041A2">
          <w:pPr>
            <w:pStyle w:val="Normal25"/>
          </w:pPr>
        </w:p>
      </w:tc>
      <w:tc>
        <w:tcPr>
          <w:tcW w:w="4880" w:type="dxa"/>
          <w:tcMar>
            <w:top w:w="200" w:type="dxa"/>
          </w:tcMar>
          <w:vAlign w:val="center"/>
        </w:tcPr>
        <w:p w14:paraId="445383A4" w14:textId="77777777" w:rsidR="00D041A2" w:rsidRDefault="00D041A2">
          <w:pPr>
            <w:pStyle w:val="Normal25"/>
            <w:jc w:val="center"/>
          </w:pPr>
        </w:p>
      </w:tc>
      <w:tc>
        <w:tcPr>
          <w:tcW w:w="2600" w:type="dxa"/>
          <w:tcMar>
            <w:top w:w="200" w:type="dxa"/>
          </w:tcMar>
          <w:vAlign w:val="center"/>
        </w:tcPr>
        <w:p w14:paraId="52EDF2BC" w14:textId="77777777" w:rsidR="00D041A2" w:rsidRDefault="00D041A2">
          <w:pPr>
            <w:pStyle w:val="Normal25"/>
          </w:pPr>
        </w:p>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8F224" w14:textId="77777777" w:rsidR="00D041A2" w:rsidRDefault="00D041A2">
    <w:pPr>
      <w:pStyle w:val="Normal25"/>
      <w:spacing w:before="200"/>
      <w:jc w:val="cen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4DE9F" w14:textId="77777777" w:rsidR="00D041A2" w:rsidRDefault="00D041A2">
    <w:pPr>
      <w:pStyle w:val="Normal26"/>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010299DE" w14:textId="77777777">
      <w:trPr>
        <w:jc w:val="center"/>
      </w:trPr>
      <w:tc>
        <w:tcPr>
          <w:tcW w:w="2600" w:type="dxa"/>
          <w:tcMar>
            <w:top w:w="200" w:type="dxa"/>
          </w:tcMar>
          <w:vAlign w:val="center"/>
        </w:tcPr>
        <w:p w14:paraId="3356289C" w14:textId="77777777" w:rsidR="00D041A2" w:rsidRDefault="00D041A2">
          <w:pPr>
            <w:pStyle w:val="Normal26"/>
          </w:pPr>
        </w:p>
      </w:tc>
      <w:tc>
        <w:tcPr>
          <w:tcW w:w="4880" w:type="dxa"/>
          <w:tcMar>
            <w:top w:w="200" w:type="dxa"/>
          </w:tcMar>
          <w:vAlign w:val="center"/>
        </w:tcPr>
        <w:p w14:paraId="0B60B567" w14:textId="77777777" w:rsidR="00D041A2" w:rsidRDefault="00D041A2">
          <w:pPr>
            <w:pStyle w:val="Normal26"/>
            <w:jc w:val="center"/>
          </w:pPr>
        </w:p>
      </w:tc>
      <w:tc>
        <w:tcPr>
          <w:tcW w:w="2600" w:type="dxa"/>
          <w:tcMar>
            <w:top w:w="200" w:type="dxa"/>
          </w:tcMar>
          <w:vAlign w:val="center"/>
        </w:tcPr>
        <w:p w14:paraId="181BE3E5" w14:textId="77777777" w:rsidR="00D041A2" w:rsidRDefault="00D041A2">
          <w:pPr>
            <w:pStyle w:val="Normal26"/>
          </w:pPr>
        </w:p>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7E839" w14:textId="77777777" w:rsidR="00D041A2" w:rsidRDefault="00D041A2">
    <w:pPr>
      <w:pStyle w:val="Normal26"/>
      <w:spacing w:before="200"/>
      <w:jc w:val="cen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201AD" w14:textId="77777777" w:rsidR="00D041A2" w:rsidRDefault="00D041A2">
    <w:pPr>
      <w:pStyle w:val="Normal27"/>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50FCE6E9" w14:textId="77777777">
      <w:trPr>
        <w:jc w:val="center"/>
      </w:trPr>
      <w:tc>
        <w:tcPr>
          <w:tcW w:w="2600" w:type="dxa"/>
          <w:tcMar>
            <w:top w:w="200" w:type="dxa"/>
          </w:tcMar>
          <w:vAlign w:val="center"/>
        </w:tcPr>
        <w:p w14:paraId="491A6C2C" w14:textId="77777777" w:rsidR="00D041A2" w:rsidRDefault="00D041A2">
          <w:pPr>
            <w:pStyle w:val="Normal27"/>
          </w:pPr>
        </w:p>
      </w:tc>
      <w:tc>
        <w:tcPr>
          <w:tcW w:w="4880" w:type="dxa"/>
          <w:tcMar>
            <w:top w:w="200" w:type="dxa"/>
          </w:tcMar>
          <w:vAlign w:val="center"/>
        </w:tcPr>
        <w:p w14:paraId="15B4C222" w14:textId="77777777" w:rsidR="00D041A2" w:rsidRDefault="00D041A2">
          <w:pPr>
            <w:pStyle w:val="Normal27"/>
            <w:jc w:val="center"/>
          </w:pPr>
        </w:p>
      </w:tc>
      <w:tc>
        <w:tcPr>
          <w:tcW w:w="2600" w:type="dxa"/>
          <w:tcMar>
            <w:top w:w="200" w:type="dxa"/>
          </w:tcMar>
          <w:vAlign w:val="center"/>
        </w:tcPr>
        <w:p w14:paraId="52884647" w14:textId="77777777" w:rsidR="00D041A2" w:rsidRDefault="00D041A2">
          <w:pPr>
            <w:pStyle w:val="Normal27"/>
          </w:pPr>
        </w:p>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9DBC8" w14:textId="77777777" w:rsidR="00D041A2" w:rsidRDefault="00D041A2">
    <w:pPr>
      <w:pStyle w:val="Normal27"/>
      <w:spacing w:before="200"/>
      <w:jc w:val="cen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A1E8E" w14:textId="77777777" w:rsidR="00D041A2" w:rsidRDefault="00D041A2">
    <w:pPr>
      <w:pStyle w:val="Normal28"/>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05C0D7A6" w14:textId="77777777">
      <w:trPr>
        <w:jc w:val="center"/>
      </w:trPr>
      <w:tc>
        <w:tcPr>
          <w:tcW w:w="2600" w:type="dxa"/>
          <w:tcMar>
            <w:top w:w="200" w:type="dxa"/>
          </w:tcMar>
          <w:vAlign w:val="center"/>
        </w:tcPr>
        <w:p w14:paraId="7DD63618" w14:textId="77777777" w:rsidR="00D041A2" w:rsidRDefault="00D041A2">
          <w:pPr>
            <w:pStyle w:val="Normal28"/>
          </w:pPr>
        </w:p>
      </w:tc>
      <w:tc>
        <w:tcPr>
          <w:tcW w:w="4880" w:type="dxa"/>
          <w:tcMar>
            <w:top w:w="200" w:type="dxa"/>
          </w:tcMar>
          <w:vAlign w:val="center"/>
        </w:tcPr>
        <w:p w14:paraId="1DE63041" w14:textId="77777777" w:rsidR="00D041A2" w:rsidRDefault="00D041A2">
          <w:pPr>
            <w:pStyle w:val="Normal28"/>
            <w:jc w:val="center"/>
          </w:pPr>
        </w:p>
      </w:tc>
      <w:tc>
        <w:tcPr>
          <w:tcW w:w="2600" w:type="dxa"/>
          <w:tcMar>
            <w:top w:w="200" w:type="dxa"/>
          </w:tcMar>
          <w:vAlign w:val="center"/>
        </w:tcPr>
        <w:p w14:paraId="22D5F911" w14:textId="77777777" w:rsidR="00D041A2" w:rsidRDefault="00D041A2">
          <w:pPr>
            <w:pStyle w:val="Normal28"/>
          </w:pPr>
        </w:p>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FDD5D" w14:textId="77777777" w:rsidR="00D041A2" w:rsidRDefault="00D041A2">
    <w:pPr>
      <w:pStyle w:val="Normal28"/>
      <w:spacing w:before="200"/>
      <w:jc w:val="cen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519F2" w14:textId="77777777" w:rsidR="00D041A2" w:rsidRDefault="00D041A2">
    <w:pPr>
      <w:pStyle w:val="Normal29"/>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D0B9F31" w14:textId="77777777">
      <w:trPr>
        <w:jc w:val="center"/>
      </w:trPr>
      <w:tc>
        <w:tcPr>
          <w:tcW w:w="2600" w:type="dxa"/>
          <w:tcMar>
            <w:top w:w="200" w:type="dxa"/>
          </w:tcMar>
          <w:vAlign w:val="center"/>
        </w:tcPr>
        <w:p w14:paraId="639F3272" w14:textId="77777777" w:rsidR="00D041A2" w:rsidRDefault="00D041A2">
          <w:pPr>
            <w:pStyle w:val="Normal29"/>
          </w:pPr>
        </w:p>
      </w:tc>
      <w:tc>
        <w:tcPr>
          <w:tcW w:w="4880" w:type="dxa"/>
          <w:tcMar>
            <w:top w:w="200" w:type="dxa"/>
          </w:tcMar>
          <w:vAlign w:val="center"/>
        </w:tcPr>
        <w:p w14:paraId="6D5F2371" w14:textId="77777777" w:rsidR="00D041A2" w:rsidRDefault="00D041A2">
          <w:pPr>
            <w:pStyle w:val="Normal29"/>
            <w:jc w:val="center"/>
          </w:pPr>
        </w:p>
      </w:tc>
      <w:tc>
        <w:tcPr>
          <w:tcW w:w="2600" w:type="dxa"/>
          <w:tcMar>
            <w:top w:w="200" w:type="dxa"/>
          </w:tcMar>
          <w:vAlign w:val="center"/>
        </w:tcPr>
        <w:p w14:paraId="75DF92B2" w14:textId="77777777" w:rsidR="00D041A2" w:rsidRDefault="00D041A2">
          <w:pPr>
            <w:pStyle w:val="Normal29"/>
          </w:pPr>
        </w:p>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A639D" w14:textId="77777777" w:rsidR="00D041A2" w:rsidRDefault="00D041A2">
    <w:pPr>
      <w:pStyle w:val="Normal29"/>
      <w:spacing w:before="200"/>
      <w:jc w:val="cente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02F31" w14:textId="77777777" w:rsidR="00D041A2" w:rsidRDefault="00D041A2">
    <w:pPr>
      <w:pStyle w:val="Normal3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B70B30E" w14:textId="77777777">
      <w:trPr>
        <w:jc w:val="center"/>
      </w:trPr>
      <w:tc>
        <w:tcPr>
          <w:tcW w:w="2600" w:type="dxa"/>
          <w:tcMar>
            <w:top w:w="200" w:type="dxa"/>
          </w:tcMar>
          <w:vAlign w:val="center"/>
        </w:tcPr>
        <w:p w14:paraId="2E98F825" w14:textId="77777777" w:rsidR="00D041A2" w:rsidRDefault="00D041A2">
          <w:pPr>
            <w:pStyle w:val="Normal30"/>
          </w:pPr>
        </w:p>
      </w:tc>
      <w:tc>
        <w:tcPr>
          <w:tcW w:w="4880" w:type="dxa"/>
          <w:tcMar>
            <w:top w:w="200" w:type="dxa"/>
          </w:tcMar>
          <w:vAlign w:val="center"/>
        </w:tcPr>
        <w:p w14:paraId="3D7469A6" w14:textId="77777777" w:rsidR="00D041A2" w:rsidRDefault="00D041A2">
          <w:pPr>
            <w:pStyle w:val="Normal30"/>
            <w:jc w:val="center"/>
          </w:pPr>
        </w:p>
      </w:tc>
      <w:tc>
        <w:tcPr>
          <w:tcW w:w="2600" w:type="dxa"/>
          <w:tcMar>
            <w:top w:w="200" w:type="dxa"/>
          </w:tcMar>
          <w:vAlign w:val="center"/>
        </w:tcPr>
        <w:p w14:paraId="3605E6B6" w14:textId="77777777" w:rsidR="00D041A2" w:rsidRDefault="00D041A2">
          <w:pPr>
            <w:pStyle w:val="Normal30"/>
          </w:pPr>
        </w:p>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91BCF" w14:textId="77777777" w:rsidR="00D041A2" w:rsidRDefault="00D041A2">
    <w:pPr>
      <w:pStyle w:val="Normal30"/>
      <w:spacing w:before="200"/>
      <w:jc w:val="cente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AC73F" w14:textId="77777777" w:rsidR="00D041A2" w:rsidRDefault="00D041A2">
    <w:pPr>
      <w:pStyle w:val="Normal31"/>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9504A1C" w14:textId="77777777">
      <w:trPr>
        <w:jc w:val="center"/>
      </w:trPr>
      <w:tc>
        <w:tcPr>
          <w:tcW w:w="2600" w:type="dxa"/>
          <w:tcMar>
            <w:top w:w="200" w:type="dxa"/>
          </w:tcMar>
          <w:vAlign w:val="center"/>
        </w:tcPr>
        <w:p w14:paraId="17A0B335" w14:textId="77777777" w:rsidR="00D041A2" w:rsidRDefault="00D041A2">
          <w:pPr>
            <w:pStyle w:val="Normal31"/>
          </w:pPr>
        </w:p>
      </w:tc>
      <w:tc>
        <w:tcPr>
          <w:tcW w:w="4880" w:type="dxa"/>
          <w:tcMar>
            <w:top w:w="200" w:type="dxa"/>
          </w:tcMar>
          <w:vAlign w:val="center"/>
        </w:tcPr>
        <w:p w14:paraId="0B07B3AD" w14:textId="77777777" w:rsidR="00D041A2" w:rsidRDefault="00D041A2">
          <w:pPr>
            <w:pStyle w:val="Normal31"/>
            <w:jc w:val="center"/>
          </w:pPr>
        </w:p>
      </w:tc>
      <w:tc>
        <w:tcPr>
          <w:tcW w:w="2600" w:type="dxa"/>
          <w:tcMar>
            <w:top w:w="200" w:type="dxa"/>
          </w:tcMar>
          <w:vAlign w:val="center"/>
        </w:tcPr>
        <w:p w14:paraId="4184A8E6" w14:textId="77777777" w:rsidR="00D041A2" w:rsidRDefault="00D041A2">
          <w:pPr>
            <w:pStyle w:val="Normal31"/>
          </w:pPr>
        </w:p>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94DE2" w14:textId="77777777" w:rsidR="00D041A2" w:rsidRDefault="00D041A2">
    <w:pPr>
      <w:pStyle w:val="Normal31"/>
      <w:spacing w:before="200"/>
      <w:jc w:val="cen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3D7F3" w14:textId="77777777" w:rsidR="00D041A2" w:rsidRDefault="00D041A2">
    <w:pPr>
      <w:pStyle w:val="Normal32"/>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EC53838" w14:textId="77777777">
      <w:trPr>
        <w:jc w:val="center"/>
      </w:trPr>
      <w:tc>
        <w:tcPr>
          <w:tcW w:w="2600" w:type="dxa"/>
          <w:tcMar>
            <w:top w:w="200" w:type="dxa"/>
          </w:tcMar>
          <w:vAlign w:val="center"/>
        </w:tcPr>
        <w:p w14:paraId="79D83B16" w14:textId="77777777" w:rsidR="00D041A2" w:rsidRDefault="00D041A2">
          <w:pPr>
            <w:pStyle w:val="Normal32"/>
          </w:pPr>
        </w:p>
      </w:tc>
      <w:tc>
        <w:tcPr>
          <w:tcW w:w="4880" w:type="dxa"/>
          <w:tcMar>
            <w:top w:w="200" w:type="dxa"/>
          </w:tcMar>
          <w:vAlign w:val="center"/>
        </w:tcPr>
        <w:p w14:paraId="775FB246" w14:textId="77777777" w:rsidR="00D041A2" w:rsidRDefault="00D041A2">
          <w:pPr>
            <w:pStyle w:val="Normal32"/>
            <w:jc w:val="center"/>
          </w:pPr>
        </w:p>
      </w:tc>
      <w:tc>
        <w:tcPr>
          <w:tcW w:w="2600" w:type="dxa"/>
          <w:tcMar>
            <w:top w:w="200" w:type="dxa"/>
          </w:tcMar>
          <w:vAlign w:val="center"/>
        </w:tcPr>
        <w:p w14:paraId="2D472E3A" w14:textId="77777777" w:rsidR="00D041A2" w:rsidRDefault="00D041A2">
          <w:pPr>
            <w:pStyle w:val="Normal32"/>
          </w:pPr>
        </w:p>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A751F" w14:textId="77777777" w:rsidR="00D041A2" w:rsidRDefault="00D041A2">
    <w:pPr>
      <w:pStyle w:val="Normal32"/>
      <w:spacing w:before="200"/>
      <w:jc w:val="cen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4C40B" w14:textId="77777777" w:rsidR="00D041A2" w:rsidRDefault="00D041A2">
    <w:pPr>
      <w:pStyle w:val="Normal33"/>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2D80D437" w14:textId="77777777">
      <w:trPr>
        <w:jc w:val="center"/>
      </w:trPr>
      <w:tc>
        <w:tcPr>
          <w:tcW w:w="2600" w:type="dxa"/>
          <w:tcMar>
            <w:top w:w="200" w:type="dxa"/>
          </w:tcMar>
          <w:vAlign w:val="center"/>
        </w:tcPr>
        <w:p w14:paraId="096F5E77" w14:textId="77777777" w:rsidR="00D041A2" w:rsidRDefault="00D041A2">
          <w:pPr>
            <w:pStyle w:val="Normal33"/>
          </w:pPr>
        </w:p>
      </w:tc>
      <w:tc>
        <w:tcPr>
          <w:tcW w:w="4880" w:type="dxa"/>
          <w:tcMar>
            <w:top w:w="200" w:type="dxa"/>
          </w:tcMar>
          <w:vAlign w:val="center"/>
        </w:tcPr>
        <w:p w14:paraId="1087A0D9" w14:textId="77777777" w:rsidR="00D041A2" w:rsidRDefault="00D041A2">
          <w:pPr>
            <w:pStyle w:val="Normal33"/>
            <w:jc w:val="center"/>
          </w:pPr>
        </w:p>
      </w:tc>
      <w:tc>
        <w:tcPr>
          <w:tcW w:w="2600" w:type="dxa"/>
          <w:tcMar>
            <w:top w:w="200" w:type="dxa"/>
          </w:tcMar>
          <w:vAlign w:val="center"/>
        </w:tcPr>
        <w:p w14:paraId="3E325F5A" w14:textId="77777777" w:rsidR="00D041A2" w:rsidRDefault="00D041A2">
          <w:pPr>
            <w:pStyle w:val="Normal33"/>
          </w:pPr>
        </w:p>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04B5A" w14:textId="77777777" w:rsidR="00D041A2" w:rsidRDefault="00D041A2">
    <w:pPr>
      <w:pStyle w:val="Normal33"/>
      <w:spacing w:before="200"/>
      <w:jc w:val="cente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8254" w14:textId="77777777" w:rsidR="00D041A2" w:rsidRDefault="00D041A2">
    <w:pPr>
      <w:pStyle w:val="Normal34"/>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BC67267" w14:textId="77777777">
      <w:trPr>
        <w:jc w:val="center"/>
      </w:trPr>
      <w:tc>
        <w:tcPr>
          <w:tcW w:w="2600" w:type="dxa"/>
          <w:tcMar>
            <w:top w:w="200" w:type="dxa"/>
          </w:tcMar>
          <w:vAlign w:val="center"/>
        </w:tcPr>
        <w:p w14:paraId="107401EA" w14:textId="77777777" w:rsidR="00D041A2" w:rsidRDefault="00D041A2">
          <w:pPr>
            <w:pStyle w:val="Normal34"/>
          </w:pPr>
        </w:p>
      </w:tc>
      <w:tc>
        <w:tcPr>
          <w:tcW w:w="4880" w:type="dxa"/>
          <w:tcMar>
            <w:top w:w="200" w:type="dxa"/>
          </w:tcMar>
          <w:vAlign w:val="center"/>
        </w:tcPr>
        <w:p w14:paraId="4D7A15B8" w14:textId="77777777" w:rsidR="00D041A2" w:rsidRDefault="00D041A2">
          <w:pPr>
            <w:pStyle w:val="Normal34"/>
            <w:jc w:val="center"/>
          </w:pPr>
        </w:p>
      </w:tc>
      <w:tc>
        <w:tcPr>
          <w:tcW w:w="2600" w:type="dxa"/>
          <w:tcMar>
            <w:top w:w="200" w:type="dxa"/>
          </w:tcMar>
          <w:vAlign w:val="center"/>
        </w:tcPr>
        <w:p w14:paraId="5FA01805" w14:textId="77777777" w:rsidR="00D041A2" w:rsidRDefault="00D041A2">
          <w:pPr>
            <w:pStyle w:val="Normal34"/>
          </w:pPr>
        </w:p>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7351C" w14:textId="77777777" w:rsidR="00D041A2" w:rsidRDefault="00D041A2">
    <w:pPr>
      <w:pStyle w:val="Normal34"/>
      <w:spacing w:before="200"/>
      <w:jc w:val="cente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2A7DD" w14:textId="77777777" w:rsidR="00D041A2" w:rsidRDefault="00D041A2">
    <w:pPr>
      <w:pStyle w:val="Normal35"/>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6A78E033" w14:textId="77777777">
      <w:trPr>
        <w:jc w:val="center"/>
      </w:trPr>
      <w:tc>
        <w:tcPr>
          <w:tcW w:w="2600" w:type="dxa"/>
          <w:tcMar>
            <w:top w:w="200" w:type="dxa"/>
          </w:tcMar>
          <w:vAlign w:val="center"/>
        </w:tcPr>
        <w:p w14:paraId="3A69CCF1" w14:textId="77777777" w:rsidR="00D041A2" w:rsidRDefault="00D041A2">
          <w:pPr>
            <w:pStyle w:val="Normal35"/>
          </w:pPr>
        </w:p>
      </w:tc>
      <w:tc>
        <w:tcPr>
          <w:tcW w:w="4880" w:type="dxa"/>
          <w:tcMar>
            <w:top w:w="200" w:type="dxa"/>
          </w:tcMar>
          <w:vAlign w:val="center"/>
        </w:tcPr>
        <w:p w14:paraId="07E814E4" w14:textId="77777777" w:rsidR="00D041A2" w:rsidRDefault="00D041A2">
          <w:pPr>
            <w:pStyle w:val="Normal35"/>
            <w:jc w:val="center"/>
          </w:pPr>
        </w:p>
      </w:tc>
      <w:tc>
        <w:tcPr>
          <w:tcW w:w="2600" w:type="dxa"/>
          <w:tcMar>
            <w:top w:w="200" w:type="dxa"/>
          </w:tcMar>
          <w:vAlign w:val="center"/>
        </w:tcPr>
        <w:p w14:paraId="6D763269" w14:textId="77777777" w:rsidR="00D041A2" w:rsidRDefault="00D041A2">
          <w:pPr>
            <w:pStyle w:val="Normal35"/>
          </w:pPr>
        </w:p>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D8060" w14:textId="77777777" w:rsidR="00D041A2" w:rsidRDefault="00D041A2">
    <w:pPr>
      <w:pStyle w:val="Normal35"/>
      <w:spacing w:before="200"/>
      <w:jc w:val="cente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36DA8" w14:textId="77777777" w:rsidR="00D041A2" w:rsidRDefault="00D041A2">
    <w:pPr>
      <w:pStyle w:val="Normal36"/>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77131B16" w14:textId="77777777">
      <w:trPr>
        <w:jc w:val="center"/>
      </w:trPr>
      <w:tc>
        <w:tcPr>
          <w:tcW w:w="2600" w:type="dxa"/>
          <w:tcMar>
            <w:top w:w="200" w:type="dxa"/>
          </w:tcMar>
          <w:vAlign w:val="center"/>
        </w:tcPr>
        <w:p w14:paraId="251C7C10" w14:textId="77777777" w:rsidR="00D041A2" w:rsidRDefault="00D041A2">
          <w:pPr>
            <w:pStyle w:val="Normal36"/>
          </w:pPr>
        </w:p>
      </w:tc>
      <w:tc>
        <w:tcPr>
          <w:tcW w:w="4880" w:type="dxa"/>
          <w:tcMar>
            <w:top w:w="200" w:type="dxa"/>
          </w:tcMar>
          <w:vAlign w:val="center"/>
        </w:tcPr>
        <w:p w14:paraId="50D04AE7" w14:textId="77777777" w:rsidR="00D041A2" w:rsidRDefault="00D041A2">
          <w:pPr>
            <w:pStyle w:val="Normal36"/>
            <w:jc w:val="center"/>
          </w:pPr>
        </w:p>
      </w:tc>
      <w:tc>
        <w:tcPr>
          <w:tcW w:w="2600" w:type="dxa"/>
          <w:tcMar>
            <w:top w:w="200" w:type="dxa"/>
          </w:tcMar>
          <w:vAlign w:val="center"/>
        </w:tcPr>
        <w:p w14:paraId="61D658A2" w14:textId="77777777" w:rsidR="00D041A2" w:rsidRDefault="00D041A2">
          <w:pPr>
            <w:pStyle w:val="Normal36"/>
          </w:pPr>
        </w:p>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26DCB" w14:textId="77777777" w:rsidR="00D041A2" w:rsidRDefault="00D041A2">
    <w:pPr>
      <w:pStyle w:val="Normal36"/>
      <w:spacing w:before="200"/>
      <w:jc w:val="cen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F1DE8" w14:textId="77777777" w:rsidR="00D041A2" w:rsidRDefault="00D041A2">
    <w:pPr>
      <w:pStyle w:val="Normal37"/>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7F32A78E" w14:textId="77777777">
      <w:trPr>
        <w:jc w:val="center"/>
      </w:trPr>
      <w:tc>
        <w:tcPr>
          <w:tcW w:w="2600" w:type="dxa"/>
          <w:tcMar>
            <w:top w:w="200" w:type="dxa"/>
          </w:tcMar>
          <w:vAlign w:val="center"/>
        </w:tcPr>
        <w:p w14:paraId="0828E867" w14:textId="77777777" w:rsidR="00D041A2" w:rsidRDefault="00D041A2">
          <w:pPr>
            <w:pStyle w:val="Normal37"/>
          </w:pPr>
        </w:p>
      </w:tc>
      <w:tc>
        <w:tcPr>
          <w:tcW w:w="4880" w:type="dxa"/>
          <w:tcMar>
            <w:top w:w="200" w:type="dxa"/>
          </w:tcMar>
          <w:vAlign w:val="center"/>
        </w:tcPr>
        <w:p w14:paraId="246878AF" w14:textId="77777777" w:rsidR="00D041A2" w:rsidRDefault="00D041A2">
          <w:pPr>
            <w:pStyle w:val="Normal37"/>
            <w:jc w:val="center"/>
          </w:pPr>
        </w:p>
      </w:tc>
      <w:tc>
        <w:tcPr>
          <w:tcW w:w="2600" w:type="dxa"/>
          <w:tcMar>
            <w:top w:w="200" w:type="dxa"/>
          </w:tcMar>
          <w:vAlign w:val="center"/>
        </w:tcPr>
        <w:p w14:paraId="56EA8D11" w14:textId="77777777" w:rsidR="00D041A2" w:rsidRDefault="00D041A2">
          <w:pPr>
            <w:pStyle w:val="Normal37"/>
          </w:pPr>
        </w:p>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2A508" w14:textId="77777777" w:rsidR="00D041A2" w:rsidRDefault="00D041A2">
    <w:pPr>
      <w:pStyle w:val="Normal37"/>
      <w:spacing w:before="200"/>
      <w:jc w:val="cente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5C53" w14:textId="77777777" w:rsidR="00D041A2" w:rsidRDefault="00D041A2">
    <w:pPr>
      <w:pStyle w:val="Normal38"/>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70366954" w14:textId="77777777">
      <w:trPr>
        <w:jc w:val="center"/>
      </w:trPr>
      <w:tc>
        <w:tcPr>
          <w:tcW w:w="2600" w:type="dxa"/>
          <w:tcMar>
            <w:top w:w="200" w:type="dxa"/>
          </w:tcMar>
          <w:vAlign w:val="center"/>
        </w:tcPr>
        <w:p w14:paraId="31D3E641" w14:textId="77777777" w:rsidR="00D041A2" w:rsidRDefault="00D041A2">
          <w:pPr>
            <w:pStyle w:val="Normal38"/>
          </w:pPr>
        </w:p>
      </w:tc>
      <w:tc>
        <w:tcPr>
          <w:tcW w:w="4880" w:type="dxa"/>
          <w:tcMar>
            <w:top w:w="200" w:type="dxa"/>
          </w:tcMar>
          <w:vAlign w:val="center"/>
        </w:tcPr>
        <w:p w14:paraId="29350B27" w14:textId="77777777" w:rsidR="00D041A2" w:rsidRDefault="00D041A2">
          <w:pPr>
            <w:pStyle w:val="Normal38"/>
            <w:jc w:val="center"/>
          </w:pPr>
        </w:p>
      </w:tc>
      <w:tc>
        <w:tcPr>
          <w:tcW w:w="2600" w:type="dxa"/>
          <w:tcMar>
            <w:top w:w="200" w:type="dxa"/>
          </w:tcMar>
          <w:vAlign w:val="center"/>
        </w:tcPr>
        <w:p w14:paraId="72F9B234" w14:textId="77777777" w:rsidR="00D041A2" w:rsidRDefault="00D041A2">
          <w:pPr>
            <w:pStyle w:val="Normal38"/>
          </w:pPr>
        </w:p>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46486" w14:textId="77777777" w:rsidR="00D041A2" w:rsidRDefault="00D041A2">
    <w:pPr>
      <w:pStyle w:val="Normal38"/>
      <w:spacing w:before="200"/>
      <w:jc w:val="cente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5762" w14:textId="77777777" w:rsidR="00D041A2" w:rsidRDefault="00D041A2">
    <w:pPr>
      <w:pStyle w:val="Normal39"/>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534ECAC1" w14:textId="77777777">
      <w:trPr>
        <w:jc w:val="center"/>
      </w:trPr>
      <w:tc>
        <w:tcPr>
          <w:tcW w:w="2600" w:type="dxa"/>
          <w:tcMar>
            <w:top w:w="200" w:type="dxa"/>
          </w:tcMar>
          <w:vAlign w:val="center"/>
        </w:tcPr>
        <w:p w14:paraId="2D59BDE8" w14:textId="77777777" w:rsidR="00D041A2" w:rsidRDefault="00D041A2">
          <w:pPr>
            <w:pStyle w:val="Normal39"/>
          </w:pPr>
        </w:p>
      </w:tc>
      <w:tc>
        <w:tcPr>
          <w:tcW w:w="4880" w:type="dxa"/>
          <w:tcMar>
            <w:top w:w="200" w:type="dxa"/>
          </w:tcMar>
          <w:vAlign w:val="center"/>
        </w:tcPr>
        <w:p w14:paraId="66D7385B" w14:textId="77777777" w:rsidR="00D041A2" w:rsidRDefault="00D041A2">
          <w:pPr>
            <w:pStyle w:val="Normal39"/>
            <w:jc w:val="center"/>
          </w:pPr>
        </w:p>
      </w:tc>
      <w:tc>
        <w:tcPr>
          <w:tcW w:w="2600" w:type="dxa"/>
          <w:tcMar>
            <w:top w:w="200" w:type="dxa"/>
          </w:tcMar>
          <w:vAlign w:val="center"/>
        </w:tcPr>
        <w:p w14:paraId="6999FB69" w14:textId="77777777" w:rsidR="00D041A2" w:rsidRDefault="00D041A2">
          <w:pPr>
            <w:pStyle w:val="Normal39"/>
          </w:pPr>
        </w:p>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54BEC" w14:textId="77777777" w:rsidR="00D041A2" w:rsidRDefault="00D041A2">
    <w:pPr>
      <w:pStyle w:val="Normal39"/>
      <w:spacing w:before="200"/>
      <w:jc w:val="cente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2C74B" w14:textId="77777777" w:rsidR="00D041A2" w:rsidRDefault="00D041A2">
    <w:pPr>
      <w:pStyle w:val="Normal40"/>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3402252C" w14:textId="77777777">
      <w:trPr>
        <w:jc w:val="center"/>
      </w:trPr>
      <w:tc>
        <w:tcPr>
          <w:tcW w:w="2600" w:type="dxa"/>
          <w:tcMar>
            <w:top w:w="200" w:type="dxa"/>
          </w:tcMar>
          <w:vAlign w:val="center"/>
        </w:tcPr>
        <w:p w14:paraId="1B03C212" w14:textId="77777777" w:rsidR="00D041A2" w:rsidRDefault="00D041A2">
          <w:pPr>
            <w:pStyle w:val="Normal40"/>
          </w:pPr>
        </w:p>
      </w:tc>
      <w:tc>
        <w:tcPr>
          <w:tcW w:w="4880" w:type="dxa"/>
          <w:tcMar>
            <w:top w:w="200" w:type="dxa"/>
          </w:tcMar>
          <w:vAlign w:val="center"/>
        </w:tcPr>
        <w:p w14:paraId="7A38E1F6" w14:textId="77777777" w:rsidR="00D041A2" w:rsidRDefault="00D041A2">
          <w:pPr>
            <w:pStyle w:val="Normal40"/>
            <w:jc w:val="center"/>
          </w:pPr>
        </w:p>
      </w:tc>
      <w:tc>
        <w:tcPr>
          <w:tcW w:w="2600" w:type="dxa"/>
          <w:tcMar>
            <w:top w:w="200" w:type="dxa"/>
          </w:tcMar>
          <w:vAlign w:val="center"/>
        </w:tcPr>
        <w:p w14:paraId="734187C2" w14:textId="77777777" w:rsidR="00D041A2" w:rsidRDefault="00D041A2">
          <w:pPr>
            <w:pStyle w:val="Normal40"/>
          </w:pPr>
        </w:p>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FFCDA" w14:textId="77777777" w:rsidR="00D041A2" w:rsidRDefault="00D041A2">
    <w:pPr>
      <w:pStyle w:val="Normal40"/>
      <w:spacing w:before="200"/>
      <w:jc w:val="cen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A448F" w14:textId="77777777" w:rsidR="00D041A2" w:rsidRDefault="00D041A2">
    <w:pPr>
      <w:pStyle w:val="Normal41"/>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69D3AD0E" w14:textId="77777777">
      <w:trPr>
        <w:jc w:val="center"/>
      </w:trPr>
      <w:tc>
        <w:tcPr>
          <w:tcW w:w="2600" w:type="dxa"/>
          <w:tcMar>
            <w:top w:w="200" w:type="dxa"/>
          </w:tcMar>
          <w:vAlign w:val="center"/>
        </w:tcPr>
        <w:p w14:paraId="641AA128" w14:textId="77777777" w:rsidR="00D041A2" w:rsidRDefault="00D041A2">
          <w:pPr>
            <w:pStyle w:val="Normal41"/>
          </w:pPr>
        </w:p>
      </w:tc>
      <w:tc>
        <w:tcPr>
          <w:tcW w:w="4880" w:type="dxa"/>
          <w:tcMar>
            <w:top w:w="200" w:type="dxa"/>
          </w:tcMar>
          <w:vAlign w:val="center"/>
        </w:tcPr>
        <w:p w14:paraId="6CA55871" w14:textId="77777777" w:rsidR="00D041A2" w:rsidRDefault="00D041A2">
          <w:pPr>
            <w:pStyle w:val="Normal41"/>
            <w:jc w:val="center"/>
          </w:pPr>
        </w:p>
      </w:tc>
      <w:tc>
        <w:tcPr>
          <w:tcW w:w="2600" w:type="dxa"/>
          <w:tcMar>
            <w:top w:w="200" w:type="dxa"/>
          </w:tcMar>
          <w:vAlign w:val="center"/>
        </w:tcPr>
        <w:p w14:paraId="1E3EC9E2" w14:textId="77777777" w:rsidR="00D041A2" w:rsidRDefault="00D041A2">
          <w:pPr>
            <w:pStyle w:val="Normal41"/>
          </w:pPr>
        </w:p>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70C18" w14:textId="77777777" w:rsidR="00D041A2" w:rsidRDefault="00D041A2">
    <w:pPr>
      <w:pStyle w:val="Normal41"/>
      <w:spacing w:before="200"/>
      <w:jc w:val="cente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F36D" w14:textId="77777777" w:rsidR="00D041A2" w:rsidRDefault="00D041A2">
    <w:pPr>
      <w:pStyle w:val="Normal42"/>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7643890A" w14:textId="77777777">
      <w:trPr>
        <w:jc w:val="center"/>
      </w:trPr>
      <w:tc>
        <w:tcPr>
          <w:tcW w:w="2600" w:type="dxa"/>
          <w:tcMar>
            <w:top w:w="200" w:type="dxa"/>
          </w:tcMar>
          <w:vAlign w:val="center"/>
        </w:tcPr>
        <w:p w14:paraId="2BF57957" w14:textId="77777777" w:rsidR="00D041A2" w:rsidRDefault="00D041A2">
          <w:pPr>
            <w:pStyle w:val="Normal42"/>
          </w:pPr>
        </w:p>
      </w:tc>
      <w:tc>
        <w:tcPr>
          <w:tcW w:w="4880" w:type="dxa"/>
          <w:tcMar>
            <w:top w:w="200" w:type="dxa"/>
          </w:tcMar>
          <w:vAlign w:val="center"/>
        </w:tcPr>
        <w:p w14:paraId="033CC0B2" w14:textId="77777777" w:rsidR="00D041A2" w:rsidRDefault="00D041A2">
          <w:pPr>
            <w:pStyle w:val="Normal42"/>
            <w:jc w:val="center"/>
          </w:pPr>
        </w:p>
      </w:tc>
      <w:tc>
        <w:tcPr>
          <w:tcW w:w="2600" w:type="dxa"/>
          <w:tcMar>
            <w:top w:w="200" w:type="dxa"/>
          </w:tcMar>
          <w:vAlign w:val="center"/>
        </w:tcPr>
        <w:p w14:paraId="4CB92815" w14:textId="77777777" w:rsidR="00D041A2" w:rsidRDefault="00D041A2">
          <w:pPr>
            <w:pStyle w:val="Normal42"/>
          </w:pPr>
        </w:p>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9DC73" w14:textId="77777777" w:rsidR="00D041A2" w:rsidRDefault="00D041A2">
    <w:pPr>
      <w:pStyle w:val="Normal42"/>
      <w:spacing w:before="200"/>
      <w:jc w:val="cente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D29E2" w14:textId="77777777" w:rsidR="00D041A2" w:rsidRDefault="00D041A2">
    <w:pPr>
      <w:pStyle w:val="Normal43"/>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01377E51" w14:textId="77777777">
      <w:trPr>
        <w:jc w:val="center"/>
      </w:trPr>
      <w:tc>
        <w:tcPr>
          <w:tcW w:w="2600" w:type="dxa"/>
          <w:tcMar>
            <w:top w:w="200" w:type="dxa"/>
          </w:tcMar>
          <w:vAlign w:val="center"/>
        </w:tcPr>
        <w:p w14:paraId="30D00931" w14:textId="77777777" w:rsidR="00D041A2" w:rsidRDefault="00D041A2">
          <w:pPr>
            <w:pStyle w:val="Normal43"/>
          </w:pPr>
        </w:p>
      </w:tc>
      <w:tc>
        <w:tcPr>
          <w:tcW w:w="4880" w:type="dxa"/>
          <w:tcMar>
            <w:top w:w="200" w:type="dxa"/>
          </w:tcMar>
          <w:vAlign w:val="center"/>
        </w:tcPr>
        <w:p w14:paraId="37FD7BA9" w14:textId="77777777" w:rsidR="00D041A2" w:rsidRDefault="00D041A2">
          <w:pPr>
            <w:pStyle w:val="Normal43"/>
            <w:jc w:val="center"/>
          </w:pPr>
        </w:p>
      </w:tc>
      <w:tc>
        <w:tcPr>
          <w:tcW w:w="2600" w:type="dxa"/>
          <w:tcMar>
            <w:top w:w="200" w:type="dxa"/>
          </w:tcMar>
          <w:vAlign w:val="center"/>
        </w:tcPr>
        <w:p w14:paraId="127DDA97" w14:textId="77777777" w:rsidR="00D041A2" w:rsidRDefault="00D041A2">
          <w:pPr>
            <w:pStyle w:val="Normal43"/>
          </w:pPr>
        </w:p>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2F4D3" w14:textId="77777777" w:rsidR="00D041A2" w:rsidRDefault="00D041A2">
    <w:pPr>
      <w:pStyle w:val="Normal43"/>
      <w:spacing w:before="200"/>
      <w:jc w:val="cente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2547B" w14:textId="77777777" w:rsidR="00D041A2" w:rsidRDefault="00D041A2">
    <w:pPr>
      <w:pStyle w:val="Normal44"/>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73662220" w14:textId="77777777">
      <w:trPr>
        <w:jc w:val="center"/>
      </w:trPr>
      <w:tc>
        <w:tcPr>
          <w:tcW w:w="2600" w:type="dxa"/>
          <w:tcMar>
            <w:top w:w="200" w:type="dxa"/>
          </w:tcMar>
          <w:vAlign w:val="center"/>
        </w:tcPr>
        <w:p w14:paraId="7EEAEEC4" w14:textId="77777777" w:rsidR="00D041A2" w:rsidRDefault="00D041A2">
          <w:pPr>
            <w:pStyle w:val="Normal44"/>
          </w:pPr>
        </w:p>
      </w:tc>
      <w:tc>
        <w:tcPr>
          <w:tcW w:w="4880" w:type="dxa"/>
          <w:tcMar>
            <w:top w:w="200" w:type="dxa"/>
          </w:tcMar>
          <w:vAlign w:val="center"/>
        </w:tcPr>
        <w:p w14:paraId="15D6CF57" w14:textId="77777777" w:rsidR="00D041A2" w:rsidRDefault="00D041A2">
          <w:pPr>
            <w:pStyle w:val="Normal44"/>
            <w:jc w:val="center"/>
          </w:pPr>
        </w:p>
      </w:tc>
      <w:tc>
        <w:tcPr>
          <w:tcW w:w="2600" w:type="dxa"/>
          <w:tcMar>
            <w:top w:w="200" w:type="dxa"/>
          </w:tcMar>
          <w:vAlign w:val="center"/>
        </w:tcPr>
        <w:p w14:paraId="6CDCF313" w14:textId="77777777" w:rsidR="00D041A2" w:rsidRDefault="00D041A2">
          <w:pPr>
            <w:pStyle w:val="Normal44"/>
          </w:pPr>
        </w:p>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52327" w14:textId="77777777" w:rsidR="00D041A2" w:rsidRDefault="00D041A2">
    <w:pPr>
      <w:pStyle w:val="Normal44"/>
      <w:spacing w:before="200"/>
      <w:jc w:val="cente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21831" w14:textId="77777777" w:rsidR="00D041A2" w:rsidRDefault="00D041A2">
    <w:pPr>
      <w:pStyle w:val="Normal45"/>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4A768C33" w14:textId="77777777">
      <w:trPr>
        <w:jc w:val="center"/>
      </w:trPr>
      <w:tc>
        <w:tcPr>
          <w:tcW w:w="2600" w:type="dxa"/>
          <w:tcMar>
            <w:top w:w="200" w:type="dxa"/>
          </w:tcMar>
          <w:vAlign w:val="center"/>
        </w:tcPr>
        <w:p w14:paraId="12E7771D" w14:textId="77777777" w:rsidR="00D041A2" w:rsidRDefault="00D041A2">
          <w:pPr>
            <w:pStyle w:val="Normal45"/>
          </w:pPr>
        </w:p>
      </w:tc>
      <w:tc>
        <w:tcPr>
          <w:tcW w:w="4880" w:type="dxa"/>
          <w:tcMar>
            <w:top w:w="200" w:type="dxa"/>
          </w:tcMar>
          <w:vAlign w:val="center"/>
        </w:tcPr>
        <w:p w14:paraId="54D14A75" w14:textId="77777777" w:rsidR="00D041A2" w:rsidRDefault="00D041A2">
          <w:pPr>
            <w:pStyle w:val="Normal45"/>
            <w:jc w:val="center"/>
          </w:pPr>
        </w:p>
      </w:tc>
      <w:tc>
        <w:tcPr>
          <w:tcW w:w="2600" w:type="dxa"/>
          <w:tcMar>
            <w:top w:w="200" w:type="dxa"/>
          </w:tcMar>
          <w:vAlign w:val="center"/>
        </w:tcPr>
        <w:p w14:paraId="7C2249CF" w14:textId="77777777" w:rsidR="00D041A2" w:rsidRDefault="00D041A2">
          <w:pPr>
            <w:pStyle w:val="Normal45"/>
          </w:pPr>
        </w:p>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B3EEB" w14:textId="77777777" w:rsidR="00D041A2" w:rsidRDefault="00D041A2">
    <w:pPr>
      <w:pStyle w:val="Normal45"/>
      <w:spacing w:before="200"/>
      <w:jc w:val="cente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0AADF" w14:textId="77777777" w:rsidR="00D041A2" w:rsidRDefault="00D041A2">
    <w:pPr>
      <w:pStyle w:val="Normal46"/>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CF26E11" w14:textId="77777777">
      <w:trPr>
        <w:jc w:val="center"/>
      </w:trPr>
      <w:tc>
        <w:tcPr>
          <w:tcW w:w="2600" w:type="dxa"/>
          <w:tcMar>
            <w:top w:w="200" w:type="dxa"/>
          </w:tcMar>
          <w:vAlign w:val="center"/>
        </w:tcPr>
        <w:p w14:paraId="0292995C" w14:textId="77777777" w:rsidR="00D041A2" w:rsidRDefault="00D041A2">
          <w:pPr>
            <w:pStyle w:val="Normal46"/>
          </w:pPr>
        </w:p>
      </w:tc>
      <w:tc>
        <w:tcPr>
          <w:tcW w:w="4880" w:type="dxa"/>
          <w:tcMar>
            <w:top w:w="200" w:type="dxa"/>
          </w:tcMar>
          <w:vAlign w:val="center"/>
        </w:tcPr>
        <w:p w14:paraId="4D12010A" w14:textId="77777777" w:rsidR="00D041A2" w:rsidRDefault="00D041A2">
          <w:pPr>
            <w:pStyle w:val="Normal46"/>
            <w:jc w:val="center"/>
          </w:pPr>
        </w:p>
      </w:tc>
      <w:tc>
        <w:tcPr>
          <w:tcW w:w="2600" w:type="dxa"/>
          <w:tcMar>
            <w:top w:w="200" w:type="dxa"/>
          </w:tcMar>
          <w:vAlign w:val="center"/>
        </w:tcPr>
        <w:p w14:paraId="46BEB354" w14:textId="77777777" w:rsidR="00D041A2" w:rsidRDefault="00D041A2">
          <w:pPr>
            <w:pStyle w:val="Normal46"/>
          </w:pPr>
        </w:p>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0B3C" w14:textId="77777777" w:rsidR="00D041A2" w:rsidRDefault="00D041A2">
    <w:pPr>
      <w:pStyle w:val="Normal46"/>
      <w:spacing w:before="200"/>
      <w:jc w:val="cente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1D9A5" w14:textId="77777777" w:rsidR="00D041A2" w:rsidRDefault="00D041A2">
    <w:pPr>
      <w:pStyle w:val="Normal47"/>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598FD882" w14:textId="77777777">
      <w:trPr>
        <w:jc w:val="center"/>
      </w:trPr>
      <w:tc>
        <w:tcPr>
          <w:tcW w:w="2600" w:type="dxa"/>
          <w:tcMar>
            <w:top w:w="200" w:type="dxa"/>
          </w:tcMar>
          <w:vAlign w:val="center"/>
        </w:tcPr>
        <w:p w14:paraId="6152D382" w14:textId="77777777" w:rsidR="00D041A2" w:rsidRDefault="00D041A2">
          <w:pPr>
            <w:pStyle w:val="Normal47"/>
          </w:pPr>
        </w:p>
      </w:tc>
      <w:tc>
        <w:tcPr>
          <w:tcW w:w="4880" w:type="dxa"/>
          <w:tcMar>
            <w:top w:w="200" w:type="dxa"/>
          </w:tcMar>
          <w:vAlign w:val="center"/>
        </w:tcPr>
        <w:p w14:paraId="41890F61" w14:textId="77777777" w:rsidR="00D041A2" w:rsidRDefault="00D041A2">
          <w:pPr>
            <w:pStyle w:val="Normal47"/>
            <w:jc w:val="center"/>
          </w:pPr>
        </w:p>
      </w:tc>
      <w:tc>
        <w:tcPr>
          <w:tcW w:w="2600" w:type="dxa"/>
          <w:tcMar>
            <w:top w:w="200" w:type="dxa"/>
          </w:tcMar>
          <w:vAlign w:val="center"/>
        </w:tcPr>
        <w:p w14:paraId="421FD088" w14:textId="77777777" w:rsidR="00D041A2" w:rsidRDefault="00D041A2">
          <w:pPr>
            <w:pStyle w:val="Normal47"/>
          </w:pPr>
        </w:p>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3E43" w14:textId="77777777" w:rsidR="00D041A2" w:rsidRDefault="00D041A2">
    <w:pPr>
      <w:pStyle w:val="Normal47"/>
      <w:spacing w:before="200"/>
      <w:jc w:val="cente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91113" w14:textId="77777777" w:rsidR="00D041A2" w:rsidRDefault="00D041A2">
    <w:pPr>
      <w:pStyle w:val="Normal48"/>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2EB997EE" w14:textId="77777777">
      <w:trPr>
        <w:jc w:val="center"/>
      </w:trPr>
      <w:tc>
        <w:tcPr>
          <w:tcW w:w="2600" w:type="dxa"/>
          <w:tcMar>
            <w:top w:w="200" w:type="dxa"/>
          </w:tcMar>
          <w:vAlign w:val="center"/>
        </w:tcPr>
        <w:p w14:paraId="33D4FFFD" w14:textId="77777777" w:rsidR="00D041A2" w:rsidRDefault="00D041A2">
          <w:pPr>
            <w:pStyle w:val="Normal48"/>
          </w:pPr>
        </w:p>
      </w:tc>
      <w:tc>
        <w:tcPr>
          <w:tcW w:w="4880" w:type="dxa"/>
          <w:tcMar>
            <w:top w:w="200" w:type="dxa"/>
          </w:tcMar>
          <w:vAlign w:val="center"/>
        </w:tcPr>
        <w:p w14:paraId="0D6D5778" w14:textId="77777777" w:rsidR="00D041A2" w:rsidRDefault="00D041A2">
          <w:pPr>
            <w:pStyle w:val="Normal48"/>
            <w:jc w:val="center"/>
          </w:pPr>
        </w:p>
      </w:tc>
      <w:tc>
        <w:tcPr>
          <w:tcW w:w="2600" w:type="dxa"/>
          <w:tcMar>
            <w:top w:w="200" w:type="dxa"/>
          </w:tcMar>
          <w:vAlign w:val="center"/>
        </w:tcPr>
        <w:p w14:paraId="36C13FCE" w14:textId="77777777" w:rsidR="00D041A2" w:rsidRDefault="00D041A2">
          <w:pPr>
            <w:pStyle w:val="Normal48"/>
          </w:pPr>
        </w:p>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4F17D" w14:textId="77777777" w:rsidR="00D041A2" w:rsidRDefault="00D041A2">
    <w:pPr>
      <w:pStyle w:val="Normal48"/>
      <w:spacing w:before="200"/>
      <w:jc w:val="cente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D11D" w14:textId="77777777" w:rsidR="00D041A2" w:rsidRDefault="00D041A2">
    <w:pPr>
      <w:pStyle w:val="Normal49"/>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D041A2" w14:paraId="124D5AAE" w14:textId="77777777">
      <w:trPr>
        <w:jc w:val="center"/>
      </w:trPr>
      <w:tc>
        <w:tcPr>
          <w:tcW w:w="2600" w:type="dxa"/>
          <w:tcMar>
            <w:top w:w="200" w:type="dxa"/>
          </w:tcMar>
          <w:vAlign w:val="center"/>
        </w:tcPr>
        <w:p w14:paraId="2F107463" w14:textId="77777777" w:rsidR="00D041A2" w:rsidRDefault="00D041A2">
          <w:pPr>
            <w:pStyle w:val="Normal49"/>
          </w:pPr>
        </w:p>
      </w:tc>
      <w:tc>
        <w:tcPr>
          <w:tcW w:w="4880" w:type="dxa"/>
          <w:tcMar>
            <w:top w:w="200" w:type="dxa"/>
          </w:tcMar>
          <w:vAlign w:val="center"/>
        </w:tcPr>
        <w:p w14:paraId="254DD1B5" w14:textId="77777777" w:rsidR="00D041A2" w:rsidRDefault="00D041A2">
          <w:pPr>
            <w:pStyle w:val="Normal49"/>
            <w:jc w:val="center"/>
          </w:pPr>
        </w:p>
      </w:tc>
      <w:tc>
        <w:tcPr>
          <w:tcW w:w="2600" w:type="dxa"/>
          <w:tcMar>
            <w:top w:w="200" w:type="dxa"/>
          </w:tcMar>
          <w:vAlign w:val="center"/>
        </w:tcPr>
        <w:p w14:paraId="3572DB21" w14:textId="77777777" w:rsidR="00D041A2" w:rsidRDefault="00D041A2">
          <w:pPr>
            <w:pStyle w:val="Normal49"/>
          </w:pPr>
        </w:p>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5130A" w14:textId="77777777" w:rsidR="00D041A2" w:rsidRDefault="00D041A2">
    <w:pPr>
      <w:pStyle w:val="Normal49"/>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50D6D" w14:textId="77777777" w:rsidR="00C46C6B" w:rsidRDefault="00C46C6B">
      <w:r>
        <w:separator/>
      </w:r>
    </w:p>
  </w:footnote>
  <w:footnote w:type="continuationSeparator" w:id="0">
    <w:p w14:paraId="511F1931" w14:textId="77777777" w:rsidR="00C46C6B" w:rsidRDefault="00C46C6B">
      <w:r>
        <w:continuationSeparator/>
      </w:r>
    </w:p>
  </w:footnote>
  <w:footnote w:id="1">
    <w:p w14:paraId="0130B2F4" w14:textId="77777777" w:rsidR="00D041A2" w:rsidRDefault="00000000">
      <w:pPr>
        <w:pStyle w:val="Normal0"/>
        <w:widowControl w:val="0"/>
        <w:spacing w:before="120" w:line="240" w:lineRule="atLeast"/>
        <w:jc w:val="both"/>
      </w:pPr>
      <w:r>
        <w:rPr>
          <w:rFonts w:ascii="Arial" w:eastAsia="Arial" w:hAnsi="Arial" w:cs="Arial"/>
          <w:color w:val="000000"/>
          <w:sz w:val="18"/>
          <w:vertAlign w:val="superscript"/>
        </w:rPr>
        <w:t>* </w:t>
      </w:r>
      <w:bookmarkStart w:id="12" w:name="Bookmark_fnpara_1"/>
      <w:bookmarkEnd w:id="12"/>
      <w:r>
        <w:rPr>
          <w:rFonts w:ascii="Arial" w:eastAsia="Arial" w:hAnsi="Arial" w:cs="Arial"/>
          <w:color w:val="000000"/>
          <w:sz w:val="18"/>
        </w:rPr>
        <w:t>This summary constitutes no part of the opinion of the court. It has been prepared by court staff for the convenience of the reader.</w:t>
      </w:r>
    </w:p>
  </w:footnote>
  <w:footnote w:id="2">
    <w:p w14:paraId="444DF84F" w14:textId="77777777" w:rsidR="00D041A2" w:rsidRDefault="00000000">
      <w:pPr>
        <w:pStyle w:val="Normal0"/>
        <w:widowControl w:val="0"/>
        <w:spacing w:before="120" w:line="240" w:lineRule="atLeast"/>
        <w:jc w:val="both"/>
      </w:pPr>
      <w:r>
        <w:rPr>
          <w:rFonts w:ascii="Arial" w:eastAsia="Arial" w:hAnsi="Arial" w:cs="Arial"/>
          <w:color w:val="000000"/>
          <w:sz w:val="18"/>
          <w:vertAlign w:val="superscript"/>
        </w:rPr>
        <w:t>1 </w:t>
      </w:r>
      <w:bookmarkStart w:id="27" w:name="Bookmark_fnpara_2"/>
      <w:bookmarkEnd w:id="27"/>
      <w:r>
        <w:rPr>
          <w:rFonts w:ascii="Arial" w:eastAsia="Arial" w:hAnsi="Arial" w:cs="Arial"/>
          <w:color w:val="000000"/>
          <w:sz w:val="18"/>
        </w:rPr>
        <w:t>Sixteen- and seventeen-year-old students are eligible to enroll in the Community Schools for Adults if they have officially withdrawn from high school.</w:t>
      </w:r>
    </w:p>
  </w:footnote>
  <w:footnote w:id="3">
    <w:p w14:paraId="7E3BB4FB" w14:textId="77777777" w:rsidR="00D041A2" w:rsidRDefault="00000000">
      <w:pPr>
        <w:pStyle w:val="Normal0"/>
        <w:widowControl w:val="0"/>
        <w:spacing w:before="120" w:line="240" w:lineRule="atLeast"/>
        <w:jc w:val="both"/>
      </w:pPr>
      <w:r>
        <w:rPr>
          <w:rFonts w:ascii="Arial" w:eastAsia="Arial" w:hAnsi="Arial" w:cs="Arial"/>
          <w:color w:val="000000"/>
          <w:sz w:val="18"/>
          <w:vertAlign w:val="superscript"/>
        </w:rPr>
        <w:t>2 </w:t>
      </w:r>
      <w:bookmarkStart w:id="29" w:name="Bookmark_fnpara_3"/>
      <w:bookmarkEnd w:id="29"/>
      <w:r>
        <w:rPr>
          <w:rFonts w:ascii="Arial" w:eastAsia="Arial" w:hAnsi="Arial" w:cs="Arial"/>
          <w:color w:val="000000"/>
          <w:sz w:val="18"/>
        </w:rPr>
        <w:t>Between 2010 and 2012, 113 general-education students became ineligible for high school because of Act 163, and four enrolled in an adult school.</w:t>
      </w:r>
    </w:p>
  </w:footnote>
  <w:footnote w:id="4">
    <w:p w14:paraId="539AF506" w14:textId="77777777" w:rsidR="00D041A2" w:rsidRDefault="00000000">
      <w:pPr>
        <w:pStyle w:val="Normal0"/>
        <w:widowControl w:val="0"/>
        <w:spacing w:before="120" w:line="240" w:lineRule="atLeast"/>
        <w:jc w:val="both"/>
      </w:pPr>
      <w:r>
        <w:rPr>
          <w:rFonts w:ascii="Arial" w:eastAsia="Arial" w:hAnsi="Arial" w:cs="Arial"/>
          <w:color w:val="000000"/>
          <w:sz w:val="18"/>
          <w:vertAlign w:val="superscript"/>
        </w:rPr>
        <w:t>3 </w:t>
      </w:r>
      <w:bookmarkStart w:id="33" w:name="Bookmark_fnpara_4"/>
      <w:bookmarkEnd w:id="33"/>
      <w:r>
        <w:rPr>
          <w:rFonts w:ascii="Arial" w:eastAsia="Arial" w:hAnsi="Arial" w:cs="Arial"/>
          <w:color w:val="000000"/>
          <w:sz w:val="18"/>
        </w:rPr>
        <w:t>In the remainder of our opinion, we use "E.R.K." to refer to the class of Plaintiffs-Appellants as a whole. E.R.K., a class representative, is a student with autism who was receiving special-education services from the DOE at Roosevelt High School at the time of trial.</w:t>
      </w:r>
    </w:p>
  </w:footnote>
  <w:footnote w:id="5">
    <w:p w14:paraId="7AB6BA1F" w14:textId="77777777" w:rsidR="00D041A2" w:rsidRDefault="00000000">
      <w:pPr>
        <w:pStyle w:val="Normal0"/>
        <w:widowControl w:val="0"/>
        <w:spacing w:before="200" w:line="240" w:lineRule="atLeast"/>
        <w:jc w:val="both"/>
      </w:pPr>
      <w:r>
        <w:rPr>
          <w:rFonts w:ascii="Arial" w:eastAsia="Arial" w:hAnsi="Arial" w:cs="Arial"/>
          <w:color w:val="000000"/>
          <w:sz w:val="18"/>
          <w:vertAlign w:val="superscript"/>
        </w:rPr>
        <w:t>4 </w:t>
      </w:r>
      <w:bookmarkStart w:id="46" w:name="Bookmark_fnpara_5"/>
      <w:bookmarkEnd w:id="46"/>
      <w:r>
        <w:rPr>
          <w:rFonts w:ascii="Arial" w:eastAsia="Arial" w:hAnsi="Arial" w:cs="Arial"/>
          <w:color w:val="000000"/>
          <w:sz w:val="18"/>
        </w:rPr>
        <w:t xml:space="preserve">The legislation was enacted as the Education for All Handicapped Children Act. </w:t>
      </w:r>
      <w:r>
        <w:rPr>
          <w:rFonts w:ascii="Arial" w:eastAsia="Arial" w:hAnsi="Arial" w:cs="Arial"/>
          <w:i/>
          <w:color w:val="000000"/>
          <w:sz w:val="18"/>
        </w:rPr>
        <w:t>See</w:t>
      </w:r>
      <w:r>
        <w:rPr>
          <w:rFonts w:ascii="Arial" w:eastAsia="Arial" w:hAnsi="Arial" w:cs="Arial"/>
          <w:color w:val="000000"/>
          <w:sz w:val="18"/>
        </w:rPr>
        <w:t xml:space="preserve"> Pub. L. 94-142, 89 Stat. 773 (1975). That legislation amended an earlier statute, the Education of the Handicapped Act. </w:t>
      </w:r>
      <w:r>
        <w:rPr>
          <w:rFonts w:ascii="Arial" w:eastAsia="Arial" w:hAnsi="Arial" w:cs="Arial"/>
          <w:i/>
          <w:color w:val="000000"/>
          <w:sz w:val="18"/>
        </w:rPr>
        <w:t>See</w:t>
      </w:r>
      <w:r>
        <w:rPr>
          <w:rFonts w:ascii="Arial" w:eastAsia="Arial" w:hAnsi="Arial" w:cs="Arial"/>
          <w:color w:val="000000"/>
          <w:sz w:val="18"/>
        </w:rPr>
        <w:t xml:space="preserve"> Pub. L. 91-230, 84 Stat. 175 (1970). In 1990, the statute was renamed the Individuals with Disabilities Education Act. </w:t>
      </w:r>
      <w:r>
        <w:rPr>
          <w:rFonts w:ascii="Arial" w:eastAsia="Arial" w:hAnsi="Arial" w:cs="Arial"/>
          <w:i/>
          <w:color w:val="000000"/>
          <w:sz w:val="18"/>
        </w:rPr>
        <w:t>See</w:t>
      </w:r>
      <w:r>
        <w:rPr>
          <w:rFonts w:ascii="Arial" w:eastAsia="Arial" w:hAnsi="Arial" w:cs="Arial"/>
          <w:color w:val="000000"/>
          <w:sz w:val="18"/>
        </w:rPr>
        <w:t xml:space="preserve"> Pub. L. 101-476 § 901(a)(3), 104 Stat. 1103, 1142 (1990).</w:t>
      </w:r>
    </w:p>
  </w:footnote>
  <w:footnote w:id="6">
    <w:p w14:paraId="4F0F3A63" w14:textId="77777777" w:rsidR="00D041A2" w:rsidRDefault="00000000">
      <w:pPr>
        <w:pStyle w:val="Normal0"/>
        <w:widowControl w:val="0"/>
        <w:spacing w:before="200" w:line="240" w:lineRule="atLeast"/>
        <w:jc w:val="both"/>
      </w:pPr>
      <w:r>
        <w:rPr>
          <w:rFonts w:ascii="Arial" w:eastAsia="Arial" w:hAnsi="Arial" w:cs="Arial"/>
          <w:color w:val="000000"/>
          <w:sz w:val="18"/>
          <w:vertAlign w:val="superscript"/>
        </w:rPr>
        <w:t>5 </w:t>
      </w:r>
      <w:bookmarkStart w:id="71" w:name="Bookmark_fnpara_6"/>
      <w:bookmarkEnd w:id="71"/>
      <w:r>
        <w:rPr>
          <w:rFonts w:ascii="Arial" w:eastAsia="Arial" w:hAnsi="Arial" w:cs="Arial"/>
          <w:color w:val="000000"/>
          <w:sz w:val="18"/>
        </w:rPr>
        <w:t xml:space="preserve">Of course, the fact that the Community Schools for Adults meet the definition of "secondary schools" under the IDEA does not mean that Hawaii could comply with the IDEA simply by amending its laws to exclude adult-education programs from the ambit of "secondary education." </w:t>
      </w:r>
      <w:bookmarkStart w:id="72" w:name="Bookmark_LNHNREFclscc11"/>
      <w:bookmarkEnd w:id="72"/>
      <w:r>
        <w:rPr>
          <w:rFonts w:ascii="Arial" w:eastAsia="Arial" w:hAnsi="Arial" w:cs="Arial"/>
          <w:color w:val="000000"/>
          <w:sz w:val="18"/>
        </w:rPr>
        <w:t>A state's definition of "secondary education" determines whether an institution qualifies as a "secondary school" under the IDEA. 20 U.S.C. § 1401(27). State law alone, however, does not dictate whether a program is a form of secondary education—and, by extension, whether it constitutes "free public education." As we have explained, high school  [**18] diploma programs are paradigmatic examples of secondary education, and Hawaii is not free to reclassify the GED and CB programs as nonsecondary education in an effort to read them out of the definition of free public education.</w:t>
      </w:r>
    </w:p>
  </w:footnote>
  <w:footnote w:id="7">
    <w:p w14:paraId="163FBD03" w14:textId="77777777" w:rsidR="00D041A2" w:rsidRDefault="00000000">
      <w:pPr>
        <w:pStyle w:val="Normal0"/>
        <w:widowControl w:val="0"/>
        <w:spacing w:before="120" w:line="240" w:lineRule="atLeast"/>
        <w:jc w:val="both"/>
      </w:pPr>
      <w:r>
        <w:rPr>
          <w:rFonts w:ascii="Arial" w:eastAsia="Arial" w:hAnsi="Arial" w:cs="Arial"/>
          <w:color w:val="000000"/>
          <w:sz w:val="18"/>
          <w:vertAlign w:val="superscript"/>
        </w:rPr>
        <w:t>6 </w:t>
      </w:r>
      <w:bookmarkStart w:id="86" w:name="Bookmark_fnpara_7"/>
      <w:bookmarkEnd w:id="86"/>
      <w:r>
        <w:rPr>
          <w:rFonts w:ascii="Arial" w:eastAsia="Arial" w:hAnsi="Arial" w:cs="Arial"/>
          <w:color w:val="000000"/>
          <w:sz w:val="18"/>
        </w:rPr>
        <w:t>We are also skeptical that the differences between the diploma programs are as significant as the DOE claims. The record contains a flowchart, prepared by the DOE, which "illustrates the three methods by which the high school diploma may be earned." The flowchart shows that all three paths—the "Credit Method," the "GED Test Method," and the "[CB] Method"—lead to the same result: a "Hawaii Department of Education High School Diploma." Surely the programs' common characteristic—that they all lead to "the high school diploma"—is more relevant to their status as "secondary education" than differences in curriculum, structure, and rigor.</w:t>
      </w:r>
    </w:p>
  </w:footnote>
  <w:footnote w:id="8">
    <w:p w14:paraId="2642D5C9" w14:textId="77777777" w:rsidR="00D041A2" w:rsidRDefault="00000000">
      <w:pPr>
        <w:pStyle w:val="Normal0"/>
        <w:widowControl w:val="0"/>
        <w:spacing w:before="200" w:line="240" w:lineRule="atLeast"/>
        <w:jc w:val="both"/>
      </w:pPr>
      <w:r>
        <w:rPr>
          <w:rFonts w:ascii="Arial" w:eastAsia="Arial" w:hAnsi="Arial" w:cs="Arial"/>
          <w:color w:val="000000"/>
          <w:sz w:val="18"/>
          <w:vertAlign w:val="superscript"/>
        </w:rPr>
        <w:t>7 </w:t>
      </w:r>
      <w:bookmarkStart w:id="91" w:name="Bookmark_fnpara_8"/>
      <w:bookmarkEnd w:id="91"/>
      <w:r>
        <w:rPr>
          <w:rFonts w:ascii="Arial" w:eastAsia="Arial" w:hAnsi="Arial" w:cs="Arial"/>
          <w:i/>
          <w:color w:val="000000"/>
          <w:sz w:val="18"/>
        </w:rPr>
        <w:t>See</w:t>
      </w:r>
      <w:r>
        <w:rPr>
          <w:rFonts w:ascii="Arial" w:eastAsia="Arial" w:hAnsi="Arial" w:cs="Arial"/>
          <w:color w:val="000000"/>
          <w:sz w:val="18"/>
        </w:rPr>
        <w:t xml:space="preserve"> http://165.248.6.166/data/schoollist_csa.asp (noting that the Community Schools for Adults offer "[h]omemaking and parenting" courses") (last visited August 1, 2013); http://www.waipahucs.k12.hi.us/ courses/2013/Summer%202013/WCSA%20Sum%202013.pdf (listing three sections of a course called "Sewing") (last  [**24] visited August 1, 2013).</w:t>
      </w:r>
    </w:p>
  </w:footnote>
  <w:footnote w:id="9">
    <w:p w14:paraId="6D10549C" w14:textId="77777777" w:rsidR="00D041A2" w:rsidRDefault="00000000">
      <w:pPr>
        <w:pStyle w:val="Normal1"/>
        <w:widowControl w:val="0"/>
        <w:spacing w:before="120" w:line="240" w:lineRule="atLeast"/>
        <w:jc w:val="both"/>
      </w:pPr>
      <w:r>
        <w:rPr>
          <w:rFonts w:ascii="Arial" w:eastAsia="Arial" w:hAnsi="Arial" w:cs="Arial"/>
          <w:color w:val="000000"/>
          <w:sz w:val="18"/>
          <w:vertAlign w:val="superscript"/>
        </w:rPr>
        <w:t>** </w:t>
      </w:r>
      <w:bookmarkStart w:id="134" w:name="Bookmark_fnpara_1_0"/>
      <w:bookmarkEnd w:id="134"/>
      <w:r>
        <w:rPr>
          <w:rFonts w:ascii="Arial" w:eastAsia="Arial" w:hAnsi="Arial" w:cs="Arial"/>
          <w:color w:val="000000"/>
          <w:sz w:val="18"/>
        </w:rPr>
        <w:t>The panel unanimously concludes this case is suitable for decision without oral argument. See Fed. R. App. P. 34(a)(2).</w:t>
      </w:r>
    </w:p>
  </w:footnote>
  <w:footnote w:id="10">
    <w:p w14:paraId="268AE7A6" w14:textId="77777777" w:rsidR="00D041A2" w:rsidRDefault="00000000">
      <w:pPr>
        <w:pStyle w:val="Normal1"/>
        <w:widowControl w:val="0"/>
        <w:spacing w:before="120" w:line="240" w:lineRule="atLeast"/>
        <w:jc w:val="both"/>
      </w:pPr>
      <w:r>
        <w:rPr>
          <w:rFonts w:ascii="Arial" w:eastAsia="Arial" w:hAnsi="Arial" w:cs="Arial"/>
          <w:color w:val="000000"/>
          <w:sz w:val="18"/>
          <w:vertAlign w:val="superscript"/>
        </w:rPr>
        <w:t>* </w:t>
      </w:r>
      <w:bookmarkStart w:id="146" w:name="Bookmark_fnpara_2_0"/>
      <w:bookmarkEnd w:id="146"/>
      <w:r>
        <w:rPr>
          <w:rFonts w:ascii="Arial" w:eastAsia="Arial" w:hAnsi="Arial" w:cs="Arial"/>
          <w:color w:val="000000"/>
          <w:sz w:val="18"/>
        </w:rPr>
        <w:t>This disposition is not appropriate for publication and is not precedent except as provided by 9th Cir. R. 36-3.</w:t>
      </w:r>
    </w:p>
  </w:footnote>
  <w:footnote w:id="11">
    <w:p w14:paraId="39E59243" w14:textId="77777777" w:rsidR="00D041A2" w:rsidRDefault="00000000">
      <w:pPr>
        <w:pStyle w:val="Normal2"/>
        <w:widowControl w:val="0"/>
        <w:spacing w:before="120" w:line="240" w:lineRule="atLeast"/>
        <w:jc w:val="both"/>
      </w:pPr>
      <w:r>
        <w:rPr>
          <w:rFonts w:ascii="Arial" w:eastAsia="Arial" w:hAnsi="Arial" w:cs="Arial"/>
          <w:color w:val="000000"/>
          <w:sz w:val="18"/>
          <w:vertAlign w:val="superscript"/>
        </w:rPr>
        <w:t>** </w:t>
      </w:r>
      <w:bookmarkStart w:id="176" w:name="Bookmark_fnpara_1_1"/>
      <w:bookmarkEnd w:id="176"/>
      <w:r>
        <w:rPr>
          <w:rFonts w:ascii="Arial" w:eastAsia="Arial" w:hAnsi="Arial" w:cs="Arial"/>
          <w:color w:val="000000"/>
          <w:sz w:val="18"/>
        </w:rPr>
        <w:t>The Honorable Philip A. Brimmer, United States District Judge for the District of Colorado, sitting by designation.</w:t>
      </w:r>
    </w:p>
  </w:footnote>
  <w:footnote w:id="12">
    <w:p w14:paraId="3728EEB4" w14:textId="77777777" w:rsidR="00D041A2" w:rsidRDefault="00000000">
      <w:pPr>
        <w:pStyle w:val="Normal2"/>
        <w:widowControl w:val="0"/>
        <w:spacing w:before="120" w:line="240" w:lineRule="atLeast"/>
        <w:jc w:val="both"/>
      </w:pPr>
      <w:r>
        <w:rPr>
          <w:rFonts w:ascii="Arial" w:eastAsia="Arial" w:hAnsi="Arial" w:cs="Arial"/>
          <w:color w:val="000000"/>
          <w:sz w:val="18"/>
          <w:vertAlign w:val="superscript"/>
        </w:rPr>
        <w:t>* </w:t>
      </w:r>
      <w:bookmarkStart w:id="179" w:name="Bookmark_fnpara_2_1"/>
      <w:bookmarkEnd w:id="179"/>
      <w:r>
        <w:rPr>
          <w:rFonts w:ascii="Arial" w:eastAsia="Arial" w:hAnsi="Arial" w:cs="Arial"/>
          <w:color w:val="000000"/>
          <w:sz w:val="18"/>
        </w:rPr>
        <w:t>This order and judgment is not binding precedent, except under the doctrines of law of the case, res judicata, and collateral estoppel. It may be cited, however, for its persuasive value consistent with Federal Rule of Appellate Procedure 32.1 and Tenth Circuit Rule 32.1.</w:t>
      </w:r>
    </w:p>
  </w:footnote>
  <w:footnote w:id="13">
    <w:p w14:paraId="385A4B7A"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1 </w:t>
      </w:r>
      <w:bookmarkStart w:id="181" w:name="Bookmark_fnpara_3_0"/>
      <w:bookmarkEnd w:id="181"/>
      <w:r>
        <w:rPr>
          <w:rFonts w:ascii="Arial" w:eastAsia="Arial" w:hAnsi="Arial" w:cs="Arial"/>
          <w:color w:val="000000"/>
          <w:sz w:val="18"/>
        </w:rPr>
        <w:t xml:space="preserve">In addition to UNM, the University of New Mexico School of Medicine was also a prevailing party below. Mr. Cunningham argues before us that the School of Medicine was properly joined and that nothing in New Mexico law "prevents the School of Medicine from being named as a party." Aplt. Opening Br. at 33. UNM, however, asserts that Mr. Cunningham "has stated no facts that would allege that the School of Medicine has a separate corporate identity." Aplee. UNM Br. at 1 n.1. UNM further argues that "under New Mexico law, all of the management and  [**3] control of the University of New Mexico, including . . . the capacity to sue or be sued, is vested in the Board of Regents." </w:t>
      </w:r>
      <w:r>
        <w:rPr>
          <w:rFonts w:ascii="Arial" w:eastAsia="Arial" w:hAnsi="Arial" w:cs="Arial"/>
          <w:i/>
          <w:color w:val="000000"/>
          <w:sz w:val="18"/>
        </w:rPr>
        <w:t>Id.</w:t>
      </w:r>
      <w:r>
        <w:rPr>
          <w:rFonts w:ascii="Arial" w:eastAsia="Arial" w:hAnsi="Arial" w:cs="Arial"/>
          <w:color w:val="000000"/>
          <w:sz w:val="18"/>
        </w:rPr>
        <w:t xml:space="preserve"> Because we affirm the district court's dismissal as to all grounds, and the legal analysis would be the same regardless of whether the School of Medicine were a proper party to Mr. Cunningham's suit, we need not address whether the School of Medicine is actually subject to suit under the laws of New Mexico and thus a proper party to this suit. In the same vein, we do not perceive a need to distinguish between the Board and the School of Medicine in our analysis; we use the acronym "UNM" to refer to them both.</w:t>
      </w:r>
    </w:p>
  </w:footnote>
  <w:footnote w:id="14">
    <w:p w14:paraId="7B0E6A39"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2 </w:t>
      </w:r>
      <w:bookmarkStart w:id="183" w:name="Bookmark_fnpara_4_0"/>
      <w:bookmarkEnd w:id="183"/>
      <w:r>
        <w:rPr>
          <w:rFonts w:ascii="Arial" w:eastAsia="Arial" w:hAnsi="Arial" w:cs="Arial"/>
          <w:color w:val="000000"/>
          <w:sz w:val="18"/>
        </w:rPr>
        <w:t xml:space="preserve">Irlen Syndrome, also known as Scotopic Sensitivity Syndrome, "is sometimes categorized as a form of dyslexia[ and is] caused by hypersensitive photoreceptors in the eyes of the afflicted person." Aplt. App. at 9 (Compl., filed May 14, 2010). People who suffer from this syndrome "often have fragmented vision or diminished coherence in their vision and perception while reading, especially where the material is printed on white paper and under harsh lighting conditions or florescent [sic] lighting." </w:t>
      </w:r>
      <w:r>
        <w:rPr>
          <w:rFonts w:ascii="Arial" w:eastAsia="Arial" w:hAnsi="Arial" w:cs="Arial"/>
          <w:i/>
          <w:color w:val="000000"/>
          <w:sz w:val="18"/>
        </w:rPr>
        <w:t>Id.</w:t>
      </w:r>
    </w:p>
  </w:footnote>
  <w:footnote w:id="15">
    <w:p w14:paraId="730E03EA"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3 </w:t>
      </w:r>
      <w:bookmarkStart w:id="185" w:name="Bookmark_fnpara_5_0"/>
      <w:bookmarkEnd w:id="185"/>
      <w:r>
        <w:rPr>
          <w:rFonts w:ascii="Arial" w:eastAsia="Arial" w:hAnsi="Arial" w:cs="Arial"/>
          <w:color w:val="000000"/>
          <w:sz w:val="18"/>
        </w:rPr>
        <w:t xml:space="preserve">Mr. Cunningham does not explain the </w:t>
      </w:r>
      <w:r>
        <w:rPr>
          <w:rFonts w:ascii="Arial" w:eastAsia="Arial" w:hAnsi="Arial" w:cs="Arial"/>
          <w:i/>
          <w:color w:val="000000"/>
          <w:sz w:val="18"/>
        </w:rPr>
        <w:t>specific</w:t>
      </w:r>
      <w:r>
        <w:rPr>
          <w:rFonts w:ascii="Arial" w:eastAsia="Arial" w:hAnsi="Arial" w:cs="Arial"/>
          <w:color w:val="000000"/>
          <w:sz w:val="18"/>
        </w:rPr>
        <w:t xml:space="preserve"> accommodation that he requested; however, he does describe the general types of accommodations that may be given to one with Irlen Syndrome that involve the adjustment of test-taking conditions: additional time, more breaks, shorter segments, adjusting print and screen colors, and reducing or removing fluorescent lighting.</w:t>
      </w:r>
    </w:p>
  </w:footnote>
  <w:footnote w:id="16">
    <w:p w14:paraId="7BB927E8" w14:textId="77777777" w:rsidR="00D041A2" w:rsidRDefault="00000000">
      <w:pPr>
        <w:pStyle w:val="Normal2"/>
        <w:widowControl w:val="0"/>
        <w:spacing w:before="120" w:line="240" w:lineRule="atLeast"/>
        <w:jc w:val="both"/>
      </w:pPr>
      <w:r>
        <w:rPr>
          <w:rFonts w:ascii="Arial" w:eastAsia="Arial" w:hAnsi="Arial" w:cs="Arial"/>
          <w:color w:val="000000"/>
          <w:sz w:val="18"/>
          <w:vertAlign w:val="superscript"/>
        </w:rPr>
        <w:t>4 </w:t>
      </w:r>
      <w:bookmarkStart w:id="189" w:name="Bookmark_fnpara_6_0"/>
      <w:bookmarkEnd w:id="189"/>
      <w:r>
        <w:rPr>
          <w:rFonts w:ascii="Arial" w:eastAsia="Arial" w:hAnsi="Arial" w:cs="Arial"/>
          <w:color w:val="000000"/>
          <w:sz w:val="18"/>
        </w:rPr>
        <w:t>Specifically, the Board requested "records going back to elementary school, standardized test scores, contemporaneous reports from teachers, tutors or treatment providers, objective records showing the chronic course and impact of his disability, . . . additional reports from employment and other sources that document his disability, and further reports from his psychologist." Aplt. App. at 12.</w:t>
      </w:r>
    </w:p>
  </w:footnote>
  <w:footnote w:id="17">
    <w:p w14:paraId="093CF1E3"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5 </w:t>
      </w:r>
      <w:bookmarkStart w:id="195" w:name="Bookmark_fnpara_7_0"/>
      <w:bookmarkStart w:id="196" w:name="Bookmark_I59BCMF02SF8S00020000400"/>
      <w:bookmarkEnd w:id="195"/>
      <w:bookmarkEnd w:id="196"/>
      <w:r>
        <w:rPr>
          <w:rFonts w:ascii="Arial" w:eastAsia="Arial" w:hAnsi="Arial" w:cs="Arial"/>
          <w:color w:val="000000"/>
          <w:sz w:val="18"/>
        </w:rPr>
        <w:t xml:space="preserve">Because we affirm the district court's dismissal of Mr. Cunningham's federal-law claims, albeit for different reasons than those relied on by the district court, we do not reach Mr. Cunningham's state-law claims. </w:t>
      </w:r>
      <w:bookmarkStart w:id="197" w:name="Bookmark_I59BCMF02SF8S00040000400"/>
      <w:bookmarkStart w:id="198" w:name="Bookmark_LNHNREFclscc1_0"/>
      <w:bookmarkEnd w:id="197"/>
      <w:bookmarkEnd w:id="198"/>
      <w:r>
        <w:rPr>
          <w:rFonts w:ascii="Arial" w:eastAsia="Arial" w:hAnsi="Arial" w:cs="Arial"/>
          <w:color w:val="000000"/>
          <w:sz w:val="18"/>
        </w:rPr>
        <w:t xml:space="preserve">The district court permissibly declined to exercise supplemental jurisdiction regarding these claims, a decision that we review for an abuse of discretion. </w:t>
      </w:r>
      <w:r>
        <w:rPr>
          <w:rFonts w:ascii="Arial" w:eastAsia="Arial" w:hAnsi="Arial" w:cs="Arial"/>
          <w:i/>
          <w:color w:val="000000"/>
          <w:sz w:val="18"/>
        </w:rPr>
        <w:t xml:space="preserve">See </w:t>
      </w:r>
      <w:bookmarkStart w:id="199" w:name="Bookmark_I59BCMF02SF8S00010000400"/>
      <w:bookmarkEnd w:id="199"/>
      <w:r>
        <w:rPr>
          <w:rFonts w:ascii="Arial" w:eastAsia="Arial" w:hAnsi="Arial" w:cs="Arial"/>
          <w:i/>
          <w:color w:val="000000"/>
          <w:sz w:val="18"/>
        </w:rPr>
        <w:t>Koch v. City of Del City</w:t>
      </w:r>
      <w:r>
        <w:rPr>
          <w:rFonts w:ascii="Arial" w:eastAsia="Arial" w:hAnsi="Arial" w:cs="Arial"/>
          <w:color w:val="000000"/>
          <w:sz w:val="18"/>
        </w:rPr>
        <w:t xml:space="preserve">, 660 F.3d 1228, 1248 (10th Cir. 2011), </w:t>
      </w:r>
      <w:r>
        <w:rPr>
          <w:rFonts w:ascii="Arial" w:eastAsia="Arial" w:hAnsi="Arial" w:cs="Arial"/>
          <w:i/>
          <w:color w:val="000000"/>
          <w:sz w:val="18"/>
        </w:rPr>
        <w:t>cert. denied</w:t>
      </w:r>
      <w:r>
        <w:rPr>
          <w:rFonts w:ascii="Arial" w:eastAsia="Arial" w:hAnsi="Arial" w:cs="Arial"/>
          <w:color w:val="000000"/>
          <w:sz w:val="18"/>
        </w:rPr>
        <w:t xml:space="preserve">, </w:t>
      </w:r>
      <w:r>
        <w:rPr>
          <w:rFonts w:ascii="Arial" w:eastAsia="Arial" w:hAnsi="Arial" w:cs="Arial"/>
          <w:color w:val="000000"/>
          <w:sz w:val="18"/>
          <w:u w:val="single"/>
        </w:rPr>
        <w:t>   </w:t>
      </w:r>
      <w:r>
        <w:rPr>
          <w:rFonts w:ascii="Arial" w:eastAsia="Arial" w:hAnsi="Arial" w:cs="Arial"/>
          <w:color w:val="000000"/>
          <w:sz w:val="18"/>
        </w:rPr>
        <w:t xml:space="preserve"> U.S. </w:t>
      </w:r>
      <w:r>
        <w:rPr>
          <w:rFonts w:ascii="Arial" w:eastAsia="Arial" w:hAnsi="Arial" w:cs="Arial"/>
          <w:color w:val="000000"/>
          <w:sz w:val="18"/>
          <w:u w:val="single"/>
        </w:rPr>
        <w:t>   </w:t>
      </w:r>
      <w:r>
        <w:rPr>
          <w:rFonts w:ascii="Arial" w:eastAsia="Arial" w:hAnsi="Arial" w:cs="Arial"/>
          <w:color w:val="000000"/>
          <w:sz w:val="18"/>
        </w:rPr>
        <w:t xml:space="preserve">, 133 S. Ct. 211, 184 L. Ed. 2d 42 (2012). </w:t>
      </w:r>
      <w:bookmarkStart w:id="200" w:name="Bookmark_I59BCMF02SF8S00040000400_2"/>
      <w:bookmarkEnd w:id="200"/>
      <w:r>
        <w:rPr>
          <w:rFonts w:ascii="Arial" w:eastAsia="Arial" w:hAnsi="Arial" w:cs="Arial"/>
          <w:color w:val="000000"/>
          <w:sz w:val="18"/>
        </w:rPr>
        <w:t xml:space="preserve">"When all federal claims have been dismissed, the court may, and usually should, decline to exercise jurisdiction over any remaining state claims." </w:t>
      </w:r>
      <w:r>
        <w:rPr>
          <w:rFonts w:ascii="Arial" w:eastAsia="Arial" w:hAnsi="Arial" w:cs="Arial"/>
          <w:i/>
          <w:color w:val="000000"/>
          <w:sz w:val="18"/>
        </w:rPr>
        <w:t>Id.</w:t>
      </w:r>
      <w:r>
        <w:rPr>
          <w:rFonts w:ascii="Arial" w:eastAsia="Arial" w:hAnsi="Arial" w:cs="Arial"/>
          <w:color w:val="000000"/>
          <w:sz w:val="18"/>
        </w:rPr>
        <w:t xml:space="preserve"> (quoting </w:t>
      </w:r>
      <w:bookmarkStart w:id="201" w:name="Bookmark_I59BCMF02SF8S00030000400"/>
      <w:bookmarkEnd w:id="201"/>
      <w:r>
        <w:rPr>
          <w:rFonts w:ascii="Arial" w:eastAsia="Arial" w:hAnsi="Arial" w:cs="Arial"/>
          <w:i/>
          <w:color w:val="000000"/>
          <w:sz w:val="18"/>
        </w:rPr>
        <w:t>Smith v. City of Enid ex rel. Enid City Comm'n</w:t>
      </w:r>
      <w:r>
        <w:rPr>
          <w:rFonts w:ascii="Arial" w:eastAsia="Arial" w:hAnsi="Arial" w:cs="Arial"/>
          <w:color w:val="000000"/>
          <w:sz w:val="18"/>
        </w:rPr>
        <w:t>, 149 F.3d 1151, 1156 (10th Cir. 1998) (internal quotation marks omitted)). The district court only declined to exercise supplemental jurisdiction after dismissing Mr. Cunningham's federal claims; in our view, the court did not abuse its discretion.</w:t>
      </w:r>
    </w:p>
  </w:footnote>
  <w:footnote w:id="18">
    <w:p w14:paraId="021835A9"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6 </w:t>
      </w:r>
      <w:bookmarkStart w:id="230" w:name="Bookmark_fnpara_8_0"/>
      <w:bookmarkStart w:id="231" w:name="Bookmark_I59BCMF02D6NV90030000400"/>
      <w:bookmarkStart w:id="232" w:name="Bookmark_I59BCMF02D6NV90050000400"/>
      <w:bookmarkEnd w:id="230"/>
      <w:bookmarkEnd w:id="231"/>
      <w:bookmarkEnd w:id="232"/>
      <w:r>
        <w:rPr>
          <w:rFonts w:ascii="Arial" w:eastAsia="Arial" w:hAnsi="Arial" w:cs="Arial"/>
          <w:color w:val="000000"/>
          <w:sz w:val="18"/>
        </w:rPr>
        <w:t xml:space="preserve">To the extent that Mr. Cunningham asserts a § 1983 claim on appeal against the Board, </w:t>
      </w:r>
      <w:r>
        <w:rPr>
          <w:rFonts w:ascii="Arial" w:eastAsia="Arial" w:hAnsi="Arial" w:cs="Arial"/>
          <w:i/>
          <w:color w:val="000000"/>
          <w:sz w:val="18"/>
        </w:rPr>
        <w:t>see</w:t>
      </w:r>
      <w:r>
        <w:rPr>
          <w:rFonts w:ascii="Arial" w:eastAsia="Arial" w:hAnsi="Arial" w:cs="Arial"/>
          <w:color w:val="000000"/>
          <w:sz w:val="18"/>
        </w:rPr>
        <w:t xml:space="preserve"> Aplt. Opening Br. at 20-21 ("[The Board of Examiners] has 'acted together with' the medical school in a manner that makes it a state actor subject to an action under § 1983."), we need not consider such a claim because he did not raise it before the district court and has not argued for plain-error review before us. </w:t>
      </w:r>
      <w:r>
        <w:rPr>
          <w:rFonts w:ascii="Arial" w:eastAsia="Arial" w:hAnsi="Arial" w:cs="Arial"/>
          <w:i/>
          <w:color w:val="000000"/>
          <w:sz w:val="18"/>
        </w:rPr>
        <w:t xml:space="preserve">See </w:t>
      </w:r>
      <w:bookmarkStart w:id="233" w:name="Bookmark_I59BCMF02D6NV90020000400"/>
      <w:bookmarkEnd w:id="233"/>
      <w:r>
        <w:rPr>
          <w:rFonts w:ascii="Arial" w:eastAsia="Arial" w:hAnsi="Arial" w:cs="Arial"/>
          <w:i/>
          <w:color w:val="000000"/>
          <w:sz w:val="18"/>
        </w:rPr>
        <w:t>Richison v. Ernest Grp., Inc.</w:t>
      </w:r>
      <w:r>
        <w:rPr>
          <w:rFonts w:ascii="Arial" w:eastAsia="Arial" w:hAnsi="Arial" w:cs="Arial"/>
          <w:color w:val="000000"/>
          <w:sz w:val="18"/>
        </w:rPr>
        <w:t xml:space="preserve">, 634 F.3d 1123, 1128 (10th Cir. 2011) (explaining that </w:t>
      </w:r>
      <w:bookmarkStart w:id="234" w:name="Bookmark_LNHNREFclscc6_0"/>
      <w:bookmarkEnd w:id="234"/>
      <w:r>
        <w:rPr>
          <w:rFonts w:ascii="Arial" w:eastAsia="Arial" w:hAnsi="Arial" w:cs="Arial"/>
          <w:color w:val="000000"/>
          <w:sz w:val="18"/>
        </w:rPr>
        <w:t xml:space="preserve">a theory that was not raised before the district court is considered to be forfeited and stating that "we will entertain forfeited theories on appeal, but we will reverse a district court's judgment on the basis of a forfeited theory only if failing to do so would entrench a plainly erroneous result"). Moreover, even if he had made the claim below, it is now waived because it is not adequately set out in his opening brief. </w:t>
      </w:r>
      <w:r>
        <w:rPr>
          <w:rFonts w:ascii="Arial" w:eastAsia="Arial" w:hAnsi="Arial" w:cs="Arial"/>
          <w:i/>
          <w:color w:val="000000"/>
          <w:sz w:val="18"/>
        </w:rPr>
        <w:t xml:space="preserve">See </w:t>
      </w:r>
      <w:bookmarkStart w:id="235" w:name="Bookmark_I59BCMF02D6NV90040000400"/>
      <w:bookmarkEnd w:id="235"/>
      <w:r>
        <w:rPr>
          <w:rFonts w:ascii="Arial" w:eastAsia="Arial" w:hAnsi="Arial" w:cs="Arial"/>
          <w:i/>
          <w:color w:val="000000"/>
          <w:sz w:val="18"/>
        </w:rPr>
        <w:t>United States v. Cooper</w:t>
      </w:r>
      <w:r>
        <w:rPr>
          <w:rFonts w:ascii="Arial" w:eastAsia="Arial" w:hAnsi="Arial" w:cs="Arial"/>
          <w:color w:val="000000"/>
          <w:sz w:val="18"/>
        </w:rPr>
        <w:t>, 654 F.3d 1104, 1128 (10th Cir. 2011) (</w:t>
      </w:r>
      <w:bookmarkStart w:id="236" w:name="Bookmark_LNHNREFclscc7_0"/>
      <w:bookmarkEnd w:id="236"/>
      <w:r>
        <w:rPr>
          <w:rFonts w:ascii="Arial" w:eastAsia="Arial" w:hAnsi="Arial" w:cs="Arial"/>
          <w:color w:val="000000"/>
          <w:sz w:val="18"/>
        </w:rPr>
        <w:t xml:space="preserve">"It is well-settled that '[a]rguments inadequately briefed in the opening brief are waived.'" (alteration in original) (quoting </w:t>
      </w:r>
      <w:bookmarkStart w:id="237" w:name="Bookmark_I59BCMF02D6NVB0010000400"/>
      <w:bookmarkEnd w:id="237"/>
      <w:r>
        <w:rPr>
          <w:rFonts w:ascii="Arial" w:eastAsia="Arial" w:hAnsi="Arial" w:cs="Arial"/>
          <w:i/>
          <w:color w:val="000000"/>
          <w:sz w:val="18"/>
        </w:rPr>
        <w:t>Adler v. Wal-Mart Stores, Inc.</w:t>
      </w:r>
      <w:r>
        <w:rPr>
          <w:rFonts w:ascii="Arial" w:eastAsia="Arial" w:hAnsi="Arial" w:cs="Arial"/>
          <w:color w:val="000000"/>
          <w:sz w:val="18"/>
        </w:rPr>
        <w:t xml:space="preserve">, 144 F.3d 664, 679 (10th Cir. 1998)); </w:t>
      </w:r>
      <w:bookmarkStart w:id="238" w:name="Bookmark_I59BCMF02D6NVB0030000400"/>
      <w:bookmarkEnd w:id="238"/>
      <w:r>
        <w:rPr>
          <w:rFonts w:ascii="Arial" w:eastAsia="Arial" w:hAnsi="Arial" w:cs="Arial"/>
          <w:i/>
          <w:color w:val="000000"/>
          <w:sz w:val="18"/>
        </w:rPr>
        <w:t>Bronson v. Swensen</w:t>
      </w:r>
      <w:r>
        <w:rPr>
          <w:rFonts w:ascii="Arial" w:eastAsia="Arial" w:hAnsi="Arial" w:cs="Arial"/>
          <w:color w:val="000000"/>
          <w:sz w:val="18"/>
        </w:rPr>
        <w:t>, 500 F.3d 1099, 1104 (10th Cir. 2007)  [**14] ("[W]e routinely have declined to consider arguments that are not raised, or are inadequately presented, in an appellant's opening brief.").</w:t>
      </w:r>
    </w:p>
  </w:footnote>
  <w:footnote w:id="19">
    <w:p w14:paraId="75CF3D9A"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7 </w:t>
      </w:r>
      <w:bookmarkStart w:id="293" w:name="Bookmark_fnpara_9"/>
      <w:bookmarkEnd w:id="293"/>
      <w:r>
        <w:rPr>
          <w:rFonts w:ascii="Arial" w:eastAsia="Arial" w:hAnsi="Arial" w:cs="Arial"/>
          <w:color w:val="000000"/>
          <w:sz w:val="18"/>
        </w:rPr>
        <w:t>In  [**21] his complaint, however, Mr. Cunningham alleged that this failure to furnish the requested additional documentation was because he "was not able to gather the documentation required by [the Board] in the short time between the denial of his request for accommodation and the test date." Aplt. App. at 12.</w:t>
      </w:r>
    </w:p>
  </w:footnote>
  <w:footnote w:id="20">
    <w:p w14:paraId="2A7B3968"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8 </w:t>
      </w:r>
      <w:bookmarkStart w:id="299" w:name="Bookmark_fnpara_10"/>
      <w:bookmarkEnd w:id="299"/>
      <w:r>
        <w:rPr>
          <w:rFonts w:ascii="Arial" w:eastAsia="Arial" w:hAnsi="Arial" w:cs="Arial"/>
          <w:color w:val="000000"/>
          <w:sz w:val="18"/>
        </w:rPr>
        <w:t xml:space="preserve">Mr. Cunningham argues that "it is entirely safe to say that a further request would also be rejected if [he] had been able to comply in time for the June 2009[ test date], or had he taken the additional steps of extending the test window as described by the [Board]." Aplt. Opening Br. at 17. We disagree. Mr. Cunningham cites to no allegations in his complaint and no case law to support such a contention. Mr. Cunningham further argues that, despite having the amended  [**23] complaint since March 14, 2010—a document that contains "the complete facts" regarding Mr. Cunningham's disability—the Board "has made no offer to provide reasonable accommodation and [thus] the Court may presume that it does not intend to do so." </w:t>
      </w:r>
      <w:r>
        <w:rPr>
          <w:rFonts w:ascii="Arial" w:eastAsia="Arial" w:hAnsi="Arial" w:cs="Arial"/>
          <w:i/>
          <w:color w:val="000000"/>
          <w:sz w:val="18"/>
        </w:rPr>
        <w:t>Id.</w:t>
      </w:r>
      <w:r>
        <w:rPr>
          <w:rFonts w:ascii="Arial" w:eastAsia="Arial" w:hAnsi="Arial" w:cs="Arial"/>
          <w:color w:val="000000"/>
          <w:sz w:val="18"/>
        </w:rPr>
        <w:t xml:space="preserve"> at 17-18. However, Mr. Cunningham fails to explain why the Board should be expected to make such an offer, or even how it would do so. In that regard, Mr. Cunningham does not have a pending request before the Board, nor has he registered for, or even stated that he will register for, another administration of Step 1. Thus there is no specific action for the Board to take.</w:t>
      </w:r>
    </w:p>
  </w:footnote>
  <w:footnote w:id="21">
    <w:p w14:paraId="545609F2"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9 </w:t>
      </w:r>
      <w:bookmarkStart w:id="314" w:name="Bookmark_fnpara_11"/>
      <w:bookmarkStart w:id="315" w:name="Bookmark_I59BCMF02D6NVD0050000400"/>
      <w:bookmarkEnd w:id="314"/>
      <w:bookmarkEnd w:id="315"/>
      <w:r>
        <w:rPr>
          <w:rFonts w:ascii="Arial" w:eastAsia="Arial" w:hAnsi="Arial" w:cs="Arial"/>
          <w:color w:val="000000"/>
          <w:sz w:val="18"/>
        </w:rPr>
        <w:t xml:space="preserve">In addition to arguing that we lack subject-matter jurisdiction because Mr. Cunningham's ADA and Rehabilitation Act claims are not ripe, the Board asserts that his Rehabilitation Act claim "fails because [the Board] does not receive federal financial assistance as required for claims under the Act." Aplee. Board  [**25] Br. at 26. However, </w:t>
      </w:r>
      <w:bookmarkStart w:id="316" w:name="Bookmark_LNHNREFclscc16_0"/>
      <w:bookmarkEnd w:id="316"/>
      <w:r>
        <w:rPr>
          <w:rFonts w:ascii="Arial" w:eastAsia="Arial" w:hAnsi="Arial" w:cs="Arial"/>
          <w:color w:val="000000"/>
          <w:sz w:val="18"/>
        </w:rPr>
        <w:t xml:space="preserve">we exercise our "leeway 'to choose among threshold grounds for denying audience to a case on the merits,'" </w:t>
      </w:r>
      <w:bookmarkStart w:id="317" w:name="Bookmark_I59BCMF02D6NVD0040000400"/>
      <w:bookmarkEnd w:id="317"/>
      <w:r>
        <w:rPr>
          <w:rFonts w:ascii="Arial" w:eastAsia="Arial" w:hAnsi="Arial" w:cs="Arial"/>
          <w:i/>
          <w:color w:val="000000"/>
          <w:sz w:val="18"/>
        </w:rPr>
        <w:t>Sinochem Int'l Co. v. Malay Int'l Shipping Corp.</w:t>
      </w:r>
      <w:r>
        <w:rPr>
          <w:rFonts w:ascii="Arial" w:eastAsia="Arial" w:hAnsi="Arial" w:cs="Arial"/>
          <w:color w:val="000000"/>
          <w:sz w:val="18"/>
        </w:rPr>
        <w:t xml:space="preserve">, 549 U.S. 422, 431, 127 S. Ct. 1184, 167 L. Ed. 2d 15 (2007) (quoting </w:t>
      </w:r>
      <w:bookmarkStart w:id="318" w:name="Bookmark_I59BCMF02N1PR00010000400"/>
      <w:bookmarkEnd w:id="318"/>
      <w:r>
        <w:rPr>
          <w:rFonts w:ascii="Arial" w:eastAsia="Arial" w:hAnsi="Arial" w:cs="Arial"/>
          <w:i/>
          <w:color w:val="000000"/>
          <w:sz w:val="18"/>
        </w:rPr>
        <w:t>Ruhrgas AG v. Marathon Oil Co.</w:t>
      </w:r>
      <w:r>
        <w:rPr>
          <w:rFonts w:ascii="Arial" w:eastAsia="Arial" w:hAnsi="Arial" w:cs="Arial"/>
          <w:color w:val="000000"/>
          <w:sz w:val="18"/>
        </w:rPr>
        <w:t>, 526 U.S. 574, 585, 119 S. Ct. 1563, 143 L. Ed. 2d 760 (1999)), and dispose of both Mr. Cunningham's ADA and Rehabilitation Act claims on ripeness grounds. Thus, we need not address whether the Board is a state actor with liability under the Rehabilitation Act.</w:t>
      </w:r>
    </w:p>
  </w:footnote>
  <w:footnote w:id="22">
    <w:p w14:paraId="03C8677A"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10 </w:t>
      </w:r>
      <w:bookmarkStart w:id="321" w:name="Bookmark_fnpara_12"/>
      <w:bookmarkStart w:id="322" w:name="Bookmark_I59BCMF028T3XT0030000400"/>
      <w:bookmarkStart w:id="323" w:name="Bookmark_I59BCMF02D6NVF0020000400"/>
      <w:bookmarkEnd w:id="321"/>
      <w:bookmarkEnd w:id="322"/>
      <w:bookmarkEnd w:id="323"/>
      <w:r>
        <w:rPr>
          <w:rFonts w:ascii="Arial" w:eastAsia="Arial" w:hAnsi="Arial" w:cs="Arial"/>
          <w:color w:val="000000"/>
          <w:sz w:val="18"/>
        </w:rPr>
        <w:t xml:space="preserve">While Mr. Cunningham clearly asserted a Rehabilitation Act claim against UNM in his amended complaint, he does not explicitly assert error on appeal regarding the district court's dismissal of this claim. Instead, he focuses on his ADA and Rehabilitation Act claims against the Board and only presents arguments regarding his ADA claim against UNM. Thus, we are presumably presented with an issue of waiver regarding Mr. Cunningham's Rehabilitation Act claim against UNM. </w:t>
      </w:r>
      <w:r>
        <w:rPr>
          <w:rFonts w:ascii="Arial" w:eastAsia="Arial" w:hAnsi="Arial" w:cs="Arial"/>
          <w:i/>
          <w:color w:val="000000"/>
          <w:sz w:val="18"/>
        </w:rPr>
        <w:t xml:space="preserve">See </w:t>
      </w:r>
      <w:bookmarkStart w:id="324" w:name="Bookmark_I59BCMF028T3XT0020000400"/>
      <w:bookmarkEnd w:id="324"/>
      <w:r>
        <w:rPr>
          <w:rFonts w:ascii="Arial" w:eastAsia="Arial" w:hAnsi="Arial" w:cs="Arial"/>
          <w:i/>
          <w:color w:val="000000"/>
          <w:sz w:val="18"/>
        </w:rPr>
        <w:t>Cooper</w:t>
      </w:r>
      <w:r>
        <w:rPr>
          <w:rFonts w:ascii="Arial" w:eastAsia="Arial" w:hAnsi="Arial" w:cs="Arial"/>
          <w:color w:val="000000"/>
          <w:sz w:val="18"/>
        </w:rPr>
        <w:t>, 654 F.3d at 1128 (</w:t>
      </w:r>
      <w:bookmarkStart w:id="325" w:name="Bookmark_LNHNREFclscc18"/>
      <w:bookmarkEnd w:id="325"/>
      <w:r>
        <w:rPr>
          <w:rFonts w:ascii="Arial" w:eastAsia="Arial" w:hAnsi="Arial" w:cs="Arial"/>
          <w:color w:val="000000"/>
          <w:sz w:val="18"/>
        </w:rPr>
        <w:t xml:space="preserve">"It is well-settled that '[a]rguments inadequately briefed in the opening brief are waived.'" (alteration in original) (quoting </w:t>
      </w:r>
      <w:bookmarkStart w:id="326" w:name="Bookmark_I59BCMF028T3XT0040000400"/>
      <w:bookmarkEnd w:id="326"/>
      <w:r>
        <w:rPr>
          <w:rFonts w:ascii="Arial" w:eastAsia="Arial" w:hAnsi="Arial" w:cs="Arial"/>
          <w:i/>
          <w:color w:val="000000"/>
          <w:sz w:val="18"/>
        </w:rPr>
        <w:t>Adler</w:t>
      </w:r>
      <w:r>
        <w:rPr>
          <w:rFonts w:ascii="Arial" w:eastAsia="Arial" w:hAnsi="Arial" w:cs="Arial"/>
          <w:color w:val="000000"/>
          <w:sz w:val="18"/>
        </w:rPr>
        <w:t xml:space="preserve">, 144 F.3d at 679)). However, UNM does not argue for waiver and we have "discretion to ignore the waiver." </w:t>
      </w:r>
      <w:bookmarkStart w:id="327" w:name="Bookmark_I59BCMF02D6NVF0010000400"/>
      <w:bookmarkEnd w:id="327"/>
      <w:r>
        <w:rPr>
          <w:rFonts w:ascii="Arial" w:eastAsia="Arial" w:hAnsi="Arial" w:cs="Arial"/>
          <w:i/>
          <w:color w:val="000000"/>
          <w:sz w:val="18"/>
        </w:rPr>
        <w:t>United States v. Montgomery</w:t>
      </w:r>
      <w:r>
        <w:rPr>
          <w:rFonts w:ascii="Arial" w:eastAsia="Arial" w:hAnsi="Arial" w:cs="Arial"/>
          <w:color w:val="000000"/>
          <w:sz w:val="18"/>
        </w:rPr>
        <w:t xml:space="preserve">, 550 F.3d 1229, 1231 n.1 (10th Cir. 2008). Because Mr. Cunningham's ADA and Rehabilitation Act claims involve the same substantive standards, </w:t>
      </w:r>
      <w:r>
        <w:rPr>
          <w:rFonts w:ascii="Arial" w:eastAsia="Arial" w:hAnsi="Arial" w:cs="Arial"/>
          <w:i/>
          <w:color w:val="000000"/>
          <w:sz w:val="18"/>
        </w:rPr>
        <w:t>see</w:t>
      </w:r>
      <w:r>
        <w:rPr>
          <w:rFonts w:ascii="Arial" w:eastAsia="Arial" w:hAnsi="Arial" w:cs="Arial"/>
          <w:color w:val="000000"/>
          <w:sz w:val="18"/>
        </w:rPr>
        <w:t xml:space="preserve"> discussion </w:t>
      </w:r>
      <w:r>
        <w:rPr>
          <w:rFonts w:ascii="Arial" w:eastAsia="Arial" w:hAnsi="Arial" w:cs="Arial"/>
          <w:i/>
          <w:color w:val="000000"/>
          <w:sz w:val="18"/>
        </w:rPr>
        <w:t>infra</w:t>
      </w:r>
      <w:r>
        <w:rPr>
          <w:rFonts w:ascii="Arial" w:eastAsia="Arial" w:hAnsi="Arial" w:cs="Arial"/>
          <w:color w:val="000000"/>
          <w:sz w:val="18"/>
        </w:rPr>
        <w:t>, and our analysis and result would be the same regardless of whether we address Mr. Cunningham's ADA claim standing alone or in conjunction with his Rehabilitation  [**27] Act claim, we exercise our discretion here and address both claims.</w:t>
      </w:r>
    </w:p>
  </w:footnote>
  <w:footnote w:id="23">
    <w:p w14:paraId="3A366FA3" w14:textId="77777777" w:rsidR="00D041A2" w:rsidRDefault="00000000">
      <w:pPr>
        <w:pStyle w:val="Normal2"/>
        <w:widowControl w:val="0"/>
        <w:spacing w:before="120" w:line="240" w:lineRule="atLeast"/>
        <w:jc w:val="both"/>
      </w:pPr>
      <w:r>
        <w:rPr>
          <w:rFonts w:ascii="Arial" w:eastAsia="Arial" w:hAnsi="Arial" w:cs="Arial"/>
          <w:color w:val="000000"/>
          <w:sz w:val="18"/>
          <w:vertAlign w:val="superscript"/>
        </w:rPr>
        <w:t>11 </w:t>
      </w:r>
      <w:bookmarkStart w:id="339" w:name="Bookmark_fnpara_13"/>
      <w:bookmarkEnd w:id="339"/>
      <w:r>
        <w:rPr>
          <w:rFonts w:ascii="Arial" w:eastAsia="Arial" w:hAnsi="Arial" w:cs="Arial"/>
          <w:color w:val="000000"/>
          <w:sz w:val="18"/>
        </w:rPr>
        <w:t xml:space="preserve">The language under the Rehabilitation Act is quite similar: </w:t>
      </w:r>
      <w:bookmarkStart w:id="340" w:name="Bookmark_LNHNREFclscc21"/>
      <w:bookmarkEnd w:id="340"/>
      <w:r>
        <w:rPr>
          <w:rFonts w:ascii="Arial" w:eastAsia="Arial" w:hAnsi="Arial" w:cs="Arial"/>
          <w:color w:val="000000"/>
          <w:sz w:val="18"/>
        </w:rPr>
        <w:t>"No otherwise qualified individual with a disability . . . shall, solely by reason of her or his disability, be excluded from the participation in, be denied the benefits of, or be subjected to discrimination under any program or activity receiving Federal financial assistance . . . ." 29 U.S.C. § 794(a).</w:t>
      </w:r>
    </w:p>
  </w:footnote>
  <w:footnote w:id="24">
    <w:p w14:paraId="5565A285" w14:textId="77777777" w:rsidR="00D041A2" w:rsidRDefault="00000000">
      <w:pPr>
        <w:pStyle w:val="Normal2"/>
        <w:widowControl w:val="0"/>
        <w:spacing w:before="120" w:line="240" w:lineRule="atLeast"/>
        <w:jc w:val="both"/>
      </w:pPr>
      <w:r>
        <w:rPr>
          <w:rFonts w:ascii="Arial" w:eastAsia="Arial" w:hAnsi="Arial" w:cs="Arial"/>
          <w:color w:val="000000"/>
          <w:sz w:val="18"/>
          <w:vertAlign w:val="superscript"/>
        </w:rPr>
        <w:t>12 </w:t>
      </w:r>
      <w:bookmarkStart w:id="342" w:name="Bookmark_fnpara_14"/>
      <w:bookmarkStart w:id="343" w:name="Bookmark_LNHNREFclscc22"/>
      <w:bookmarkEnd w:id="342"/>
      <w:bookmarkEnd w:id="343"/>
      <w:r>
        <w:rPr>
          <w:rFonts w:ascii="Arial" w:eastAsia="Arial" w:hAnsi="Arial" w:cs="Arial"/>
          <w:color w:val="000000"/>
          <w:sz w:val="18"/>
        </w:rPr>
        <w:t>Learning and reading are explicitly listed as "major life activities" under 42 U.S.C. § 12102(2)(A).</w:t>
      </w:r>
    </w:p>
  </w:footnote>
  <w:footnote w:id="25">
    <w:p w14:paraId="3718AE25"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13 </w:t>
      </w:r>
      <w:bookmarkStart w:id="345" w:name="Bookmark_fnpara_15"/>
      <w:bookmarkStart w:id="346" w:name="Bookmark_I59BCMF02HM6050050000400"/>
      <w:bookmarkEnd w:id="345"/>
      <w:bookmarkEnd w:id="346"/>
      <w:r>
        <w:rPr>
          <w:rFonts w:ascii="Arial" w:eastAsia="Arial" w:hAnsi="Arial" w:cs="Arial"/>
          <w:color w:val="000000"/>
          <w:sz w:val="18"/>
        </w:rPr>
        <w:t xml:space="preserve">To the extent that he attempts to pursue on appeal the argument set out in his complaint that UNM "arbitrarily refused . . . to assist him in gaining accommodation from [the Board]," Aplt. App. at 13, he has not shown any duty on behalf of UNM to control the Board or petition to it on his behalf. Nor has he shown any vicarious liability such that the Board's actions could be charged against UNM; notably, he has not alleged that UNM exerted control over the Board. </w:t>
      </w:r>
      <w:r>
        <w:rPr>
          <w:rFonts w:ascii="Arial" w:eastAsia="Arial" w:hAnsi="Arial" w:cs="Arial"/>
          <w:i/>
          <w:color w:val="000000"/>
          <w:sz w:val="18"/>
        </w:rPr>
        <w:t xml:space="preserve">Cf. </w:t>
      </w:r>
      <w:bookmarkStart w:id="347" w:name="Bookmark_I59BCMF02HM6050040000400"/>
      <w:bookmarkEnd w:id="347"/>
      <w:r>
        <w:rPr>
          <w:rFonts w:ascii="Arial" w:eastAsia="Arial" w:hAnsi="Arial" w:cs="Arial"/>
          <w:i/>
          <w:color w:val="000000"/>
          <w:sz w:val="18"/>
        </w:rPr>
        <w:t>E.E.O.C. v. Wal-Mart Stores, Inc.</w:t>
      </w:r>
      <w:r>
        <w:rPr>
          <w:rFonts w:ascii="Arial" w:eastAsia="Arial" w:hAnsi="Arial" w:cs="Arial"/>
          <w:color w:val="000000"/>
          <w:sz w:val="18"/>
        </w:rPr>
        <w:t>, 187 F.3d 1241, 1247 (10th Cir. 1999) (explaining that in resolving the issue of whether conduct could be imputed to an employer for the alleged ADA violations of its employees "we rely on traditional agency  [**30] principles as developed by the common law"). Accordingly, such an argument would fail.</w:t>
      </w:r>
    </w:p>
  </w:footnote>
  <w:footnote w:id="26">
    <w:p w14:paraId="48DD9583" w14:textId="77777777" w:rsidR="00D041A2" w:rsidRDefault="00000000">
      <w:pPr>
        <w:pStyle w:val="Normal2"/>
        <w:widowControl w:val="0"/>
        <w:spacing w:before="200" w:line="240" w:lineRule="atLeast"/>
        <w:jc w:val="both"/>
      </w:pPr>
      <w:r>
        <w:rPr>
          <w:rFonts w:ascii="Arial" w:eastAsia="Arial" w:hAnsi="Arial" w:cs="Arial"/>
          <w:color w:val="000000"/>
          <w:sz w:val="18"/>
          <w:vertAlign w:val="superscript"/>
        </w:rPr>
        <w:t>14 </w:t>
      </w:r>
      <w:bookmarkStart w:id="359" w:name="Bookmark_fnpara_16"/>
      <w:bookmarkEnd w:id="359"/>
      <w:r>
        <w:rPr>
          <w:rFonts w:ascii="Arial" w:eastAsia="Arial" w:hAnsi="Arial" w:cs="Arial"/>
          <w:color w:val="000000"/>
          <w:sz w:val="18"/>
        </w:rPr>
        <w:t xml:space="preserve">We also </w:t>
      </w:r>
      <w:r>
        <w:rPr>
          <w:rFonts w:ascii="Arial" w:eastAsia="Arial" w:hAnsi="Arial" w:cs="Arial"/>
          <w:b/>
          <w:color w:val="000000"/>
          <w:sz w:val="18"/>
        </w:rPr>
        <w:t>grant</w:t>
      </w:r>
      <w:r>
        <w:rPr>
          <w:rFonts w:ascii="Arial" w:eastAsia="Arial" w:hAnsi="Arial" w:cs="Arial"/>
          <w:color w:val="000000"/>
          <w:sz w:val="18"/>
        </w:rPr>
        <w:t xml:space="preserve"> the pending motion to withdraw of Mr. Cunningham's counsel.</w:t>
      </w:r>
    </w:p>
  </w:footnote>
  <w:footnote w:id="27">
    <w:p w14:paraId="77BD94C8" w14:textId="77777777" w:rsidR="00D041A2" w:rsidRDefault="00000000">
      <w:pPr>
        <w:pStyle w:val="Normal3"/>
        <w:widowControl w:val="0"/>
        <w:spacing w:before="120" w:line="240" w:lineRule="atLeast"/>
        <w:jc w:val="both"/>
      </w:pPr>
      <w:r>
        <w:rPr>
          <w:rFonts w:ascii="Arial" w:eastAsia="Arial" w:hAnsi="Arial" w:cs="Arial"/>
          <w:color w:val="000000"/>
          <w:sz w:val="18"/>
          <w:vertAlign w:val="superscript"/>
        </w:rPr>
        <w:t>* </w:t>
      </w:r>
      <w:bookmarkStart w:id="373" w:name="Bookmark_fnpara_1_2"/>
      <w:bookmarkEnd w:id="373"/>
      <w:r>
        <w:rPr>
          <w:rFonts w:ascii="Arial" w:eastAsia="Arial" w:hAnsi="Arial" w:cs="Arial"/>
          <w:color w:val="000000"/>
          <w:sz w:val="18"/>
        </w:rPr>
        <w:t>The Honorable Lee H. Rosenthal, United States District Judge for the Southern District of Texas, sitting by designation.</w:t>
      </w:r>
    </w:p>
  </w:footnote>
  <w:footnote w:id="28">
    <w:p w14:paraId="3F01C6D3" w14:textId="77777777" w:rsidR="00D041A2" w:rsidRDefault="00000000">
      <w:pPr>
        <w:pStyle w:val="Normal3"/>
        <w:widowControl w:val="0"/>
        <w:spacing w:before="200" w:line="240" w:lineRule="atLeast"/>
        <w:jc w:val="both"/>
      </w:pPr>
      <w:r>
        <w:rPr>
          <w:rFonts w:ascii="Arial" w:eastAsia="Arial" w:hAnsi="Arial" w:cs="Arial"/>
          <w:color w:val="000000"/>
          <w:sz w:val="18"/>
          <w:vertAlign w:val="superscript"/>
        </w:rPr>
        <w:t>1 </w:t>
      </w:r>
      <w:bookmarkStart w:id="379" w:name="Bookmark_fnpara_2_2"/>
      <w:bookmarkEnd w:id="379"/>
      <w:r>
        <w:rPr>
          <w:rFonts w:ascii="Arial" w:eastAsia="Arial" w:hAnsi="Arial" w:cs="Arial"/>
          <w:color w:val="000000"/>
          <w:sz w:val="18"/>
        </w:rPr>
        <w:t xml:space="preserve">Because the ADA, Section 504, and the PHRA are applied similarly, the term "ADA" is used here to refer to all three statutes. </w:t>
      </w:r>
      <w:r>
        <w:rPr>
          <w:rFonts w:ascii="Arial" w:eastAsia="Arial" w:hAnsi="Arial" w:cs="Arial"/>
          <w:i/>
          <w:color w:val="000000"/>
          <w:sz w:val="18"/>
        </w:rPr>
        <w:t xml:space="preserve">See </w:t>
      </w:r>
      <w:bookmarkStart w:id="380" w:name="Bookmark_I598880X2SF7VD0010000400"/>
      <w:bookmarkEnd w:id="380"/>
      <w:r>
        <w:rPr>
          <w:rFonts w:ascii="Arial" w:eastAsia="Arial" w:hAnsi="Arial" w:cs="Arial"/>
          <w:i/>
          <w:color w:val="000000"/>
          <w:sz w:val="18"/>
        </w:rPr>
        <w:t>Donahue v. Consol. Rail Corp.</w:t>
      </w:r>
      <w:r>
        <w:rPr>
          <w:rFonts w:ascii="Arial" w:eastAsia="Arial" w:hAnsi="Arial" w:cs="Arial"/>
          <w:color w:val="000000"/>
          <w:sz w:val="18"/>
        </w:rPr>
        <w:t xml:space="preserve">, 224 F.3d 226, 229 (3d Cir. 2000); </w:t>
      </w:r>
      <w:bookmarkStart w:id="381" w:name="Bookmark_I598880X2SF7VD0030000400"/>
      <w:bookmarkEnd w:id="381"/>
      <w:r>
        <w:rPr>
          <w:rFonts w:ascii="Arial" w:eastAsia="Arial" w:hAnsi="Arial" w:cs="Arial"/>
          <w:i/>
          <w:color w:val="000000"/>
          <w:sz w:val="18"/>
        </w:rPr>
        <w:t>Taylor v. Phoenixville Sch. Dist.</w:t>
      </w:r>
      <w:r>
        <w:rPr>
          <w:rFonts w:ascii="Arial" w:eastAsia="Arial" w:hAnsi="Arial" w:cs="Arial"/>
          <w:color w:val="000000"/>
          <w:sz w:val="18"/>
        </w:rPr>
        <w:t>, 184 F.3d 296, 306 (3d Cir. 1999).</w:t>
      </w:r>
    </w:p>
  </w:footnote>
  <w:footnote w:id="29">
    <w:p w14:paraId="42356465" w14:textId="77777777" w:rsidR="00D041A2" w:rsidRDefault="00000000">
      <w:pPr>
        <w:pStyle w:val="Normal3"/>
        <w:widowControl w:val="0"/>
        <w:spacing w:before="200" w:line="240" w:lineRule="atLeast"/>
        <w:jc w:val="both"/>
      </w:pPr>
      <w:r>
        <w:rPr>
          <w:rFonts w:ascii="Arial" w:eastAsia="Arial" w:hAnsi="Arial" w:cs="Arial"/>
          <w:color w:val="000000"/>
          <w:sz w:val="18"/>
          <w:vertAlign w:val="superscript"/>
        </w:rPr>
        <w:t>2 </w:t>
      </w:r>
      <w:bookmarkStart w:id="394" w:name="Bookmark_fnpara_3_1"/>
      <w:bookmarkStart w:id="395" w:name="Bookmark_I598880X2SF7VF0020000400"/>
      <w:bookmarkEnd w:id="394"/>
      <w:bookmarkEnd w:id="395"/>
      <w:r>
        <w:rPr>
          <w:rFonts w:ascii="Arial" w:eastAsia="Arial" w:hAnsi="Arial" w:cs="Arial"/>
          <w:color w:val="000000"/>
          <w:sz w:val="18"/>
        </w:rPr>
        <w:t xml:space="preserve">In this appeal, Solomon also seeks judgment in her favor as a matter of law, citing Rule 59(e). Rule 50 governs a motion for judgment as a matter of law; Rule 59(e) applies to a motion to alter or amend a judgment. Solomon  [**5] did not "file for judgment as a matter of law both before the case [was] submitted to the jury and after a verdict [was] returned." </w:t>
      </w:r>
      <w:bookmarkStart w:id="396" w:name="Bookmark_I598880X2SF7VF0010000400"/>
      <w:bookmarkEnd w:id="396"/>
      <w:r>
        <w:rPr>
          <w:rFonts w:ascii="Arial" w:eastAsia="Arial" w:hAnsi="Arial" w:cs="Arial"/>
          <w:i/>
          <w:color w:val="000000"/>
          <w:sz w:val="18"/>
        </w:rPr>
        <w:t>Pediatrix Screening, Inc. v. Telechem Int'l, Inc.</w:t>
      </w:r>
      <w:r>
        <w:rPr>
          <w:rFonts w:ascii="Arial" w:eastAsia="Arial" w:hAnsi="Arial" w:cs="Arial"/>
          <w:color w:val="000000"/>
          <w:sz w:val="18"/>
        </w:rPr>
        <w:t>, 602 F.3d 541, 546 (3d Cir. 2010). Therefore, we consider the motion only under Rule 59(a) and (e).</w:t>
      </w:r>
    </w:p>
  </w:footnote>
  <w:footnote w:id="30">
    <w:p w14:paraId="15594512" w14:textId="77777777" w:rsidR="00D041A2" w:rsidRDefault="00000000">
      <w:pPr>
        <w:pStyle w:val="Normal5"/>
        <w:widowControl w:val="0"/>
        <w:spacing w:before="120" w:line="240" w:lineRule="atLeast"/>
        <w:jc w:val="both"/>
      </w:pPr>
      <w:r>
        <w:rPr>
          <w:rFonts w:ascii="Arial" w:eastAsia="Arial" w:hAnsi="Arial" w:cs="Arial"/>
          <w:color w:val="000000"/>
          <w:sz w:val="18"/>
          <w:vertAlign w:val="superscript"/>
        </w:rPr>
        <w:t>1 </w:t>
      </w:r>
      <w:bookmarkStart w:id="478" w:name="Bookmark_fnpara_1_3"/>
      <w:bookmarkEnd w:id="478"/>
      <w:r>
        <w:rPr>
          <w:rFonts w:ascii="Arial" w:eastAsia="Arial" w:hAnsi="Arial" w:cs="Arial"/>
          <w:color w:val="000000"/>
          <w:sz w:val="18"/>
        </w:rPr>
        <w:t>The Honorable P.K. Holmes, III, Chief Judge, United States District Court for the Western District of Arkansas, adopting in part the report and recommendations of the Honorable James R. Marschewski, United States Magistrate Judge for the Western District of Arkansas.</w:t>
      </w:r>
    </w:p>
  </w:footnote>
  <w:footnote w:id="31">
    <w:p w14:paraId="1CBB76DE" w14:textId="77777777" w:rsidR="00D041A2" w:rsidRDefault="00000000">
      <w:pPr>
        <w:pStyle w:val="Normal6"/>
        <w:widowControl w:val="0"/>
        <w:spacing w:before="200" w:line="240" w:lineRule="atLeast"/>
        <w:jc w:val="both"/>
      </w:pPr>
      <w:r>
        <w:rPr>
          <w:rFonts w:ascii="Arial" w:eastAsia="Arial" w:hAnsi="Arial" w:cs="Arial"/>
          <w:color w:val="000000"/>
          <w:sz w:val="18"/>
          <w:vertAlign w:val="superscript"/>
        </w:rPr>
        <w:t>1 </w:t>
      </w:r>
      <w:bookmarkStart w:id="616" w:name="Bookmark_fnpara_1_4"/>
      <w:bookmarkEnd w:id="616"/>
      <w:r>
        <w:rPr>
          <w:rFonts w:ascii="Arial" w:eastAsia="Arial" w:hAnsi="Arial" w:cs="Arial"/>
          <w:color w:val="000000"/>
          <w:sz w:val="18"/>
        </w:rPr>
        <w:t>Sheriff Bardin writes in his letter to Koessel that he is in "receipt of the report from Dr. Michael Enright . . . stating, in part, that you are not physically fit to perform the duties of a Sublette County Deputy Sheriff." App. 133. Though Dr. Enright raised concerns about Koessel's mental and emotional well-being, Sheriff Bardin, by referring to Enright's report, appears in his letter to be using the term "physical" holistically to mean that Koessel's symptoms interfere with his  [**22] overall ability to perform his duties. Thus, Bardin's use of the term "physical" does not conflict with the determinations by Koessel's physician and the neurologist that Koessel was physically able to do his job.</w:t>
      </w:r>
    </w:p>
  </w:footnote>
  <w:footnote w:id="32">
    <w:p w14:paraId="5ECBE662" w14:textId="77777777" w:rsidR="00D041A2" w:rsidRDefault="00000000">
      <w:pPr>
        <w:pStyle w:val="Normal6"/>
        <w:widowControl w:val="0"/>
        <w:spacing w:before="200" w:line="240" w:lineRule="atLeast"/>
        <w:jc w:val="both"/>
      </w:pPr>
      <w:r>
        <w:rPr>
          <w:rFonts w:ascii="Arial" w:eastAsia="Arial" w:hAnsi="Arial" w:cs="Arial"/>
          <w:color w:val="000000"/>
          <w:sz w:val="18"/>
          <w:vertAlign w:val="superscript"/>
        </w:rPr>
        <w:t>2 </w:t>
      </w:r>
      <w:bookmarkStart w:id="625" w:name="Bookmark_fnpara_2_3"/>
      <w:bookmarkEnd w:id="625"/>
      <w:r>
        <w:rPr>
          <w:rFonts w:ascii="Arial" w:eastAsia="Arial" w:hAnsi="Arial" w:cs="Arial"/>
          <w:color w:val="000000"/>
          <w:sz w:val="18"/>
        </w:rPr>
        <w:t xml:space="preserve">Koessel contends, in his complaint and in the summary of the argument section of his opening brief, that his § 1983 claims are based on violations of the Due Process Clauses of the Fifth and Fourteenth Amendments. He apparently  [**25] misconstrues the scope of the Fifth Amendment. </w:t>
      </w:r>
      <w:bookmarkStart w:id="626" w:name="Bookmark_LNHNREFclscc16_1"/>
      <w:bookmarkEnd w:id="626"/>
      <w:r>
        <w:rPr>
          <w:rFonts w:ascii="Arial" w:eastAsia="Arial" w:hAnsi="Arial" w:cs="Arial"/>
          <w:color w:val="000000"/>
          <w:sz w:val="18"/>
        </w:rPr>
        <w:t xml:space="preserve">The Due Process Clause of the Fifth Amendment applies only to action by the federal government while the Due Process Clause of the Fourteenth Amendment applies to actions by state governments. </w:t>
      </w:r>
      <w:bookmarkStart w:id="627" w:name="Bookmark_I58JVYF328T4480010000400"/>
      <w:bookmarkEnd w:id="627"/>
      <w:r>
        <w:rPr>
          <w:rFonts w:ascii="Arial" w:eastAsia="Arial" w:hAnsi="Arial" w:cs="Arial"/>
          <w:color w:val="000000"/>
          <w:sz w:val="18"/>
        </w:rPr>
        <w:t xml:space="preserve">Here, Koessel alleges conduct only done by state authorities, and thus there can be no Fifth Amendment claim. Moreover, because </w:t>
      </w:r>
      <w:bookmarkStart w:id="628" w:name="Bookmark_LNHNREFclscc17_1"/>
      <w:bookmarkEnd w:id="628"/>
      <w:r>
        <w:rPr>
          <w:rFonts w:ascii="Arial" w:eastAsia="Arial" w:hAnsi="Arial" w:cs="Arial"/>
          <w:color w:val="000000"/>
          <w:sz w:val="18"/>
        </w:rPr>
        <w:t xml:space="preserve">§ 1983 imposes liability only for actions taken under state law, even if there were a federal actor involved there would be no Fifth Amendment claim under § 1983. </w:t>
      </w:r>
      <w:r>
        <w:rPr>
          <w:rFonts w:ascii="Arial" w:eastAsia="Arial" w:hAnsi="Arial" w:cs="Arial"/>
          <w:i/>
          <w:color w:val="000000"/>
          <w:sz w:val="18"/>
        </w:rPr>
        <w:t xml:space="preserve">See </w:t>
      </w:r>
      <w:bookmarkStart w:id="629" w:name="Bookmark_I58JVYF328T4470050000400"/>
      <w:bookmarkEnd w:id="629"/>
      <w:r>
        <w:rPr>
          <w:rFonts w:ascii="Arial" w:eastAsia="Arial" w:hAnsi="Arial" w:cs="Arial"/>
          <w:i/>
          <w:color w:val="000000"/>
          <w:sz w:val="18"/>
        </w:rPr>
        <w:t>Smith v. Kitchen</w:t>
      </w:r>
      <w:r>
        <w:rPr>
          <w:rFonts w:ascii="Arial" w:eastAsia="Arial" w:hAnsi="Arial" w:cs="Arial"/>
          <w:color w:val="000000"/>
          <w:sz w:val="18"/>
        </w:rPr>
        <w:t>, 156 F.3d 1025, 1028 (10th Cir. 1997).</w:t>
      </w:r>
    </w:p>
  </w:footnote>
  <w:footnote w:id="33">
    <w:p w14:paraId="4F521F3C" w14:textId="77777777" w:rsidR="00D041A2" w:rsidRDefault="00000000">
      <w:pPr>
        <w:pStyle w:val="Normal7"/>
        <w:widowControl w:val="0"/>
        <w:spacing w:before="120" w:line="240" w:lineRule="atLeast"/>
        <w:jc w:val="both"/>
      </w:pPr>
      <w:r>
        <w:rPr>
          <w:rFonts w:ascii="Arial" w:eastAsia="Arial" w:hAnsi="Arial" w:cs="Arial"/>
          <w:color w:val="000000"/>
          <w:sz w:val="18"/>
          <w:vertAlign w:val="superscript"/>
        </w:rPr>
        <w:t>1 </w:t>
      </w:r>
      <w:bookmarkStart w:id="719" w:name="Bookmark_fnpara_1_5"/>
      <w:bookmarkEnd w:id="719"/>
      <w:r>
        <w:rPr>
          <w:rFonts w:ascii="Arial" w:eastAsia="Arial" w:hAnsi="Arial" w:cs="Arial"/>
          <w:color w:val="000000"/>
          <w:sz w:val="18"/>
        </w:rPr>
        <w:t>MCCF is a prison divided into general population and restrictive housing units, such as maximum security and disciplinary segregation.</w:t>
      </w:r>
    </w:p>
  </w:footnote>
  <w:footnote w:id="34">
    <w:p w14:paraId="1C850E46" w14:textId="77777777" w:rsidR="00D041A2" w:rsidRDefault="00000000">
      <w:pPr>
        <w:pStyle w:val="Normal7"/>
        <w:widowControl w:val="0"/>
        <w:spacing w:before="120" w:line="240" w:lineRule="atLeast"/>
        <w:jc w:val="both"/>
      </w:pPr>
      <w:r>
        <w:rPr>
          <w:rFonts w:ascii="Arial" w:eastAsia="Arial" w:hAnsi="Arial" w:cs="Arial"/>
          <w:color w:val="000000"/>
          <w:sz w:val="18"/>
          <w:vertAlign w:val="superscript"/>
        </w:rPr>
        <w:t>2 </w:t>
      </w:r>
      <w:bookmarkStart w:id="721" w:name="Bookmark_fnpara_2_4"/>
      <w:bookmarkEnd w:id="721"/>
      <w:r>
        <w:rPr>
          <w:rFonts w:ascii="Arial" w:eastAsia="Arial" w:hAnsi="Arial" w:cs="Arial"/>
          <w:color w:val="000000"/>
          <w:sz w:val="18"/>
        </w:rPr>
        <w:t>CMC is a private contractor that provided medical services at MCCF.</w:t>
      </w:r>
    </w:p>
  </w:footnote>
  <w:footnote w:id="35">
    <w:p w14:paraId="3781663A" w14:textId="77777777" w:rsidR="00D041A2" w:rsidRDefault="00000000">
      <w:pPr>
        <w:pStyle w:val="Normal7"/>
        <w:widowControl w:val="0"/>
        <w:spacing w:before="200" w:line="240" w:lineRule="atLeast"/>
        <w:jc w:val="both"/>
      </w:pPr>
      <w:r>
        <w:rPr>
          <w:rFonts w:ascii="Arial" w:eastAsia="Arial" w:hAnsi="Arial" w:cs="Arial"/>
          <w:color w:val="000000"/>
          <w:sz w:val="18"/>
          <w:vertAlign w:val="superscript"/>
        </w:rPr>
        <w:t>3 </w:t>
      </w:r>
      <w:bookmarkStart w:id="723" w:name="Bookmark_fnpara_3_2"/>
      <w:bookmarkEnd w:id="723"/>
      <w:r>
        <w:rPr>
          <w:rFonts w:ascii="Arial" w:eastAsia="Arial" w:hAnsi="Arial" w:cs="Arial"/>
          <w:color w:val="000000"/>
          <w:sz w:val="18"/>
        </w:rPr>
        <w:t>MCCF has an inmate grievance procedure, and Defreitas admits signing a form on July 21, 2008, acknowledging receipt of the grievance procedure, and he further admits having seen the grievance policy posted on the housing section wall. The grievance procedure is a three-level process: at the first level, an inmate can bring a concern verbally or by written request; at the second level, an inmate can initiate a formal grievance using an inmate grievance  [**5] form; if the inmate is not satisfied with the result, he may proceed to the final level in which he can appeal using an inmate grievance appeal form.</w:t>
      </w:r>
    </w:p>
  </w:footnote>
  <w:footnote w:id="36">
    <w:p w14:paraId="7A3B8DE4" w14:textId="77777777" w:rsidR="00D041A2" w:rsidRDefault="00000000">
      <w:pPr>
        <w:pStyle w:val="Normal7"/>
        <w:widowControl w:val="0"/>
        <w:spacing w:before="200" w:line="240" w:lineRule="atLeast"/>
        <w:jc w:val="both"/>
      </w:pPr>
      <w:r>
        <w:rPr>
          <w:rFonts w:ascii="Arial" w:eastAsia="Arial" w:hAnsi="Arial" w:cs="Arial"/>
          <w:color w:val="000000"/>
          <w:sz w:val="18"/>
          <w:vertAlign w:val="superscript"/>
        </w:rPr>
        <w:t>4 </w:t>
      </w:r>
      <w:bookmarkStart w:id="725" w:name="Bookmark_fnpara_4_1"/>
      <w:bookmarkEnd w:id="725"/>
      <w:r>
        <w:rPr>
          <w:rFonts w:ascii="Arial" w:eastAsia="Arial" w:hAnsi="Arial" w:cs="Arial"/>
          <w:color w:val="000000"/>
          <w:sz w:val="18"/>
        </w:rPr>
        <w:t>The record is unclear on whether Michener made the leg before Defreitas was incarcerated or made it during his incarceration. In any event, that fact does not  [**6] affect the disposition of this case.</w:t>
      </w:r>
    </w:p>
  </w:footnote>
  <w:footnote w:id="37">
    <w:p w14:paraId="59BF6753" w14:textId="77777777" w:rsidR="00D041A2" w:rsidRDefault="00000000">
      <w:pPr>
        <w:pStyle w:val="Normal7"/>
        <w:widowControl w:val="0"/>
        <w:spacing w:before="120" w:line="240" w:lineRule="atLeast"/>
        <w:jc w:val="both"/>
      </w:pPr>
      <w:r>
        <w:rPr>
          <w:rFonts w:ascii="Arial" w:eastAsia="Arial" w:hAnsi="Arial" w:cs="Arial"/>
          <w:color w:val="000000"/>
          <w:sz w:val="18"/>
          <w:vertAlign w:val="superscript"/>
        </w:rPr>
        <w:t>5 </w:t>
      </w:r>
      <w:bookmarkStart w:id="727" w:name="Bookmark_fnpara_5_1"/>
      <w:bookmarkEnd w:id="727"/>
      <w:r>
        <w:rPr>
          <w:rFonts w:ascii="Arial" w:eastAsia="Arial" w:hAnsi="Arial" w:cs="Arial"/>
          <w:color w:val="000000"/>
          <w:sz w:val="18"/>
        </w:rPr>
        <w:t>Appellees' witnesses denied witnessing or participating in any ridicule of Defreitas.</w:t>
      </w:r>
    </w:p>
  </w:footnote>
  <w:footnote w:id="38">
    <w:p w14:paraId="1EEBD2F7" w14:textId="77777777" w:rsidR="00D041A2" w:rsidRDefault="00000000">
      <w:pPr>
        <w:pStyle w:val="Normal7"/>
        <w:widowControl w:val="0"/>
        <w:spacing w:before="200" w:line="240" w:lineRule="atLeast"/>
        <w:jc w:val="both"/>
      </w:pPr>
      <w:r>
        <w:rPr>
          <w:rFonts w:ascii="Arial" w:eastAsia="Arial" w:hAnsi="Arial" w:cs="Arial"/>
          <w:color w:val="000000"/>
          <w:sz w:val="18"/>
          <w:vertAlign w:val="superscript"/>
        </w:rPr>
        <w:t>6 </w:t>
      </w:r>
      <w:bookmarkStart w:id="729" w:name="Bookmark_fnpara_6_1"/>
      <w:bookmarkStart w:id="730" w:name="Bookmark_I58HD0992HM6DK0020000400"/>
      <w:bookmarkEnd w:id="729"/>
      <w:bookmarkEnd w:id="730"/>
      <w:r>
        <w:rPr>
          <w:rFonts w:ascii="Arial" w:eastAsia="Arial" w:hAnsi="Arial" w:cs="Arial"/>
          <w:color w:val="000000"/>
          <w:sz w:val="18"/>
        </w:rPr>
        <w:t xml:space="preserve">Defreitas's complaint is light on facts and formal causes of action. Construing it liberally, we will assume that he alleged causes of action for violations of his Eighth and Fourteenth Amendment rights, and discrimination under the Americans with Disabilities Act and Rehabilitation Act. The parties argue in terms of the Eighth Amendment, but, because Defreitas was both in pretrial detention and confined to MCCF after his conviction, his claims are properly analyzed under both amendments. </w:t>
      </w:r>
      <w:r>
        <w:rPr>
          <w:rFonts w:ascii="Arial" w:eastAsia="Arial" w:hAnsi="Arial" w:cs="Arial"/>
          <w:i/>
          <w:color w:val="000000"/>
          <w:sz w:val="18"/>
        </w:rPr>
        <w:t xml:space="preserve">See </w:t>
      </w:r>
      <w:bookmarkStart w:id="731" w:name="Bookmark_I58HD0992HM6DK0010000400"/>
      <w:bookmarkEnd w:id="731"/>
      <w:r>
        <w:rPr>
          <w:rFonts w:ascii="Arial" w:eastAsia="Arial" w:hAnsi="Arial" w:cs="Arial"/>
          <w:i/>
          <w:color w:val="000000"/>
          <w:sz w:val="18"/>
        </w:rPr>
        <w:t>Hubbard v. Taylor</w:t>
      </w:r>
      <w:r>
        <w:rPr>
          <w:rFonts w:ascii="Arial" w:eastAsia="Arial" w:hAnsi="Arial" w:cs="Arial"/>
          <w:color w:val="000000"/>
          <w:sz w:val="18"/>
        </w:rPr>
        <w:t>, 538 F.3d 229, 231 (3d Cir. 2008) (providing that claims related to the conditions of confinement for pretrial detention are analyzed under the Fourteenth Amendment).</w:t>
      </w:r>
    </w:p>
  </w:footnote>
  <w:footnote w:id="39">
    <w:p w14:paraId="58091237" w14:textId="77777777" w:rsidR="00D041A2" w:rsidRDefault="00000000">
      <w:pPr>
        <w:pStyle w:val="Normal7"/>
        <w:widowControl w:val="0"/>
        <w:spacing w:before="200" w:line="240" w:lineRule="atLeast"/>
        <w:jc w:val="both"/>
      </w:pPr>
      <w:r>
        <w:rPr>
          <w:rFonts w:ascii="Arial" w:eastAsia="Arial" w:hAnsi="Arial" w:cs="Arial"/>
          <w:color w:val="000000"/>
          <w:sz w:val="18"/>
          <w:vertAlign w:val="superscript"/>
        </w:rPr>
        <w:t>7 </w:t>
      </w:r>
      <w:bookmarkStart w:id="734" w:name="Bookmark_fnpara_7_1"/>
      <w:bookmarkStart w:id="735" w:name="Bookmark_I58HD0992HM6DK0040000400"/>
      <w:bookmarkEnd w:id="734"/>
      <w:bookmarkEnd w:id="735"/>
      <w:r>
        <w:rPr>
          <w:rFonts w:ascii="Arial" w:eastAsia="Arial" w:hAnsi="Arial" w:cs="Arial"/>
          <w:color w:val="000000"/>
          <w:sz w:val="18"/>
        </w:rPr>
        <w:t xml:space="preserve">The District Court had jurisdiction pursuant to 28 U.S.C. § 1331. </w:t>
      </w:r>
      <w:bookmarkStart w:id="736" w:name="Bookmark_I58HD0992D6ND00010000400"/>
      <w:bookmarkEnd w:id="736"/>
      <w:r>
        <w:rPr>
          <w:rFonts w:ascii="Arial" w:eastAsia="Arial" w:hAnsi="Arial" w:cs="Arial"/>
          <w:color w:val="000000"/>
          <w:sz w:val="18"/>
        </w:rPr>
        <w:t>We have jurisdiction pursuant to 28 U.S.C. § 1291.</w:t>
      </w:r>
      <w:bookmarkStart w:id="737" w:name="Bookmark_LNHNREFclscc1_3"/>
      <w:bookmarkEnd w:id="737"/>
      <w:r>
        <w:rPr>
          <w:rFonts w:ascii="Arial" w:eastAsia="Arial" w:hAnsi="Arial" w:cs="Arial"/>
          <w:color w:val="000000"/>
          <w:sz w:val="18"/>
        </w:rPr>
        <w:t xml:space="preserve"> </w:t>
      </w:r>
      <w:bookmarkStart w:id="738" w:name="Bookmark_I58HD0992D6ND00030000400"/>
      <w:bookmarkEnd w:id="738"/>
      <w:r>
        <w:rPr>
          <w:rFonts w:ascii="Arial" w:eastAsia="Arial" w:hAnsi="Arial" w:cs="Arial"/>
          <w:color w:val="000000"/>
          <w:sz w:val="18"/>
        </w:rPr>
        <w:t xml:space="preserve">"Review of a district court's decision to grant a motion for summary judgment is plenary." </w:t>
      </w:r>
      <w:bookmarkStart w:id="739" w:name="Bookmark_I58HD0992HM6DK0030000400"/>
      <w:bookmarkEnd w:id="739"/>
      <w:r>
        <w:rPr>
          <w:rFonts w:ascii="Arial" w:eastAsia="Arial" w:hAnsi="Arial" w:cs="Arial"/>
          <w:i/>
          <w:color w:val="000000"/>
          <w:sz w:val="18"/>
        </w:rPr>
        <w:t>Liberty Lincoln-Mercury, Inc. v. Ford Motor Co.</w:t>
      </w:r>
      <w:r>
        <w:rPr>
          <w:rFonts w:ascii="Arial" w:eastAsia="Arial" w:hAnsi="Arial" w:cs="Arial"/>
          <w:color w:val="000000"/>
          <w:sz w:val="18"/>
        </w:rPr>
        <w:t xml:space="preserve">, 676 F.3d 318, 323 (3d Cir. 2012) (internal quotation marks omitted). </w:t>
      </w:r>
      <w:bookmarkStart w:id="740" w:name="Bookmark_I58HD0992D6ND00030000400_2"/>
      <w:bookmarkStart w:id="741" w:name="Bookmark_I58HD0992D6ND00010000400_2"/>
      <w:bookmarkEnd w:id="740"/>
      <w:bookmarkEnd w:id="741"/>
      <w:r>
        <w:rPr>
          <w:rFonts w:ascii="Arial" w:eastAsia="Arial" w:hAnsi="Arial" w:cs="Arial"/>
          <w:color w:val="000000"/>
          <w:sz w:val="18"/>
        </w:rPr>
        <w:t xml:space="preserve">"[S]ummary judgment is proper if the pleadings, depositions, answers to interrogatories, and admissions on file, together with the affidavits, if any, show that there is no genuine issue as to any material fact and that the moving party is entitled to a judgment as a matter of law." </w:t>
      </w:r>
      <w:bookmarkStart w:id="742" w:name="Bookmark_I58HD0992HM6DK0050000400"/>
      <w:bookmarkEnd w:id="742"/>
      <w:r>
        <w:rPr>
          <w:rFonts w:ascii="Arial" w:eastAsia="Arial" w:hAnsi="Arial" w:cs="Arial"/>
          <w:i/>
          <w:color w:val="000000"/>
          <w:sz w:val="18"/>
        </w:rPr>
        <w:t>Celotex Corp. v. Catrett</w:t>
      </w:r>
      <w:r>
        <w:rPr>
          <w:rFonts w:ascii="Arial" w:eastAsia="Arial" w:hAnsi="Arial" w:cs="Arial"/>
          <w:color w:val="000000"/>
          <w:sz w:val="18"/>
        </w:rPr>
        <w:t xml:space="preserve">, 477 U.S. 317, 322, 106 S. Ct. 2548, 91 L. Ed. 2d 265 (1986)  [**10] (quoting Fed. R. Civ. P. 56(c)) (internal quotation marks omitted). </w:t>
      </w:r>
      <w:bookmarkStart w:id="743" w:name="Bookmark_I58HD0992D6ND00050000400"/>
      <w:bookmarkEnd w:id="743"/>
      <w:r>
        <w:rPr>
          <w:rFonts w:ascii="Arial" w:eastAsia="Arial" w:hAnsi="Arial" w:cs="Arial"/>
          <w:color w:val="000000"/>
          <w:sz w:val="18"/>
        </w:rPr>
        <w:t xml:space="preserve">A factual dispute is genuine "if the evidence is such that a reasonable jury could return a verdict for the nonmoving party." </w:t>
      </w:r>
      <w:bookmarkStart w:id="744" w:name="Bookmark_I58HD0992D6ND00020000400"/>
      <w:bookmarkEnd w:id="744"/>
      <w:r>
        <w:rPr>
          <w:rFonts w:ascii="Arial" w:eastAsia="Arial" w:hAnsi="Arial" w:cs="Arial"/>
          <w:i/>
          <w:color w:val="000000"/>
          <w:sz w:val="18"/>
        </w:rPr>
        <w:t>Anderson v. Liberty Lobby, Inc.</w:t>
      </w:r>
      <w:r>
        <w:rPr>
          <w:rFonts w:ascii="Arial" w:eastAsia="Arial" w:hAnsi="Arial" w:cs="Arial"/>
          <w:color w:val="000000"/>
          <w:sz w:val="18"/>
        </w:rPr>
        <w:t xml:space="preserve">, 477 U.S. 242, 248, 106 S. Ct. 2505, 91 L. Ed. 2d 202 (1986). </w:t>
      </w:r>
      <w:bookmarkStart w:id="745" w:name="Bookmark_I58HD0992D6ND00050000400_2"/>
      <w:bookmarkEnd w:id="745"/>
      <w:r>
        <w:rPr>
          <w:rFonts w:ascii="Arial" w:eastAsia="Arial" w:hAnsi="Arial" w:cs="Arial"/>
          <w:color w:val="000000"/>
          <w:sz w:val="18"/>
        </w:rPr>
        <w:t xml:space="preserve">In reviewing the record, we must construe all reasonable inferences in the light most favorable to the nonmoving party. </w:t>
      </w:r>
      <w:bookmarkStart w:id="746" w:name="Bookmark_I58HD0992D6ND00040000400"/>
      <w:bookmarkEnd w:id="746"/>
      <w:r>
        <w:rPr>
          <w:rFonts w:ascii="Arial" w:eastAsia="Arial" w:hAnsi="Arial" w:cs="Arial"/>
          <w:i/>
          <w:color w:val="000000"/>
          <w:sz w:val="18"/>
        </w:rPr>
        <w:t>Id.</w:t>
      </w:r>
      <w:r>
        <w:rPr>
          <w:rFonts w:ascii="Arial" w:eastAsia="Arial" w:hAnsi="Arial" w:cs="Arial"/>
          <w:color w:val="000000"/>
          <w:sz w:val="18"/>
        </w:rPr>
        <w:t xml:space="preserve"> at 255.</w:t>
      </w:r>
    </w:p>
  </w:footnote>
  <w:footnote w:id="40">
    <w:p w14:paraId="6F0CA291" w14:textId="77777777" w:rsidR="00D041A2" w:rsidRDefault="00000000">
      <w:pPr>
        <w:pStyle w:val="Normal7"/>
        <w:widowControl w:val="0"/>
        <w:spacing w:before="120" w:line="240" w:lineRule="atLeast"/>
        <w:jc w:val="both"/>
      </w:pPr>
      <w:r>
        <w:rPr>
          <w:rFonts w:ascii="Arial" w:eastAsia="Arial" w:hAnsi="Arial" w:cs="Arial"/>
          <w:color w:val="000000"/>
          <w:sz w:val="18"/>
          <w:vertAlign w:val="superscript"/>
        </w:rPr>
        <w:t>8 </w:t>
      </w:r>
      <w:bookmarkStart w:id="752" w:name="Bookmark_fnpara_8_1"/>
      <w:bookmarkEnd w:id="752"/>
      <w:r>
        <w:rPr>
          <w:rFonts w:ascii="Arial" w:eastAsia="Arial" w:hAnsi="Arial" w:cs="Arial"/>
          <w:color w:val="000000"/>
          <w:sz w:val="18"/>
        </w:rPr>
        <w:t xml:space="preserve">Specifically, that statute provides that </w:t>
      </w:r>
      <w:bookmarkStart w:id="753" w:name="Bookmark_LNHNREFclscc3_3"/>
      <w:bookmarkEnd w:id="753"/>
      <w:r>
        <w:rPr>
          <w:rFonts w:ascii="Arial" w:eastAsia="Arial" w:hAnsi="Arial" w:cs="Arial"/>
          <w:color w:val="000000"/>
          <w:sz w:val="18"/>
        </w:rPr>
        <w:t>"[n]o action shall be brought with respect to prison conditions under section 1983 of this title, or any other Federal law, by a prisoner confined in any jail, prison, or other correctional facility until such administrative remedies as are available are exhausted." 42 U.S.C. § 1997e(a).</w:t>
      </w:r>
    </w:p>
  </w:footnote>
  <w:footnote w:id="41">
    <w:p w14:paraId="52C585AB" w14:textId="77777777" w:rsidR="00D041A2" w:rsidRDefault="00000000">
      <w:pPr>
        <w:pStyle w:val="Normal7"/>
        <w:widowControl w:val="0"/>
        <w:spacing w:before="200" w:line="240" w:lineRule="atLeast"/>
        <w:jc w:val="both"/>
      </w:pPr>
      <w:r>
        <w:rPr>
          <w:rFonts w:ascii="Arial" w:eastAsia="Arial" w:hAnsi="Arial" w:cs="Arial"/>
          <w:color w:val="000000"/>
          <w:sz w:val="18"/>
          <w:vertAlign w:val="superscript"/>
        </w:rPr>
        <w:t>9 </w:t>
      </w:r>
      <w:bookmarkStart w:id="763" w:name="Bookmark_fnpara_9_0"/>
      <w:bookmarkEnd w:id="763"/>
      <w:r>
        <w:rPr>
          <w:rFonts w:ascii="Arial" w:eastAsia="Arial" w:hAnsi="Arial" w:cs="Arial"/>
          <w:color w:val="000000"/>
          <w:sz w:val="18"/>
        </w:rPr>
        <w:t xml:space="preserve">Defreitas attempts to distinguish </w:t>
      </w:r>
      <w:r>
        <w:rPr>
          <w:rFonts w:ascii="Arial" w:eastAsia="Arial" w:hAnsi="Arial" w:cs="Arial"/>
          <w:i/>
          <w:color w:val="000000"/>
          <w:sz w:val="18"/>
        </w:rPr>
        <w:t>Ahmed</w:t>
      </w:r>
      <w:r>
        <w:rPr>
          <w:rFonts w:ascii="Arial" w:eastAsia="Arial" w:hAnsi="Arial" w:cs="Arial"/>
          <w:color w:val="000000"/>
          <w:sz w:val="18"/>
        </w:rPr>
        <w:t xml:space="preserve"> and cites </w:t>
      </w:r>
      <w:bookmarkStart w:id="764" w:name="Bookmark_I58HD09928T43P0020000400"/>
      <w:bookmarkEnd w:id="764"/>
      <w:r>
        <w:rPr>
          <w:rFonts w:ascii="Arial" w:eastAsia="Arial" w:hAnsi="Arial" w:cs="Arial"/>
          <w:i/>
          <w:color w:val="000000"/>
          <w:sz w:val="18"/>
        </w:rPr>
        <w:t>Prendergast v. Janecka</w:t>
      </w:r>
      <w:r>
        <w:rPr>
          <w:rFonts w:ascii="Arial" w:eastAsia="Arial" w:hAnsi="Arial" w:cs="Arial"/>
          <w:color w:val="000000"/>
          <w:sz w:val="18"/>
        </w:rPr>
        <w:t xml:space="preserve">, No. 00-3099, 2001 U.S. Dist. LEXIS 9689, 2001 WL 793251, at *1 (E.D. Pa. July 10, 2001), for the proposition that the "administrative exhaustion requirement does not apply because the amended complaint was filed after plaintiff was released from prison and was no longer an inmate — even though the original complaint was filed while he was in custody." </w:t>
      </w:r>
      <w:r>
        <w:rPr>
          <w:rFonts w:ascii="Arial" w:eastAsia="Arial" w:hAnsi="Arial" w:cs="Arial"/>
          <w:i/>
          <w:color w:val="000000"/>
          <w:sz w:val="18"/>
        </w:rPr>
        <w:t>Ahmed</w:t>
      </w:r>
      <w:r>
        <w:rPr>
          <w:rFonts w:ascii="Arial" w:eastAsia="Arial" w:hAnsi="Arial" w:cs="Arial"/>
          <w:color w:val="000000"/>
          <w:sz w:val="18"/>
        </w:rPr>
        <w:t xml:space="preserve">'s holding is clear, and inasmuch as it conflicts with </w:t>
      </w:r>
      <w:r>
        <w:rPr>
          <w:rFonts w:ascii="Arial" w:eastAsia="Arial" w:hAnsi="Arial" w:cs="Arial"/>
          <w:i/>
          <w:color w:val="000000"/>
          <w:sz w:val="18"/>
        </w:rPr>
        <w:t>Prendergast</w:t>
      </w:r>
      <w:r>
        <w:rPr>
          <w:rFonts w:ascii="Arial" w:eastAsia="Arial" w:hAnsi="Arial" w:cs="Arial"/>
          <w:color w:val="000000"/>
          <w:sz w:val="18"/>
        </w:rPr>
        <w:t xml:space="preserve">, that case does not remain persuasive. Accordingly, Defreitas's attempt to distinguish </w:t>
      </w:r>
      <w:r>
        <w:rPr>
          <w:rFonts w:ascii="Arial" w:eastAsia="Arial" w:hAnsi="Arial" w:cs="Arial"/>
          <w:i/>
          <w:color w:val="000000"/>
          <w:sz w:val="18"/>
        </w:rPr>
        <w:t>Ahmed</w:t>
      </w:r>
      <w:r>
        <w:rPr>
          <w:rFonts w:ascii="Arial" w:eastAsia="Arial" w:hAnsi="Arial" w:cs="Arial"/>
          <w:color w:val="000000"/>
          <w:sz w:val="18"/>
        </w:rPr>
        <w:t xml:space="preserve"> is without merit.</w:t>
      </w:r>
    </w:p>
  </w:footnote>
  <w:footnote w:id="42">
    <w:p w14:paraId="7EA5C7A9" w14:textId="77777777" w:rsidR="00D041A2" w:rsidRDefault="00000000">
      <w:pPr>
        <w:pStyle w:val="Normal7"/>
        <w:widowControl w:val="0"/>
        <w:spacing w:before="200" w:line="240" w:lineRule="atLeast"/>
        <w:jc w:val="both"/>
      </w:pPr>
      <w:r>
        <w:rPr>
          <w:rFonts w:ascii="Arial" w:eastAsia="Arial" w:hAnsi="Arial" w:cs="Arial"/>
          <w:color w:val="000000"/>
          <w:sz w:val="18"/>
          <w:vertAlign w:val="superscript"/>
        </w:rPr>
        <w:t>10 </w:t>
      </w:r>
      <w:bookmarkStart w:id="766" w:name="Bookmark_fnpara_10_0"/>
      <w:bookmarkEnd w:id="766"/>
      <w:r>
        <w:rPr>
          <w:rFonts w:ascii="Arial" w:eastAsia="Arial" w:hAnsi="Arial" w:cs="Arial"/>
          <w:color w:val="000000"/>
          <w:sz w:val="18"/>
        </w:rPr>
        <w:t>Defreitas also alleges that he did  [**14] exhaust his administrative remedies for his claim related to his prosthesis. He points to evidence in the form of his personal journal entries that indicate he filed a grievance regarding his prosthetic leg, but that MCCF ignored that grievance. There are two problems with that evidence. First, it is belied by Defreitas's own testimony in which he admits that he never filed a formal grievance for his prosthetic leg. (App. at 729-30.) Second, it appears that his journal entries to the contrary were written after he filed his complaint in district court. (</w:t>
      </w:r>
      <w:r>
        <w:rPr>
          <w:rFonts w:ascii="Arial" w:eastAsia="Arial" w:hAnsi="Arial" w:cs="Arial"/>
          <w:i/>
          <w:color w:val="000000"/>
          <w:sz w:val="18"/>
        </w:rPr>
        <w:t>Compare</w:t>
      </w:r>
      <w:r>
        <w:rPr>
          <w:rFonts w:ascii="Arial" w:eastAsia="Arial" w:hAnsi="Arial" w:cs="Arial"/>
          <w:color w:val="000000"/>
          <w:sz w:val="18"/>
        </w:rPr>
        <w:t xml:space="preserve"> App. at 1350-52 (providing journal entries that he filed a grievance as early as November 10, 2008), </w:t>
      </w:r>
      <w:r>
        <w:rPr>
          <w:rFonts w:ascii="Arial" w:eastAsia="Arial" w:hAnsi="Arial" w:cs="Arial"/>
          <w:i/>
          <w:color w:val="000000"/>
          <w:sz w:val="18"/>
        </w:rPr>
        <w:t>with</w:t>
      </w:r>
      <w:r>
        <w:rPr>
          <w:rFonts w:ascii="Arial" w:eastAsia="Arial" w:hAnsi="Arial" w:cs="Arial"/>
          <w:color w:val="000000"/>
          <w:sz w:val="18"/>
        </w:rPr>
        <w:t xml:space="preserve"> Addendum to App. at 2 (providing the District Court docket that indicates Defreitas filed his complaint on November 7, 2008).)</w:t>
      </w:r>
      <w:bookmarkStart w:id="767" w:name="Bookmark_LNHNREFclscc6_3"/>
      <w:bookmarkEnd w:id="767"/>
      <w:r>
        <w:rPr>
          <w:rFonts w:ascii="Arial" w:eastAsia="Arial" w:hAnsi="Arial" w:cs="Arial"/>
          <w:color w:val="000000"/>
          <w:sz w:val="18"/>
        </w:rPr>
        <w:t xml:space="preserve"> Section 1997e(a) requires a prisoner to exhaust his administrative remedies before a lawsuit can be "brought." 42 U.S.C. § 1997e(a). Accordingly, any use of those remedies after filing fails to satisfy § 1997e(a)'s requirement.</w:t>
      </w:r>
    </w:p>
  </w:footnote>
  <w:footnote w:id="43">
    <w:p w14:paraId="38E996BB" w14:textId="77777777" w:rsidR="00D041A2" w:rsidRDefault="00000000">
      <w:pPr>
        <w:pStyle w:val="Normal7"/>
        <w:widowControl w:val="0"/>
        <w:spacing w:before="120" w:line="240" w:lineRule="atLeast"/>
        <w:jc w:val="both"/>
      </w:pPr>
      <w:r>
        <w:rPr>
          <w:rFonts w:ascii="Arial" w:eastAsia="Arial" w:hAnsi="Arial" w:cs="Arial"/>
          <w:color w:val="000000"/>
          <w:sz w:val="18"/>
          <w:vertAlign w:val="superscript"/>
        </w:rPr>
        <w:t>11 </w:t>
      </w:r>
      <w:bookmarkStart w:id="783" w:name="Bookmark_fnpara_11_0"/>
      <w:bookmarkEnd w:id="783"/>
      <w:r>
        <w:rPr>
          <w:rFonts w:ascii="Arial" w:eastAsia="Arial" w:hAnsi="Arial" w:cs="Arial"/>
          <w:color w:val="000000"/>
          <w:sz w:val="18"/>
        </w:rPr>
        <w:t>Defreitas was arrested on July 18, 2008, for simple assault and confined to MCCF on that date. He was not convicted and sentenced for that assault charge until December 1, 2008. He gained full access to the yard, gym, and weight room after obtaining his prosthesis in late December 2008.</w:t>
      </w:r>
    </w:p>
  </w:footnote>
  <w:footnote w:id="44">
    <w:p w14:paraId="744852FB" w14:textId="77777777" w:rsidR="00D041A2" w:rsidRDefault="00000000">
      <w:pPr>
        <w:pStyle w:val="Normal7"/>
        <w:widowControl w:val="0"/>
        <w:spacing w:before="120" w:line="240" w:lineRule="atLeast"/>
        <w:jc w:val="both"/>
      </w:pPr>
      <w:r>
        <w:rPr>
          <w:rFonts w:ascii="Arial" w:eastAsia="Arial" w:hAnsi="Arial" w:cs="Arial"/>
          <w:color w:val="000000"/>
          <w:sz w:val="18"/>
          <w:vertAlign w:val="superscript"/>
        </w:rPr>
        <w:t>12 </w:t>
      </w:r>
      <w:bookmarkStart w:id="795" w:name="Bookmark_fnpara_12_0"/>
      <w:bookmarkEnd w:id="795"/>
      <w:r>
        <w:rPr>
          <w:rFonts w:ascii="Arial" w:eastAsia="Arial" w:hAnsi="Arial" w:cs="Arial"/>
          <w:color w:val="000000"/>
          <w:sz w:val="18"/>
        </w:rPr>
        <w:t>It is perhaps arguable that, because CMC's Medical Director denied Defreitas access to the weight room and gym, that might be a "policy" sufficient for § 1983 liability. But, for the reasons expressed immediately below, Defreitas fails to show that that policy resulted in unconstitutional punishment.</w:t>
      </w:r>
    </w:p>
  </w:footnote>
  <w:footnote w:id="45">
    <w:p w14:paraId="15A4593A" w14:textId="77777777" w:rsidR="00D041A2" w:rsidRDefault="00000000">
      <w:pPr>
        <w:pStyle w:val="Normal7"/>
        <w:widowControl w:val="0"/>
        <w:spacing w:before="200" w:line="240" w:lineRule="atLeast"/>
        <w:jc w:val="both"/>
      </w:pPr>
      <w:r>
        <w:rPr>
          <w:rFonts w:ascii="Arial" w:eastAsia="Arial" w:hAnsi="Arial" w:cs="Arial"/>
          <w:color w:val="000000"/>
          <w:sz w:val="18"/>
          <w:vertAlign w:val="superscript"/>
        </w:rPr>
        <w:t>13 </w:t>
      </w:r>
      <w:bookmarkStart w:id="803" w:name="Bookmark_fnpara_13_0"/>
      <w:bookmarkStart w:id="804" w:name="Bookmark_LNHNREFclscc13_2"/>
      <w:bookmarkEnd w:id="803"/>
      <w:bookmarkEnd w:id="804"/>
      <w:r>
        <w:rPr>
          <w:rFonts w:ascii="Arial" w:eastAsia="Arial" w:hAnsi="Arial" w:cs="Arial"/>
          <w:color w:val="000000"/>
          <w:sz w:val="18"/>
        </w:rPr>
        <w:t xml:space="preserve">The substantive standards for determining liability under the ADA and RA are the same, and we thus analyze them together. </w:t>
      </w:r>
      <w:bookmarkStart w:id="805" w:name="Bookmark_I58HD0992HM6DN0020000400"/>
      <w:bookmarkEnd w:id="805"/>
      <w:r>
        <w:rPr>
          <w:rFonts w:ascii="Arial" w:eastAsia="Arial" w:hAnsi="Arial" w:cs="Arial"/>
          <w:i/>
          <w:color w:val="000000"/>
          <w:sz w:val="18"/>
        </w:rPr>
        <w:t>McDonald v. Pa. Dep't of Pub. Welfare</w:t>
      </w:r>
      <w:r>
        <w:rPr>
          <w:rFonts w:ascii="Arial" w:eastAsia="Arial" w:hAnsi="Arial" w:cs="Arial"/>
          <w:color w:val="000000"/>
          <w:sz w:val="18"/>
        </w:rPr>
        <w:t>, 62 F.3d 92, 94-95 (3d Cir. 1995).</w:t>
      </w:r>
    </w:p>
  </w:footnote>
  <w:footnote w:id="46">
    <w:p w14:paraId="5CFFCB3A" w14:textId="77777777" w:rsidR="00D041A2" w:rsidRDefault="00000000">
      <w:pPr>
        <w:pStyle w:val="Normal7"/>
        <w:widowControl w:val="0"/>
        <w:spacing w:before="200" w:line="240" w:lineRule="atLeast"/>
        <w:jc w:val="both"/>
      </w:pPr>
      <w:r>
        <w:rPr>
          <w:rFonts w:ascii="Arial" w:eastAsia="Arial" w:hAnsi="Arial" w:cs="Arial"/>
          <w:color w:val="000000"/>
          <w:sz w:val="18"/>
          <w:vertAlign w:val="superscript"/>
        </w:rPr>
        <w:t>14 </w:t>
      </w:r>
      <w:bookmarkStart w:id="812" w:name="Bookmark_fnpara_14_0"/>
      <w:bookmarkStart w:id="813" w:name="Bookmark_LNHNREFclscc14_2"/>
      <w:bookmarkEnd w:id="812"/>
      <w:bookmarkEnd w:id="813"/>
      <w:r>
        <w:rPr>
          <w:rFonts w:ascii="Arial" w:eastAsia="Arial" w:hAnsi="Arial" w:cs="Arial"/>
          <w:color w:val="000000"/>
          <w:sz w:val="18"/>
        </w:rPr>
        <w:t xml:space="preserve">Reasonable accommodations must give a disabled prisoner "meaningful access" to the prison program in question. </w:t>
      </w:r>
      <w:bookmarkStart w:id="814" w:name="Bookmark_I58HD0992HM6DN0040000400"/>
      <w:bookmarkEnd w:id="814"/>
      <w:r>
        <w:rPr>
          <w:rFonts w:ascii="Arial" w:eastAsia="Arial" w:hAnsi="Arial" w:cs="Arial"/>
          <w:i/>
          <w:color w:val="000000"/>
          <w:sz w:val="18"/>
        </w:rPr>
        <w:t>Alexander v. Choate</w:t>
      </w:r>
      <w:r>
        <w:rPr>
          <w:rFonts w:ascii="Arial" w:eastAsia="Arial" w:hAnsi="Arial" w:cs="Arial"/>
          <w:color w:val="000000"/>
          <w:sz w:val="18"/>
        </w:rPr>
        <w:t>, 469 U.S. 287, 301, 105 S. Ct. 712, 83 L. Ed. 2d 661 (1985).</w:t>
      </w:r>
    </w:p>
  </w:footnote>
  <w:footnote w:id="47">
    <w:p w14:paraId="5C246302" w14:textId="77777777" w:rsidR="00D041A2" w:rsidRDefault="00000000">
      <w:pPr>
        <w:pStyle w:val="Normal7"/>
        <w:widowControl w:val="0"/>
        <w:spacing w:before="120" w:line="240" w:lineRule="atLeast"/>
        <w:jc w:val="both"/>
      </w:pPr>
      <w:r>
        <w:rPr>
          <w:rFonts w:ascii="Arial" w:eastAsia="Arial" w:hAnsi="Arial" w:cs="Arial"/>
          <w:color w:val="000000"/>
          <w:sz w:val="18"/>
          <w:vertAlign w:val="superscript"/>
        </w:rPr>
        <w:t>15 </w:t>
      </w:r>
      <w:bookmarkStart w:id="820" w:name="Bookmark_fnpara_15_0"/>
      <w:bookmarkEnd w:id="820"/>
      <w:r>
        <w:rPr>
          <w:rFonts w:ascii="Arial" w:eastAsia="Arial" w:hAnsi="Arial" w:cs="Arial"/>
          <w:color w:val="000000"/>
          <w:sz w:val="18"/>
        </w:rPr>
        <w:t>The yard used by prisoners housed in the medical wing already had such a ramp.</w:t>
      </w:r>
    </w:p>
  </w:footnote>
  <w:footnote w:id="48">
    <w:p w14:paraId="7AF735FD" w14:textId="77777777" w:rsidR="00D041A2" w:rsidRDefault="00000000">
      <w:pPr>
        <w:pStyle w:val="Normal9"/>
        <w:widowControl w:val="0"/>
        <w:spacing w:before="200" w:line="240" w:lineRule="atLeast"/>
        <w:jc w:val="both"/>
      </w:pPr>
      <w:r>
        <w:rPr>
          <w:rFonts w:ascii="Arial" w:eastAsia="Arial" w:hAnsi="Arial" w:cs="Arial"/>
          <w:color w:val="000000"/>
          <w:sz w:val="18"/>
          <w:vertAlign w:val="superscript"/>
        </w:rPr>
        <w:t>1 </w:t>
      </w:r>
      <w:bookmarkStart w:id="883" w:name="Bookmark_fnpara_1_6"/>
      <w:bookmarkStart w:id="884" w:name="Bookmark_I589KJPV2SF7YM0020000400"/>
      <w:bookmarkEnd w:id="883"/>
      <w:bookmarkEnd w:id="884"/>
      <w:r>
        <w:rPr>
          <w:rFonts w:ascii="Arial" w:eastAsia="Arial" w:hAnsi="Arial" w:cs="Arial"/>
          <w:color w:val="000000"/>
          <w:sz w:val="18"/>
        </w:rPr>
        <w:t xml:space="preserve">Because this is an appeal from an entry of summary judgment, we have construed all of the facts in the light most favorable to Cloe. </w:t>
      </w:r>
      <w:r>
        <w:rPr>
          <w:rFonts w:ascii="Arial" w:eastAsia="Arial" w:hAnsi="Arial" w:cs="Arial"/>
          <w:i/>
          <w:color w:val="000000"/>
          <w:sz w:val="18"/>
        </w:rPr>
        <w:t xml:space="preserve">See </w:t>
      </w:r>
      <w:bookmarkStart w:id="885" w:name="Bookmark_I589KJPV2SF7YM0010000400"/>
      <w:bookmarkEnd w:id="885"/>
      <w:r>
        <w:rPr>
          <w:rFonts w:ascii="Arial" w:eastAsia="Arial" w:hAnsi="Arial" w:cs="Arial"/>
          <w:i/>
          <w:color w:val="000000"/>
          <w:sz w:val="18"/>
        </w:rPr>
        <w:t>Arizanovska v. Wal-Mart Stores, Inc</w:t>
      </w:r>
      <w:r>
        <w:rPr>
          <w:rFonts w:ascii="Arial" w:eastAsia="Arial" w:hAnsi="Arial" w:cs="Arial"/>
          <w:color w:val="000000"/>
          <w:sz w:val="18"/>
        </w:rPr>
        <w:t>., 682 F.3d 698, 702 (7th Cir. 2012).</w:t>
      </w:r>
    </w:p>
  </w:footnote>
  <w:footnote w:id="49">
    <w:p w14:paraId="78DF2B2F" w14:textId="77777777" w:rsidR="00D041A2" w:rsidRDefault="00000000">
      <w:pPr>
        <w:pStyle w:val="Normal9"/>
        <w:widowControl w:val="0"/>
        <w:spacing w:before="120" w:line="240" w:lineRule="atLeast"/>
        <w:jc w:val="both"/>
      </w:pPr>
      <w:r>
        <w:rPr>
          <w:rFonts w:ascii="Arial" w:eastAsia="Arial" w:hAnsi="Arial" w:cs="Arial"/>
          <w:color w:val="000000"/>
          <w:sz w:val="18"/>
          <w:vertAlign w:val="superscript"/>
        </w:rPr>
        <w:t>2 </w:t>
      </w:r>
      <w:bookmarkStart w:id="896" w:name="Bookmark_fnpara_2_5"/>
      <w:bookmarkEnd w:id="896"/>
      <w:r>
        <w:rPr>
          <w:rFonts w:ascii="Arial" w:eastAsia="Arial" w:hAnsi="Arial" w:cs="Arial"/>
          <w:color w:val="000000"/>
          <w:sz w:val="18"/>
        </w:rPr>
        <w:t>We heard oral argument in this case at the Indiana University Maurer School of Law. We thank the students, staff, and faculty of the law school for being such gracious hosts; we thank counsel for their fine advocacy; and we thank the parties for their patience.</w:t>
      </w:r>
    </w:p>
  </w:footnote>
  <w:footnote w:id="50">
    <w:p w14:paraId="2488A914" w14:textId="77777777" w:rsidR="00D041A2" w:rsidRDefault="00000000">
      <w:pPr>
        <w:pStyle w:val="Normal9"/>
        <w:widowControl w:val="0"/>
        <w:spacing w:before="200" w:line="240" w:lineRule="atLeast"/>
        <w:jc w:val="both"/>
      </w:pPr>
      <w:r>
        <w:rPr>
          <w:rFonts w:ascii="Arial" w:eastAsia="Arial" w:hAnsi="Arial" w:cs="Arial"/>
          <w:color w:val="000000"/>
          <w:sz w:val="18"/>
          <w:vertAlign w:val="superscript"/>
        </w:rPr>
        <w:t>3 </w:t>
      </w:r>
      <w:bookmarkStart w:id="926" w:name="Bookmark_fnpara_3_3"/>
      <w:bookmarkEnd w:id="926"/>
      <w:r>
        <w:rPr>
          <w:rFonts w:ascii="Arial" w:eastAsia="Arial" w:hAnsi="Arial" w:cs="Arial"/>
          <w:color w:val="000000"/>
          <w:sz w:val="18"/>
        </w:rPr>
        <w:t xml:space="preserve">We have taken judicial notice of—and drawn our distance estimates from—images  [**12] available on Google Maps, "a source whose accuracy cannot reasonably be questioned, at least for the purpose of determining" general distances. </w:t>
      </w:r>
      <w:bookmarkStart w:id="927" w:name="Bookmark_I589KJPV2D6NV70040000400"/>
      <w:bookmarkEnd w:id="927"/>
      <w:r>
        <w:rPr>
          <w:rFonts w:ascii="Arial" w:eastAsia="Arial" w:hAnsi="Arial" w:cs="Arial"/>
          <w:i/>
          <w:color w:val="000000"/>
          <w:sz w:val="18"/>
        </w:rPr>
        <w:t>United States v. Perea-Rey</w:t>
      </w:r>
      <w:r>
        <w:rPr>
          <w:rFonts w:ascii="Arial" w:eastAsia="Arial" w:hAnsi="Arial" w:cs="Arial"/>
          <w:color w:val="000000"/>
          <w:sz w:val="18"/>
        </w:rPr>
        <w:t>, 680 F.3d 1179, 1182 n. 1 (9th Cir. 2012) (internal quotation marks and brackets omitted).</w:t>
      </w:r>
    </w:p>
  </w:footnote>
  <w:footnote w:id="51">
    <w:p w14:paraId="29CB399C" w14:textId="77777777" w:rsidR="00D041A2" w:rsidRDefault="00000000">
      <w:pPr>
        <w:pStyle w:val="Normal9"/>
        <w:widowControl w:val="0"/>
        <w:spacing w:before="200" w:line="240" w:lineRule="atLeast"/>
        <w:jc w:val="both"/>
      </w:pPr>
      <w:r>
        <w:rPr>
          <w:rFonts w:ascii="Arial" w:eastAsia="Arial" w:hAnsi="Arial" w:cs="Arial"/>
          <w:color w:val="000000"/>
          <w:sz w:val="18"/>
          <w:vertAlign w:val="superscript"/>
        </w:rPr>
        <w:t>4 </w:t>
      </w:r>
      <w:bookmarkStart w:id="930" w:name="Bookmark_fnpara_4_2"/>
      <w:bookmarkEnd w:id="930"/>
      <w:r>
        <w:rPr>
          <w:rFonts w:ascii="Arial" w:eastAsia="Arial" w:hAnsi="Arial" w:cs="Arial"/>
          <w:color w:val="000000"/>
          <w:sz w:val="18"/>
        </w:rPr>
        <w:t>The City claims that Cloe did not actually submit the note until October 2008 and that she admitted as much in her deposition. (</w:t>
      </w:r>
      <w:r>
        <w:rPr>
          <w:rFonts w:ascii="Arial" w:eastAsia="Arial" w:hAnsi="Arial" w:cs="Arial"/>
          <w:i/>
          <w:color w:val="000000"/>
          <w:sz w:val="18"/>
        </w:rPr>
        <w:t>See</w:t>
      </w:r>
      <w:r>
        <w:rPr>
          <w:rFonts w:ascii="Arial" w:eastAsia="Arial" w:hAnsi="Arial" w:cs="Arial"/>
          <w:color w:val="000000"/>
          <w:sz w:val="18"/>
        </w:rPr>
        <w:t xml:space="preserve"> Appellee's Br. at 13-14.) But the record on this point is not as clear as the City suggests. While there is some tension in the record, we do not think that Cloe's deposition testimony directly contradicted her later affidavit that mentioned the September 25 date. Viewed in the light most favorable to Cloe, the record supports the inference that Cloe submitted the note on September 25, 2008.</w:t>
      </w:r>
    </w:p>
  </w:footnote>
  <w:footnote w:id="52">
    <w:p w14:paraId="746DEB3D" w14:textId="77777777" w:rsidR="00D041A2" w:rsidRDefault="00000000">
      <w:pPr>
        <w:pStyle w:val="Normal9"/>
        <w:widowControl w:val="0"/>
        <w:spacing w:before="120" w:line="240" w:lineRule="atLeast"/>
        <w:jc w:val="both"/>
      </w:pPr>
      <w:r>
        <w:rPr>
          <w:rFonts w:ascii="Arial" w:eastAsia="Arial" w:hAnsi="Arial" w:cs="Arial"/>
          <w:color w:val="000000"/>
          <w:sz w:val="18"/>
          <w:vertAlign w:val="superscript"/>
        </w:rPr>
        <w:t>5 </w:t>
      </w:r>
      <w:bookmarkStart w:id="995" w:name="Bookmark_fnpara_5_2"/>
      <w:bookmarkEnd w:id="995"/>
      <w:r>
        <w:rPr>
          <w:rFonts w:ascii="Arial" w:eastAsia="Arial" w:hAnsi="Arial" w:cs="Arial"/>
          <w:color w:val="000000"/>
          <w:sz w:val="18"/>
        </w:rPr>
        <w:t>The City argues that there is no direct evidence that the medical appointment at issue was disability-related. That is true, but we think it is fair to infer as much at the summary judgment stage, particularly given the wide range of symptoms of Cloe's condition.</w:t>
      </w:r>
    </w:p>
  </w:footnote>
  <w:footnote w:id="53">
    <w:p w14:paraId="37E66DA2" w14:textId="77777777" w:rsidR="00D041A2" w:rsidRDefault="00000000">
      <w:pPr>
        <w:pStyle w:val="Normal9"/>
        <w:widowControl w:val="0"/>
        <w:spacing w:before="200" w:line="240" w:lineRule="atLeast"/>
        <w:jc w:val="both"/>
      </w:pPr>
      <w:r>
        <w:rPr>
          <w:rFonts w:ascii="Arial" w:eastAsia="Arial" w:hAnsi="Arial" w:cs="Arial"/>
          <w:color w:val="000000"/>
          <w:sz w:val="18"/>
          <w:vertAlign w:val="superscript"/>
        </w:rPr>
        <w:t>6 </w:t>
      </w:r>
      <w:bookmarkStart w:id="1006" w:name="Bookmark_fnpara_6_2"/>
      <w:bookmarkStart w:id="1007" w:name="Bookmark_I589KJPV2D6NVB0040000400"/>
      <w:bookmarkEnd w:id="1006"/>
      <w:bookmarkEnd w:id="1007"/>
      <w:r>
        <w:rPr>
          <w:rFonts w:ascii="Arial" w:eastAsia="Arial" w:hAnsi="Arial" w:cs="Arial"/>
          <w:color w:val="000000"/>
          <w:sz w:val="18"/>
        </w:rPr>
        <w:t xml:space="preserve">The parties frame their case in terms of waiver, but we think forfeiture more accurately describes what is at issue here. Our cases have sometimes blurred the distinction between waiver and forfeiture. </w:t>
      </w:r>
      <w:bookmarkStart w:id="1008" w:name="Bookmark_I0BH7FSB0KH000VXMJ4002N8"/>
      <w:bookmarkStart w:id="1009" w:name="Bookmark_I589KJPV2N1RVF0010000400"/>
      <w:bookmarkEnd w:id="1008"/>
      <w:bookmarkEnd w:id="1009"/>
      <w:r>
        <w:rPr>
          <w:rFonts w:ascii="Arial" w:eastAsia="Arial" w:hAnsi="Arial" w:cs="Arial"/>
          <w:i/>
          <w:color w:val="000000"/>
          <w:sz w:val="18"/>
        </w:rPr>
        <w:t xml:space="preserve">See </w:t>
      </w:r>
      <w:bookmarkStart w:id="1010" w:name="Bookmark_I589KJPV2D6NVB0030000400"/>
      <w:bookmarkEnd w:id="1010"/>
      <w:r>
        <w:rPr>
          <w:rFonts w:ascii="Arial" w:eastAsia="Arial" w:hAnsi="Arial" w:cs="Arial"/>
          <w:i/>
          <w:color w:val="000000"/>
          <w:sz w:val="18"/>
        </w:rPr>
        <w:t>Alioto v. Town of Lisbon</w:t>
      </w:r>
      <w:r>
        <w:rPr>
          <w:rFonts w:ascii="Arial" w:eastAsia="Arial" w:hAnsi="Arial" w:cs="Arial"/>
          <w:color w:val="000000"/>
          <w:sz w:val="18"/>
        </w:rPr>
        <w:t xml:space="preserve">, 651 F.3d 715, 719 n.1 (7th Cir. 2011) ("Consistent with our precedent, we use the word waive, although forfeit is perhaps the more accurate term."). Nevertheless, the concepts are distinct. </w:t>
      </w:r>
      <w:bookmarkStart w:id="1011" w:name="Bookmark_I589KJPV2N1RVF0010000400_2"/>
      <w:bookmarkStart w:id="1012" w:name="Bookmark_LNHNREFclscc12_3"/>
      <w:bookmarkEnd w:id="1011"/>
      <w:bookmarkEnd w:id="1012"/>
      <w:r>
        <w:rPr>
          <w:rFonts w:ascii="Arial" w:eastAsia="Arial" w:hAnsi="Arial" w:cs="Arial"/>
          <w:color w:val="000000"/>
          <w:sz w:val="18"/>
        </w:rPr>
        <w:t xml:space="preserve">"[W]aiver occurs when a defendant intentionally relinquishes or abandons a known right, whereas forfeiture occurs when a defendant fails to timely assert his rights." </w:t>
      </w:r>
      <w:bookmarkStart w:id="1013" w:name="Bookmark_I589KJPV2D6NVB0050000400"/>
      <w:bookmarkEnd w:id="1013"/>
      <w:r>
        <w:rPr>
          <w:rFonts w:ascii="Arial" w:eastAsia="Arial" w:hAnsi="Arial" w:cs="Arial"/>
          <w:i/>
          <w:color w:val="000000"/>
          <w:sz w:val="18"/>
        </w:rPr>
        <w:t>United States v. Gaona</w:t>
      </w:r>
      <w:r>
        <w:rPr>
          <w:rFonts w:ascii="Arial" w:eastAsia="Arial" w:hAnsi="Arial" w:cs="Arial"/>
          <w:color w:val="000000"/>
          <w:sz w:val="18"/>
        </w:rPr>
        <w:t>, 697 F.3d 638, 641 (7th Cir. 2012). Accordingly, we will use the term "forfeiture."</w:t>
      </w:r>
    </w:p>
  </w:footnote>
  <w:footnote w:id="54">
    <w:p w14:paraId="1E08BE0A" w14:textId="77777777" w:rsidR="00D041A2" w:rsidRDefault="00000000">
      <w:pPr>
        <w:pStyle w:val="Normal9"/>
        <w:widowControl w:val="0"/>
        <w:spacing w:before="200" w:line="240" w:lineRule="atLeast"/>
        <w:jc w:val="both"/>
      </w:pPr>
      <w:r>
        <w:rPr>
          <w:rFonts w:ascii="Arial" w:eastAsia="Arial" w:hAnsi="Arial" w:cs="Arial"/>
          <w:color w:val="000000"/>
          <w:sz w:val="18"/>
          <w:vertAlign w:val="superscript"/>
        </w:rPr>
        <w:t>7 </w:t>
      </w:r>
      <w:bookmarkStart w:id="1043" w:name="Bookmark_fnpara_7_2"/>
      <w:bookmarkEnd w:id="1043"/>
      <w:r>
        <w:rPr>
          <w:rFonts w:ascii="Arial" w:eastAsia="Arial" w:hAnsi="Arial" w:cs="Arial"/>
          <w:color w:val="000000"/>
          <w:sz w:val="18"/>
        </w:rPr>
        <w:t>The City moved for summary judgment on September 26, 2011. (R. 44.) An October 14, 2011 minute order indicates that discovery was complete as of October 13, 2011. (R. 48.) Another minute order indicates that the parties were still discussing discovery as late as January 9, 2012. (R. 61.) Either way,  [**31] the record clearly indicates that discovery did not close until after the City moved for summary judgment.</w:t>
      </w:r>
    </w:p>
  </w:footnote>
  <w:footnote w:id="55">
    <w:p w14:paraId="506F4579" w14:textId="77777777" w:rsidR="00D041A2" w:rsidRDefault="00000000">
      <w:pPr>
        <w:pStyle w:val="Normal10"/>
        <w:widowControl w:val="0"/>
        <w:spacing w:before="120" w:line="240" w:lineRule="atLeast"/>
        <w:jc w:val="both"/>
      </w:pPr>
      <w:r>
        <w:rPr>
          <w:rFonts w:ascii="Arial" w:eastAsia="Arial" w:hAnsi="Arial" w:cs="Arial"/>
          <w:color w:val="000000"/>
          <w:sz w:val="18"/>
          <w:vertAlign w:val="superscript"/>
        </w:rPr>
        <w:t>1 </w:t>
      </w:r>
      <w:bookmarkStart w:id="1119" w:name="Bookmark_fnpara_1_7"/>
      <w:bookmarkEnd w:id="1119"/>
      <w:r>
        <w:rPr>
          <w:rFonts w:ascii="Arial" w:eastAsia="Arial" w:hAnsi="Arial" w:cs="Arial"/>
          <w:color w:val="000000"/>
          <w:sz w:val="18"/>
        </w:rPr>
        <w:t>McElwee argues that some of the identified incidents occurred many years earlier, it was not his intention to harass or make people feel uncomfortable, and his actions must be viewed in the context of his disability; he does not dispute, however, that the incidents occurred or that they were reported to Darwin as described.</w:t>
      </w:r>
    </w:p>
  </w:footnote>
  <w:footnote w:id="56">
    <w:p w14:paraId="57C90381" w14:textId="77777777" w:rsidR="00D041A2" w:rsidRDefault="00000000">
      <w:pPr>
        <w:pStyle w:val="Normal10"/>
        <w:widowControl w:val="0"/>
        <w:spacing w:before="200" w:line="240" w:lineRule="atLeast"/>
        <w:jc w:val="both"/>
      </w:pPr>
      <w:r>
        <w:rPr>
          <w:rFonts w:ascii="Arial" w:eastAsia="Arial" w:hAnsi="Arial" w:cs="Arial"/>
          <w:color w:val="000000"/>
          <w:sz w:val="18"/>
          <w:vertAlign w:val="superscript"/>
        </w:rPr>
        <w:t>2 </w:t>
      </w:r>
      <w:bookmarkStart w:id="1159" w:name="Bookmark_fnpara_2_6"/>
      <w:bookmarkEnd w:id="1159"/>
      <w:r>
        <w:rPr>
          <w:rFonts w:ascii="Arial" w:eastAsia="Arial" w:hAnsi="Arial" w:cs="Arial"/>
          <w:color w:val="000000"/>
          <w:sz w:val="18"/>
        </w:rPr>
        <w:t xml:space="preserve">Although McElwee brought the instant case pursuant to Title II of the ADA, we may look for guidance to case law under Title I of the ADA, which governs employment discrimination, because (i) courts use the terms "reasonable modifications" in Title II and "reasonable accommodations" in Title I interchangeably, </w:t>
      </w:r>
      <w:r>
        <w:rPr>
          <w:rFonts w:ascii="Arial" w:eastAsia="Arial" w:hAnsi="Arial" w:cs="Arial"/>
          <w:i/>
          <w:color w:val="000000"/>
          <w:sz w:val="18"/>
        </w:rPr>
        <w:t xml:space="preserve">see, e.g., </w:t>
      </w:r>
      <w:bookmarkStart w:id="1160" w:name="Bookmark_I576P67V2SF7PT0030000400"/>
      <w:bookmarkEnd w:id="1160"/>
      <w:r>
        <w:rPr>
          <w:rFonts w:ascii="Arial" w:eastAsia="Arial" w:hAnsi="Arial" w:cs="Arial"/>
          <w:i/>
          <w:color w:val="000000"/>
          <w:sz w:val="18"/>
        </w:rPr>
        <w:t>Powell v. Nat'l Bd. of Med. Exam'rs</w:t>
      </w:r>
      <w:r>
        <w:rPr>
          <w:rFonts w:ascii="Arial" w:eastAsia="Arial" w:hAnsi="Arial" w:cs="Arial"/>
          <w:color w:val="000000"/>
          <w:sz w:val="18"/>
        </w:rPr>
        <w:t xml:space="preserve">, 364 F.3d 79, 85, 88 (2d Cir. 2004) (discussing "accommodations" provided in Title II case); </w:t>
      </w:r>
      <w:bookmarkStart w:id="1161" w:name="Bookmark_I576P67V2SF7PT0050000400"/>
      <w:bookmarkEnd w:id="1161"/>
      <w:r>
        <w:rPr>
          <w:rFonts w:ascii="Arial" w:eastAsia="Arial" w:hAnsi="Arial" w:cs="Arial"/>
          <w:i/>
          <w:color w:val="000000"/>
          <w:sz w:val="18"/>
        </w:rPr>
        <w:t>Robertson v. Las Animas Cnty. Sheriff's Dep't</w:t>
      </w:r>
      <w:r>
        <w:rPr>
          <w:rFonts w:ascii="Arial" w:eastAsia="Arial" w:hAnsi="Arial" w:cs="Arial"/>
          <w:color w:val="000000"/>
          <w:sz w:val="18"/>
        </w:rPr>
        <w:t xml:space="preserve">, 500 F.3d 1185, 1195 n.8 (10th Cir. 2007) (noting that "Title II's use of the term  [**13] 'reasonable modifications' is essentially equivalent to Title I's use of the term 'reasonable accommodation'"); and (ii) McElwee's volunteer position at Valley View was analogous to that of an employee, </w:t>
      </w:r>
      <w:r>
        <w:rPr>
          <w:rFonts w:ascii="Arial" w:eastAsia="Arial" w:hAnsi="Arial" w:cs="Arial"/>
          <w:i/>
          <w:color w:val="000000"/>
          <w:sz w:val="18"/>
        </w:rPr>
        <w:t xml:space="preserve">see, e.g., </w:t>
      </w:r>
      <w:bookmarkStart w:id="1162" w:name="Bookmark_I576P67V28T4CB0020000400"/>
      <w:bookmarkEnd w:id="1162"/>
      <w:r>
        <w:rPr>
          <w:rFonts w:ascii="Arial" w:eastAsia="Arial" w:hAnsi="Arial" w:cs="Arial"/>
          <w:i/>
          <w:color w:val="000000"/>
          <w:sz w:val="18"/>
        </w:rPr>
        <w:t>Bauer v. Muscular Dystrophy Ass'n, Inc</w:t>
      </w:r>
      <w:r>
        <w:rPr>
          <w:rFonts w:ascii="Arial" w:eastAsia="Arial" w:hAnsi="Arial" w:cs="Arial"/>
          <w:color w:val="000000"/>
          <w:sz w:val="18"/>
        </w:rPr>
        <w:t>., 427 F.3d 1326, 1333 (10th Cir. 2005) (noting that reference to Title I case law was appropriate in Title III case where plaintiffs, who were volunteers, "act[ed] in a capacity at least somewhat analogously to that of an employee").</w:t>
      </w:r>
    </w:p>
  </w:footnote>
  <w:footnote w:id="57">
    <w:p w14:paraId="55984FD1" w14:textId="77777777" w:rsidR="00D041A2" w:rsidRDefault="00000000">
      <w:pPr>
        <w:pStyle w:val="Normal10"/>
        <w:widowControl w:val="0"/>
        <w:spacing w:before="200" w:line="240" w:lineRule="atLeast"/>
        <w:jc w:val="both"/>
      </w:pPr>
      <w:r>
        <w:rPr>
          <w:rFonts w:ascii="Arial" w:eastAsia="Arial" w:hAnsi="Arial" w:cs="Arial"/>
          <w:color w:val="000000"/>
          <w:sz w:val="18"/>
          <w:vertAlign w:val="superscript"/>
        </w:rPr>
        <w:t>3 </w:t>
      </w:r>
      <w:bookmarkStart w:id="1176" w:name="Bookmark_fnpara_3_4"/>
      <w:bookmarkEnd w:id="1176"/>
      <w:r>
        <w:rPr>
          <w:rFonts w:ascii="Arial" w:eastAsia="Arial" w:hAnsi="Arial" w:cs="Arial"/>
          <w:i/>
          <w:color w:val="000000"/>
          <w:sz w:val="18"/>
        </w:rPr>
        <w:t xml:space="preserve">See </w:t>
      </w:r>
      <w:bookmarkStart w:id="1177" w:name="Bookmark_I576P67V2SF7PV0030000400"/>
      <w:bookmarkEnd w:id="1177"/>
      <w:r>
        <w:rPr>
          <w:rFonts w:ascii="Arial" w:eastAsia="Arial" w:hAnsi="Arial" w:cs="Arial"/>
          <w:i/>
          <w:color w:val="000000"/>
          <w:sz w:val="18"/>
        </w:rPr>
        <w:t>Sista v. CDC Ixis N. Am., Inc</w:t>
      </w:r>
      <w:r>
        <w:rPr>
          <w:rFonts w:ascii="Arial" w:eastAsia="Arial" w:hAnsi="Arial" w:cs="Arial"/>
          <w:color w:val="000000"/>
          <w:sz w:val="18"/>
        </w:rPr>
        <w:t xml:space="preserve">., 445 F.3d 161, 172 (2d Cir. 2006) (the ADA does not "require that employers countenance dangerous misconduct, even if that misconduct is the result of a disability"); </w:t>
      </w:r>
      <w:r>
        <w:rPr>
          <w:rFonts w:ascii="Arial" w:eastAsia="Arial" w:hAnsi="Arial" w:cs="Arial"/>
          <w:i/>
          <w:color w:val="000000"/>
          <w:sz w:val="18"/>
        </w:rPr>
        <w:t xml:space="preserve">see also </w:t>
      </w:r>
      <w:bookmarkStart w:id="1178" w:name="Bookmark_I576P67V2SF7PV0050000400"/>
      <w:bookmarkEnd w:id="1178"/>
      <w:r>
        <w:rPr>
          <w:rFonts w:ascii="Arial" w:eastAsia="Arial" w:hAnsi="Arial" w:cs="Arial"/>
          <w:i/>
          <w:color w:val="000000"/>
          <w:sz w:val="18"/>
        </w:rPr>
        <w:t>Raytheon Co. v. Hernandez</w:t>
      </w:r>
      <w:r>
        <w:rPr>
          <w:rFonts w:ascii="Arial" w:eastAsia="Arial" w:hAnsi="Arial" w:cs="Arial"/>
          <w:color w:val="000000"/>
          <w:sz w:val="18"/>
        </w:rPr>
        <w:t xml:space="preserve">, 540 U.S. 44, 54 n.6, 124 S. Ct. 513, 157 L. Ed. 2d 357 (2003) (rejecting suggestion that employer's refusal to rehire someone because of his disability-related misconduct would violate the ADA); </w:t>
      </w:r>
      <w:bookmarkStart w:id="1179" w:name="Bookmark_I576P67V2D6NYG0020000400"/>
      <w:bookmarkEnd w:id="1179"/>
      <w:r>
        <w:rPr>
          <w:rFonts w:ascii="Arial" w:eastAsia="Arial" w:hAnsi="Arial" w:cs="Arial"/>
          <w:i/>
          <w:color w:val="000000"/>
          <w:sz w:val="18"/>
        </w:rPr>
        <w:t>Halpern v. Wake Forest Univ. Health Scis</w:t>
      </w:r>
      <w:r>
        <w:rPr>
          <w:rFonts w:ascii="Arial" w:eastAsia="Arial" w:hAnsi="Arial" w:cs="Arial"/>
          <w:color w:val="000000"/>
          <w:sz w:val="18"/>
        </w:rPr>
        <w:t>., 669 F.3d 454, 465 (4th Cir. 2012) ("[M]isconduct -- even misconduct related to a disability -- is not itself a disability and may be a basis for dismissal." (citation and internal quotation marks omitted)).</w:t>
      </w:r>
    </w:p>
  </w:footnote>
  <w:footnote w:id="58">
    <w:p w14:paraId="4F3AEA9A" w14:textId="77777777" w:rsidR="00D041A2" w:rsidRDefault="00000000">
      <w:pPr>
        <w:pStyle w:val="Normal10"/>
        <w:widowControl w:val="0"/>
        <w:spacing w:before="200" w:line="240" w:lineRule="atLeast"/>
        <w:jc w:val="both"/>
      </w:pPr>
      <w:r>
        <w:rPr>
          <w:rFonts w:ascii="Arial" w:eastAsia="Arial" w:hAnsi="Arial" w:cs="Arial"/>
          <w:color w:val="000000"/>
          <w:sz w:val="18"/>
          <w:vertAlign w:val="superscript"/>
        </w:rPr>
        <w:t>4 </w:t>
      </w:r>
      <w:bookmarkStart w:id="1180" w:name="Bookmark_fnpara_4_3"/>
      <w:bookmarkEnd w:id="1180"/>
      <w:r>
        <w:rPr>
          <w:rFonts w:ascii="Arial" w:eastAsia="Arial" w:hAnsi="Arial" w:cs="Arial"/>
          <w:i/>
          <w:color w:val="000000"/>
          <w:sz w:val="18"/>
        </w:rPr>
        <w:t xml:space="preserve">See </w:t>
      </w:r>
      <w:bookmarkStart w:id="1181" w:name="Bookmark_I576P67V2D6NYG0040000400"/>
      <w:bookmarkEnd w:id="1181"/>
      <w:r>
        <w:rPr>
          <w:rFonts w:ascii="Arial" w:eastAsia="Arial" w:hAnsi="Arial" w:cs="Arial"/>
          <w:i/>
          <w:color w:val="000000"/>
          <w:sz w:val="18"/>
        </w:rPr>
        <w:t>Canales-Jacobs v. N.Y.S. Office of Ct. Admin</w:t>
      </w:r>
      <w:r>
        <w:rPr>
          <w:rFonts w:ascii="Arial" w:eastAsia="Arial" w:hAnsi="Arial" w:cs="Arial"/>
          <w:color w:val="000000"/>
          <w:sz w:val="18"/>
        </w:rPr>
        <w:t xml:space="preserve">., 640 F. Supp. 2d 482, 500 (S.D.N.Y. 2009) ("The ADA does not excuse workplace misconduct because the misconduct is related to a disability."); </w:t>
      </w:r>
      <w:bookmarkStart w:id="1182" w:name="Bookmark_I576P67V28T4CC0010000400"/>
      <w:bookmarkEnd w:id="1182"/>
      <w:r>
        <w:rPr>
          <w:rFonts w:ascii="Arial" w:eastAsia="Arial" w:hAnsi="Arial" w:cs="Arial"/>
          <w:i/>
          <w:color w:val="000000"/>
          <w:sz w:val="18"/>
        </w:rPr>
        <w:t>Fahey v. City of N.Y</w:t>
      </w:r>
      <w:r>
        <w:rPr>
          <w:rFonts w:ascii="Arial" w:eastAsia="Arial" w:hAnsi="Arial" w:cs="Arial"/>
          <w:color w:val="000000"/>
          <w:sz w:val="18"/>
        </w:rPr>
        <w:t xml:space="preserve">., No. 10 Civ. 4609 (ILG) (MDG), 2012 U.S. Dist. LEXIS 15104, at *31 (E.D.N.Y. Feb. 7, 2012) (rejecting plaintiff's failure to accommodate claim where requested accommodation was to receive penalty other than termination for past misconduct); </w:t>
      </w:r>
      <w:bookmarkStart w:id="1183" w:name="Bookmark_I576P67V28T4CC0030000400"/>
      <w:bookmarkEnd w:id="1183"/>
      <w:r>
        <w:rPr>
          <w:rFonts w:ascii="Arial" w:eastAsia="Arial" w:hAnsi="Arial" w:cs="Arial"/>
          <w:i/>
          <w:color w:val="000000"/>
          <w:sz w:val="18"/>
        </w:rPr>
        <w:t>Whalley v. Reliance Grp. Holdings, Inc</w:t>
      </w:r>
      <w:r>
        <w:rPr>
          <w:rFonts w:ascii="Arial" w:eastAsia="Arial" w:hAnsi="Arial" w:cs="Arial"/>
          <w:color w:val="000000"/>
          <w:sz w:val="18"/>
        </w:rPr>
        <w:t xml:space="preserve">., No. 97 Civ. 4018 (VM), 2001 U.S. Dist. LEXIS 427, at *27 (S.D.N.Y. Jan. 22, 2001)  [**15] (holding that plaintiff's belated request for accommodation after learning of employer's decision to terminate him amounted to a request for a second chance); U.S. Equal Emp't Opportunity Comm'n, </w:t>
      </w:r>
      <w:r>
        <w:rPr>
          <w:rFonts w:ascii="Arial" w:eastAsia="Arial" w:hAnsi="Arial" w:cs="Arial"/>
          <w:i/>
          <w:color w:val="000000"/>
          <w:sz w:val="18"/>
        </w:rPr>
        <w:t>Enforcement Guidance: Reasonable Accommodation and Undue Hardship under the Americans with Disabilities Act</w:t>
      </w:r>
      <w:r>
        <w:rPr>
          <w:rFonts w:ascii="Arial" w:eastAsia="Arial" w:hAnsi="Arial" w:cs="Arial"/>
          <w:color w:val="000000"/>
          <w:sz w:val="18"/>
        </w:rPr>
        <w:t>, question 36 (2002) ("Since reasonable accommodation is always prospective, an employer is not required to excuse past misconduct even if it is the result of the individual's disability.").</w:t>
      </w:r>
    </w:p>
  </w:footnote>
  <w:footnote w:id="59">
    <w:p w14:paraId="22470272" w14:textId="77777777" w:rsidR="00D041A2" w:rsidRDefault="00000000">
      <w:pPr>
        <w:pStyle w:val="Normal10"/>
        <w:widowControl w:val="0"/>
        <w:spacing w:before="200" w:line="240" w:lineRule="atLeast"/>
        <w:jc w:val="both"/>
      </w:pPr>
      <w:r>
        <w:rPr>
          <w:rFonts w:ascii="Arial" w:eastAsia="Arial" w:hAnsi="Arial" w:cs="Arial"/>
          <w:color w:val="000000"/>
          <w:sz w:val="18"/>
          <w:vertAlign w:val="superscript"/>
        </w:rPr>
        <w:t>5 </w:t>
      </w:r>
      <w:bookmarkStart w:id="1205" w:name="Bookmark_fnpara_5_3"/>
      <w:bookmarkEnd w:id="1205"/>
      <w:r>
        <w:rPr>
          <w:rFonts w:ascii="Arial" w:eastAsia="Arial" w:hAnsi="Arial" w:cs="Arial"/>
          <w:color w:val="000000"/>
          <w:sz w:val="18"/>
        </w:rPr>
        <w:t xml:space="preserve">The ADAAA became effective on January 1, 2009 and applies to claims, such as McElwee's, that arose after that date. </w:t>
      </w:r>
      <w:r>
        <w:rPr>
          <w:rFonts w:ascii="Arial" w:eastAsia="Arial" w:hAnsi="Arial" w:cs="Arial"/>
          <w:i/>
          <w:color w:val="000000"/>
          <w:sz w:val="18"/>
        </w:rPr>
        <w:t>See</w:t>
      </w:r>
      <w:r>
        <w:rPr>
          <w:rFonts w:ascii="Arial" w:eastAsia="Arial" w:hAnsi="Arial" w:cs="Arial"/>
          <w:color w:val="000000"/>
          <w:sz w:val="18"/>
        </w:rPr>
        <w:t xml:space="preserve"> ADA Amendments Act of 2008, Pub. L. No. 110-325, 122 Stat. 3553, 3559 (2008).</w:t>
      </w:r>
    </w:p>
  </w:footnote>
  <w:footnote w:id="60">
    <w:p w14:paraId="1935837E" w14:textId="77777777" w:rsidR="00D041A2" w:rsidRDefault="00000000">
      <w:pPr>
        <w:pStyle w:val="Normal10"/>
        <w:widowControl w:val="0"/>
        <w:spacing w:before="200" w:line="240" w:lineRule="atLeast"/>
        <w:jc w:val="both"/>
      </w:pPr>
      <w:r>
        <w:rPr>
          <w:rFonts w:ascii="Arial" w:eastAsia="Arial" w:hAnsi="Arial" w:cs="Arial"/>
          <w:color w:val="000000"/>
          <w:sz w:val="18"/>
          <w:vertAlign w:val="superscript"/>
        </w:rPr>
        <w:t>6 </w:t>
      </w:r>
      <w:bookmarkStart w:id="1241" w:name="Bookmark_fnpara_6_3"/>
      <w:bookmarkEnd w:id="1241"/>
      <w:r>
        <w:rPr>
          <w:rFonts w:ascii="Arial" w:eastAsia="Arial" w:hAnsi="Arial" w:cs="Arial"/>
          <w:i/>
          <w:color w:val="000000"/>
          <w:sz w:val="18"/>
        </w:rPr>
        <w:t xml:space="preserve">See </w:t>
      </w:r>
      <w:bookmarkStart w:id="1242" w:name="Bookmark_I576P67V28T4CF0040000400"/>
      <w:bookmarkEnd w:id="1242"/>
      <w:r>
        <w:rPr>
          <w:rFonts w:ascii="Arial" w:eastAsia="Arial" w:hAnsi="Arial" w:cs="Arial"/>
          <w:i/>
          <w:color w:val="000000"/>
          <w:sz w:val="18"/>
        </w:rPr>
        <w:t>McBride v. BIC Consumer Prods. Mfg. Co</w:t>
      </w:r>
      <w:r>
        <w:rPr>
          <w:rFonts w:ascii="Arial" w:eastAsia="Arial" w:hAnsi="Arial" w:cs="Arial"/>
          <w:color w:val="000000"/>
          <w:sz w:val="18"/>
        </w:rPr>
        <w:t xml:space="preserve">., 583 F.3d 92, 97-98 (2d Cir. 2009) (noting that a plaintiff requesting a reassignment as an accommodation must demonstrate that a vacant position existed "at or around the time when accommodation was sought"); </w:t>
      </w:r>
      <w:r>
        <w:rPr>
          <w:rFonts w:ascii="Arial" w:eastAsia="Arial" w:hAnsi="Arial" w:cs="Arial"/>
          <w:i/>
          <w:color w:val="000000"/>
          <w:sz w:val="18"/>
        </w:rPr>
        <w:t xml:space="preserve">see also </w:t>
      </w:r>
      <w:bookmarkStart w:id="1243" w:name="Bookmark_I576P67V2SF7PY0010000400"/>
      <w:bookmarkEnd w:id="1243"/>
      <w:r>
        <w:rPr>
          <w:rFonts w:ascii="Arial" w:eastAsia="Arial" w:hAnsi="Arial" w:cs="Arial"/>
          <w:i/>
          <w:color w:val="000000"/>
          <w:sz w:val="18"/>
        </w:rPr>
        <w:t>Myers v. Hose</w:t>
      </w:r>
      <w:r>
        <w:rPr>
          <w:rFonts w:ascii="Arial" w:eastAsia="Arial" w:hAnsi="Arial" w:cs="Arial"/>
          <w:color w:val="000000"/>
          <w:sz w:val="18"/>
        </w:rPr>
        <w:t>, 50 F.3d 278, 283 (4th Cir. 1995) ("[R]easonable accommodation is by its terms most logically construed as that which presently, or in the immediate future, enables the employee to perform the essential functions of the job in question.").</w:t>
      </w:r>
    </w:p>
  </w:footnote>
  <w:footnote w:id="61">
    <w:p w14:paraId="35023577" w14:textId="77777777" w:rsidR="00D041A2" w:rsidRDefault="00000000">
      <w:pPr>
        <w:pStyle w:val="Normal10"/>
        <w:widowControl w:val="0"/>
        <w:spacing w:before="200" w:line="240" w:lineRule="atLeast"/>
        <w:jc w:val="both"/>
      </w:pPr>
      <w:r>
        <w:rPr>
          <w:rFonts w:ascii="Arial" w:eastAsia="Arial" w:hAnsi="Arial" w:cs="Arial"/>
          <w:color w:val="000000"/>
          <w:sz w:val="18"/>
          <w:vertAlign w:val="superscript"/>
        </w:rPr>
        <w:t>7 </w:t>
      </w:r>
      <w:bookmarkStart w:id="1246" w:name="Bookmark_fnpara_7_3"/>
      <w:bookmarkEnd w:id="1246"/>
      <w:r>
        <w:rPr>
          <w:rFonts w:ascii="Arial" w:eastAsia="Arial" w:hAnsi="Arial" w:cs="Arial"/>
          <w:i/>
          <w:color w:val="000000"/>
          <w:sz w:val="18"/>
        </w:rPr>
        <w:t xml:space="preserve">See, e.g., </w:t>
      </w:r>
      <w:bookmarkStart w:id="1247" w:name="Bookmark_I576P67V2SF7PY0030000400"/>
      <w:bookmarkEnd w:id="1247"/>
      <w:r>
        <w:rPr>
          <w:rFonts w:ascii="Arial" w:eastAsia="Arial" w:hAnsi="Arial" w:cs="Arial"/>
          <w:i/>
          <w:color w:val="000000"/>
          <w:sz w:val="18"/>
        </w:rPr>
        <w:t>Mole v. Buckhorn Rubber Prods., Inc</w:t>
      </w:r>
      <w:r>
        <w:rPr>
          <w:rFonts w:ascii="Arial" w:eastAsia="Arial" w:hAnsi="Arial" w:cs="Arial"/>
          <w:color w:val="000000"/>
          <w:sz w:val="18"/>
        </w:rPr>
        <w:t xml:space="preserve">., 165 F.3d 1212, 1218 (8th Cir. 1999) (finding requested accommodation unreasonable because plaintiff "could offer no assurance the requested accommodations would remedy her many job performance deficiencies," especially where a letter from her doctor warned that plaintiff "has a lifelong illness that 'will likely fluctuate considerably'"); </w:t>
      </w:r>
      <w:bookmarkStart w:id="1248" w:name="Bookmark_I576P67V2SF7PY0050000400"/>
      <w:bookmarkEnd w:id="1248"/>
      <w:r>
        <w:rPr>
          <w:rFonts w:ascii="Arial" w:eastAsia="Arial" w:hAnsi="Arial" w:cs="Arial"/>
          <w:i/>
          <w:color w:val="000000"/>
          <w:sz w:val="18"/>
        </w:rPr>
        <w:t>K.H. ex rel. K.C. v. Vincent Smith Sch</w:t>
      </w:r>
      <w:r>
        <w:rPr>
          <w:rFonts w:ascii="Arial" w:eastAsia="Arial" w:hAnsi="Arial" w:cs="Arial"/>
          <w:color w:val="000000"/>
          <w:sz w:val="18"/>
        </w:rPr>
        <w:t xml:space="preserve">., No. 06-CV-319 (ERK) (JO), 2006 U.S. Dist. LEXIS 22412, at *24 (E.D.N.Y. Mar. 29, 2006) (finding requested accommodation unreasonable because it likely would not "make it possible for [plaintiff] to continue to attend the School and benefit from its educational program"); </w:t>
      </w:r>
      <w:r>
        <w:rPr>
          <w:rFonts w:ascii="Arial" w:eastAsia="Arial" w:hAnsi="Arial" w:cs="Arial"/>
          <w:i/>
          <w:color w:val="000000"/>
          <w:sz w:val="18"/>
        </w:rPr>
        <w:t>Higgins v. Md. Dep't of Agric</w:t>
      </w:r>
      <w:r>
        <w:rPr>
          <w:rFonts w:ascii="Arial" w:eastAsia="Arial" w:hAnsi="Arial" w:cs="Arial"/>
          <w:color w:val="000000"/>
          <w:sz w:val="18"/>
        </w:rPr>
        <w:t>., No. L-11-0081, 2012 U.S. Dist. LEXIS 25303, at *21 (D. Md. Feb. 28, 2012)  [**26] (dismissing plaintiff's failure to accommodate claim because plaintiff "has not identified an accommodation that would have enabled him to conform his behavior to an acceptable standard").</w:t>
      </w:r>
    </w:p>
  </w:footnote>
  <w:footnote w:id="62">
    <w:p w14:paraId="30C9F504" w14:textId="77777777" w:rsidR="00D041A2" w:rsidRDefault="00000000">
      <w:pPr>
        <w:pStyle w:val="Normal10"/>
        <w:widowControl w:val="0"/>
        <w:spacing w:before="200" w:line="240" w:lineRule="atLeast"/>
        <w:jc w:val="both"/>
      </w:pPr>
      <w:r>
        <w:rPr>
          <w:rFonts w:ascii="Arial" w:eastAsia="Arial" w:hAnsi="Arial" w:cs="Arial"/>
          <w:color w:val="000000"/>
          <w:sz w:val="18"/>
          <w:vertAlign w:val="superscript"/>
        </w:rPr>
        <w:t>8 </w:t>
      </w:r>
      <w:bookmarkStart w:id="1252" w:name="Bookmark_fnpara_8_2"/>
      <w:bookmarkEnd w:id="1252"/>
      <w:r>
        <w:rPr>
          <w:rFonts w:ascii="Arial" w:eastAsia="Arial" w:hAnsi="Arial" w:cs="Arial"/>
          <w:i/>
          <w:color w:val="000000"/>
          <w:sz w:val="18"/>
        </w:rPr>
        <w:t xml:space="preserve">See </w:t>
      </w:r>
      <w:bookmarkStart w:id="1253" w:name="Bookmark_I576P67V28T4CG0020000400"/>
      <w:bookmarkEnd w:id="1253"/>
      <w:r>
        <w:rPr>
          <w:rFonts w:ascii="Arial" w:eastAsia="Arial" w:hAnsi="Arial" w:cs="Arial"/>
          <w:i/>
          <w:color w:val="000000"/>
          <w:sz w:val="18"/>
        </w:rPr>
        <w:t>Lovejoy-Wilson v. NOCO Motor Fuel, Inc</w:t>
      </w:r>
      <w:r>
        <w:rPr>
          <w:rFonts w:ascii="Arial" w:eastAsia="Arial" w:hAnsi="Arial" w:cs="Arial"/>
          <w:color w:val="000000"/>
          <w:sz w:val="18"/>
        </w:rPr>
        <w:t>., 263 F.3d 208, 217 (2d Cir. 2001) (noting that Title I and the associated regulations define "reasonable accommodation" as including but not limited to job restructuring, modified work schedules, reassignment,  [**27] and adjustments to work environment) (citing 42 U.S.C. § 12111(9)(B) and 29 C.F.R. § 1630.2(o)(1)(ii));</w:t>
      </w:r>
      <w:bookmarkStart w:id="1254" w:name="Bookmark_LNHNREFclscc13_4"/>
      <w:bookmarkEnd w:id="1254"/>
      <w:r>
        <w:rPr>
          <w:rFonts w:ascii="Arial" w:eastAsia="Arial" w:hAnsi="Arial" w:cs="Arial"/>
          <w:color w:val="000000"/>
          <w:sz w:val="18"/>
        </w:rPr>
        <w:t xml:space="preserve"> 42 U.S.C. § 12131(2) (accommodations available in Title II case include "modifications to rules, policies, or practices, the removal of architectural, communication, or transportation barriers, or the provision of auxiliary aids and services"); </w:t>
      </w:r>
      <w:r>
        <w:rPr>
          <w:rFonts w:ascii="Arial" w:eastAsia="Arial" w:hAnsi="Arial" w:cs="Arial"/>
          <w:i/>
          <w:color w:val="000000"/>
          <w:sz w:val="18"/>
        </w:rPr>
        <w:t xml:space="preserve">see, e.g., </w:t>
      </w:r>
      <w:bookmarkStart w:id="1255" w:name="Bookmark_I576P67V28T4CG0040000400"/>
      <w:bookmarkEnd w:id="1255"/>
      <w:r>
        <w:rPr>
          <w:rFonts w:ascii="Arial" w:eastAsia="Arial" w:hAnsi="Arial" w:cs="Arial"/>
          <w:i/>
          <w:color w:val="000000"/>
          <w:sz w:val="18"/>
        </w:rPr>
        <w:t>K.H</w:t>
      </w:r>
      <w:r>
        <w:rPr>
          <w:rFonts w:ascii="Arial" w:eastAsia="Arial" w:hAnsi="Arial" w:cs="Arial"/>
          <w:color w:val="000000"/>
          <w:sz w:val="18"/>
        </w:rPr>
        <w:t xml:space="preserve">., 2006 U.S. Dist. LEXIS 22412, at *23 (finding request for plaintiff's psychiatrist to meet with school officials "to talk things over" and psychiatrist's statement that officials "needed to have more patience and more tolerance" with plaintiff, without recommending a particular plan to manage plaintiff's behavior, was not a reasonable accommodation); </w:t>
      </w:r>
      <w:bookmarkStart w:id="1256" w:name="Bookmark_I576P67V2D6NYM0010000400"/>
      <w:bookmarkEnd w:id="1256"/>
      <w:r>
        <w:rPr>
          <w:rFonts w:ascii="Arial" w:eastAsia="Arial" w:hAnsi="Arial" w:cs="Arial"/>
          <w:i/>
          <w:color w:val="000000"/>
          <w:sz w:val="18"/>
        </w:rPr>
        <w:t>Hall v. Wal-Mart Assocs</w:t>
      </w:r>
      <w:r>
        <w:rPr>
          <w:rFonts w:ascii="Arial" w:eastAsia="Arial" w:hAnsi="Arial" w:cs="Arial"/>
          <w:color w:val="000000"/>
          <w:sz w:val="18"/>
        </w:rPr>
        <w:t>., 373 F. Supp. 2d 1267, 1272 (M.D. Ala. 2005) (holding that plaintiff's "sought-after accommodation -- tolerance of his dishonesty -- . . . materially differs in kind from the more common accommodations previously recognized by this court").</w:t>
      </w:r>
    </w:p>
  </w:footnote>
  <w:footnote w:id="63">
    <w:p w14:paraId="4EC96BAD" w14:textId="77777777" w:rsidR="00D041A2" w:rsidRDefault="00000000">
      <w:pPr>
        <w:pStyle w:val="Normal10"/>
        <w:widowControl w:val="0"/>
        <w:spacing w:before="200" w:line="240" w:lineRule="atLeast"/>
        <w:jc w:val="both"/>
      </w:pPr>
      <w:r>
        <w:rPr>
          <w:rFonts w:ascii="Arial" w:eastAsia="Arial" w:hAnsi="Arial" w:cs="Arial"/>
          <w:color w:val="000000"/>
          <w:sz w:val="18"/>
          <w:vertAlign w:val="superscript"/>
        </w:rPr>
        <w:t>9 </w:t>
      </w:r>
      <w:bookmarkStart w:id="1257" w:name="Bookmark_fnpara_9_1"/>
      <w:bookmarkEnd w:id="1257"/>
      <w:r>
        <w:rPr>
          <w:rFonts w:ascii="Arial" w:eastAsia="Arial" w:hAnsi="Arial" w:cs="Arial"/>
          <w:i/>
          <w:color w:val="000000"/>
          <w:sz w:val="18"/>
        </w:rPr>
        <w:t xml:space="preserve">See, e.g., </w:t>
      </w:r>
      <w:bookmarkStart w:id="1258" w:name="Bookmark_I576P67V2D6NYM0030000400"/>
      <w:bookmarkEnd w:id="1258"/>
      <w:r>
        <w:rPr>
          <w:rFonts w:ascii="Arial" w:eastAsia="Arial" w:hAnsi="Arial" w:cs="Arial"/>
          <w:i/>
          <w:color w:val="000000"/>
          <w:sz w:val="18"/>
        </w:rPr>
        <w:t>Darcangelo v. Verizon Md., Inc</w:t>
      </w:r>
      <w:r>
        <w:rPr>
          <w:rFonts w:ascii="Arial" w:eastAsia="Arial" w:hAnsi="Arial" w:cs="Arial"/>
          <w:color w:val="000000"/>
          <w:sz w:val="18"/>
        </w:rPr>
        <w:t xml:space="preserve">., No. WDQ-02-816, 2005 U.S. Dist. LEXIS 37660, at *11 (D. Md. June 7, 2005) ("Requiring [plaintiff's] coworkers and supervisors to suffer her tirades and harassment . . . constitutes  [**28] an undue hardship which [her employer] cannot be expected to bear."), </w:t>
      </w:r>
      <w:r>
        <w:rPr>
          <w:rFonts w:ascii="Arial" w:eastAsia="Arial" w:hAnsi="Arial" w:cs="Arial"/>
          <w:i/>
          <w:color w:val="000000"/>
          <w:sz w:val="18"/>
        </w:rPr>
        <w:t>aff'd</w:t>
      </w:r>
      <w:r>
        <w:rPr>
          <w:rFonts w:ascii="Arial" w:eastAsia="Arial" w:hAnsi="Arial" w:cs="Arial"/>
          <w:color w:val="000000"/>
          <w:sz w:val="18"/>
        </w:rPr>
        <w:t xml:space="preserve">, </w:t>
      </w:r>
      <w:bookmarkStart w:id="1259" w:name="Bookmark_I576P67V2D6NYM0050000400"/>
      <w:bookmarkEnd w:id="1259"/>
      <w:r>
        <w:rPr>
          <w:rFonts w:ascii="Arial" w:eastAsia="Arial" w:hAnsi="Arial" w:cs="Arial"/>
          <w:color w:val="000000"/>
          <w:sz w:val="18"/>
        </w:rPr>
        <w:t>189 F. App'x 217, 218-19 (4th Cir. 2006) (per curiam).</w:t>
      </w:r>
    </w:p>
  </w:footnote>
  <w:footnote w:id="64">
    <w:p w14:paraId="2034A1CB" w14:textId="77777777" w:rsidR="00D041A2" w:rsidRDefault="00000000">
      <w:pPr>
        <w:pStyle w:val="Normal11"/>
        <w:widowControl w:val="0"/>
        <w:spacing w:before="120" w:line="240" w:lineRule="atLeast"/>
        <w:jc w:val="both"/>
      </w:pPr>
      <w:r>
        <w:rPr>
          <w:rFonts w:ascii="Arial" w:eastAsia="Arial" w:hAnsi="Arial" w:cs="Arial"/>
          <w:color w:val="000000"/>
          <w:sz w:val="18"/>
          <w:vertAlign w:val="superscript"/>
        </w:rPr>
        <w:t>** </w:t>
      </w:r>
      <w:bookmarkStart w:id="1262" w:name="Bookmark_fnpara_1_8"/>
      <w:bookmarkEnd w:id="1262"/>
      <w:r>
        <w:rPr>
          <w:rFonts w:ascii="Arial" w:eastAsia="Arial" w:hAnsi="Arial" w:cs="Arial"/>
          <w:color w:val="000000"/>
          <w:sz w:val="18"/>
        </w:rPr>
        <w:t>The panel unanimously concludes this case is suitable for decision without oral argument. See Fed. R. App. P. 34(a)(2).</w:t>
      </w:r>
    </w:p>
  </w:footnote>
  <w:footnote w:id="65">
    <w:p w14:paraId="1E2FA956" w14:textId="77777777" w:rsidR="00D041A2" w:rsidRDefault="00000000">
      <w:pPr>
        <w:pStyle w:val="Normal11"/>
        <w:widowControl w:val="0"/>
        <w:spacing w:before="120" w:line="240" w:lineRule="atLeast"/>
        <w:jc w:val="both"/>
      </w:pPr>
      <w:r>
        <w:rPr>
          <w:rFonts w:ascii="Arial" w:eastAsia="Arial" w:hAnsi="Arial" w:cs="Arial"/>
          <w:color w:val="000000"/>
          <w:sz w:val="18"/>
          <w:vertAlign w:val="superscript"/>
        </w:rPr>
        <w:t>*** </w:t>
      </w:r>
      <w:bookmarkStart w:id="1273" w:name="Bookmark_fnpara_2_7"/>
      <w:bookmarkEnd w:id="1273"/>
      <w:r>
        <w:rPr>
          <w:rFonts w:ascii="Arial" w:eastAsia="Arial" w:hAnsi="Arial" w:cs="Arial"/>
          <w:color w:val="000000"/>
          <w:sz w:val="18"/>
        </w:rPr>
        <w:t>The Honorable Gordon J. Quist, Senior District Judge for the U.S. District Court for Western Michigan, sitting by designation.</w:t>
      </w:r>
    </w:p>
  </w:footnote>
  <w:footnote w:id="66">
    <w:p w14:paraId="258011C0" w14:textId="77777777" w:rsidR="00D041A2" w:rsidRDefault="00000000">
      <w:pPr>
        <w:pStyle w:val="Normal11"/>
        <w:widowControl w:val="0"/>
        <w:spacing w:before="120" w:line="240" w:lineRule="atLeast"/>
        <w:jc w:val="both"/>
      </w:pPr>
      <w:r>
        <w:rPr>
          <w:rFonts w:ascii="Arial" w:eastAsia="Arial" w:hAnsi="Arial" w:cs="Arial"/>
          <w:color w:val="000000"/>
          <w:sz w:val="18"/>
          <w:vertAlign w:val="superscript"/>
        </w:rPr>
        <w:t>* </w:t>
      </w:r>
      <w:bookmarkStart w:id="1275" w:name="Bookmark_fnpara_3_5"/>
      <w:bookmarkEnd w:id="1275"/>
      <w:r>
        <w:rPr>
          <w:rFonts w:ascii="Arial" w:eastAsia="Arial" w:hAnsi="Arial" w:cs="Arial"/>
          <w:color w:val="000000"/>
          <w:sz w:val="18"/>
        </w:rPr>
        <w:t>This disposition is not appropriate for publication and is not precedent except as provided by 9th Cir. R. 36-3.</w:t>
      </w:r>
    </w:p>
  </w:footnote>
  <w:footnote w:id="67">
    <w:p w14:paraId="3D35AD7F" w14:textId="77777777" w:rsidR="00D041A2" w:rsidRDefault="00000000">
      <w:pPr>
        <w:pStyle w:val="Normal12"/>
        <w:widowControl w:val="0"/>
        <w:spacing w:before="120" w:line="240" w:lineRule="atLeast"/>
        <w:jc w:val="both"/>
      </w:pPr>
      <w:r>
        <w:rPr>
          <w:rFonts w:ascii="Arial" w:eastAsia="Arial" w:hAnsi="Arial" w:cs="Arial"/>
          <w:color w:val="000000"/>
          <w:sz w:val="18"/>
          <w:vertAlign w:val="superscript"/>
        </w:rPr>
        <w:t>1 </w:t>
      </w:r>
      <w:bookmarkStart w:id="1298" w:name="Bookmark_fnpara_1_9"/>
      <w:bookmarkEnd w:id="1298"/>
      <w:r>
        <w:rPr>
          <w:rFonts w:ascii="Arial" w:eastAsia="Arial" w:hAnsi="Arial" w:cs="Arial"/>
          <w:color w:val="000000"/>
          <w:sz w:val="18"/>
        </w:rPr>
        <w:t>The Honorable John A. Ross, United States District Judge for the Eastern District of Missouri, sitting by designation.</w:t>
      </w:r>
    </w:p>
  </w:footnote>
  <w:footnote w:id="68">
    <w:p w14:paraId="4F4DA432" w14:textId="77777777" w:rsidR="00D041A2" w:rsidRDefault="00000000">
      <w:pPr>
        <w:pStyle w:val="Normal12"/>
        <w:widowControl w:val="0"/>
        <w:spacing w:before="200" w:line="240" w:lineRule="atLeast"/>
        <w:jc w:val="both"/>
      </w:pPr>
      <w:r>
        <w:rPr>
          <w:rFonts w:ascii="Arial" w:eastAsia="Arial" w:hAnsi="Arial" w:cs="Arial"/>
          <w:color w:val="000000"/>
          <w:sz w:val="18"/>
          <w:vertAlign w:val="superscript"/>
        </w:rPr>
        <w:t>2 </w:t>
      </w:r>
      <w:bookmarkStart w:id="1304" w:name="Bookmark_fnpara_2_8"/>
      <w:bookmarkEnd w:id="1304"/>
      <w:r>
        <w:rPr>
          <w:rFonts w:ascii="Arial" w:eastAsia="Arial" w:hAnsi="Arial" w:cs="Arial"/>
          <w:color w:val="000000"/>
          <w:sz w:val="18"/>
        </w:rPr>
        <w:t>American Sign Language (ASL) is a complete, complex language that employs signs made by moving the hands combined with facial expressions and postures of the body. It is the primary language of many North Americans who are deaf and is one of several communication options used by people who are deaf or hard-of-hearing. National Institute on Deafness and Other Communication Disorders, www.nidcd.nih.gov/health/hearing/pages/asl.aspx  [**3] (last visited June 26, 2012).</w:t>
      </w:r>
    </w:p>
  </w:footnote>
  <w:footnote w:id="69">
    <w:p w14:paraId="70A101CE" w14:textId="77777777" w:rsidR="00D041A2" w:rsidRDefault="00000000">
      <w:pPr>
        <w:pStyle w:val="Normal12"/>
        <w:widowControl w:val="0"/>
        <w:spacing w:before="120" w:line="240" w:lineRule="atLeast"/>
        <w:jc w:val="both"/>
      </w:pPr>
      <w:r>
        <w:rPr>
          <w:rFonts w:ascii="Arial" w:eastAsia="Arial" w:hAnsi="Arial" w:cs="Arial"/>
          <w:color w:val="000000"/>
          <w:sz w:val="18"/>
          <w:vertAlign w:val="superscript"/>
        </w:rPr>
        <w:t>3 </w:t>
      </w:r>
      <w:bookmarkStart w:id="1307" w:name="Bookmark_fnpara_3_6"/>
      <w:bookmarkEnd w:id="1307"/>
      <w:r>
        <w:rPr>
          <w:rFonts w:ascii="Arial" w:eastAsia="Arial" w:hAnsi="Arial" w:cs="Arial"/>
          <w:color w:val="000000"/>
          <w:sz w:val="18"/>
        </w:rPr>
        <w:t>The City asserted that Bahl first grabbed Bobrowski and pulled him to the car; however, for purposes of the summary judgment motion, the City accepted Bahl's version of the facts.</w:t>
      </w:r>
    </w:p>
  </w:footnote>
  <w:footnote w:id="70">
    <w:p w14:paraId="6BCF2E66" w14:textId="77777777" w:rsidR="00D041A2" w:rsidRDefault="00000000">
      <w:pPr>
        <w:pStyle w:val="Normal12"/>
        <w:widowControl w:val="0"/>
        <w:spacing w:before="200" w:line="240" w:lineRule="atLeast"/>
        <w:jc w:val="both"/>
      </w:pPr>
      <w:r>
        <w:rPr>
          <w:rFonts w:ascii="Arial" w:eastAsia="Arial" w:hAnsi="Arial" w:cs="Arial"/>
          <w:color w:val="000000"/>
          <w:sz w:val="18"/>
          <w:vertAlign w:val="superscript"/>
        </w:rPr>
        <w:t>4 </w:t>
      </w:r>
      <w:bookmarkStart w:id="1335" w:name="Bookmark_fnpara_4_4"/>
      <w:bookmarkStart w:id="1336" w:name="Bookmark_I56XJBHY28T51F0010000400"/>
      <w:bookmarkEnd w:id="1335"/>
      <w:bookmarkEnd w:id="1336"/>
      <w:r>
        <w:rPr>
          <w:rFonts w:ascii="Arial" w:eastAsia="Arial" w:hAnsi="Arial" w:cs="Arial"/>
          <w:color w:val="000000"/>
          <w:sz w:val="18"/>
          <w:u w:val="single"/>
        </w:rPr>
        <w:t>Miranda v. Arizona</w:t>
      </w:r>
      <w:r>
        <w:rPr>
          <w:rFonts w:ascii="Arial" w:eastAsia="Arial" w:hAnsi="Arial" w:cs="Arial"/>
          <w:color w:val="000000"/>
          <w:sz w:val="18"/>
        </w:rPr>
        <w:t>, 384 U.S. 436, 86 S. Ct. 1602, 16 L. Ed. 2d 694 (1966).</w:t>
      </w:r>
    </w:p>
  </w:footnote>
  <w:footnote w:id="71">
    <w:p w14:paraId="0633F4EC" w14:textId="77777777" w:rsidR="00D041A2" w:rsidRDefault="00000000">
      <w:pPr>
        <w:pStyle w:val="Normal12"/>
        <w:widowControl w:val="0"/>
        <w:spacing w:before="200" w:line="240" w:lineRule="atLeast"/>
        <w:jc w:val="both"/>
      </w:pPr>
      <w:r>
        <w:rPr>
          <w:rFonts w:ascii="Arial" w:eastAsia="Arial" w:hAnsi="Arial" w:cs="Arial"/>
          <w:color w:val="000000"/>
          <w:sz w:val="18"/>
          <w:vertAlign w:val="superscript"/>
        </w:rPr>
        <w:t>5 </w:t>
      </w:r>
      <w:bookmarkStart w:id="1367" w:name="Bookmark_fnpara_5_4"/>
      <w:bookmarkEnd w:id="1367"/>
      <w:r>
        <w:rPr>
          <w:rFonts w:ascii="Arial" w:eastAsia="Arial" w:hAnsi="Arial" w:cs="Arial"/>
          <w:color w:val="000000"/>
          <w:sz w:val="18"/>
        </w:rPr>
        <w:t>Bahl  [**10] did not assert a 42 U.S.C. § 1983 excessive force claim. He only challenged the communication that took place prior to the altercation with Bobrowski. Accordingly, the issue of excessive force is not before the Court and we do not address the district court's alternative holding.</w:t>
      </w:r>
    </w:p>
  </w:footnote>
  <w:footnote w:id="72">
    <w:p w14:paraId="1247AA93" w14:textId="77777777" w:rsidR="00D041A2" w:rsidRDefault="00000000">
      <w:pPr>
        <w:pStyle w:val="Normal12"/>
        <w:widowControl w:val="0"/>
        <w:spacing w:before="120" w:line="240" w:lineRule="atLeast"/>
        <w:jc w:val="both"/>
      </w:pPr>
      <w:r>
        <w:rPr>
          <w:rFonts w:ascii="Arial" w:eastAsia="Arial" w:hAnsi="Arial" w:cs="Arial"/>
          <w:color w:val="000000"/>
          <w:sz w:val="18"/>
          <w:vertAlign w:val="superscript"/>
        </w:rPr>
        <w:t>6 </w:t>
      </w:r>
      <w:bookmarkStart w:id="1370" w:name="Bookmark_fnpara_6_4"/>
      <w:bookmarkEnd w:id="1370"/>
      <w:r>
        <w:rPr>
          <w:rFonts w:ascii="Arial" w:eastAsia="Arial" w:hAnsi="Arial" w:cs="Arial"/>
          <w:color w:val="000000"/>
          <w:sz w:val="18"/>
        </w:rPr>
        <w:t>Bahl did not request an ASL interpreter. It was his testimony that he understood an interpreter would not have been a reasonable or appropriate auxiliary aid during the traffic stop.</w:t>
      </w:r>
    </w:p>
  </w:footnote>
  <w:footnote w:id="73">
    <w:p w14:paraId="62677CA7" w14:textId="77777777" w:rsidR="00D041A2" w:rsidRDefault="00000000">
      <w:pPr>
        <w:pStyle w:val="Normal12"/>
        <w:widowControl w:val="0"/>
        <w:spacing w:before="120" w:line="240" w:lineRule="atLeast"/>
        <w:jc w:val="both"/>
      </w:pPr>
      <w:r>
        <w:rPr>
          <w:rFonts w:ascii="Arial" w:eastAsia="Arial" w:hAnsi="Arial" w:cs="Arial"/>
          <w:color w:val="000000"/>
          <w:sz w:val="18"/>
          <w:vertAlign w:val="superscript"/>
        </w:rPr>
        <w:t>7 </w:t>
      </w:r>
      <w:bookmarkStart w:id="1403" w:name="Bookmark_fnpara_7_4"/>
      <w:bookmarkEnd w:id="1403"/>
      <w:r>
        <w:rPr>
          <w:rFonts w:ascii="Arial" w:eastAsia="Arial" w:hAnsi="Arial" w:cs="Arial"/>
          <w:color w:val="000000"/>
          <w:sz w:val="18"/>
        </w:rPr>
        <w:t>The primary services involved decontaminating the victims' property, attending to their health care and related needs, providing temporary shelter, and assisting them in moving back into their homes.</w:t>
      </w:r>
    </w:p>
  </w:footnote>
  <w:footnote w:id="74">
    <w:p w14:paraId="3725F5CD" w14:textId="77777777" w:rsidR="00D041A2" w:rsidRDefault="00000000">
      <w:pPr>
        <w:pStyle w:val="Normal12"/>
        <w:widowControl w:val="0"/>
        <w:spacing w:before="200" w:line="240" w:lineRule="atLeast"/>
        <w:jc w:val="both"/>
      </w:pPr>
      <w:r>
        <w:rPr>
          <w:rFonts w:ascii="Arial" w:eastAsia="Arial" w:hAnsi="Arial" w:cs="Arial"/>
          <w:color w:val="000000"/>
          <w:sz w:val="18"/>
          <w:vertAlign w:val="superscript"/>
        </w:rPr>
        <w:t>8 </w:t>
      </w:r>
      <w:bookmarkStart w:id="1447" w:name="Bookmark_fnpara_8_3"/>
      <w:bookmarkEnd w:id="1447"/>
      <w:r>
        <w:rPr>
          <w:rFonts w:ascii="Arial" w:eastAsia="Arial" w:hAnsi="Arial" w:cs="Arial"/>
          <w:color w:val="000000"/>
          <w:sz w:val="18"/>
          <w:u w:val="single"/>
        </w:rPr>
        <w:t xml:space="preserve">See </w:t>
      </w:r>
      <w:bookmarkStart w:id="1448" w:name="Bookmark_I56XJBHY2HM6SS0020000400"/>
      <w:bookmarkEnd w:id="1448"/>
      <w:r>
        <w:rPr>
          <w:rFonts w:ascii="Arial" w:eastAsia="Arial" w:hAnsi="Arial" w:cs="Arial"/>
          <w:color w:val="000000"/>
          <w:sz w:val="18"/>
          <w:u w:val="single"/>
        </w:rPr>
        <w:t>Camarillo v. Carrols Corp</w:t>
      </w:r>
      <w:r>
        <w:rPr>
          <w:rFonts w:ascii="Arial" w:eastAsia="Arial" w:hAnsi="Arial" w:cs="Arial"/>
          <w:color w:val="000000"/>
          <w:sz w:val="18"/>
        </w:rPr>
        <w:t xml:space="preserve">., 518 F.3d 153, 158 (2d Cir. 2008) (The Second Circuit reversed the district court's dismissal of ADA claim brought by legally blind patron of fast food restaurants on grounds  [**21] that she was still able to eat at the restaurants and thus suffered no harm, holding that plaintiff's injury arose from the restaurant's "discriminatory failure to ensure effective communication of their menu items."); </w:t>
      </w:r>
      <w:bookmarkStart w:id="1449" w:name="Bookmark_I56XJBHY2HM6SS0040000400"/>
      <w:bookmarkEnd w:id="1449"/>
      <w:r>
        <w:rPr>
          <w:rFonts w:ascii="Arial" w:eastAsia="Arial" w:hAnsi="Arial" w:cs="Arial"/>
          <w:color w:val="000000"/>
          <w:sz w:val="18"/>
          <w:u w:val="single"/>
        </w:rPr>
        <w:t>Robertson v. Las Animas County Sheriff's Dept</w:t>
      </w:r>
      <w:r>
        <w:rPr>
          <w:rFonts w:ascii="Arial" w:eastAsia="Arial" w:hAnsi="Arial" w:cs="Arial"/>
          <w:color w:val="000000"/>
          <w:sz w:val="18"/>
        </w:rPr>
        <w:t xml:space="preserve">., 500 F.3d 1185, 1199 (10th Cir. 2007) (The Tenth Circuit held that a deaf arrestee was injured as a result of defendants' failure to provide him with an auxiliary aid at his probable cause hearing. "Though the charges against plaintiff were dismissed, he was denied the ability to participate in his probable cause hearing to the same extent as non-disabled individuals."); </w:t>
      </w:r>
      <w:bookmarkStart w:id="1450" w:name="Bookmark_I56XJBHY28T51N0010000400"/>
      <w:bookmarkEnd w:id="1450"/>
      <w:r>
        <w:rPr>
          <w:rFonts w:ascii="Arial" w:eastAsia="Arial" w:hAnsi="Arial" w:cs="Arial"/>
          <w:color w:val="000000"/>
          <w:sz w:val="18"/>
          <w:u w:val="single"/>
        </w:rPr>
        <w:t>Armstrong v. Davis</w:t>
      </w:r>
      <w:r>
        <w:rPr>
          <w:rFonts w:ascii="Arial" w:eastAsia="Arial" w:hAnsi="Arial" w:cs="Arial"/>
          <w:color w:val="000000"/>
          <w:sz w:val="18"/>
        </w:rPr>
        <w:t>, 275 F.3d 849, 865 (9th Cir. 2001) (The Ninth Circuit held that a parole board's "failure to make accommodations that would enable [disabled prisoners and parolees] to attend or comprehend parole and parole revocation hearings . . . in itself, constitutes 'actual injury'" under the ADA and Rehabilitation Act.).</w:t>
      </w:r>
    </w:p>
  </w:footnote>
  <w:footnote w:id="75">
    <w:p w14:paraId="465378DD" w14:textId="77777777" w:rsidR="00D041A2" w:rsidRDefault="00000000">
      <w:pPr>
        <w:pStyle w:val="Normal12"/>
        <w:widowControl w:val="0"/>
        <w:spacing w:before="120" w:line="240" w:lineRule="atLeast"/>
        <w:jc w:val="both"/>
      </w:pPr>
      <w:r>
        <w:rPr>
          <w:rFonts w:ascii="Arial" w:eastAsia="Arial" w:hAnsi="Arial" w:cs="Arial"/>
          <w:color w:val="000000"/>
          <w:sz w:val="18"/>
          <w:vertAlign w:val="superscript"/>
        </w:rPr>
        <w:t>9 </w:t>
      </w:r>
      <w:bookmarkStart w:id="1454" w:name="Bookmark_fnpara_9_2"/>
      <w:bookmarkEnd w:id="1454"/>
      <w:r>
        <w:rPr>
          <w:rFonts w:ascii="Arial" w:eastAsia="Arial" w:hAnsi="Arial" w:cs="Arial"/>
          <w:color w:val="000000"/>
          <w:sz w:val="18"/>
        </w:rPr>
        <w:t>The record does not demonstrate a uniform policy regarding custodial interviews. City officers testified that the decision to interrogate a detainee is made on a case-by-case basis, depending on whether the investigator concludes that an interrogation will further the particular investigation.</w:t>
      </w:r>
    </w:p>
  </w:footnote>
  <w:footnote w:id="76">
    <w:p w14:paraId="0B508364" w14:textId="77777777" w:rsidR="00D041A2" w:rsidRDefault="00000000">
      <w:pPr>
        <w:pStyle w:val="Normal12"/>
        <w:widowControl w:val="0"/>
        <w:spacing w:before="200" w:line="240" w:lineRule="atLeast"/>
        <w:jc w:val="both"/>
      </w:pPr>
      <w:r>
        <w:rPr>
          <w:rFonts w:ascii="Arial" w:eastAsia="Arial" w:hAnsi="Arial" w:cs="Arial"/>
          <w:color w:val="000000"/>
          <w:sz w:val="18"/>
          <w:vertAlign w:val="superscript"/>
        </w:rPr>
        <w:t>10 </w:t>
      </w:r>
      <w:bookmarkStart w:id="1473" w:name="Bookmark_fnpara_10_1"/>
      <w:bookmarkStart w:id="1474" w:name="Bookmark_LNHNREFclscc11_5"/>
      <w:bookmarkEnd w:id="1473"/>
      <w:bookmarkEnd w:id="1474"/>
      <w:r>
        <w:rPr>
          <w:rFonts w:ascii="Arial" w:eastAsia="Arial" w:hAnsi="Arial" w:cs="Arial"/>
          <w:color w:val="000000"/>
          <w:sz w:val="18"/>
        </w:rPr>
        <w:t xml:space="preserve">The concept  [**26] of vicarious official immunity is based on the same rationale as official immunity, that is, it seeks to prevent a public official from refusing to exercise discretion because of fears that his government employer would be found liable for his actions. </w:t>
      </w:r>
      <w:bookmarkStart w:id="1475" w:name="Bookmark_I56XJBHY2SF8JK0050000400"/>
      <w:bookmarkEnd w:id="1475"/>
      <w:r>
        <w:rPr>
          <w:rFonts w:ascii="Arial" w:eastAsia="Arial" w:hAnsi="Arial" w:cs="Arial"/>
          <w:color w:val="000000"/>
          <w:sz w:val="18"/>
          <w:u w:val="single"/>
        </w:rPr>
        <w:t>Schroeder v. St. Louis County</w:t>
      </w:r>
      <w:r>
        <w:rPr>
          <w:rFonts w:ascii="Arial" w:eastAsia="Arial" w:hAnsi="Arial" w:cs="Arial"/>
          <w:color w:val="000000"/>
          <w:sz w:val="18"/>
        </w:rPr>
        <w:t>, 708 N.W.2d 497, 508 (Minn. 2006).</w:t>
      </w:r>
    </w:p>
  </w:footnote>
  <w:footnote w:id="77">
    <w:p w14:paraId="2ACD4349" w14:textId="77777777" w:rsidR="00D041A2" w:rsidRDefault="00000000">
      <w:pPr>
        <w:pStyle w:val="Normal12"/>
        <w:widowControl w:val="0"/>
        <w:spacing w:before="120" w:line="240" w:lineRule="atLeast"/>
        <w:jc w:val="both"/>
      </w:pPr>
      <w:r>
        <w:rPr>
          <w:rFonts w:ascii="Arial" w:eastAsia="Arial" w:hAnsi="Arial" w:cs="Arial"/>
          <w:color w:val="000000"/>
          <w:sz w:val="18"/>
          <w:vertAlign w:val="superscript"/>
        </w:rPr>
        <w:t>11 </w:t>
      </w:r>
      <w:bookmarkStart w:id="1487" w:name="Bookmark_fnpara_11_1"/>
      <w:bookmarkEnd w:id="1487"/>
      <w:r>
        <w:rPr>
          <w:rFonts w:ascii="Arial" w:eastAsia="Arial" w:hAnsi="Arial" w:cs="Arial"/>
          <w:color w:val="000000"/>
          <w:sz w:val="18"/>
        </w:rPr>
        <w:t>Gaden's response of "Not true" to 11 Bahl's statement that sign language was his primary language reflects a lack of understanding of communication by deaf persons.</w:t>
      </w:r>
    </w:p>
  </w:footnote>
  <w:footnote w:id="78">
    <w:p w14:paraId="1F9B0497" w14:textId="77777777" w:rsidR="00D041A2" w:rsidRDefault="00000000">
      <w:pPr>
        <w:pStyle w:val="Normal13"/>
        <w:widowControl w:val="0"/>
        <w:spacing w:before="200" w:line="240" w:lineRule="atLeast"/>
        <w:jc w:val="both"/>
      </w:pPr>
      <w:r>
        <w:rPr>
          <w:rFonts w:ascii="Arial" w:eastAsia="Arial" w:hAnsi="Arial" w:cs="Arial"/>
          <w:color w:val="000000"/>
          <w:sz w:val="18"/>
          <w:vertAlign w:val="superscript"/>
        </w:rPr>
        <w:t>1 </w:t>
      </w:r>
      <w:bookmarkStart w:id="1527" w:name="Bookmark_fnpara_1_10"/>
      <w:bookmarkStart w:id="1528" w:name="Bookmark_I56S30NP2HM6PY0020000400"/>
      <w:bookmarkEnd w:id="1527"/>
      <w:bookmarkEnd w:id="1528"/>
      <w:r>
        <w:rPr>
          <w:rFonts w:ascii="Arial" w:eastAsia="Arial" w:hAnsi="Arial" w:cs="Arial"/>
          <w:color w:val="000000"/>
          <w:sz w:val="18"/>
        </w:rPr>
        <w:t xml:space="preserve">On appeal, Hunt  [**2] does not challenge the district court's dismissal of her claims against the individual defendants. Consequently, those claims are deemed abandoned. </w:t>
      </w:r>
      <w:r>
        <w:rPr>
          <w:rFonts w:ascii="Arial" w:eastAsia="Arial" w:hAnsi="Arial" w:cs="Arial"/>
          <w:color w:val="000000"/>
          <w:sz w:val="18"/>
          <w:u w:val="single"/>
        </w:rPr>
        <w:t xml:space="preserve">See </w:t>
      </w:r>
      <w:bookmarkStart w:id="1529" w:name="Bookmark_I56S30NP2HM6PY0010000400"/>
      <w:bookmarkEnd w:id="1529"/>
      <w:r>
        <w:rPr>
          <w:rFonts w:ascii="Arial" w:eastAsia="Arial" w:hAnsi="Arial" w:cs="Arial"/>
          <w:color w:val="000000"/>
          <w:sz w:val="18"/>
          <w:u w:val="single"/>
        </w:rPr>
        <w:t>Bingham v. Thomas</w:t>
      </w:r>
      <w:r>
        <w:rPr>
          <w:rFonts w:ascii="Arial" w:eastAsia="Arial" w:hAnsi="Arial" w:cs="Arial"/>
          <w:color w:val="000000"/>
          <w:sz w:val="18"/>
        </w:rPr>
        <w:t>, 654 F.3d 1171, 1174 n.1 (11th Cir. 2011).</w:t>
      </w:r>
    </w:p>
  </w:footnote>
  <w:footnote w:id="79">
    <w:p w14:paraId="190BC9C2" w14:textId="77777777" w:rsidR="00D041A2" w:rsidRDefault="00000000">
      <w:pPr>
        <w:pStyle w:val="Normal13"/>
        <w:widowControl w:val="0"/>
        <w:spacing w:before="200" w:line="240" w:lineRule="atLeast"/>
        <w:jc w:val="both"/>
      </w:pPr>
      <w:r>
        <w:rPr>
          <w:rFonts w:ascii="Arial" w:eastAsia="Arial" w:hAnsi="Arial" w:cs="Arial"/>
          <w:color w:val="000000"/>
          <w:sz w:val="18"/>
          <w:vertAlign w:val="superscript"/>
        </w:rPr>
        <w:t>2 </w:t>
      </w:r>
      <w:bookmarkStart w:id="1530" w:name="Bookmark_fnpara_2_9"/>
      <w:bookmarkStart w:id="1531" w:name="Bookmark_I56S30NP2HM6PY0040000400"/>
      <w:bookmarkStart w:id="1532" w:name="Bookmark_LNHNREFclscc1_7"/>
      <w:bookmarkEnd w:id="1530"/>
      <w:bookmarkEnd w:id="1531"/>
      <w:bookmarkEnd w:id="1532"/>
      <w:r>
        <w:rPr>
          <w:rFonts w:ascii="Arial" w:eastAsia="Arial" w:hAnsi="Arial" w:cs="Arial"/>
          <w:color w:val="000000"/>
          <w:sz w:val="18"/>
        </w:rPr>
        <w:t xml:space="preserve">We review </w:t>
      </w:r>
      <w:r>
        <w:rPr>
          <w:rFonts w:ascii="Arial" w:eastAsia="Arial" w:hAnsi="Arial" w:cs="Arial"/>
          <w:color w:val="000000"/>
          <w:sz w:val="18"/>
          <w:u w:val="single"/>
        </w:rPr>
        <w:t>de novo</w:t>
      </w:r>
      <w:r>
        <w:rPr>
          <w:rFonts w:ascii="Arial" w:eastAsia="Arial" w:hAnsi="Arial" w:cs="Arial"/>
          <w:color w:val="000000"/>
          <w:sz w:val="18"/>
        </w:rPr>
        <w:t xml:space="preserve"> a district court's grant of a motion to dismiss under Federal Rule of Civil Procedure 12(b)(6), accepting the allegations in the complaint as true and construing them in the light most favorable to the plaintiff. </w:t>
      </w:r>
      <w:bookmarkStart w:id="1533" w:name="Bookmark_I56S30NP2N1RJH0010000400"/>
      <w:bookmarkStart w:id="1534" w:name="Bookmark_I56S30NP2HM6PY0030000400"/>
      <w:bookmarkEnd w:id="1533"/>
      <w:bookmarkEnd w:id="1534"/>
      <w:r>
        <w:rPr>
          <w:rFonts w:ascii="Arial" w:eastAsia="Arial" w:hAnsi="Arial" w:cs="Arial"/>
          <w:color w:val="000000"/>
          <w:sz w:val="18"/>
          <w:u w:val="single"/>
        </w:rPr>
        <w:t>Am. Dental Ass'n v. Cigna Corp</w:t>
      </w:r>
      <w:r>
        <w:rPr>
          <w:rFonts w:ascii="Arial" w:eastAsia="Arial" w:hAnsi="Arial" w:cs="Arial"/>
          <w:color w:val="000000"/>
          <w:sz w:val="18"/>
        </w:rPr>
        <w:t xml:space="preserve">., 605 F.3d 1283, 1288 (11th Cir. 2010). </w:t>
      </w:r>
      <w:bookmarkStart w:id="1535" w:name="Bookmark_I56S30NP2N1RJH0030000400"/>
      <w:bookmarkEnd w:id="1535"/>
      <w:r>
        <w:rPr>
          <w:rFonts w:ascii="Arial" w:eastAsia="Arial" w:hAnsi="Arial" w:cs="Arial"/>
          <w:color w:val="000000"/>
          <w:sz w:val="18"/>
        </w:rPr>
        <w:t xml:space="preserve">In addition, </w:t>
      </w:r>
      <w:bookmarkStart w:id="1536" w:name="Bookmark_LNHNREFclscc2_7"/>
      <w:bookmarkEnd w:id="1536"/>
      <w:r>
        <w:rPr>
          <w:rFonts w:ascii="Arial" w:eastAsia="Arial" w:hAnsi="Arial" w:cs="Arial"/>
          <w:color w:val="000000"/>
          <w:sz w:val="18"/>
        </w:rPr>
        <w:t xml:space="preserve">we liberally construe </w:t>
      </w:r>
      <w:r>
        <w:rPr>
          <w:rFonts w:ascii="Arial" w:eastAsia="Arial" w:hAnsi="Arial" w:cs="Arial"/>
          <w:color w:val="000000"/>
          <w:sz w:val="18"/>
          <w:u w:val="single"/>
        </w:rPr>
        <w:t>pro se</w:t>
      </w:r>
      <w:r>
        <w:rPr>
          <w:rFonts w:ascii="Arial" w:eastAsia="Arial" w:hAnsi="Arial" w:cs="Arial"/>
          <w:color w:val="000000"/>
          <w:sz w:val="18"/>
        </w:rPr>
        <w:t xml:space="preserve"> pleadings. </w:t>
      </w:r>
      <w:bookmarkStart w:id="1537" w:name="Bookmark_I56S30NP2N1RJH0030000400_2"/>
      <w:bookmarkStart w:id="1538" w:name="Bookmark_I56S30NP2N1RJH0010000400_2"/>
      <w:bookmarkStart w:id="1539" w:name="Bookmark_I56S30NP2HM6PY0050000400"/>
      <w:bookmarkEnd w:id="1537"/>
      <w:bookmarkEnd w:id="1538"/>
      <w:bookmarkEnd w:id="1539"/>
      <w:r>
        <w:rPr>
          <w:rFonts w:ascii="Arial" w:eastAsia="Arial" w:hAnsi="Arial" w:cs="Arial"/>
          <w:color w:val="000000"/>
          <w:sz w:val="18"/>
          <w:u w:val="single"/>
        </w:rPr>
        <w:t>Tannenbaum v. United States</w:t>
      </w:r>
      <w:r>
        <w:rPr>
          <w:rFonts w:ascii="Arial" w:eastAsia="Arial" w:hAnsi="Arial" w:cs="Arial"/>
          <w:color w:val="000000"/>
          <w:sz w:val="18"/>
        </w:rPr>
        <w:t xml:space="preserve">, 148 F.3d 1262, 1263 (11th Cir. 1998). </w:t>
      </w:r>
      <w:bookmarkStart w:id="1540" w:name="Bookmark_I56S30NP2N1RJH0050000400"/>
      <w:bookmarkStart w:id="1541" w:name="Bookmark_LNHNREFclscc3_7"/>
      <w:bookmarkEnd w:id="1540"/>
      <w:bookmarkEnd w:id="1541"/>
      <w:r>
        <w:rPr>
          <w:rFonts w:ascii="Arial" w:eastAsia="Arial" w:hAnsi="Arial" w:cs="Arial"/>
          <w:color w:val="000000"/>
          <w:sz w:val="18"/>
        </w:rPr>
        <w:t xml:space="preserve">To avoid dismissal under Rule 12(b)(6), the facts alleged in the complaint must state a claim for relief "that is plausible on its face." </w:t>
      </w:r>
      <w:bookmarkStart w:id="1542" w:name="Bookmark_I56S30NP2N1RJH0020000400"/>
      <w:bookmarkEnd w:id="1542"/>
      <w:r>
        <w:rPr>
          <w:rFonts w:ascii="Arial" w:eastAsia="Arial" w:hAnsi="Arial" w:cs="Arial"/>
          <w:color w:val="000000"/>
          <w:sz w:val="18"/>
          <w:u w:val="single"/>
        </w:rPr>
        <w:t>Ashcroft v. Iqbal</w:t>
      </w:r>
      <w:r>
        <w:rPr>
          <w:rFonts w:ascii="Arial" w:eastAsia="Arial" w:hAnsi="Arial" w:cs="Arial"/>
          <w:color w:val="000000"/>
          <w:sz w:val="18"/>
        </w:rPr>
        <w:t xml:space="preserve">, 556 U.S. 662,678-79, 129 S. Ct. 1937, 1949-50, 173 L. Ed. 2d 868, (2009). </w:t>
      </w:r>
      <w:bookmarkStart w:id="1543" w:name="Bookmark_I56S30NP2N1RJH0050000400_2"/>
      <w:bookmarkEnd w:id="1543"/>
      <w:r>
        <w:rPr>
          <w:rFonts w:ascii="Arial" w:eastAsia="Arial" w:hAnsi="Arial" w:cs="Arial"/>
          <w:color w:val="000000"/>
          <w:sz w:val="18"/>
        </w:rPr>
        <w:t xml:space="preserve">When considering a Rule 12(b)(6) motion, the court is limited to the pleadings and attached exhibits. </w:t>
      </w:r>
      <w:bookmarkStart w:id="1544" w:name="Bookmark_I56S30NP2N1RJH0040000400"/>
      <w:bookmarkEnd w:id="1544"/>
      <w:r>
        <w:rPr>
          <w:rFonts w:ascii="Arial" w:eastAsia="Arial" w:hAnsi="Arial" w:cs="Arial"/>
          <w:color w:val="000000"/>
          <w:sz w:val="18"/>
          <w:u w:val="single"/>
        </w:rPr>
        <w:t>Grossman v. Nationsbank, N.A</w:t>
      </w:r>
      <w:r>
        <w:rPr>
          <w:rFonts w:ascii="Arial" w:eastAsia="Arial" w:hAnsi="Arial" w:cs="Arial"/>
          <w:color w:val="000000"/>
          <w:sz w:val="18"/>
        </w:rPr>
        <w:t xml:space="preserve">., 225 F.3d 1228, 1231 (11th Cir. 2000); </w:t>
      </w:r>
      <w:r>
        <w:rPr>
          <w:rFonts w:ascii="Arial" w:eastAsia="Arial" w:hAnsi="Arial" w:cs="Arial"/>
          <w:color w:val="000000"/>
          <w:sz w:val="18"/>
          <w:u w:val="single"/>
        </w:rPr>
        <w:t>see</w:t>
      </w:r>
      <w:r>
        <w:rPr>
          <w:rFonts w:ascii="Arial" w:eastAsia="Arial" w:hAnsi="Arial" w:cs="Arial"/>
          <w:color w:val="000000"/>
          <w:sz w:val="18"/>
        </w:rPr>
        <w:t xml:space="preserve"> Fed. R. Civ. P. 10(c).</w:t>
      </w:r>
    </w:p>
  </w:footnote>
  <w:footnote w:id="80">
    <w:p w14:paraId="7447D417" w14:textId="77777777" w:rsidR="00D041A2" w:rsidRDefault="00000000">
      <w:pPr>
        <w:pStyle w:val="Normal13"/>
        <w:widowControl w:val="0"/>
        <w:spacing w:before="200" w:line="240" w:lineRule="atLeast"/>
        <w:jc w:val="both"/>
      </w:pPr>
      <w:r>
        <w:rPr>
          <w:rFonts w:ascii="Arial" w:eastAsia="Arial" w:hAnsi="Arial" w:cs="Arial"/>
          <w:color w:val="000000"/>
          <w:sz w:val="18"/>
          <w:vertAlign w:val="superscript"/>
        </w:rPr>
        <w:t>3 </w:t>
      </w:r>
      <w:bookmarkStart w:id="1551" w:name="Bookmark_fnpara_3_7"/>
      <w:bookmarkStart w:id="1552" w:name="Bookmark_I56S30NP2N1RJJ0040000400"/>
      <w:bookmarkStart w:id="1553" w:name="Bookmark_I56S30NP2SF8P10030000400"/>
      <w:bookmarkStart w:id="1554" w:name="Bookmark_LNHNREFclscc6_7"/>
      <w:bookmarkEnd w:id="1551"/>
      <w:bookmarkEnd w:id="1552"/>
      <w:bookmarkEnd w:id="1553"/>
      <w:bookmarkEnd w:id="1554"/>
      <w:r>
        <w:rPr>
          <w:rFonts w:ascii="Arial" w:eastAsia="Arial" w:hAnsi="Arial" w:cs="Arial"/>
          <w:color w:val="000000"/>
          <w:sz w:val="18"/>
        </w:rPr>
        <w:t xml:space="preserve">We review </w:t>
      </w:r>
      <w:r>
        <w:rPr>
          <w:rFonts w:ascii="Arial" w:eastAsia="Arial" w:hAnsi="Arial" w:cs="Arial"/>
          <w:color w:val="000000"/>
          <w:sz w:val="18"/>
          <w:u w:val="single"/>
        </w:rPr>
        <w:t>de novo</w:t>
      </w:r>
      <w:r>
        <w:rPr>
          <w:rFonts w:ascii="Arial" w:eastAsia="Arial" w:hAnsi="Arial" w:cs="Arial"/>
          <w:color w:val="000000"/>
          <w:sz w:val="18"/>
        </w:rPr>
        <w:t xml:space="preserve"> a district court's application of a statute of limitation and its determination whether equitable tolling applies. </w:t>
      </w:r>
      <w:bookmarkStart w:id="1555" w:name="Bookmark_I56S30NP2N1RJJ0030000400"/>
      <w:bookmarkEnd w:id="1555"/>
      <w:r>
        <w:rPr>
          <w:rFonts w:ascii="Arial" w:eastAsia="Arial" w:hAnsi="Arial" w:cs="Arial"/>
          <w:color w:val="000000"/>
          <w:sz w:val="18"/>
          <w:u w:val="single"/>
        </w:rPr>
        <w:t>McCullough v. United States</w:t>
      </w:r>
      <w:r>
        <w:rPr>
          <w:rFonts w:ascii="Arial" w:eastAsia="Arial" w:hAnsi="Arial" w:cs="Arial"/>
          <w:color w:val="000000"/>
          <w:sz w:val="18"/>
        </w:rPr>
        <w:t xml:space="preserve">, 607 F.3d 1355, 1358 (11th Cir. 2010); </w:t>
      </w:r>
      <w:bookmarkStart w:id="1556" w:name="Bookmark_I56S30NP2N1RJJ0050000400"/>
      <w:bookmarkEnd w:id="1556"/>
      <w:r>
        <w:rPr>
          <w:rFonts w:ascii="Arial" w:eastAsia="Arial" w:hAnsi="Arial" w:cs="Arial"/>
          <w:color w:val="000000"/>
          <w:sz w:val="18"/>
          <w:u w:val="single"/>
        </w:rPr>
        <w:t>Bhd. of Locomotive Eng'rs &amp; Trainmen Gen. Comm. of Adjustment CSX Transp. N. Lines v. CSX Transp., Inc</w:t>
      </w:r>
      <w:r>
        <w:rPr>
          <w:rFonts w:ascii="Arial" w:eastAsia="Arial" w:hAnsi="Arial" w:cs="Arial"/>
          <w:color w:val="000000"/>
          <w:sz w:val="18"/>
        </w:rPr>
        <w:t xml:space="preserve">., 522 F.3d 1190, 1194 (11th Cir. 2008). </w:t>
      </w:r>
      <w:bookmarkStart w:id="1557" w:name="Bookmark_LNHNREFclscc7_7"/>
      <w:bookmarkEnd w:id="1557"/>
      <w:r>
        <w:rPr>
          <w:rFonts w:ascii="Arial" w:eastAsia="Arial" w:hAnsi="Arial" w:cs="Arial"/>
          <w:color w:val="000000"/>
          <w:sz w:val="18"/>
        </w:rPr>
        <w:t xml:space="preserve">"A Rule 12(b)(6) dismissal on statute of limitations grounds is appropriate only if it is apparent from the face of the complaint that the claim is time-barred." </w:t>
      </w:r>
      <w:bookmarkStart w:id="1558" w:name="Bookmark_I56S30NP2SF8P10020000400"/>
      <w:bookmarkEnd w:id="1558"/>
      <w:r>
        <w:rPr>
          <w:rFonts w:ascii="Arial" w:eastAsia="Arial" w:hAnsi="Arial" w:cs="Arial"/>
          <w:color w:val="000000"/>
          <w:sz w:val="18"/>
          <w:u w:val="single"/>
        </w:rPr>
        <w:t>CSX Transp</w:t>
      </w:r>
      <w:r>
        <w:rPr>
          <w:rFonts w:ascii="Arial" w:eastAsia="Arial" w:hAnsi="Arial" w:cs="Arial"/>
          <w:color w:val="000000"/>
          <w:sz w:val="18"/>
        </w:rPr>
        <w:t>., 522 F.3d at 1194 (quotation marks omitted).</w:t>
      </w:r>
    </w:p>
  </w:footnote>
  <w:footnote w:id="81">
    <w:p w14:paraId="02A0748A" w14:textId="77777777" w:rsidR="00D041A2" w:rsidRDefault="00000000">
      <w:pPr>
        <w:pStyle w:val="Normal14"/>
        <w:widowControl w:val="0"/>
        <w:spacing w:before="200" w:line="240" w:lineRule="atLeast"/>
        <w:jc w:val="both"/>
      </w:pPr>
      <w:r>
        <w:rPr>
          <w:rFonts w:ascii="Arial" w:eastAsia="Arial" w:hAnsi="Arial" w:cs="Arial"/>
          <w:color w:val="000000"/>
          <w:sz w:val="18"/>
          <w:vertAlign w:val="superscript"/>
        </w:rPr>
        <w:t>1 </w:t>
      </w:r>
      <w:bookmarkStart w:id="1627" w:name="Bookmark_fnpara_1_11"/>
      <w:bookmarkStart w:id="1628" w:name="Bookmark_I56PK5TT2N1RNC0030000400"/>
      <w:bookmarkStart w:id="1629" w:name="Bookmark_LNHNREFclscc6_8"/>
      <w:bookmarkEnd w:id="1627"/>
      <w:bookmarkEnd w:id="1628"/>
      <w:bookmarkEnd w:id="1629"/>
      <w:r>
        <w:rPr>
          <w:rFonts w:ascii="Arial" w:eastAsia="Arial" w:hAnsi="Arial" w:cs="Arial"/>
          <w:color w:val="000000"/>
          <w:sz w:val="18"/>
        </w:rPr>
        <w:t xml:space="preserve">We have appellate jurisdiction to review the denial of a motion for summary judgment where a cross-motion has been granted. </w:t>
      </w:r>
      <w:bookmarkStart w:id="1630" w:name="Bookmark_I56PK5TT2N1RNC0020000400"/>
      <w:bookmarkEnd w:id="1630"/>
      <w:r>
        <w:rPr>
          <w:rFonts w:ascii="Arial" w:eastAsia="Arial" w:hAnsi="Arial" w:cs="Arial"/>
          <w:i/>
          <w:color w:val="000000"/>
          <w:sz w:val="18"/>
        </w:rPr>
        <w:t>Levy v. Sterling Holding Co</w:t>
      </w:r>
      <w:r>
        <w:rPr>
          <w:rFonts w:ascii="Arial" w:eastAsia="Arial" w:hAnsi="Arial" w:cs="Arial"/>
          <w:color w:val="000000"/>
          <w:sz w:val="18"/>
        </w:rPr>
        <w:t xml:space="preserve">., 544 F.3d 493, 501 &amp; n.6 (3d Cir. 2008); </w:t>
      </w:r>
      <w:r>
        <w:rPr>
          <w:rFonts w:ascii="Arial" w:eastAsia="Arial" w:hAnsi="Arial" w:cs="Arial"/>
          <w:i/>
          <w:color w:val="000000"/>
          <w:sz w:val="18"/>
        </w:rPr>
        <w:t>see</w:t>
      </w:r>
      <w:r>
        <w:rPr>
          <w:rFonts w:ascii="Arial" w:eastAsia="Arial" w:hAnsi="Arial" w:cs="Arial"/>
          <w:color w:val="000000"/>
          <w:sz w:val="18"/>
        </w:rPr>
        <w:t xml:space="preserve"> 28 U.S.C. § 1291. The District Court had subject-matter jurisdiction pursuant to 28 U.S.C. §§ 1331, 1343, and 1367.</w:t>
      </w:r>
    </w:p>
  </w:footnote>
  <w:footnote w:id="82">
    <w:p w14:paraId="60A3811C" w14:textId="77777777" w:rsidR="00D041A2" w:rsidRDefault="00000000">
      <w:pPr>
        <w:pStyle w:val="Normal14"/>
        <w:widowControl w:val="0"/>
        <w:spacing w:before="200" w:line="240" w:lineRule="atLeast"/>
        <w:jc w:val="both"/>
      </w:pPr>
      <w:r>
        <w:rPr>
          <w:rFonts w:ascii="Arial" w:eastAsia="Arial" w:hAnsi="Arial" w:cs="Arial"/>
          <w:color w:val="000000"/>
          <w:sz w:val="18"/>
          <w:vertAlign w:val="superscript"/>
        </w:rPr>
        <w:t>2 </w:t>
      </w:r>
      <w:bookmarkStart w:id="1638" w:name="Bookmark_fnpara_2_10"/>
      <w:bookmarkEnd w:id="1638"/>
      <w:r>
        <w:rPr>
          <w:rFonts w:ascii="Arial" w:eastAsia="Arial" w:hAnsi="Arial" w:cs="Arial"/>
          <w:color w:val="000000"/>
          <w:sz w:val="18"/>
        </w:rPr>
        <w:t xml:space="preserve">We note that were we to exercise our discretion to reach these unpreserved arguments, we would be unlikely to find either persuasive. Even the most cursory glance at the joint appendix's before-and-after photos of the platform-level tunnel and staircase indicates that the platform was part of the altered area, as those areas were clearly rehabilitated. Because the platform is part of the altered area, the "path of travel" disproportionate-cost limitations, </w:t>
      </w:r>
      <w:r>
        <w:rPr>
          <w:rFonts w:ascii="Arial" w:eastAsia="Arial" w:hAnsi="Arial" w:cs="Arial"/>
          <w:i/>
          <w:color w:val="000000"/>
          <w:sz w:val="18"/>
        </w:rPr>
        <w:t>see</w:t>
      </w:r>
      <w:r>
        <w:rPr>
          <w:rFonts w:ascii="Arial" w:eastAsia="Arial" w:hAnsi="Arial" w:cs="Arial"/>
          <w:color w:val="000000"/>
          <w:sz w:val="18"/>
        </w:rPr>
        <w:t xml:space="preserve"> 49 C.F.R. § 37.43(e)(1), (f)(1); ADAAG § 4.1.6(2), do not apply. Additionally, the Authority has provided only estimates of the costs of implementing Schemes 4 or 5 now, and not how much those schemes would have cost if implemented during the period of construction, the latter being the relevant figures for the purposes of determining the Authority's obligations under the ADA.</w:t>
      </w:r>
    </w:p>
  </w:footnote>
  <w:footnote w:id="83">
    <w:p w14:paraId="7B9D0B1A" w14:textId="77777777" w:rsidR="00D041A2" w:rsidRDefault="00000000">
      <w:pPr>
        <w:pStyle w:val="Normal14"/>
        <w:widowControl w:val="0"/>
        <w:spacing w:before="200" w:line="240" w:lineRule="atLeast"/>
        <w:jc w:val="both"/>
      </w:pPr>
      <w:r>
        <w:rPr>
          <w:rFonts w:ascii="Arial" w:eastAsia="Arial" w:hAnsi="Arial" w:cs="Arial"/>
          <w:color w:val="000000"/>
          <w:sz w:val="18"/>
          <w:vertAlign w:val="superscript"/>
        </w:rPr>
        <w:t>3 </w:t>
      </w:r>
      <w:bookmarkStart w:id="1720" w:name="Bookmark_fnpara_3_8"/>
      <w:bookmarkStart w:id="1721" w:name="Bookmark_I56PK5TT2SF7YX0020000400"/>
      <w:bookmarkStart w:id="1722" w:name="Bookmark_I56PK5TT2HM5VK0010000400"/>
      <w:bookmarkStart w:id="1723" w:name="Bookmark_LNHNREFclscc19_1"/>
      <w:bookmarkEnd w:id="1720"/>
      <w:bookmarkEnd w:id="1721"/>
      <w:bookmarkEnd w:id="1722"/>
      <w:bookmarkEnd w:id="1723"/>
      <w:r>
        <w:rPr>
          <w:rFonts w:ascii="Arial" w:eastAsia="Arial" w:hAnsi="Arial" w:cs="Arial"/>
          <w:color w:val="000000"/>
          <w:sz w:val="18"/>
        </w:rPr>
        <w:t xml:space="preserve">In </w:t>
      </w:r>
      <w:bookmarkStart w:id="1724" w:name="Bookmark_I56PK5TT2SF7YX0010000400"/>
      <w:bookmarkEnd w:id="1724"/>
      <w:r>
        <w:rPr>
          <w:rFonts w:ascii="Arial" w:eastAsia="Arial" w:hAnsi="Arial" w:cs="Arial"/>
          <w:i/>
          <w:color w:val="000000"/>
          <w:sz w:val="18"/>
        </w:rPr>
        <w:t>Eastern Paralyzed Veterans Ass'n, Inc. v. City of Camden (EPVA)</w:t>
      </w:r>
      <w:r>
        <w:rPr>
          <w:rFonts w:ascii="Arial" w:eastAsia="Arial" w:hAnsi="Arial" w:cs="Arial"/>
          <w:color w:val="000000"/>
          <w:sz w:val="18"/>
        </w:rPr>
        <w:t xml:space="preserve">, 111 N.J. 389, 545 A.2d 127 (N.J. 1988), the New Jersey Supreme Court declined to adopt the internal-external distinction because  [**29] "[o]nly when the compact itself recognizes the jurisdiction of the compact states may it be subject to single-state jurisdiction." </w:t>
      </w:r>
      <w:bookmarkStart w:id="1725" w:name="Bookmark_I56PK5TT2SF7YX0030000400"/>
      <w:bookmarkEnd w:id="1725"/>
      <w:r>
        <w:rPr>
          <w:rFonts w:ascii="Arial" w:eastAsia="Arial" w:hAnsi="Arial" w:cs="Arial"/>
          <w:i/>
          <w:color w:val="000000"/>
          <w:sz w:val="18"/>
        </w:rPr>
        <w:t>Id</w:t>
      </w:r>
      <w:r>
        <w:rPr>
          <w:rFonts w:ascii="Arial" w:eastAsia="Arial" w:hAnsi="Arial" w:cs="Arial"/>
          <w:color w:val="000000"/>
          <w:sz w:val="18"/>
        </w:rPr>
        <w:t xml:space="preserve">. at 132. Plaintiffs claim that </w:t>
      </w:r>
      <w:r>
        <w:rPr>
          <w:rFonts w:ascii="Arial" w:eastAsia="Arial" w:hAnsi="Arial" w:cs="Arial"/>
          <w:i/>
          <w:color w:val="000000"/>
          <w:sz w:val="18"/>
        </w:rPr>
        <w:t>Delaware River</w:t>
      </w:r>
      <w:r>
        <w:rPr>
          <w:rFonts w:ascii="Arial" w:eastAsia="Arial" w:hAnsi="Arial" w:cs="Arial"/>
          <w:color w:val="000000"/>
          <w:sz w:val="18"/>
        </w:rPr>
        <w:t xml:space="preserve"> is fundamentally inconsistent with this case, but the </w:t>
      </w:r>
      <w:r>
        <w:rPr>
          <w:rFonts w:ascii="Arial" w:eastAsia="Arial" w:hAnsi="Arial" w:cs="Arial"/>
          <w:i/>
          <w:color w:val="000000"/>
          <w:sz w:val="18"/>
        </w:rPr>
        <w:t>Delaware River</w:t>
      </w:r>
      <w:r>
        <w:rPr>
          <w:rFonts w:ascii="Arial" w:eastAsia="Arial" w:hAnsi="Arial" w:cs="Arial"/>
          <w:color w:val="000000"/>
          <w:sz w:val="18"/>
        </w:rPr>
        <w:t xml:space="preserve"> Court, while rejecting </w:t>
      </w:r>
      <w:r>
        <w:rPr>
          <w:rFonts w:ascii="Arial" w:eastAsia="Arial" w:hAnsi="Arial" w:cs="Arial"/>
          <w:i/>
          <w:color w:val="000000"/>
          <w:sz w:val="18"/>
        </w:rPr>
        <w:t>EPVA's</w:t>
      </w:r>
      <w:r>
        <w:rPr>
          <w:rFonts w:ascii="Arial" w:eastAsia="Arial" w:hAnsi="Arial" w:cs="Arial"/>
          <w:color w:val="000000"/>
          <w:sz w:val="18"/>
        </w:rPr>
        <w:t xml:space="preserve"> adoption of the implicit "complementary or parallel test," cited with approval </w:t>
      </w:r>
      <w:r>
        <w:rPr>
          <w:rFonts w:ascii="Arial" w:eastAsia="Arial" w:hAnsi="Arial" w:cs="Arial"/>
          <w:i/>
          <w:color w:val="000000"/>
          <w:sz w:val="18"/>
        </w:rPr>
        <w:t>EPVA's</w:t>
      </w:r>
      <w:r>
        <w:rPr>
          <w:rFonts w:ascii="Arial" w:eastAsia="Arial" w:hAnsi="Arial" w:cs="Arial"/>
          <w:color w:val="000000"/>
          <w:sz w:val="18"/>
        </w:rPr>
        <w:t xml:space="preserve"> holding that an express statement attempting to regulate a bi-state entity was insufficient to modify a compact "without 'some showing of agreement by both states to the enforcement of the [state law].'" </w:t>
      </w:r>
      <w:bookmarkStart w:id="1726" w:name="Bookmark_I56PK5TT2SF7YX0050000400"/>
      <w:bookmarkEnd w:id="1726"/>
      <w:r>
        <w:rPr>
          <w:rFonts w:ascii="Arial" w:eastAsia="Arial" w:hAnsi="Arial" w:cs="Arial"/>
          <w:color w:val="000000"/>
          <w:sz w:val="18"/>
        </w:rPr>
        <w:t xml:space="preserve">311 F.3d at 280-81 (quoting </w:t>
      </w:r>
      <w:bookmarkStart w:id="1727" w:name="Bookmark_I56PK5TT2HM5VK0020000400"/>
      <w:bookmarkEnd w:id="1727"/>
      <w:r>
        <w:rPr>
          <w:rFonts w:ascii="Arial" w:eastAsia="Arial" w:hAnsi="Arial" w:cs="Arial"/>
          <w:i/>
          <w:color w:val="000000"/>
          <w:sz w:val="18"/>
        </w:rPr>
        <w:t>EPVA</w:t>
      </w:r>
      <w:r>
        <w:rPr>
          <w:rFonts w:ascii="Arial" w:eastAsia="Arial" w:hAnsi="Arial" w:cs="Arial"/>
          <w:color w:val="000000"/>
          <w:sz w:val="18"/>
        </w:rPr>
        <w:t>, 545 A.2d at 133-34). Accordingly, even though we do not recognize implicit modifications of an interstate compact as the New Jersey Supreme Court might, both jurisdictions require evidence of mutual intent to alter a compact and regulate the bi-state agency, regardless of whether the action taken by the agency is "external" or "internal."</w:t>
      </w:r>
    </w:p>
  </w:footnote>
  <w:footnote w:id="84">
    <w:p w14:paraId="52BFE5EC" w14:textId="77777777" w:rsidR="00D041A2" w:rsidRDefault="00000000">
      <w:pPr>
        <w:pStyle w:val="Normal15"/>
        <w:widowControl w:val="0"/>
        <w:spacing w:before="120" w:line="240" w:lineRule="atLeast"/>
        <w:jc w:val="both"/>
      </w:pPr>
      <w:r>
        <w:rPr>
          <w:rFonts w:ascii="Arial" w:eastAsia="Arial" w:hAnsi="Arial" w:cs="Arial"/>
          <w:color w:val="000000"/>
          <w:sz w:val="18"/>
          <w:vertAlign w:val="superscript"/>
        </w:rPr>
        <w:t>* </w:t>
      </w:r>
      <w:bookmarkStart w:id="1747" w:name="Bookmark_fnpara_1_12"/>
      <w:bookmarkEnd w:id="1747"/>
      <w:r>
        <w:rPr>
          <w:rFonts w:ascii="Arial" w:eastAsia="Arial" w:hAnsi="Arial" w:cs="Arial"/>
          <w:color w:val="000000"/>
          <w:sz w:val="18"/>
        </w:rPr>
        <w:t>The Honorable Gerald E. Rosen, Chief Judge of the United States District Court for the Eastern District of Michigan, sitting by designation.</w:t>
      </w:r>
    </w:p>
  </w:footnote>
  <w:footnote w:id="85">
    <w:p w14:paraId="26E463C8" w14:textId="77777777" w:rsidR="00D041A2" w:rsidRDefault="00000000">
      <w:pPr>
        <w:pStyle w:val="Normal15"/>
        <w:widowControl w:val="0"/>
        <w:spacing w:before="200" w:line="240" w:lineRule="atLeast"/>
        <w:jc w:val="both"/>
      </w:pPr>
      <w:r>
        <w:rPr>
          <w:rFonts w:ascii="Arial" w:eastAsia="Arial" w:hAnsi="Arial" w:cs="Arial"/>
          <w:color w:val="000000"/>
          <w:sz w:val="18"/>
          <w:vertAlign w:val="superscript"/>
        </w:rPr>
        <w:t>1 </w:t>
      </w:r>
      <w:bookmarkStart w:id="1753" w:name="Bookmark_fnpara_2_11"/>
      <w:bookmarkStart w:id="1754" w:name="Bookmark_I46885WDP9N00079X2M003P5"/>
      <w:bookmarkStart w:id="1755" w:name="Bookmark_I56G60WF2HM6750040000400"/>
      <w:bookmarkEnd w:id="1753"/>
      <w:bookmarkEnd w:id="1754"/>
      <w:bookmarkEnd w:id="1755"/>
      <w:r>
        <w:rPr>
          <w:rFonts w:ascii="Arial" w:eastAsia="Arial" w:hAnsi="Arial" w:cs="Arial"/>
          <w:color w:val="000000"/>
          <w:sz w:val="18"/>
        </w:rPr>
        <w:t xml:space="preserve">Summit View asserts in its brief that "the decedent, Claudia Adkins was never even admitted to Summit View of Farragut, but was immediately on her arrival there sent back to the University of Tennessee Medical Center when it was determined that Summit View of Farragut could not provide the care she needed." As Summit View recognizes, </w:t>
      </w:r>
      <w:bookmarkStart w:id="1756" w:name="Bookmark_LNHNREFclscc1_9"/>
      <w:bookmarkEnd w:id="1756"/>
      <w:r>
        <w:rPr>
          <w:rFonts w:ascii="Arial" w:eastAsia="Arial" w:hAnsi="Arial" w:cs="Arial"/>
          <w:color w:val="000000"/>
          <w:sz w:val="18"/>
        </w:rPr>
        <w:t xml:space="preserve">we must accept as true all facts pleaded by the plaintiff  [**3] when reviewing a dismissal under Rule 12(b)(6). </w:t>
      </w:r>
      <w:bookmarkStart w:id="1757" w:name="Bookmark_I56G60WF2HM6750030000400"/>
      <w:bookmarkEnd w:id="1757"/>
      <w:r>
        <w:rPr>
          <w:rFonts w:ascii="Arial" w:eastAsia="Arial" w:hAnsi="Arial" w:cs="Arial"/>
          <w:i/>
          <w:color w:val="000000"/>
          <w:sz w:val="18"/>
        </w:rPr>
        <w:t>Wee Care Child Center, Inc. v. Lumpkin</w:t>
      </w:r>
      <w:r>
        <w:rPr>
          <w:rFonts w:ascii="Arial" w:eastAsia="Arial" w:hAnsi="Arial" w:cs="Arial"/>
          <w:color w:val="000000"/>
          <w:sz w:val="18"/>
        </w:rPr>
        <w:t>, 680 F.3d 841, 846 (6th Cir. 2012). Therefore, we assume for purposes of this opinion that Ms. Adkins was a patient at Summit View, and we do not wade into this rather puzzling factual dispute between the parties.</w:t>
      </w:r>
    </w:p>
  </w:footnote>
  <w:footnote w:id="86">
    <w:p w14:paraId="22D4A95A" w14:textId="77777777" w:rsidR="00D041A2" w:rsidRDefault="00000000">
      <w:pPr>
        <w:pStyle w:val="Normal15"/>
        <w:widowControl w:val="0"/>
        <w:spacing w:before="200" w:line="240" w:lineRule="atLeast"/>
        <w:jc w:val="both"/>
      </w:pPr>
      <w:r>
        <w:rPr>
          <w:rFonts w:ascii="Arial" w:eastAsia="Arial" w:hAnsi="Arial" w:cs="Arial"/>
          <w:color w:val="000000"/>
          <w:sz w:val="18"/>
          <w:vertAlign w:val="superscript"/>
        </w:rPr>
        <w:t>2 </w:t>
      </w:r>
      <w:bookmarkStart w:id="1776" w:name="Bookmark_fnpara_3_9"/>
      <w:bookmarkEnd w:id="1776"/>
      <w:r>
        <w:rPr>
          <w:rFonts w:ascii="Arial" w:eastAsia="Arial" w:hAnsi="Arial" w:cs="Arial"/>
          <w:color w:val="000000"/>
          <w:sz w:val="18"/>
        </w:rPr>
        <w:t xml:space="preserve">Removal would normally be inappropriate in a case such as this, as "[a] civil action otherwise removable solely on the basis of the jurisdiction under [28 U.S.C. § 1332(a)] may not be removed if any of the  [**7] parties in interest properly joined and served as defendants is a citizen of the State in which such action is brought." 28 U.S.C. § 1441(b)(2). </w:t>
      </w:r>
      <w:bookmarkStart w:id="1777" w:name="Bookmark_I6RHSXN7TBP00002P3200360"/>
      <w:bookmarkStart w:id="1778" w:name="Bookmark_I6RHSXN7XY900002P3200361"/>
      <w:bookmarkStart w:id="1779" w:name="Bookmark_I56G60WG2SF84Y0010000400"/>
      <w:bookmarkEnd w:id="1777"/>
      <w:bookmarkEnd w:id="1778"/>
      <w:bookmarkEnd w:id="1779"/>
      <w:r>
        <w:rPr>
          <w:rFonts w:ascii="Arial" w:eastAsia="Arial" w:hAnsi="Arial" w:cs="Arial"/>
          <w:color w:val="000000"/>
          <w:sz w:val="18"/>
        </w:rPr>
        <w:t xml:space="preserve">Thus, Summit View's status as both a defendant and a Tennessee domiciliary would defeat removal. However, we have held that § 1441(b)(2) is non-jurisdictional and must be raised by the plaintiff in a motion to remand. </w:t>
      </w:r>
      <w:bookmarkStart w:id="1780" w:name="Bookmark_I56G60WG28T44S0050000400"/>
      <w:bookmarkEnd w:id="1780"/>
      <w:r>
        <w:rPr>
          <w:rFonts w:ascii="Arial" w:eastAsia="Arial" w:hAnsi="Arial" w:cs="Arial"/>
          <w:i/>
          <w:color w:val="000000"/>
          <w:sz w:val="18"/>
        </w:rPr>
        <w:t>Plastic Moldings Corp. v. Park Sherman Co.</w:t>
      </w:r>
      <w:r>
        <w:rPr>
          <w:rFonts w:ascii="Arial" w:eastAsia="Arial" w:hAnsi="Arial" w:cs="Arial"/>
          <w:color w:val="000000"/>
          <w:sz w:val="18"/>
        </w:rPr>
        <w:t xml:space="preserve">, 606 F.2d 117, 119 n.1 (6th Cir. 1979); </w:t>
      </w:r>
      <w:bookmarkStart w:id="1781" w:name="Bookmark_I56G60WG2SF84Y0020000400"/>
      <w:bookmarkEnd w:id="1781"/>
      <w:r>
        <w:rPr>
          <w:rFonts w:ascii="Arial" w:eastAsia="Arial" w:hAnsi="Arial" w:cs="Arial"/>
          <w:i/>
          <w:color w:val="000000"/>
          <w:sz w:val="18"/>
        </w:rPr>
        <w:t>RFF Family Partnership, LP v. Wasserman</w:t>
      </w:r>
      <w:r>
        <w:rPr>
          <w:rFonts w:ascii="Arial" w:eastAsia="Arial" w:hAnsi="Arial" w:cs="Arial"/>
          <w:color w:val="000000"/>
          <w:sz w:val="18"/>
        </w:rPr>
        <w:t>, 316 F.App'x 410, 411-12 (6th Cir. 2009). As such, Southwell has waived this objection to jurisdiction.</w:t>
      </w:r>
    </w:p>
  </w:footnote>
  <w:footnote w:id="87">
    <w:p w14:paraId="5371B64A" w14:textId="77777777" w:rsidR="00D041A2" w:rsidRDefault="00000000">
      <w:pPr>
        <w:pStyle w:val="Normal15"/>
        <w:widowControl w:val="0"/>
        <w:spacing w:before="200" w:line="240" w:lineRule="atLeast"/>
        <w:jc w:val="both"/>
      </w:pPr>
      <w:r>
        <w:rPr>
          <w:rFonts w:ascii="Arial" w:eastAsia="Arial" w:hAnsi="Arial" w:cs="Arial"/>
          <w:color w:val="000000"/>
          <w:sz w:val="18"/>
          <w:vertAlign w:val="superscript"/>
        </w:rPr>
        <w:t>3 </w:t>
      </w:r>
      <w:bookmarkStart w:id="1798" w:name="Bookmark_fnpara_4_5"/>
      <w:bookmarkEnd w:id="1798"/>
      <w:r>
        <w:rPr>
          <w:rFonts w:ascii="Arial" w:eastAsia="Arial" w:hAnsi="Arial" w:cs="Arial"/>
          <w:color w:val="000000"/>
          <w:sz w:val="18"/>
        </w:rPr>
        <w:t xml:space="preserve">Southwell does argue on appeal that the alleged violation of the ADA constitutes negligence per se. We have previously held that </w:t>
      </w:r>
      <w:bookmarkStart w:id="1799" w:name="Bookmark_LNHNREFclscc8_9"/>
      <w:bookmarkEnd w:id="1799"/>
      <w:r>
        <w:rPr>
          <w:rFonts w:ascii="Arial" w:eastAsia="Arial" w:hAnsi="Arial" w:cs="Arial"/>
          <w:color w:val="000000"/>
          <w:sz w:val="18"/>
        </w:rPr>
        <w:t xml:space="preserve">a plaintiff may not bootstrap an ADA claim against a private entity into a claim for monetary damages via a negligence per se theory. </w:t>
      </w:r>
      <w:r>
        <w:rPr>
          <w:rFonts w:ascii="Arial" w:eastAsia="Arial" w:hAnsi="Arial" w:cs="Arial"/>
          <w:i/>
          <w:color w:val="000000"/>
          <w:sz w:val="18"/>
        </w:rPr>
        <w:t xml:space="preserve">See </w:t>
      </w:r>
      <w:bookmarkStart w:id="1800" w:name="Bookmark_I56G60WG2HM6790020000400"/>
      <w:bookmarkEnd w:id="1800"/>
      <w:r>
        <w:rPr>
          <w:rFonts w:ascii="Arial" w:eastAsia="Arial" w:hAnsi="Arial" w:cs="Arial"/>
          <w:i/>
          <w:color w:val="000000"/>
          <w:sz w:val="18"/>
        </w:rPr>
        <w:t>Smith</w:t>
      </w:r>
      <w:r>
        <w:rPr>
          <w:rFonts w:ascii="Arial" w:eastAsia="Arial" w:hAnsi="Arial" w:cs="Arial"/>
          <w:color w:val="000000"/>
          <w:sz w:val="18"/>
        </w:rPr>
        <w:t>, 167 F.3d at 293 ("[T]o use ADA as the basis for a negligence per se claim would create a damages remedy in every state allowing negligence per se recovery, and [we have found] no state cases allowing such a remedy.") Thus, we agree with the district court that Southwell's allegations regarding the alleged lack of an interpreter should be dismissed.</w:t>
      </w:r>
    </w:p>
  </w:footnote>
  <w:footnote w:id="88">
    <w:p w14:paraId="4C6B117E" w14:textId="77777777" w:rsidR="00D041A2" w:rsidRDefault="00000000">
      <w:pPr>
        <w:pStyle w:val="Normal15"/>
        <w:widowControl w:val="0"/>
        <w:spacing w:before="200" w:line="240" w:lineRule="atLeast"/>
        <w:jc w:val="both"/>
      </w:pPr>
      <w:r>
        <w:rPr>
          <w:rFonts w:ascii="Arial" w:eastAsia="Arial" w:hAnsi="Arial" w:cs="Arial"/>
          <w:color w:val="000000"/>
          <w:sz w:val="18"/>
          <w:vertAlign w:val="superscript"/>
        </w:rPr>
        <w:t>4 </w:t>
      </w:r>
      <w:bookmarkStart w:id="1815" w:name="Bookmark_fnpara_5_5"/>
      <w:bookmarkStart w:id="1816" w:name="Bookmark_I6RHSXN86JD00002P3200363"/>
      <w:bookmarkStart w:id="1817" w:name="Bookmark_I6RHSXN8B9700002P3200364"/>
      <w:bookmarkStart w:id="1818" w:name="Bookmark_I56G60WG28T44W0030000400"/>
      <w:bookmarkEnd w:id="1815"/>
      <w:bookmarkEnd w:id="1816"/>
      <w:bookmarkEnd w:id="1817"/>
      <w:bookmarkEnd w:id="1818"/>
      <w:r>
        <w:rPr>
          <w:rFonts w:ascii="Arial" w:eastAsia="Arial" w:hAnsi="Arial" w:cs="Arial"/>
          <w:color w:val="000000"/>
          <w:sz w:val="18"/>
        </w:rPr>
        <w:t xml:space="preserve">Because Southwell's TMMA and ADA claims were dismissed as a result of legal defects, as opposed to a lack of factual development, it would be futile to allow Southwell to reassert those claims in an amended complaint. </w:t>
      </w:r>
      <w:r>
        <w:rPr>
          <w:rFonts w:ascii="Arial" w:eastAsia="Arial" w:hAnsi="Arial" w:cs="Arial"/>
          <w:i/>
          <w:color w:val="000000"/>
          <w:sz w:val="18"/>
        </w:rPr>
        <w:t xml:space="preserve">See </w:t>
      </w:r>
      <w:bookmarkStart w:id="1819" w:name="Bookmark_I56G60WG28T44W0020000400"/>
      <w:bookmarkEnd w:id="1819"/>
      <w:r>
        <w:rPr>
          <w:rFonts w:ascii="Arial" w:eastAsia="Arial" w:hAnsi="Arial" w:cs="Arial"/>
          <w:i/>
          <w:color w:val="000000"/>
          <w:sz w:val="18"/>
        </w:rPr>
        <w:t>Riverview Health Inst., LLC v. Med. Mut. of Ohio</w:t>
      </w:r>
      <w:r>
        <w:rPr>
          <w:rFonts w:ascii="Arial" w:eastAsia="Arial" w:hAnsi="Arial" w:cs="Arial"/>
          <w:color w:val="000000"/>
          <w:sz w:val="18"/>
        </w:rPr>
        <w:t>, 601 F.3d 505, 512 (6th Cir. 2010) (</w:t>
      </w:r>
      <w:bookmarkStart w:id="1820" w:name="Bookmark_LNHNREFclscc11_8"/>
      <w:bookmarkEnd w:id="1820"/>
      <w:r>
        <w:rPr>
          <w:rFonts w:ascii="Arial" w:eastAsia="Arial" w:hAnsi="Arial" w:cs="Arial"/>
          <w:color w:val="000000"/>
          <w:sz w:val="18"/>
        </w:rPr>
        <w:t xml:space="preserve">"A proposed amendment is futile if the amendment could not withstand a Rule 12(b)(6) motion to dismiss." (quoting </w:t>
      </w:r>
      <w:bookmarkStart w:id="1821" w:name="Bookmark_I56G60WG28T44W0040000400"/>
      <w:bookmarkEnd w:id="1821"/>
      <w:r>
        <w:rPr>
          <w:rFonts w:ascii="Arial" w:eastAsia="Arial" w:hAnsi="Arial" w:cs="Arial"/>
          <w:i/>
          <w:color w:val="000000"/>
          <w:sz w:val="18"/>
        </w:rPr>
        <w:t>Rose v. Hartford Underwriters Ins. Co.</w:t>
      </w:r>
      <w:r>
        <w:rPr>
          <w:rFonts w:ascii="Arial" w:eastAsia="Arial" w:hAnsi="Arial" w:cs="Arial"/>
          <w:color w:val="000000"/>
          <w:sz w:val="18"/>
        </w:rPr>
        <w:t>, 203 F.3d 417, 420 (6th Cir. 2000)). Therefore, dismissing the TMMA and ADA claims with prejudice was proper, and we affirm the district court in this regard.</w:t>
      </w:r>
    </w:p>
  </w:footnote>
  <w:footnote w:id="89">
    <w:p w14:paraId="428AFC18" w14:textId="77777777" w:rsidR="00D041A2" w:rsidRDefault="00000000">
      <w:pPr>
        <w:pStyle w:val="Normal16"/>
        <w:widowControl w:val="0"/>
        <w:spacing w:before="200" w:line="240" w:lineRule="atLeast"/>
        <w:jc w:val="both"/>
      </w:pPr>
      <w:r>
        <w:rPr>
          <w:rFonts w:ascii="Arial" w:eastAsia="Arial" w:hAnsi="Arial" w:cs="Arial"/>
          <w:color w:val="000000"/>
          <w:sz w:val="18"/>
          <w:vertAlign w:val="superscript"/>
        </w:rPr>
        <w:t>1 </w:t>
      </w:r>
      <w:bookmarkStart w:id="1840" w:name="Bookmark_fnpara_1_13"/>
      <w:bookmarkEnd w:id="1840"/>
      <w:r>
        <w:rPr>
          <w:rFonts w:ascii="Arial" w:eastAsia="Arial" w:hAnsi="Arial" w:cs="Arial"/>
          <w:color w:val="000000"/>
          <w:sz w:val="18"/>
        </w:rPr>
        <w:t xml:space="preserve">In 1988, Congress passed </w:t>
      </w:r>
      <w:bookmarkStart w:id="1841" w:name="Bookmark_LNHNREFclscc1_10"/>
      <w:bookmarkEnd w:id="1841"/>
      <w:r>
        <w:rPr>
          <w:rFonts w:ascii="Arial" w:eastAsia="Arial" w:hAnsi="Arial" w:cs="Arial"/>
          <w:color w:val="000000"/>
          <w:sz w:val="18"/>
        </w:rPr>
        <w:t xml:space="preserve">the Fair Housing Amendments Act ("FHAA"), extending protections against housing discrimination under the FHA, 42 U.S.C. § 3601 </w:t>
      </w:r>
      <w:r>
        <w:rPr>
          <w:rFonts w:ascii="Arial" w:eastAsia="Arial" w:hAnsi="Arial" w:cs="Arial"/>
          <w:i/>
          <w:color w:val="000000"/>
          <w:sz w:val="18"/>
        </w:rPr>
        <w:t>et seq</w:t>
      </w:r>
      <w:r>
        <w:rPr>
          <w:rFonts w:ascii="Arial" w:eastAsia="Arial" w:hAnsi="Arial" w:cs="Arial"/>
          <w:color w:val="000000"/>
          <w:sz w:val="18"/>
        </w:rPr>
        <w:t>., to, among others, individuals with disabilities. 42 U.S.C. § 3604(f)(1). For ease of reference, we refer to the statute under which Taylor brought suit as the FHA.</w:t>
      </w:r>
    </w:p>
  </w:footnote>
  <w:footnote w:id="90">
    <w:p w14:paraId="68F5FF15" w14:textId="77777777" w:rsidR="00D041A2" w:rsidRDefault="00000000">
      <w:pPr>
        <w:pStyle w:val="Normal16"/>
        <w:widowControl w:val="0"/>
        <w:spacing w:before="120" w:line="240" w:lineRule="atLeast"/>
        <w:jc w:val="both"/>
      </w:pPr>
      <w:r>
        <w:rPr>
          <w:rFonts w:ascii="Arial" w:eastAsia="Arial" w:hAnsi="Arial" w:cs="Arial"/>
          <w:color w:val="000000"/>
          <w:sz w:val="18"/>
          <w:vertAlign w:val="superscript"/>
        </w:rPr>
        <w:t>2 </w:t>
      </w:r>
      <w:bookmarkStart w:id="1890" w:name="Bookmark_fnpara_2_12"/>
      <w:bookmarkEnd w:id="1890"/>
      <w:r>
        <w:rPr>
          <w:rFonts w:ascii="Arial" w:eastAsia="Arial" w:hAnsi="Arial" w:cs="Arial"/>
          <w:color w:val="000000"/>
          <w:sz w:val="18"/>
        </w:rPr>
        <w:t>We neither hold nor suggest that Taylor's failure to request an accommodation was the only deficiency in her federal claim.</w:t>
      </w:r>
    </w:p>
  </w:footnote>
  <w:footnote w:id="91">
    <w:p w14:paraId="4047A4B7" w14:textId="77777777" w:rsidR="00D041A2" w:rsidRDefault="00000000">
      <w:pPr>
        <w:pStyle w:val="Normal17"/>
        <w:widowControl w:val="0"/>
        <w:spacing w:before="120" w:line="240" w:lineRule="atLeast"/>
        <w:jc w:val="both"/>
      </w:pPr>
      <w:r>
        <w:rPr>
          <w:rFonts w:ascii="Arial" w:eastAsia="Arial" w:hAnsi="Arial" w:cs="Arial"/>
          <w:color w:val="000000"/>
          <w:sz w:val="18"/>
          <w:vertAlign w:val="superscript"/>
        </w:rPr>
        <w:t>1 </w:t>
      </w:r>
      <w:bookmarkStart w:id="2101" w:name="Bookmark_fnpara_1_14"/>
      <w:bookmarkEnd w:id="2101"/>
      <w:r>
        <w:rPr>
          <w:rFonts w:ascii="Arial" w:eastAsia="Arial" w:hAnsi="Arial" w:cs="Arial"/>
          <w:color w:val="000000"/>
          <w:sz w:val="18"/>
        </w:rPr>
        <w:t>The complaint alleged three discrete discrimination claims: (1) failure to accommodate; (2) wrongful termination; and (3) hostile work environment. The EEOC does not appeal from the district court's grant of summary judgment to the Employer on the third claim.</w:t>
      </w:r>
    </w:p>
  </w:footnote>
  <w:footnote w:id="92">
    <w:p w14:paraId="1786E363" w14:textId="77777777" w:rsidR="00D041A2" w:rsidRDefault="00000000">
      <w:pPr>
        <w:pStyle w:val="Normal17"/>
        <w:widowControl w:val="0"/>
        <w:spacing w:before="120" w:line="240" w:lineRule="atLeast"/>
        <w:jc w:val="both"/>
      </w:pPr>
      <w:r>
        <w:rPr>
          <w:rFonts w:ascii="Arial" w:eastAsia="Arial" w:hAnsi="Arial" w:cs="Arial"/>
          <w:color w:val="000000"/>
          <w:sz w:val="18"/>
          <w:vertAlign w:val="superscript"/>
        </w:rPr>
        <w:t>2 </w:t>
      </w:r>
      <w:bookmarkStart w:id="2102" w:name="Bookmark_fnpara_2_13"/>
      <w:bookmarkEnd w:id="2102"/>
      <w:r>
        <w:rPr>
          <w:rFonts w:ascii="Arial" w:eastAsia="Arial" w:hAnsi="Arial" w:cs="Arial"/>
          <w:color w:val="000000"/>
          <w:sz w:val="18"/>
        </w:rPr>
        <w:t>This lawsuit is based on events that occurred before the ADA was amended in 2008.</w:t>
      </w:r>
    </w:p>
  </w:footnote>
  <w:footnote w:id="93">
    <w:p w14:paraId="2CCE1DD0" w14:textId="77777777" w:rsidR="00D041A2" w:rsidRDefault="00000000">
      <w:pPr>
        <w:pStyle w:val="Normal17"/>
        <w:widowControl w:val="0"/>
        <w:spacing w:before="120" w:line="240" w:lineRule="atLeast"/>
        <w:jc w:val="both"/>
      </w:pPr>
      <w:r>
        <w:rPr>
          <w:rFonts w:ascii="Arial" w:eastAsia="Arial" w:hAnsi="Arial" w:cs="Arial"/>
          <w:color w:val="000000"/>
          <w:sz w:val="18"/>
          <w:vertAlign w:val="superscript"/>
        </w:rPr>
        <w:t>3 </w:t>
      </w:r>
      <w:bookmarkStart w:id="2124" w:name="Bookmark_fnpara_3_10"/>
      <w:bookmarkEnd w:id="2124"/>
      <w:r>
        <w:rPr>
          <w:rFonts w:ascii="Arial" w:eastAsia="Arial" w:hAnsi="Arial" w:cs="Arial"/>
          <w:color w:val="000000"/>
          <w:sz w:val="18"/>
        </w:rPr>
        <w:t>The majority says that the Employer was "unable" to provide an interpreter, but the evidence reflects that the Employer never made any attempt to do so. Maj. op. at 4.</w:t>
      </w:r>
    </w:p>
  </w:footnote>
  <w:footnote w:id="94">
    <w:p w14:paraId="7A5A8E06" w14:textId="77777777" w:rsidR="00D041A2" w:rsidRDefault="00000000">
      <w:pPr>
        <w:pStyle w:val="Normal17"/>
        <w:widowControl w:val="0"/>
        <w:spacing w:before="200" w:line="240" w:lineRule="atLeast"/>
        <w:jc w:val="both"/>
      </w:pPr>
      <w:r>
        <w:rPr>
          <w:rFonts w:ascii="Arial" w:eastAsia="Arial" w:hAnsi="Arial" w:cs="Arial"/>
          <w:color w:val="000000"/>
          <w:sz w:val="18"/>
          <w:vertAlign w:val="superscript"/>
        </w:rPr>
        <w:t>4 </w:t>
      </w:r>
      <w:bookmarkStart w:id="2127" w:name="Bookmark_fnpara_4_6"/>
      <w:bookmarkEnd w:id="2127"/>
      <w:r>
        <w:rPr>
          <w:rFonts w:ascii="Arial" w:eastAsia="Arial" w:hAnsi="Arial" w:cs="Arial"/>
          <w:color w:val="000000"/>
          <w:sz w:val="18"/>
        </w:rPr>
        <w:t xml:space="preserve">This is presumably the occasion to which the majority refers when it says that Ms. Chrysler "attempted to conduct a shoot by herself . . . ." Maj. op. at 4. This results from failure to adhere to the proper summary judgment standard of taking the evidence in the light most favorable to the party opposing summary judgment. Ms. Chrysler did not just "attempt" to conduct a shoot by herself — she </w:t>
      </w:r>
      <w:r>
        <w:rPr>
          <w:rFonts w:ascii="Arial" w:eastAsia="Arial" w:hAnsi="Arial" w:cs="Arial"/>
          <w:i/>
          <w:color w:val="000000"/>
          <w:sz w:val="18"/>
        </w:rPr>
        <w:t>did</w:t>
      </w:r>
      <w:r>
        <w:rPr>
          <w:rFonts w:ascii="Arial" w:eastAsia="Arial" w:hAnsi="Arial" w:cs="Arial"/>
          <w:color w:val="000000"/>
          <w:sz w:val="18"/>
        </w:rPr>
        <w:t xml:space="preserve"> conduct this shoot by herself with a good result for both the Employer and the customers. Mr. Aguilar testified that Ms. Chrysler had made a "huge sale." I Aplt. App. 96a.</w:t>
      </w:r>
    </w:p>
  </w:footnote>
  <w:footnote w:id="95">
    <w:p w14:paraId="7F0777BC" w14:textId="77777777" w:rsidR="00D041A2" w:rsidRDefault="00000000">
      <w:pPr>
        <w:pStyle w:val="Normal17"/>
        <w:widowControl w:val="0"/>
        <w:spacing w:before="200" w:line="240" w:lineRule="atLeast"/>
        <w:jc w:val="both"/>
      </w:pPr>
      <w:r>
        <w:rPr>
          <w:rFonts w:ascii="Arial" w:eastAsia="Arial" w:hAnsi="Arial" w:cs="Arial"/>
          <w:color w:val="000000"/>
          <w:sz w:val="18"/>
          <w:vertAlign w:val="superscript"/>
        </w:rPr>
        <w:t>5 </w:t>
      </w:r>
      <w:bookmarkStart w:id="2130" w:name="Bookmark_fnpara_5_6"/>
      <w:bookmarkEnd w:id="2130"/>
      <w:r>
        <w:rPr>
          <w:rFonts w:ascii="Arial" w:eastAsia="Arial" w:hAnsi="Arial" w:cs="Arial"/>
          <w:color w:val="000000"/>
          <w:sz w:val="18"/>
        </w:rPr>
        <w:t xml:space="preserve">As noted in the majority opinion, the Employer's brief cites testimony to the effect that Ms. Chrysler's alternative modes of communication would be "simply impractical" in the camera room. This evidence might be sufficient to create an issue of fact such that summary judgment in favor of the EEOC would not have been proper. </w:t>
      </w:r>
      <w:bookmarkStart w:id="2131" w:name="Bookmark_I3WXY3RVB2T00079WNY00230"/>
      <w:bookmarkStart w:id="2132" w:name="Bookmark_I567C99V2N1PYW0040000400"/>
      <w:bookmarkEnd w:id="2131"/>
      <w:bookmarkEnd w:id="2132"/>
      <w:r>
        <w:rPr>
          <w:rFonts w:ascii="Arial" w:eastAsia="Arial" w:hAnsi="Arial" w:cs="Arial"/>
          <w:color w:val="000000"/>
          <w:sz w:val="18"/>
        </w:rPr>
        <w:t>But it cannot do more.</w:t>
      </w:r>
    </w:p>
    <w:p w14:paraId="5C89555D" w14:textId="77777777" w:rsidR="00D041A2" w:rsidRDefault="00000000">
      <w:pPr>
        <w:pStyle w:val="Normal17"/>
        <w:widowControl w:val="0"/>
        <w:spacing w:before="200" w:line="240" w:lineRule="atLeast"/>
        <w:jc w:val="both"/>
      </w:pPr>
      <w:bookmarkStart w:id="2133" w:name="Bookmark_fnpara_6_5"/>
      <w:bookmarkStart w:id="2134" w:name="Bookmark_I567C99V2N1PYW0040000400_2"/>
      <w:bookmarkEnd w:id="2133"/>
      <w:bookmarkEnd w:id="2134"/>
      <w:r>
        <w:rPr>
          <w:rFonts w:ascii="Arial" w:eastAsia="Arial" w:hAnsi="Arial" w:cs="Arial"/>
          <w:color w:val="000000"/>
          <w:sz w:val="18"/>
        </w:rPr>
        <w:t xml:space="preserve">As I note in the text of this dissent, in reviewing this summary judgment in favor of the Employer, we are bound to disregard evidence favorable to the Employer "that the jury is not required to believe." </w:t>
      </w:r>
      <w:bookmarkStart w:id="2135" w:name="Bookmark_I567C99V2N1PYW0030000400"/>
      <w:bookmarkEnd w:id="2135"/>
      <w:r>
        <w:rPr>
          <w:rFonts w:ascii="Arial" w:eastAsia="Arial" w:hAnsi="Arial" w:cs="Arial"/>
          <w:i/>
          <w:color w:val="000000"/>
          <w:sz w:val="18"/>
        </w:rPr>
        <w:t>Reeves v. Sanderson Plumbing Products, Inc</w:t>
      </w:r>
      <w:r>
        <w:rPr>
          <w:rFonts w:ascii="Arial" w:eastAsia="Arial" w:hAnsi="Arial" w:cs="Arial"/>
          <w:color w:val="000000"/>
          <w:sz w:val="18"/>
        </w:rPr>
        <w:t>., 530 U.S. 133, 151, 120 S. Ct. 2097, 147 L. Ed. 2d 105 (2000). Moreover, the Employer's brief, in the passage quoted in the majority opinion, cites in support of its statements the deposition testimony of three witnesses, none of whom testified to having observed any of Ms. Chrysler's photo sessions. (Ms. Chrysler testified that Ms. Bryan had observed one session, but Ms.  [**38] Bryan testified that she observed Ms. Chrysler only in a class.) A jury could decide that the concerns expressed by these witnesses were based on predetermined ideas of the limits of the deaf. But in the posture of this appeal, this panel should disregard this evidence because a jury would not be required to accept it rather than the evidence presented by the EEOC.</w:t>
      </w:r>
    </w:p>
  </w:footnote>
  <w:footnote w:id="96">
    <w:p w14:paraId="1B9CCA8C" w14:textId="77777777" w:rsidR="00D041A2" w:rsidRDefault="00000000">
      <w:pPr>
        <w:pStyle w:val="Normal17"/>
        <w:widowControl w:val="0"/>
        <w:spacing w:before="120" w:line="240" w:lineRule="atLeast"/>
        <w:jc w:val="both"/>
      </w:pPr>
      <w:r>
        <w:rPr>
          <w:rFonts w:ascii="Arial" w:eastAsia="Arial" w:hAnsi="Arial" w:cs="Arial"/>
          <w:color w:val="000000"/>
          <w:sz w:val="18"/>
          <w:vertAlign w:val="superscript"/>
        </w:rPr>
        <w:t>6 </w:t>
      </w:r>
      <w:bookmarkStart w:id="2139" w:name="Bookmark_fnpara_7_5"/>
      <w:bookmarkEnd w:id="2139"/>
      <w:r>
        <w:rPr>
          <w:rFonts w:ascii="Arial" w:eastAsia="Arial" w:hAnsi="Arial" w:cs="Arial"/>
          <w:color w:val="000000"/>
          <w:sz w:val="18"/>
        </w:rPr>
        <w:t>The latter was meant to say that Ms. Chrysler was threatening to complain of discrimination, as Ms. Doyle testified in her deposition. III Aplt. App. 704a-706a.</w:t>
      </w:r>
    </w:p>
  </w:footnote>
  <w:footnote w:id="97">
    <w:p w14:paraId="691316B4" w14:textId="77777777" w:rsidR="00D041A2" w:rsidRDefault="00000000">
      <w:pPr>
        <w:pStyle w:val="Normal17"/>
        <w:widowControl w:val="0"/>
        <w:spacing w:before="120" w:line="240" w:lineRule="atLeast"/>
        <w:jc w:val="both"/>
      </w:pPr>
      <w:r>
        <w:rPr>
          <w:rFonts w:ascii="Arial" w:eastAsia="Arial" w:hAnsi="Arial" w:cs="Arial"/>
          <w:color w:val="000000"/>
          <w:sz w:val="18"/>
          <w:vertAlign w:val="superscript"/>
        </w:rPr>
        <w:t>7 </w:t>
      </w:r>
      <w:bookmarkStart w:id="2140" w:name="Bookmark_fnpara_8_4"/>
      <w:bookmarkEnd w:id="2140"/>
      <w:r>
        <w:rPr>
          <w:rFonts w:ascii="Arial" w:eastAsia="Arial" w:hAnsi="Arial" w:cs="Arial"/>
          <w:color w:val="000000"/>
          <w:sz w:val="18"/>
        </w:rPr>
        <w:t>This complaint that Ms. Chrysler had declined opportunities to conduct photo sessions is puzzling, but I find nothing in the record to explain why Ms. Chrysler declined opportunities, and neither party bases any argument on this evidence.</w:t>
      </w:r>
    </w:p>
  </w:footnote>
  <w:footnote w:id="98">
    <w:p w14:paraId="1C5AD9ED" w14:textId="77777777" w:rsidR="00D041A2" w:rsidRDefault="00000000">
      <w:pPr>
        <w:pStyle w:val="Normal17"/>
        <w:widowControl w:val="0"/>
        <w:spacing w:before="200" w:line="240" w:lineRule="atLeast"/>
        <w:jc w:val="both"/>
      </w:pPr>
      <w:r>
        <w:rPr>
          <w:rFonts w:ascii="Arial" w:eastAsia="Arial" w:hAnsi="Arial" w:cs="Arial"/>
          <w:color w:val="000000"/>
          <w:sz w:val="18"/>
          <w:vertAlign w:val="superscript"/>
        </w:rPr>
        <w:t>8 </w:t>
      </w:r>
      <w:bookmarkStart w:id="2158" w:name="Bookmark_fnpara_9_3"/>
      <w:bookmarkEnd w:id="2158"/>
      <w:r>
        <w:rPr>
          <w:rFonts w:ascii="Arial" w:eastAsia="Arial" w:hAnsi="Arial" w:cs="Arial"/>
          <w:color w:val="000000"/>
          <w:sz w:val="18"/>
        </w:rPr>
        <w:t xml:space="preserve">As discussed in the text </w:t>
      </w:r>
      <w:r>
        <w:rPr>
          <w:rFonts w:ascii="Arial" w:eastAsia="Arial" w:hAnsi="Arial" w:cs="Arial"/>
          <w:i/>
          <w:color w:val="000000"/>
          <w:sz w:val="18"/>
        </w:rPr>
        <w:t>infra</w:t>
      </w:r>
      <w:r>
        <w:rPr>
          <w:rFonts w:ascii="Arial" w:eastAsia="Arial" w:hAnsi="Arial" w:cs="Arial"/>
          <w:color w:val="000000"/>
          <w:sz w:val="18"/>
        </w:rPr>
        <w:t>, the EEOC's position is that oral speech is a job qualification, but not necessarily an "essential function."</w:t>
      </w:r>
    </w:p>
  </w:footnote>
  <w:footnote w:id="99">
    <w:p w14:paraId="6467071A" w14:textId="77777777" w:rsidR="00D041A2" w:rsidRDefault="00000000">
      <w:pPr>
        <w:pStyle w:val="Normal17"/>
        <w:widowControl w:val="0"/>
        <w:spacing w:before="120" w:line="240" w:lineRule="atLeast"/>
        <w:jc w:val="both"/>
      </w:pPr>
      <w:r>
        <w:rPr>
          <w:rFonts w:ascii="Arial" w:eastAsia="Arial" w:hAnsi="Arial" w:cs="Arial"/>
          <w:color w:val="000000"/>
          <w:sz w:val="18"/>
          <w:vertAlign w:val="superscript"/>
        </w:rPr>
        <w:t>9 </w:t>
      </w:r>
      <w:bookmarkStart w:id="2164" w:name="Bookmark_fnpara_10_2"/>
      <w:bookmarkEnd w:id="2164"/>
      <w:r>
        <w:rPr>
          <w:rFonts w:ascii="Arial" w:eastAsia="Arial" w:hAnsi="Arial" w:cs="Arial"/>
          <w:color w:val="000000"/>
          <w:sz w:val="18"/>
        </w:rPr>
        <w:t>The job descriptions (one for "seasonal associate" and one for "performer") listed "strong verbal communication skills" as a "job qualification," not as a duty. I Aplt. App. 99, 101. Both parties seem to accept that "verbal communication" in this instance was meant to convey "oral communication," which is the usage adopted in the majority opinion as well.</w:t>
      </w:r>
    </w:p>
  </w:footnote>
  <w:footnote w:id="100">
    <w:p w14:paraId="5F885E83" w14:textId="77777777" w:rsidR="00D041A2" w:rsidRDefault="00000000">
      <w:pPr>
        <w:pStyle w:val="Normal17"/>
        <w:widowControl w:val="0"/>
        <w:spacing w:before="200" w:line="240" w:lineRule="atLeast"/>
        <w:jc w:val="both"/>
      </w:pPr>
      <w:r>
        <w:rPr>
          <w:rFonts w:ascii="Arial" w:eastAsia="Arial" w:hAnsi="Arial" w:cs="Arial"/>
          <w:color w:val="000000"/>
          <w:sz w:val="18"/>
          <w:vertAlign w:val="superscript"/>
        </w:rPr>
        <w:t>10 </w:t>
      </w:r>
      <w:bookmarkStart w:id="2169" w:name="Bookmark_fnpara_11_2"/>
      <w:bookmarkEnd w:id="2169"/>
      <w:r>
        <w:rPr>
          <w:rFonts w:ascii="Arial" w:eastAsia="Arial" w:hAnsi="Arial" w:cs="Arial"/>
          <w:color w:val="000000"/>
          <w:sz w:val="18"/>
        </w:rPr>
        <w:t xml:space="preserve">The Employer's scant evidence should in any event be disregarded in view of the summary judgment posture of this appeal, because a rational jury could find Ms. Chrysler's evidence on this point more credible than the Employer's. The resulting conclusion that naturally follows such a credibility finding would be that the Employer's decisions were based only on stereotyped assumptions about what Ms. Chrysler could do, rather than on actual observations of how she had in fact performed. See n.5, </w:t>
      </w:r>
      <w:r>
        <w:rPr>
          <w:rFonts w:ascii="Arial" w:eastAsia="Arial" w:hAnsi="Arial" w:cs="Arial"/>
          <w:i/>
          <w:color w:val="000000"/>
          <w:sz w:val="18"/>
        </w:rPr>
        <w:t>supra</w:t>
      </w:r>
      <w:r>
        <w:rPr>
          <w:rFonts w:ascii="Arial" w:eastAsia="Arial" w:hAnsi="Arial" w:cs="Arial"/>
          <w:color w:val="000000"/>
          <w:sz w:val="18"/>
        </w:rPr>
        <w:t>.</w:t>
      </w:r>
    </w:p>
  </w:footnote>
  <w:footnote w:id="101">
    <w:p w14:paraId="0D9EC147" w14:textId="77777777" w:rsidR="00D041A2" w:rsidRDefault="00000000">
      <w:pPr>
        <w:pStyle w:val="Normal17"/>
        <w:widowControl w:val="0"/>
        <w:spacing w:before="200" w:line="240" w:lineRule="atLeast"/>
        <w:jc w:val="both"/>
      </w:pPr>
      <w:r>
        <w:rPr>
          <w:rFonts w:ascii="Arial" w:eastAsia="Arial" w:hAnsi="Arial" w:cs="Arial"/>
          <w:color w:val="000000"/>
          <w:sz w:val="18"/>
          <w:vertAlign w:val="superscript"/>
        </w:rPr>
        <w:t>11 </w:t>
      </w:r>
      <w:bookmarkStart w:id="2179" w:name="Bookmark_fnpara_12_1"/>
      <w:bookmarkEnd w:id="2179"/>
      <w:r>
        <w:rPr>
          <w:rFonts w:ascii="Arial" w:eastAsia="Arial" w:hAnsi="Arial" w:cs="Arial"/>
          <w:color w:val="000000"/>
          <w:sz w:val="18"/>
        </w:rPr>
        <w:t xml:space="preserve">In </w:t>
      </w:r>
      <w:r>
        <w:rPr>
          <w:rFonts w:ascii="Arial" w:eastAsia="Arial" w:hAnsi="Arial" w:cs="Arial"/>
          <w:i/>
          <w:color w:val="000000"/>
          <w:sz w:val="18"/>
        </w:rPr>
        <w:t>Davidson</w:t>
      </w:r>
      <w:r>
        <w:rPr>
          <w:rFonts w:ascii="Arial" w:eastAsia="Arial" w:hAnsi="Arial" w:cs="Arial"/>
          <w:color w:val="000000"/>
          <w:sz w:val="18"/>
        </w:rPr>
        <w:t>, the plaintiff had applied for a job in the employer's customer service call center in Utah.  [**50] The employer staffed the call center with "voicephone" and "non-voicephone" positions. Plaintiff applied for a non-voicephone position, which a deaf person could perform. But the employer required for that position experience in a voicephone position. This requirement, like Picture People's purported requirement that performers have oral communications skills, effectively disqualified all deaf applicants.</w:t>
      </w:r>
    </w:p>
  </w:footnote>
  <w:footnote w:id="102">
    <w:p w14:paraId="1E6973AC" w14:textId="77777777" w:rsidR="00D041A2" w:rsidRDefault="00000000">
      <w:pPr>
        <w:pStyle w:val="Normal17"/>
        <w:widowControl w:val="0"/>
        <w:spacing w:before="200" w:line="240" w:lineRule="atLeast"/>
        <w:jc w:val="both"/>
      </w:pPr>
      <w:r>
        <w:rPr>
          <w:rFonts w:ascii="Arial" w:eastAsia="Arial" w:hAnsi="Arial" w:cs="Arial"/>
          <w:color w:val="000000"/>
          <w:sz w:val="18"/>
          <w:vertAlign w:val="superscript"/>
        </w:rPr>
        <w:t>12 </w:t>
      </w:r>
      <w:bookmarkStart w:id="2192" w:name="Bookmark_fnpara_13_1"/>
      <w:bookmarkEnd w:id="2192"/>
      <w:r>
        <w:rPr>
          <w:rFonts w:ascii="Arial" w:eastAsia="Arial" w:hAnsi="Arial" w:cs="Arial"/>
          <w:color w:val="000000"/>
          <w:sz w:val="18"/>
        </w:rPr>
        <w:t xml:space="preserve">Ms. Chrysler's supervisor wrote a message saying that Ms. Chrysler was "threatening discrimination," but no one disputes that this confusing language referred to Ms. Chrysler raising the issue of the Employer's discriminatory behavior. III Aplt. App. 704a-706a.; </w:t>
      </w:r>
      <w:r>
        <w:rPr>
          <w:rFonts w:ascii="Arial" w:eastAsia="Arial" w:hAnsi="Arial" w:cs="Arial"/>
          <w:i/>
          <w:color w:val="000000"/>
          <w:sz w:val="18"/>
        </w:rPr>
        <w:t>supra</w:t>
      </w:r>
      <w:r>
        <w:rPr>
          <w:rFonts w:ascii="Arial" w:eastAsia="Arial" w:hAnsi="Arial" w:cs="Arial"/>
          <w:color w:val="000000"/>
          <w:sz w:val="18"/>
        </w:rPr>
        <w:t xml:space="preserve"> n.6.</w:t>
      </w:r>
    </w:p>
  </w:footnote>
  <w:footnote w:id="103">
    <w:p w14:paraId="4E874DC6" w14:textId="77777777" w:rsidR="00D041A2" w:rsidRDefault="00000000">
      <w:pPr>
        <w:pStyle w:val="Normal17"/>
        <w:widowControl w:val="0"/>
        <w:spacing w:before="200" w:line="240" w:lineRule="atLeast"/>
        <w:jc w:val="both"/>
      </w:pPr>
      <w:r>
        <w:rPr>
          <w:rFonts w:ascii="Arial" w:eastAsia="Arial" w:hAnsi="Arial" w:cs="Arial"/>
          <w:color w:val="000000"/>
          <w:sz w:val="18"/>
          <w:vertAlign w:val="superscript"/>
        </w:rPr>
        <w:t>13 </w:t>
      </w:r>
      <w:bookmarkStart w:id="2209" w:name="Bookmark_fnpara_14_1"/>
      <w:bookmarkEnd w:id="2209"/>
      <w:r>
        <w:rPr>
          <w:rFonts w:ascii="Arial" w:eastAsia="Arial" w:hAnsi="Arial" w:cs="Arial"/>
          <w:color w:val="000000"/>
          <w:sz w:val="18"/>
        </w:rPr>
        <w:t>The majority also cites Ms. Chrysler's supposed inability to perform  [**56] all of the functions of the job to excuse the Employer's actions. I have already explained my disagreement with that thesis.</w:t>
      </w:r>
    </w:p>
  </w:footnote>
  <w:footnote w:id="104">
    <w:p w14:paraId="37BF78ED" w14:textId="77777777" w:rsidR="00D041A2" w:rsidRDefault="00000000">
      <w:pPr>
        <w:pStyle w:val="Normal18"/>
        <w:widowControl w:val="0"/>
        <w:spacing w:before="120" w:line="240" w:lineRule="atLeast"/>
        <w:jc w:val="both"/>
      </w:pPr>
      <w:r>
        <w:rPr>
          <w:rFonts w:ascii="Arial" w:eastAsia="Arial" w:hAnsi="Arial" w:cs="Arial"/>
          <w:color w:val="000000"/>
          <w:sz w:val="18"/>
          <w:vertAlign w:val="superscript"/>
        </w:rPr>
        <w:t>* </w:t>
      </w:r>
      <w:bookmarkStart w:id="2213" w:name="Bookmark_fnpara_1_15"/>
      <w:bookmarkEnd w:id="2213"/>
      <w:r>
        <w:rPr>
          <w:rFonts w:ascii="Arial" w:eastAsia="Arial" w:hAnsi="Arial" w:cs="Arial"/>
          <w:color w:val="000000"/>
          <w:sz w:val="18"/>
        </w:rPr>
        <w:t>After examining the briefs and the record, we have concluded that oral argument is unnecessary. Thus, the appeal is submitted on the briefs and record. See FED. R. APP. P. 34(a)(2)(C).</w:t>
      </w:r>
    </w:p>
  </w:footnote>
  <w:footnote w:id="105">
    <w:p w14:paraId="478EE753" w14:textId="77777777" w:rsidR="00D041A2" w:rsidRDefault="00000000">
      <w:pPr>
        <w:pStyle w:val="Normal19"/>
        <w:widowControl w:val="0"/>
        <w:spacing w:before="200" w:line="240" w:lineRule="atLeast"/>
        <w:jc w:val="both"/>
      </w:pPr>
      <w:r>
        <w:rPr>
          <w:rFonts w:ascii="Arial" w:eastAsia="Arial" w:hAnsi="Arial" w:cs="Arial"/>
          <w:color w:val="000000"/>
          <w:sz w:val="18"/>
          <w:vertAlign w:val="superscript"/>
        </w:rPr>
        <w:t>* </w:t>
      </w:r>
      <w:bookmarkStart w:id="2275" w:name="Bookmark_fnpara_1_16"/>
      <w:bookmarkEnd w:id="2275"/>
      <w:r>
        <w:rPr>
          <w:rFonts w:ascii="Arial" w:eastAsia="Arial" w:hAnsi="Arial" w:cs="Arial"/>
          <w:color w:val="000000"/>
          <w:sz w:val="18"/>
        </w:rPr>
        <w:t xml:space="preserve">Pursuant to </w:t>
      </w:r>
      <w:r>
        <w:rPr>
          <w:rFonts w:ascii="Arial" w:eastAsia="Arial" w:hAnsi="Arial" w:cs="Arial"/>
          <w:smallCaps/>
          <w:color w:val="000000"/>
          <w:sz w:val="18"/>
        </w:rPr>
        <w:t>5th Cir. R.</w:t>
      </w:r>
      <w:r>
        <w:rPr>
          <w:rFonts w:ascii="Arial" w:eastAsia="Arial" w:hAnsi="Arial" w:cs="Arial"/>
          <w:color w:val="000000"/>
          <w:sz w:val="18"/>
        </w:rPr>
        <w:t xml:space="preserve"> 47.5, the court has determined that this opinion should not be published and is not precedent except under the limited circumstances set forth in </w:t>
      </w:r>
      <w:r>
        <w:rPr>
          <w:rFonts w:ascii="Arial" w:eastAsia="Arial" w:hAnsi="Arial" w:cs="Arial"/>
          <w:smallCaps/>
          <w:color w:val="000000"/>
          <w:sz w:val="18"/>
        </w:rPr>
        <w:t>5th Cir. R.</w:t>
      </w:r>
      <w:r>
        <w:rPr>
          <w:rFonts w:ascii="Arial" w:eastAsia="Arial" w:hAnsi="Arial" w:cs="Arial"/>
          <w:color w:val="000000"/>
          <w:sz w:val="18"/>
        </w:rPr>
        <w:t xml:space="preserve"> 47.5.4.</w:t>
      </w:r>
    </w:p>
  </w:footnote>
  <w:footnote w:id="106">
    <w:p w14:paraId="504D4314" w14:textId="77777777" w:rsidR="00D041A2" w:rsidRDefault="00000000">
      <w:pPr>
        <w:pStyle w:val="Normal19"/>
        <w:widowControl w:val="0"/>
        <w:spacing w:before="200" w:line="240" w:lineRule="atLeast"/>
        <w:jc w:val="both"/>
      </w:pPr>
      <w:r>
        <w:rPr>
          <w:rFonts w:ascii="Arial" w:eastAsia="Arial" w:hAnsi="Arial" w:cs="Arial"/>
          <w:color w:val="000000"/>
          <w:sz w:val="18"/>
          <w:vertAlign w:val="superscript"/>
        </w:rPr>
        <w:t>1 </w:t>
      </w:r>
      <w:bookmarkStart w:id="2313" w:name="Bookmark_fnpara_2_14"/>
      <w:bookmarkStart w:id="2314" w:name="Bookmark_LNHNREFclscc6_12"/>
      <w:bookmarkEnd w:id="2313"/>
      <w:bookmarkEnd w:id="2314"/>
      <w:r>
        <w:rPr>
          <w:rFonts w:ascii="Arial" w:eastAsia="Arial" w:hAnsi="Arial" w:cs="Arial"/>
          <w:color w:val="000000"/>
          <w:sz w:val="18"/>
        </w:rPr>
        <w:t xml:space="preserve">Section 504 of the Rehabilitation Act provides nearly identical language. </w:t>
      </w:r>
      <w:bookmarkStart w:id="2315" w:name="Bookmark_LNHNREFclscc7_12"/>
      <w:bookmarkEnd w:id="2315"/>
      <w:r>
        <w:rPr>
          <w:rFonts w:ascii="Arial" w:eastAsia="Arial" w:hAnsi="Arial" w:cs="Arial"/>
          <w:color w:val="000000"/>
          <w:sz w:val="18"/>
        </w:rPr>
        <w:t xml:space="preserve">"No otherwise qualified individual with a disability in the United States, . . . , shall, solely by reason of her or his disability, be excluded from the participation in, be denied the benefits of, or be subjected  [**9] to discrimination under any program or activity receiving Federal financial assistance." 29 U.S.C. § 794(a). Because </w:t>
      </w:r>
      <w:bookmarkStart w:id="2316" w:name="Bookmark_LNHNREFclscc8_12"/>
      <w:bookmarkEnd w:id="2316"/>
      <w:r>
        <w:rPr>
          <w:rFonts w:ascii="Arial" w:eastAsia="Arial" w:hAnsi="Arial" w:cs="Arial"/>
          <w:color w:val="000000"/>
          <w:sz w:val="18"/>
        </w:rPr>
        <w:t xml:space="preserve">the language and standards are virtually identical for Title II of the ADA and Section 504 of the Rehabilitation Act, we consider Greer's claims under both statutes concurrently but will refer only to the ADA for brevity. </w:t>
      </w:r>
      <w:r>
        <w:rPr>
          <w:rFonts w:ascii="Arial" w:eastAsia="Arial" w:hAnsi="Arial" w:cs="Arial"/>
          <w:i/>
          <w:color w:val="000000"/>
          <w:sz w:val="18"/>
        </w:rPr>
        <w:t>See</w:t>
      </w:r>
      <w:r>
        <w:rPr>
          <w:rFonts w:ascii="Arial" w:eastAsia="Arial" w:hAnsi="Arial" w:cs="Arial"/>
          <w:color w:val="000000"/>
          <w:sz w:val="18"/>
        </w:rPr>
        <w:t xml:space="preserve"> 28 C.F.R. pt. 35, app. B (</w:t>
      </w:r>
      <w:bookmarkStart w:id="2317" w:name="Bookmark_LNHNREFclscc9_12"/>
      <w:bookmarkEnd w:id="2317"/>
      <w:r>
        <w:rPr>
          <w:rFonts w:ascii="Arial" w:eastAsia="Arial" w:hAnsi="Arial" w:cs="Arial"/>
          <w:color w:val="000000"/>
          <w:sz w:val="18"/>
        </w:rPr>
        <w:t>"Because title II of the ADA essentially extends the antidiscrimination prohibition embodied in section 504 to all actions of State and local governments, the standards adopted in this part are generally the same as those required under section 504 for federally assisted programs.").</w:t>
      </w:r>
    </w:p>
  </w:footnote>
  <w:footnote w:id="107">
    <w:p w14:paraId="3F132DA2" w14:textId="77777777" w:rsidR="00D041A2" w:rsidRDefault="00000000">
      <w:pPr>
        <w:pStyle w:val="Normal19"/>
        <w:widowControl w:val="0"/>
        <w:spacing w:before="120" w:line="240" w:lineRule="atLeast"/>
        <w:jc w:val="both"/>
      </w:pPr>
      <w:r>
        <w:rPr>
          <w:rFonts w:ascii="Arial" w:eastAsia="Arial" w:hAnsi="Arial" w:cs="Arial"/>
          <w:color w:val="000000"/>
          <w:sz w:val="18"/>
          <w:vertAlign w:val="superscript"/>
        </w:rPr>
        <w:t>2 </w:t>
      </w:r>
      <w:bookmarkStart w:id="2319" w:name="Bookmark_fnpara_3_11"/>
      <w:bookmarkStart w:id="2320" w:name="Bookmark_LNHNREFclscc10_11"/>
      <w:bookmarkEnd w:id="2319"/>
      <w:bookmarkEnd w:id="2320"/>
      <w:r>
        <w:rPr>
          <w:rFonts w:ascii="Arial" w:eastAsia="Arial" w:hAnsi="Arial" w:cs="Arial"/>
          <w:color w:val="000000"/>
          <w:sz w:val="18"/>
        </w:rPr>
        <w:t>The Rehabilitation Act has a set of standards nearly identical to the ADAAG called the Uniform Federal Accessibility Standards ("UFAS"). 41 C.F.R. pt. 101-19.6, app. A. Public entities subject to Title II may comply with either set of standards when constructing a new facility or altering an existing facility. 28 C.F.R. § 35.151(c).</w:t>
      </w:r>
    </w:p>
  </w:footnote>
  <w:footnote w:id="108">
    <w:p w14:paraId="5DCA71BF" w14:textId="77777777" w:rsidR="00D041A2" w:rsidRDefault="00000000">
      <w:pPr>
        <w:pStyle w:val="Normal19"/>
        <w:widowControl w:val="0"/>
        <w:spacing w:before="200" w:line="240" w:lineRule="atLeast"/>
        <w:jc w:val="both"/>
      </w:pPr>
      <w:r>
        <w:rPr>
          <w:rFonts w:ascii="Arial" w:eastAsia="Arial" w:hAnsi="Arial" w:cs="Arial"/>
          <w:color w:val="000000"/>
          <w:sz w:val="18"/>
          <w:vertAlign w:val="superscript"/>
        </w:rPr>
        <w:t>3 </w:t>
      </w:r>
      <w:bookmarkStart w:id="2330" w:name="Bookmark_fnpara_4_7"/>
      <w:bookmarkStart w:id="2331" w:name="Bookmark_I55BDMPJ2D6MT40040000400"/>
      <w:bookmarkStart w:id="2332" w:name="Bookmark_LNHNREFclscc13_8"/>
      <w:bookmarkEnd w:id="2330"/>
      <w:bookmarkEnd w:id="2331"/>
      <w:bookmarkEnd w:id="2332"/>
      <w:r>
        <w:rPr>
          <w:rFonts w:ascii="Arial" w:eastAsia="Arial" w:hAnsi="Arial" w:cs="Arial"/>
          <w:color w:val="000000"/>
          <w:sz w:val="18"/>
        </w:rPr>
        <w:t xml:space="preserve">While there is little precedent in this circuit regarding the application of the ADAAG to existing facilities, we note that courts in various other circuits have refused to strictly apply ADAAG requirements to existing facilities but instead rely on the ADAAG for guidance. </w:t>
      </w:r>
      <w:r>
        <w:rPr>
          <w:rFonts w:ascii="Arial" w:eastAsia="Arial" w:hAnsi="Arial" w:cs="Arial"/>
          <w:i/>
          <w:color w:val="000000"/>
          <w:sz w:val="18"/>
        </w:rPr>
        <w:t xml:space="preserve">See, e.g., </w:t>
      </w:r>
      <w:bookmarkStart w:id="2333" w:name="Bookmark_I55BDMPJ2D6MT40030000400"/>
      <w:bookmarkEnd w:id="2333"/>
      <w:r>
        <w:rPr>
          <w:rFonts w:ascii="Arial" w:eastAsia="Arial" w:hAnsi="Arial" w:cs="Arial"/>
          <w:i/>
          <w:color w:val="000000"/>
          <w:sz w:val="18"/>
        </w:rPr>
        <w:t>Chaffin v. Kan. State Fair Bd.,</w:t>
      </w:r>
      <w:r>
        <w:rPr>
          <w:rFonts w:ascii="Arial" w:eastAsia="Arial" w:hAnsi="Arial" w:cs="Arial"/>
          <w:color w:val="000000"/>
          <w:sz w:val="18"/>
        </w:rPr>
        <w:t xml:space="preserve"> 348 F.3d 850, 861 (10th Cir. 2003) ("[W]hen determining the compliance of existing  [**12] facilities with the ADA under program accessibility, courts must look at the accessibility of the facilities as a whole, not at individual elements.") (citation and internal quotation omitted); </w:t>
      </w:r>
      <w:bookmarkStart w:id="2334" w:name="Bookmark_I55BDMPJ2D6MT40050000400"/>
      <w:bookmarkEnd w:id="2334"/>
      <w:r>
        <w:rPr>
          <w:rFonts w:ascii="Arial" w:eastAsia="Arial" w:hAnsi="Arial" w:cs="Arial"/>
          <w:i/>
          <w:color w:val="000000"/>
          <w:sz w:val="18"/>
        </w:rPr>
        <w:t>Parker v. Universidad de P.R.,</w:t>
      </w:r>
      <w:r>
        <w:rPr>
          <w:rFonts w:ascii="Arial" w:eastAsia="Arial" w:hAnsi="Arial" w:cs="Arial"/>
          <w:color w:val="000000"/>
          <w:sz w:val="18"/>
        </w:rPr>
        <w:t xml:space="preserve"> 225 F.3d 1, 6 (1st Cir. 2000) ("Title II's emphasis on 'program accessibility' rather than 'facilities accessibility' was intended to ensure broad access to public services, while, at the same time, providing public entities with the flexibility to choose how best to make access available."); </w:t>
      </w:r>
      <w:bookmarkStart w:id="2335" w:name="Bookmark_I55BDMPJ2N1RSF0020000400"/>
      <w:bookmarkEnd w:id="2335"/>
      <w:r>
        <w:rPr>
          <w:rFonts w:ascii="Arial" w:eastAsia="Arial" w:hAnsi="Arial" w:cs="Arial"/>
          <w:i/>
          <w:color w:val="000000"/>
          <w:sz w:val="18"/>
        </w:rPr>
        <w:t>Ass'n for Disabled Ams. v. City of Orlando,</w:t>
      </w:r>
      <w:r>
        <w:rPr>
          <w:rFonts w:ascii="Arial" w:eastAsia="Arial" w:hAnsi="Arial" w:cs="Arial"/>
          <w:color w:val="000000"/>
          <w:sz w:val="18"/>
        </w:rPr>
        <w:t xml:space="preserve"> 153 F. Supp. 2d 1310, 1322 (M.D. Fla. 2001) ("Title II, the regulations implementing it, and the (admittedly sparse) case law interpreting it, do not require that facilities built prior to 1992 comply with the stringent technical standards imposed on facilities built after 1992."); </w:t>
      </w:r>
      <w:bookmarkStart w:id="2336" w:name="Bookmark_I55BDMPJ2N1RSF0040000400"/>
      <w:bookmarkEnd w:id="2336"/>
      <w:r>
        <w:rPr>
          <w:rFonts w:ascii="Arial" w:eastAsia="Arial" w:hAnsi="Arial" w:cs="Arial"/>
          <w:i/>
          <w:color w:val="000000"/>
          <w:sz w:val="18"/>
        </w:rPr>
        <w:t>Access Now, Inc. v. S. Fla. Stadium Corp.,</w:t>
      </w:r>
      <w:r>
        <w:rPr>
          <w:rFonts w:ascii="Arial" w:eastAsia="Arial" w:hAnsi="Arial" w:cs="Arial"/>
          <w:color w:val="000000"/>
          <w:sz w:val="18"/>
        </w:rPr>
        <w:t xml:space="preserve"> 161 F. Supp. 2d 1357, 1368 (S.D. Fla. 2001); </w:t>
      </w:r>
      <w:bookmarkStart w:id="2337" w:name="Bookmark_I55BDMPJ2N1RSG0010000400"/>
      <w:bookmarkEnd w:id="2337"/>
      <w:r>
        <w:rPr>
          <w:rFonts w:ascii="Arial" w:eastAsia="Arial" w:hAnsi="Arial" w:cs="Arial"/>
          <w:i/>
          <w:color w:val="000000"/>
          <w:sz w:val="18"/>
        </w:rPr>
        <w:t>Pascuiti v. N.Y. Yankees,</w:t>
      </w:r>
      <w:r>
        <w:rPr>
          <w:rFonts w:ascii="Arial" w:eastAsia="Arial" w:hAnsi="Arial" w:cs="Arial"/>
          <w:color w:val="000000"/>
          <w:sz w:val="18"/>
        </w:rPr>
        <w:t xml:space="preserve"> 87 F. Supp. 2d 221, 226 (S.D.N.Y. 1999) ("[E]ven though only new construction and alterations must comply with the [ADAAG] Standards, those Standards nevertheless provide valuable guidance . . . . Deviation from the standards is relevant but  [**13] not determinative; it is one consideration from which the court may conclude that noncompliance impedes access.").</w:t>
      </w:r>
    </w:p>
  </w:footnote>
  <w:footnote w:id="109">
    <w:p w14:paraId="3A7A9AAF" w14:textId="77777777" w:rsidR="00D041A2" w:rsidRDefault="00000000">
      <w:pPr>
        <w:pStyle w:val="Normal19"/>
        <w:widowControl w:val="0"/>
        <w:spacing w:before="120" w:line="240" w:lineRule="atLeast"/>
        <w:jc w:val="both"/>
      </w:pPr>
      <w:r>
        <w:rPr>
          <w:rFonts w:ascii="Arial" w:eastAsia="Arial" w:hAnsi="Arial" w:cs="Arial"/>
          <w:color w:val="000000"/>
          <w:sz w:val="18"/>
          <w:vertAlign w:val="superscript"/>
        </w:rPr>
        <w:t>4 </w:t>
      </w:r>
      <w:bookmarkStart w:id="2347" w:name="Bookmark_fnpara_5_7"/>
      <w:bookmarkEnd w:id="2347"/>
      <w:r>
        <w:rPr>
          <w:rFonts w:ascii="Arial" w:eastAsia="Arial" w:hAnsi="Arial" w:cs="Arial"/>
          <w:color w:val="000000"/>
          <w:sz w:val="18"/>
        </w:rPr>
        <w:t>Greer fails to recognize this difference and attempts to equate her situation with a black spectator forced to watch the game from an area separated from the general public bleacher seating. Reply Brief for Appellant at 12-13. This is a flawed analogy and evidences a misunderstanding of disability discrimination claims under the ADA.</w:t>
      </w:r>
    </w:p>
  </w:footnote>
  <w:footnote w:id="110">
    <w:p w14:paraId="0C8CED71" w14:textId="77777777" w:rsidR="00D041A2" w:rsidRDefault="00000000">
      <w:pPr>
        <w:pStyle w:val="Normal19"/>
        <w:widowControl w:val="0"/>
        <w:spacing w:before="200" w:line="240" w:lineRule="atLeast"/>
        <w:jc w:val="both"/>
      </w:pPr>
      <w:r>
        <w:rPr>
          <w:rFonts w:ascii="Arial" w:eastAsia="Arial" w:hAnsi="Arial" w:cs="Arial"/>
          <w:color w:val="000000"/>
          <w:sz w:val="18"/>
          <w:vertAlign w:val="superscript"/>
        </w:rPr>
        <w:t>5 </w:t>
      </w:r>
      <w:bookmarkStart w:id="2357" w:name="Bookmark_fnpara_6_6"/>
      <w:bookmarkStart w:id="2358" w:name="Bookmark_I55BDMPJ28T4DG0030000400"/>
      <w:bookmarkEnd w:id="2357"/>
      <w:bookmarkEnd w:id="2358"/>
      <w:r>
        <w:rPr>
          <w:rFonts w:ascii="Arial" w:eastAsia="Arial" w:hAnsi="Arial" w:cs="Arial"/>
          <w:color w:val="000000"/>
          <w:sz w:val="18"/>
        </w:rPr>
        <w:t xml:space="preserve">The basis for much of the confusion appears to be Greer's insistence throughout the litigation to apply a strict, technical definition of "accessible" as defined in the ADAAG to mean compliance with the ADAAG standards. She fails to appreciate that the word "accessible" was used throughout the litigation to discuss whether events at Berkner B were accessible in the context of "program accessibility," as opposed to accessible under the technical limits of the ADAAG. </w:t>
      </w:r>
      <w:r>
        <w:rPr>
          <w:rFonts w:ascii="Arial" w:eastAsia="Arial" w:hAnsi="Arial" w:cs="Arial"/>
          <w:i/>
          <w:color w:val="000000"/>
          <w:sz w:val="18"/>
        </w:rPr>
        <w:t xml:space="preserve">See, e.g., </w:t>
      </w:r>
      <w:bookmarkStart w:id="2359" w:name="Bookmark_I55BDMPJ28T4DG0020000400"/>
      <w:bookmarkEnd w:id="2359"/>
      <w:r>
        <w:rPr>
          <w:rFonts w:ascii="Arial" w:eastAsia="Arial" w:hAnsi="Arial" w:cs="Arial"/>
          <w:i/>
          <w:color w:val="000000"/>
          <w:sz w:val="18"/>
        </w:rPr>
        <w:t>Greer I,</w:t>
      </w:r>
      <w:r>
        <w:rPr>
          <w:rFonts w:ascii="Arial" w:eastAsia="Arial" w:hAnsi="Arial" w:cs="Arial"/>
          <w:color w:val="000000"/>
          <w:sz w:val="18"/>
        </w:rPr>
        <w:t xml:space="preserve"> 752 F. Supp. 2d at 754 ("Greer's own testimony shows that events at Berkner B Field as a whole are </w:t>
      </w:r>
      <w:r>
        <w:rPr>
          <w:rFonts w:ascii="Arial" w:eastAsia="Arial" w:hAnsi="Arial" w:cs="Arial"/>
          <w:i/>
          <w:color w:val="000000"/>
          <w:sz w:val="18"/>
        </w:rPr>
        <w:t>accessible</w:t>
      </w:r>
      <w:r>
        <w:rPr>
          <w:rFonts w:ascii="Arial" w:eastAsia="Arial" w:hAnsi="Arial" w:cs="Arial"/>
          <w:color w:val="000000"/>
          <w:sz w:val="18"/>
        </w:rPr>
        <w:t xml:space="preserve"> to wheelchair-bound individuals.") (emphasis added).</w:t>
      </w:r>
    </w:p>
  </w:footnote>
  <w:footnote w:id="111">
    <w:p w14:paraId="157DAE91" w14:textId="77777777" w:rsidR="00D041A2" w:rsidRDefault="00000000">
      <w:pPr>
        <w:pStyle w:val="Normal19"/>
        <w:widowControl w:val="0"/>
        <w:spacing w:before="200" w:line="240" w:lineRule="atLeast"/>
        <w:jc w:val="both"/>
      </w:pPr>
      <w:r>
        <w:rPr>
          <w:rFonts w:ascii="Arial" w:eastAsia="Arial" w:hAnsi="Arial" w:cs="Arial"/>
          <w:color w:val="000000"/>
          <w:sz w:val="18"/>
          <w:vertAlign w:val="superscript"/>
        </w:rPr>
        <w:t>6 </w:t>
      </w:r>
      <w:bookmarkStart w:id="2365" w:name="Bookmark_fnpara_7_6"/>
      <w:bookmarkEnd w:id="2365"/>
      <w:r>
        <w:rPr>
          <w:rFonts w:ascii="Arial" w:eastAsia="Arial" w:hAnsi="Arial" w:cs="Arial"/>
          <w:color w:val="000000"/>
          <w:sz w:val="18"/>
        </w:rPr>
        <w:t xml:space="preserve">While Greer repeatedly cites her expert's report that states the track surface does not comply with ADAAG, her expert subsequently testified that he "d[idn't] have any idea" whether a wheelchair could roll on the track surface. </w:t>
      </w:r>
      <w:bookmarkStart w:id="2366" w:name="Bookmark_I55BDMPJ28T4DG0040000400"/>
      <w:bookmarkEnd w:id="2366"/>
      <w:r>
        <w:rPr>
          <w:rFonts w:ascii="Arial" w:eastAsia="Arial" w:hAnsi="Arial" w:cs="Arial"/>
          <w:i/>
          <w:color w:val="000000"/>
          <w:sz w:val="18"/>
        </w:rPr>
        <w:t>Greer I,</w:t>
      </w:r>
      <w:r>
        <w:rPr>
          <w:rFonts w:ascii="Arial" w:eastAsia="Arial" w:hAnsi="Arial" w:cs="Arial"/>
          <w:color w:val="000000"/>
          <w:sz w:val="18"/>
        </w:rPr>
        <w:t xml:space="preserve"> 752 F. Supp. 2d at 755.</w:t>
      </w:r>
    </w:p>
  </w:footnote>
  <w:footnote w:id="112">
    <w:p w14:paraId="119EB217" w14:textId="77777777" w:rsidR="00D041A2" w:rsidRDefault="00000000">
      <w:pPr>
        <w:pStyle w:val="Normal19"/>
        <w:widowControl w:val="0"/>
        <w:spacing w:before="200" w:line="240" w:lineRule="atLeast"/>
        <w:jc w:val="both"/>
      </w:pPr>
      <w:r>
        <w:rPr>
          <w:rFonts w:ascii="Arial" w:eastAsia="Arial" w:hAnsi="Arial" w:cs="Arial"/>
          <w:color w:val="000000"/>
          <w:sz w:val="18"/>
          <w:vertAlign w:val="superscript"/>
        </w:rPr>
        <w:t>7 </w:t>
      </w:r>
      <w:bookmarkStart w:id="2367" w:name="Bookmark_fnpara_8_5"/>
      <w:bookmarkStart w:id="2368" w:name="Bookmark_I7GG5JT2D5F000G4PRN0010D"/>
      <w:bookmarkStart w:id="2369" w:name="Bookmark_I55BDMPJ2D6MT50020000400"/>
      <w:bookmarkEnd w:id="2367"/>
      <w:bookmarkEnd w:id="2368"/>
      <w:bookmarkEnd w:id="2369"/>
      <w:r>
        <w:rPr>
          <w:rFonts w:ascii="Arial" w:eastAsia="Arial" w:hAnsi="Arial" w:cs="Arial"/>
          <w:color w:val="000000"/>
          <w:sz w:val="18"/>
        </w:rPr>
        <w:t xml:space="preserve">We note that this type of borderline misrepresentation has been present throughout the case. The district court, upon recommendation of a magistrate judge, awarded attorneys' fees to RISD due to Greer's counsels' reckless arguments in her motion for summary judgment. </w:t>
      </w:r>
      <w:r>
        <w:rPr>
          <w:rFonts w:ascii="Arial" w:eastAsia="Arial" w:hAnsi="Arial" w:cs="Arial"/>
          <w:i/>
          <w:color w:val="000000"/>
          <w:sz w:val="18"/>
        </w:rPr>
        <w:t xml:space="preserve">See </w:t>
      </w:r>
      <w:bookmarkStart w:id="2370" w:name="Bookmark_I55BDMPJ2D6MT50010000400"/>
      <w:bookmarkEnd w:id="2370"/>
      <w:r>
        <w:rPr>
          <w:rFonts w:ascii="Arial" w:eastAsia="Arial" w:hAnsi="Arial" w:cs="Arial"/>
          <w:i/>
          <w:color w:val="000000"/>
          <w:sz w:val="18"/>
        </w:rPr>
        <w:t>Greer v. Richardson Indep. School Dist.,</w:t>
      </w:r>
      <w:r>
        <w:rPr>
          <w:rFonts w:ascii="Arial" w:eastAsia="Arial" w:hAnsi="Arial" w:cs="Arial"/>
          <w:color w:val="000000"/>
          <w:sz w:val="18"/>
        </w:rPr>
        <w:t xml:space="preserve"> No. 3:08-CV-0160-M, 2011 U.S. Dist. LEXIS 89367, 2011 WL 3555851, at *2 (N.D. Tex. Apr. 12, 2011), </w:t>
      </w:r>
      <w:r>
        <w:rPr>
          <w:rFonts w:ascii="Arial" w:eastAsia="Arial" w:hAnsi="Arial" w:cs="Arial"/>
          <w:i/>
          <w:color w:val="000000"/>
          <w:sz w:val="18"/>
        </w:rPr>
        <w:t>adopted as modified by</w:t>
      </w:r>
      <w:r>
        <w:rPr>
          <w:rFonts w:ascii="Arial" w:eastAsia="Arial" w:hAnsi="Arial" w:cs="Arial"/>
          <w:color w:val="000000"/>
          <w:sz w:val="18"/>
        </w:rPr>
        <w:t xml:space="preserve"> 2011 U.S. Dist. LEXIS 89411, 2011 WL 3555779 (N.D. Tex. Aug 11, 2011) ("Plaintiff's counsel sought to misdirect the Court with respect to this [undue burden] defense by  [**21] arguing that Defendant's expert witness, Michael Longanecker, 'agreed that the facilities at Berkner B Field were not accessible.' The District Court called this argument 'misleading at worst' and 'consistently confus[ing]' at best and held that Longanecker's testimony 'clearly states that specific elements of Berkner B Field did not comply with [ADAAG], but that the program as a whole is nevertheless accessible.'").</w:t>
      </w:r>
    </w:p>
    <w:p w14:paraId="1022E5CA" w14:textId="77777777" w:rsidR="00D041A2" w:rsidRDefault="00000000">
      <w:pPr>
        <w:pStyle w:val="Normal19"/>
        <w:widowControl w:val="0"/>
        <w:spacing w:before="120" w:line="240" w:lineRule="atLeast"/>
        <w:jc w:val="both"/>
      </w:pPr>
      <w:bookmarkStart w:id="2371" w:name="Bookmark_fnpara_9_4"/>
      <w:bookmarkEnd w:id="2371"/>
      <w:r>
        <w:rPr>
          <w:rFonts w:ascii="Arial" w:eastAsia="Arial" w:hAnsi="Arial" w:cs="Arial"/>
          <w:color w:val="000000"/>
          <w:sz w:val="18"/>
        </w:rPr>
        <w:t>Greer's counsel continues to push the limits in their briefs before this court. For example, Greer's opening brief states, in part: "The undisputed facts show that there is no way to view the program, service, or activity at Berkner in its entirety as readily accessible to and usable by individuals with disabilities, when there is nothing readily accessible to and usable at Berkner stadium." Brief for Appellant at 25-26. Greer's own testimony belies the statement that "nothing is readily accessible" as Greer testified that she was able to park at the stadium, purchase a ticket, enter the stadium, make a purchase at the concession stand, and watch at least a portion of the game.</w:t>
      </w:r>
    </w:p>
  </w:footnote>
  <w:footnote w:id="113">
    <w:p w14:paraId="25D62A29" w14:textId="77777777" w:rsidR="00D041A2" w:rsidRDefault="00000000">
      <w:pPr>
        <w:pStyle w:val="Normal19"/>
        <w:widowControl w:val="0"/>
        <w:spacing w:before="120" w:line="240" w:lineRule="atLeast"/>
        <w:jc w:val="both"/>
      </w:pPr>
      <w:r>
        <w:rPr>
          <w:rFonts w:ascii="Arial" w:eastAsia="Arial" w:hAnsi="Arial" w:cs="Arial"/>
          <w:color w:val="000000"/>
          <w:sz w:val="18"/>
          <w:vertAlign w:val="superscript"/>
        </w:rPr>
        <w:t>8 </w:t>
      </w:r>
      <w:bookmarkStart w:id="2378" w:name="Bookmark_fnpara_10_3"/>
      <w:bookmarkEnd w:id="2378"/>
      <w:r>
        <w:rPr>
          <w:rFonts w:ascii="Arial" w:eastAsia="Arial" w:hAnsi="Arial" w:cs="Arial"/>
          <w:color w:val="000000"/>
          <w:sz w:val="18"/>
        </w:rPr>
        <w:t>Greer was asked during her deposition, "Did you ask anyone whether there were other places to set up?" She answered, "No, and I shouldn't have to." She was also asked "Did you ask [the person selling tickets at the entrance to the stadium] about accessibility when you got there?" Greer answered: "No, because I was right at the gate. I didn't really experience anything until I got past that gentleman."</w:t>
      </w:r>
    </w:p>
  </w:footnote>
  <w:footnote w:id="114">
    <w:p w14:paraId="241C2E14" w14:textId="77777777" w:rsidR="00D041A2" w:rsidRDefault="00000000">
      <w:pPr>
        <w:pStyle w:val="Normal19"/>
        <w:widowControl w:val="0"/>
        <w:spacing w:before="200" w:line="240" w:lineRule="atLeast"/>
        <w:jc w:val="both"/>
      </w:pPr>
      <w:r>
        <w:rPr>
          <w:rFonts w:ascii="Arial" w:eastAsia="Arial" w:hAnsi="Arial" w:cs="Arial"/>
          <w:color w:val="000000"/>
          <w:sz w:val="18"/>
          <w:vertAlign w:val="superscript"/>
        </w:rPr>
        <w:t>9 </w:t>
      </w:r>
      <w:bookmarkStart w:id="2383" w:name="Bookmark_fnpara_11_3"/>
      <w:bookmarkEnd w:id="2383"/>
      <w:r>
        <w:rPr>
          <w:rFonts w:ascii="Arial" w:eastAsia="Arial" w:hAnsi="Arial" w:cs="Arial"/>
          <w:color w:val="000000"/>
          <w:sz w:val="18"/>
        </w:rPr>
        <w:t xml:space="preserve">In an employment context, there is a general responsibility for an individual with a disability to inform the employer that an accommodation is needed. </w:t>
      </w:r>
      <w:bookmarkStart w:id="2384" w:name="Bookmark_I55BDMPJ2D6MT60010000400"/>
      <w:bookmarkEnd w:id="2384"/>
      <w:r>
        <w:rPr>
          <w:rFonts w:ascii="Arial" w:eastAsia="Arial" w:hAnsi="Arial" w:cs="Arial"/>
          <w:i/>
          <w:color w:val="000000"/>
          <w:sz w:val="18"/>
        </w:rPr>
        <w:t>Taylor v. Principal Fin. Grp., Inc.,</w:t>
      </w:r>
      <w:r>
        <w:rPr>
          <w:rFonts w:ascii="Arial" w:eastAsia="Arial" w:hAnsi="Arial" w:cs="Arial"/>
          <w:color w:val="000000"/>
          <w:sz w:val="18"/>
        </w:rPr>
        <w:t xml:space="preserve"> 93 F.3d 155, 165 (5th Cir. 1996).</w:t>
      </w:r>
    </w:p>
  </w:footnote>
  <w:footnote w:id="115">
    <w:p w14:paraId="68207E2B" w14:textId="77777777" w:rsidR="00D041A2" w:rsidRDefault="00000000">
      <w:pPr>
        <w:pStyle w:val="Normal20"/>
        <w:widowControl w:val="0"/>
        <w:spacing w:before="200" w:line="240" w:lineRule="atLeast"/>
        <w:jc w:val="both"/>
      </w:pPr>
      <w:r>
        <w:rPr>
          <w:rFonts w:ascii="Arial" w:eastAsia="Arial" w:hAnsi="Arial" w:cs="Arial"/>
          <w:color w:val="000000"/>
          <w:sz w:val="18"/>
          <w:vertAlign w:val="superscript"/>
        </w:rPr>
        <w:t>1 </w:t>
      </w:r>
      <w:bookmarkStart w:id="2476" w:name="Bookmark_fnpara_1_17"/>
      <w:bookmarkStart w:id="2477" w:name="Bookmark_LNHNREFclscc4_13"/>
      <w:bookmarkEnd w:id="2476"/>
      <w:bookmarkEnd w:id="2477"/>
      <w:r>
        <w:rPr>
          <w:rFonts w:ascii="Arial" w:eastAsia="Arial" w:hAnsi="Arial" w:cs="Arial"/>
          <w:color w:val="000000"/>
          <w:sz w:val="18"/>
        </w:rPr>
        <w:t xml:space="preserve">Claims under the ADA's Title II and the Rehabilitation Act can be combined for analytical purposes because the analysis is "substantially the same." </w:t>
      </w:r>
      <w:bookmarkStart w:id="2478" w:name="Bookmark_I559SNKN2HM5X60030000400"/>
      <w:bookmarkEnd w:id="2478"/>
      <w:r>
        <w:rPr>
          <w:rFonts w:ascii="Arial" w:eastAsia="Arial" w:hAnsi="Arial" w:cs="Arial"/>
          <w:i/>
          <w:color w:val="000000"/>
          <w:sz w:val="18"/>
        </w:rPr>
        <w:t>Doe v. Univ. of Md. Med. Sys. Corp</w:t>
      </w:r>
      <w:r>
        <w:rPr>
          <w:rFonts w:ascii="Arial" w:eastAsia="Arial" w:hAnsi="Arial" w:cs="Arial"/>
          <w:color w:val="000000"/>
          <w:sz w:val="18"/>
        </w:rPr>
        <w:t>., 50 F.3d 1261, 1265 n.9 (4th Cir. 1995).</w:t>
      </w:r>
    </w:p>
  </w:footnote>
  <w:footnote w:id="116">
    <w:p w14:paraId="41952DB5" w14:textId="77777777" w:rsidR="00D041A2" w:rsidRDefault="00000000">
      <w:pPr>
        <w:pStyle w:val="Normal20"/>
        <w:widowControl w:val="0"/>
        <w:spacing w:before="200" w:line="240" w:lineRule="atLeast"/>
        <w:jc w:val="both"/>
      </w:pPr>
      <w:r>
        <w:rPr>
          <w:rFonts w:ascii="Arial" w:eastAsia="Arial" w:hAnsi="Arial" w:cs="Arial"/>
          <w:color w:val="000000"/>
          <w:sz w:val="18"/>
          <w:vertAlign w:val="superscript"/>
        </w:rPr>
        <w:t>2 </w:t>
      </w:r>
      <w:bookmarkStart w:id="2500" w:name="Bookmark_fnpara_2_15"/>
      <w:bookmarkStart w:id="2501" w:name="Bookmark_I559SNKN2N1RV40040000400"/>
      <w:bookmarkStart w:id="2502" w:name="Bookmark_I559SNKN28T4950010000400"/>
      <w:bookmarkEnd w:id="2500"/>
      <w:bookmarkEnd w:id="2501"/>
      <w:bookmarkEnd w:id="2502"/>
      <w:r>
        <w:rPr>
          <w:rFonts w:ascii="Arial" w:eastAsia="Arial" w:hAnsi="Arial" w:cs="Arial"/>
          <w:i/>
          <w:color w:val="000000"/>
          <w:sz w:val="18"/>
        </w:rPr>
        <w:t>Rosen</w:t>
      </w:r>
      <w:r>
        <w:rPr>
          <w:rFonts w:ascii="Arial" w:eastAsia="Arial" w:hAnsi="Arial" w:cs="Arial"/>
          <w:color w:val="000000"/>
          <w:sz w:val="18"/>
        </w:rPr>
        <w:t xml:space="preserve">'s general statements about how the ADA applies to pre-arrest conduct may have been called into doubt by the </w:t>
      </w:r>
      <w:r>
        <w:rPr>
          <w:rFonts w:ascii="Arial" w:eastAsia="Arial" w:hAnsi="Arial" w:cs="Arial"/>
          <w:i/>
          <w:color w:val="000000"/>
          <w:sz w:val="18"/>
        </w:rPr>
        <w:t>Yeskey</w:t>
      </w:r>
      <w:r>
        <w:rPr>
          <w:rFonts w:ascii="Arial" w:eastAsia="Arial" w:hAnsi="Arial" w:cs="Arial"/>
          <w:color w:val="000000"/>
          <w:sz w:val="18"/>
        </w:rPr>
        <w:t xml:space="preserve"> case because the Supreme Court rejected the contention that the ADA's words "eligibility" and "participation" imply voluntariness, thereby extending the reach of the ADA to cover a broad swath of governmental activities. </w:t>
      </w:r>
      <w:bookmarkStart w:id="2503" w:name="Bookmark_I559SNKN2N1RV40030000400"/>
      <w:bookmarkEnd w:id="2503"/>
      <w:r>
        <w:rPr>
          <w:rFonts w:ascii="Arial" w:eastAsia="Arial" w:hAnsi="Arial" w:cs="Arial"/>
          <w:i/>
          <w:color w:val="000000"/>
          <w:sz w:val="18"/>
        </w:rPr>
        <w:t>Yeskey</w:t>
      </w:r>
      <w:r>
        <w:rPr>
          <w:rFonts w:ascii="Arial" w:eastAsia="Arial" w:hAnsi="Arial" w:cs="Arial"/>
          <w:color w:val="000000"/>
          <w:sz w:val="18"/>
        </w:rPr>
        <w:t xml:space="preserve">, 524 U.S. at 211. But we are not deciding a wrongful-arrest case today, and </w:t>
      </w:r>
      <w:r>
        <w:rPr>
          <w:rFonts w:ascii="Arial" w:eastAsia="Arial" w:hAnsi="Arial" w:cs="Arial"/>
          <w:i/>
          <w:color w:val="000000"/>
          <w:sz w:val="18"/>
        </w:rPr>
        <w:t>Rosen</w:t>
      </w:r>
      <w:r>
        <w:rPr>
          <w:rFonts w:ascii="Arial" w:eastAsia="Arial" w:hAnsi="Arial" w:cs="Arial"/>
          <w:color w:val="000000"/>
          <w:sz w:val="18"/>
        </w:rPr>
        <w:t xml:space="preserve"> is still precedential in the context of reasonable-accommodation cases; it is particularly relevant on the subject of what constitutes an injury under the ADA. Given that </w:t>
      </w:r>
      <w:bookmarkStart w:id="2504" w:name="Bookmark_LNHNREFclscc7_13"/>
      <w:bookmarkEnd w:id="2504"/>
      <w:r>
        <w:rPr>
          <w:rFonts w:ascii="Arial" w:eastAsia="Arial" w:hAnsi="Arial" w:cs="Arial"/>
          <w:color w:val="000000"/>
          <w:sz w:val="18"/>
        </w:rPr>
        <w:t xml:space="preserve">"we may affirm a district court's decision on different grounds than those employed by the district court," </w:t>
      </w:r>
      <w:bookmarkStart w:id="2505" w:name="Bookmark_I559SNKN2N1RV40050000400"/>
      <w:bookmarkEnd w:id="2505"/>
      <w:r>
        <w:rPr>
          <w:rFonts w:ascii="Arial" w:eastAsia="Arial" w:hAnsi="Arial" w:cs="Arial"/>
          <w:i/>
          <w:color w:val="000000"/>
          <w:sz w:val="18"/>
        </w:rPr>
        <w:t>Shafer</w:t>
      </w:r>
      <w:r>
        <w:rPr>
          <w:rFonts w:ascii="Arial" w:eastAsia="Arial" w:hAnsi="Arial" w:cs="Arial"/>
          <w:color w:val="000000"/>
          <w:sz w:val="18"/>
        </w:rPr>
        <w:t xml:space="preserve">, 107 F.3d at 275 n.1, we  [**11] do not rely on the portion of the district court's decision that depends on the "program or activity" discussion in </w:t>
      </w:r>
      <w:r>
        <w:rPr>
          <w:rFonts w:ascii="Arial" w:eastAsia="Arial" w:hAnsi="Arial" w:cs="Arial"/>
          <w:i/>
          <w:color w:val="000000"/>
          <w:sz w:val="18"/>
        </w:rPr>
        <w:t>Rosen</w:t>
      </w:r>
      <w:r>
        <w:rPr>
          <w:rFonts w:ascii="Arial" w:eastAsia="Arial" w:hAnsi="Arial" w:cs="Arial"/>
          <w:color w:val="000000"/>
          <w:sz w:val="18"/>
        </w:rPr>
        <w:t>; we can decide this case on reasonable-accommodation grounds.</w:t>
      </w:r>
    </w:p>
  </w:footnote>
  <w:footnote w:id="117">
    <w:p w14:paraId="13075CC9" w14:textId="77777777" w:rsidR="00D041A2" w:rsidRDefault="00000000">
      <w:pPr>
        <w:pStyle w:val="Normal20"/>
        <w:widowControl w:val="0"/>
        <w:spacing w:before="200" w:line="240" w:lineRule="atLeast"/>
        <w:jc w:val="both"/>
      </w:pPr>
      <w:r>
        <w:rPr>
          <w:rFonts w:ascii="Arial" w:eastAsia="Arial" w:hAnsi="Arial" w:cs="Arial"/>
          <w:color w:val="000000"/>
          <w:sz w:val="18"/>
          <w:vertAlign w:val="superscript"/>
        </w:rPr>
        <w:t>3 </w:t>
      </w:r>
      <w:bookmarkStart w:id="2517" w:name="Bookmark_fnpara_3_12"/>
      <w:bookmarkEnd w:id="2517"/>
      <w:r>
        <w:rPr>
          <w:rFonts w:ascii="Arial" w:eastAsia="Arial" w:hAnsi="Arial" w:cs="Arial"/>
          <w:color w:val="000000"/>
          <w:sz w:val="18"/>
        </w:rPr>
        <w:t xml:space="preserve">In a suit against George Mason University by a law student for a failure to accommodate during an exam, this Court emphasized the disjunctive "or" in the § 12132 language, but it appears the disjunctive test was not necessary to resolve the issue in that case. </w:t>
      </w:r>
      <w:r>
        <w:rPr>
          <w:rFonts w:ascii="Arial" w:eastAsia="Arial" w:hAnsi="Arial" w:cs="Arial"/>
          <w:i/>
          <w:color w:val="000000"/>
          <w:sz w:val="18"/>
        </w:rPr>
        <w:t xml:space="preserve">See </w:t>
      </w:r>
      <w:bookmarkStart w:id="2518" w:name="Bookmark_I559SNKN28T4970010000400"/>
      <w:bookmarkEnd w:id="2518"/>
      <w:r>
        <w:rPr>
          <w:rFonts w:ascii="Arial" w:eastAsia="Arial" w:hAnsi="Arial" w:cs="Arial"/>
          <w:i/>
          <w:color w:val="000000"/>
          <w:sz w:val="18"/>
        </w:rPr>
        <w:t>Constantine v. Rectors and Visitors of George Mason Univ</w:t>
      </w:r>
      <w:r>
        <w:rPr>
          <w:rFonts w:ascii="Arial" w:eastAsia="Arial" w:hAnsi="Arial" w:cs="Arial"/>
          <w:color w:val="000000"/>
          <w:sz w:val="18"/>
        </w:rPr>
        <w:t>., 411 F.3d 474, 498 (4th Cir. 2005).</w:t>
      </w:r>
    </w:p>
  </w:footnote>
  <w:footnote w:id="118">
    <w:p w14:paraId="1C7F514E" w14:textId="77777777" w:rsidR="00D041A2" w:rsidRDefault="00000000">
      <w:pPr>
        <w:pStyle w:val="Normal20"/>
        <w:widowControl w:val="0"/>
        <w:spacing w:before="200" w:line="240" w:lineRule="atLeast"/>
        <w:jc w:val="both"/>
      </w:pPr>
      <w:r>
        <w:rPr>
          <w:rFonts w:ascii="Arial" w:eastAsia="Arial" w:hAnsi="Arial" w:cs="Arial"/>
          <w:color w:val="000000"/>
          <w:sz w:val="18"/>
          <w:vertAlign w:val="superscript"/>
        </w:rPr>
        <w:t>4 </w:t>
      </w:r>
      <w:bookmarkStart w:id="2558" w:name="Bookmark_fnpara_4_8"/>
      <w:bookmarkEnd w:id="2558"/>
      <w:r>
        <w:rPr>
          <w:rFonts w:ascii="Arial" w:eastAsia="Arial" w:hAnsi="Arial" w:cs="Arial"/>
          <w:color w:val="000000"/>
          <w:sz w:val="18"/>
        </w:rPr>
        <w:t xml:space="preserve">The </w:t>
      </w:r>
      <w:r>
        <w:rPr>
          <w:rFonts w:ascii="Arial" w:eastAsia="Arial" w:hAnsi="Arial" w:cs="Arial"/>
          <w:i/>
          <w:color w:val="000000"/>
          <w:sz w:val="18"/>
        </w:rPr>
        <w:t>ADA Guide for Law Enforcement</w:t>
      </w:r>
      <w:r>
        <w:rPr>
          <w:rFonts w:ascii="Arial" w:eastAsia="Arial" w:hAnsi="Arial" w:cs="Arial"/>
          <w:color w:val="000000"/>
          <w:sz w:val="18"/>
        </w:rPr>
        <w:t>, distributed by the Department of Justice, imagines a scenario strikingly similar to the present case:</w:t>
      </w:r>
    </w:p>
    <w:p w14:paraId="5B5EDF59" w14:textId="77777777" w:rsidR="00D041A2" w:rsidRDefault="00000000">
      <w:pPr>
        <w:pStyle w:val="Normal20"/>
        <w:widowControl w:val="0"/>
        <w:spacing w:before="200" w:line="240" w:lineRule="atLeast"/>
        <w:ind w:left="400"/>
        <w:jc w:val="both"/>
      </w:pPr>
      <w:bookmarkStart w:id="2559" w:name="Bookmark_para_34_8"/>
      <w:bookmarkEnd w:id="2559"/>
      <w:r>
        <w:rPr>
          <w:rFonts w:ascii="Arial" w:eastAsia="Arial" w:hAnsi="Arial" w:cs="Arial"/>
          <w:color w:val="000000"/>
          <w:sz w:val="18"/>
        </w:rPr>
        <w:t xml:space="preserve">An officer responds to the scene of a domestic disturbance. The husband says the wife has been beating their children and he has been trying to restrain her. The wife is deaf. The officer begins questioning her by writing notes, but her response indicates a lack of comprehension. She requests a sign language interpreter. In this situation an interpreter should be called. . . . </w:t>
      </w:r>
      <w:r>
        <w:rPr>
          <w:rFonts w:ascii="Arial" w:eastAsia="Arial" w:hAnsi="Arial" w:cs="Arial"/>
          <w:b/>
          <w:color w:val="000000"/>
          <w:sz w:val="18"/>
        </w:rPr>
        <w:t>It is inappropriate to ask a family member or companion to interpret in a situation like this</w:t>
      </w:r>
      <w:r>
        <w:rPr>
          <w:rFonts w:ascii="Arial" w:eastAsia="Arial" w:hAnsi="Arial" w:cs="Arial"/>
          <w:color w:val="000000"/>
          <w:sz w:val="18"/>
        </w:rPr>
        <w:t xml:space="preserve"> because emotional ties may interfere with the ability to interpret impartially.</w:t>
      </w:r>
    </w:p>
    <w:p w14:paraId="61AB3425" w14:textId="77777777" w:rsidR="00D041A2" w:rsidRDefault="00000000">
      <w:pPr>
        <w:pStyle w:val="Normal20"/>
        <w:widowControl w:val="0"/>
        <w:spacing w:before="200" w:line="240" w:lineRule="atLeast"/>
        <w:jc w:val="both"/>
      </w:pPr>
      <w:bookmarkStart w:id="2560" w:name="Bookmark_fnpara_5_8"/>
      <w:bookmarkEnd w:id="2560"/>
      <w:r>
        <w:rPr>
          <w:rFonts w:ascii="Arial" w:eastAsia="Arial" w:hAnsi="Arial" w:cs="Arial"/>
          <w:smallCaps/>
          <w:color w:val="000000"/>
          <w:sz w:val="18"/>
        </w:rPr>
        <w:t>Department of Justice, Communicating with People Who Are Deaf or Hard of Hearing: Ada Guide for Law Enforcement</w:t>
      </w:r>
      <w:r>
        <w:rPr>
          <w:rFonts w:ascii="Arial" w:eastAsia="Arial" w:hAnsi="Arial" w:cs="Arial"/>
          <w:color w:val="000000"/>
          <w:sz w:val="18"/>
        </w:rPr>
        <w:t xml:space="preserve"> (2006) (emphasis added).</w:t>
      </w:r>
    </w:p>
  </w:footnote>
  <w:footnote w:id="119">
    <w:p w14:paraId="7FFC4EF9" w14:textId="77777777" w:rsidR="00D041A2" w:rsidRDefault="00000000">
      <w:pPr>
        <w:pStyle w:val="Normal21"/>
        <w:widowControl w:val="0"/>
        <w:spacing w:before="120" w:line="240" w:lineRule="atLeast"/>
        <w:jc w:val="both"/>
      </w:pPr>
      <w:r>
        <w:rPr>
          <w:rFonts w:ascii="Arial" w:eastAsia="Arial" w:hAnsi="Arial" w:cs="Arial"/>
          <w:color w:val="000000"/>
          <w:sz w:val="18"/>
          <w:vertAlign w:val="superscript"/>
        </w:rPr>
        <w:t>1 </w:t>
      </w:r>
      <w:bookmarkStart w:id="2629" w:name="Bookmark_fnpara_1_18"/>
      <w:bookmarkEnd w:id="2629"/>
      <w:r>
        <w:rPr>
          <w:rFonts w:ascii="Arial" w:eastAsia="Arial" w:hAnsi="Arial" w:cs="Arial"/>
          <w:color w:val="000000"/>
          <w:sz w:val="18"/>
        </w:rPr>
        <w:t>Instead, the employer placed the disabled employee in a clerical position.</w:t>
      </w:r>
    </w:p>
  </w:footnote>
  <w:footnote w:id="120">
    <w:p w14:paraId="0D6E9701" w14:textId="77777777" w:rsidR="00D041A2" w:rsidRDefault="00000000">
      <w:pPr>
        <w:pStyle w:val="Normal21"/>
        <w:widowControl w:val="0"/>
        <w:spacing w:before="200" w:line="240" w:lineRule="atLeast"/>
        <w:jc w:val="both"/>
      </w:pPr>
      <w:r>
        <w:rPr>
          <w:rFonts w:ascii="Arial" w:eastAsia="Arial" w:hAnsi="Arial" w:cs="Arial"/>
          <w:color w:val="000000"/>
          <w:sz w:val="18"/>
          <w:vertAlign w:val="superscript"/>
        </w:rPr>
        <w:t>2 </w:t>
      </w:r>
      <w:bookmarkStart w:id="2644" w:name="Bookmark_fnpara_2_16"/>
      <w:bookmarkEnd w:id="2644"/>
      <w:r>
        <w:rPr>
          <w:rFonts w:ascii="Arial" w:eastAsia="Arial" w:hAnsi="Arial" w:cs="Arial"/>
          <w:color w:val="000000"/>
          <w:sz w:val="18"/>
        </w:rPr>
        <w:t xml:space="preserve">However, neither of these cases mentions </w:t>
      </w:r>
      <w:r>
        <w:rPr>
          <w:rFonts w:ascii="Arial" w:eastAsia="Arial" w:hAnsi="Arial" w:cs="Arial"/>
          <w:i/>
          <w:color w:val="000000"/>
          <w:sz w:val="18"/>
        </w:rPr>
        <w:t>Barnett</w:t>
      </w:r>
      <w:r>
        <w:rPr>
          <w:rFonts w:ascii="Arial" w:eastAsia="Arial" w:hAnsi="Arial" w:cs="Arial"/>
          <w:color w:val="000000"/>
          <w:sz w:val="18"/>
        </w:rPr>
        <w:t>.</w:t>
      </w:r>
    </w:p>
  </w:footnote>
  <w:footnote w:id="121">
    <w:p w14:paraId="66A3AE3E" w14:textId="77777777" w:rsidR="00D041A2" w:rsidRDefault="00000000">
      <w:pPr>
        <w:pStyle w:val="Normal22"/>
        <w:widowControl w:val="0"/>
        <w:spacing w:before="200" w:line="240" w:lineRule="atLeast"/>
        <w:jc w:val="both"/>
      </w:pPr>
      <w:r>
        <w:rPr>
          <w:rFonts w:ascii="Arial" w:eastAsia="Arial" w:hAnsi="Arial" w:cs="Arial"/>
          <w:color w:val="000000"/>
          <w:sz w:val="18"/>
          <w:vertAlign w:val="superscript"/>
        </w:rPr>
        <w:t>1 </w:t>
      </w:r>
      <w:bookmarkStart w:id="2682" w:name="Bookmark_fnpara_1_19"/>
      <w:bookmarkEnd w:id="2682"/>
      <w:r>
        <w:rPr>
          <w:rFonts w:ascii="Arial" w:eastAsia="Arial" w:hAnsi="Arial" w:cs="Arial"/>
          <w:color w:val="000000"/>
          <w:sz w:val="18"/>
        </w:rPr>
        <w:t xml:space="preserve">Aubrey's amended complaint states that he was diagnosed with "Post Traumatic Syndrome." App. 24. However, a review of the record indicates that he was being treated for Post Traumatic Stress Disorder. </w:t>
      </w:r>
      <w:r>
        <w:rPr>
          <w:rFonts w:ascii="Arial" w:eastAsia="Arial" w:hAnsi="Arial" w:cs="Arial"/>
          <w:i/>
          <w:color w:val="000000"/>
          <w:sz w:val="18"/>
        </w:rPr>
        <w:t>See e.g.,</w:t>
      </w:r>
      <w:r>
        <w:rPr>
          <w:rFonts w:ascii="Arial" w:eastAsia="Arial" w:hAnsi="Arial" w:cs="Arial"/>
          <w:color w:val="000000"/>
          <w:sz w:val="18"/>
        </w:rPr>
        <w:t xml:space="preserve"> App. 153, 158, 172.</w:t>
      </w:r>
    </w:p>
  </w:footnote>
  <w:footnote w:id="122">
    <w:p w14:paraId="30607929" w14:textId="77777777" w:rsidR="00D041A2" w:rsidRDefault="00000000">
      <w:pPr>
        <w:pStyle w:val="Normal22"/>
        <w:widowControl w:val="0"/>
        <w:spacing w:before="120" w:line="240" w:lineRule="atLeast"/>
        <w:jc w:val="both"/>
      </w:pPr>
      <w:r>
        <w:rPr>
          <w:rFonts w:ascii="Arial" w:eastAsia="Arial" w:hAnsi="Arial" w:cs="Arial"/>
          <w:color w:val="000000"/>
          <w:sz w:val="18"/>
          <w:vertAlign w:val="superscript"/>
        </w:rPr>
        <w:t>2 </w:t>
      </w:r>
      <w:bookmarkStart w:id="2687" w:name="Bookmark_fnpara_2_17"/>
      <w:bookmarkEnd w:id="2687"/>
      <w:r>
        <w:rPr>
          <w:rFonts w:ascii="Arial" w:eastAsia="Arial" w:hAnsi="Arial" w:cs="Arial"/>
          <w:color w:val="000000"/>
          <w:sz w:val="18"/>
        </w:rPr>
        <w:t>In deciding the Rule 12(b)(6) motion, the District Court considered the amended complaint, Aubrey's deposition, Fire Commissioner George Barkanic's deposition, Human Resources Director Jean Zweifel's deposition and any written briefing materials and accompanying exhibits regarding the motion to dismiss or the issue of untimeliness.</w:t>
      </w:r>
    </w:p>
  </w:footnote>
  <w:footnote w:id="123">
    <w:p w14:paraId="0014DE4F" w14:textId="77777777" w:rsidR="00D041A2" w:rsidRDefault="00000000">
      <w:pPr>
        <w:pStyle w:val="Normal22"/>
        <w:widowControl w:val="0"/>
        <w:spacing w:before="200" w:line="240" w:lineRule="atLeast"/>
        <w:jc w:val="both"/>
      </w:pPr>
      <w:r>
        <w:rPr>
          <w:rFonts w:ascii="Arial" w:eastAsia="Arial" w:hAnsi="Arial" w:cs="Arial"/>
          <w:color w:val="000000"/>
          <w:sz w:val="18"/>
          <w:vertAlign w:val="superscript"/>
        </w:rPr>
        <w:t>3 </w:t>
      </w:r>
      <w:bookmarkStart w:id="2717" w:name="Bookmark_fnpara_3_13"/>
      <w:bookmarkEnd w:id="2717"/>
      <w:r>
        <w:rPr>
          <w:rFonts w:ascii="Arial" w:eastAsia="Arial" w:hAnsi="Arial" w:cs="Arial"/>
          <w:color w:val="000000"/>
          <w:sz w:val="18"/>
        </w:rPr>
        <w:t xml:space="preserve">Even if the motion were converted to one seeking summary judgment, the parties had ample notice of the alleged conversion based on the District Court's communications with the parties. </w:t>
      </w:r>
      <w:r>
        <w:rPr>
          <w:rFonts w:ascii="Arial" w:eastAsia="Arial" w:hAnsi="Arial" w:cs="Arial"/>
          <w:i/>
          <w:color w:val="000000"/>
          <w:sz w:val="18"/>
        </w:rPr>
        <w:t xml:space="preserve">See </w:t>
      </w:r>
      <w:bookmarkStart w:id="2718" w:name="Bookmark_I558PTXK2HM5RD0040000400"/>
      <w:bookmarkEnd w:id="2718"/>
      <w:r>
        <w:rPr>
          <w:rFonts w:ascii="Arial" w:eastAsia="Arial" w:hAnsi="Arial" w:cs="Arial"/>
          <w:i/>
          <w:color w:val="000000"/>
          <w:sz w:val="18"/>
        </w:rPr>
        <w:t>Rose,</w:t>
      </w:r>
      <w:r>
        <w:rPr>
          <w:rFonts w:ascii="Arial" w:eastAsia="Arial" w:hAnsi="Arial" w:cs="Arial"/>
          <w:color w:val="000000"/>
          <w:sz w:val="18"/>
        </w:rPr>
        <w:t xml:space="preserve"> 871 F.2d at 342 (stating that </w:t>
      </w:r>
      <w:bookmarkStart w:id="2719" w:name="Bookmark_LNHNREFclscc7_14"/>
      <w:bookmarkEnd w:id="2719"/>
      <w:r>
        <w:rPr>
          <w:rFonts w:ascii="Arial" w:eastAsia="Arial" w:hAnsi="Arial" w:cs="Arial"/>
          <w:color w:val="000000"/>
          <w:sz w:val="18"/>
        </w:rPr>
        <w:t>a court need not issue an order expressly notifying the parties that it is converting a motion to dismiss into one seeking summary judgment "so long as [it] otherwise fairly apprises the parties of the proposed conversion").</w:t>
      </w:r>
    </w:p>
  </w:footnote>
  <w:footnote w:id="124">
    <w:p w14:paraId="3BA129F5" w14:textId="77777777" w:rsidR="00D041A2" w:rsidRDefault="00000000">
      <w:pPr>
        <w:pStyle w:val="Normal22"/>
        <w:widowControl w:val="0"/>
        <w:spacing w:before="120" w:line="240" w:lineRule="atLeast"/>
        <w:jc w:val="both"/>
      </w:pPr>
      <w:r>
        <w:rPr>
          <w:rFonts w:ascii="Arial" w:eastAsia="Arial" w:hAnsi="Arial" w:cs="Arial"/>
          <w:color w:val="000000"/>
          <w:sz w:val="18"/>
          <w:vertAlign w:val="superscript"/>
        </w:rPr>
        <w:t>4 </w:t>
      </w:r>
      <w:bookmarkStart w:id="2728" w:name="Bookmark_fnpara_4_9"/>
      <w:bookmarkEnd w:id="2728"/>
      <w:r>
        <w:rPr>
          <w:rFonts w:ascii="Arial" w:eastAsia="Arial" w:hAnsi="Arial" w:cs="Arial"/>
          <w:color w:val="000000"/>
          <w:sz w:val="18"/>
        </w:rPr>
        <w:t>Title 42 U.S.C. § 2000e-5(e)(1) states:</w:t>
      </w:r>
    </w:p>
    <w:p w14:paraId="30D36AC2" w14:textId="77777777" w:rsidR="00D041A2" w:rsidRDefault="00000000">
      <w:pPr>
        <w:pStyle w:val="Normal22"/>
        <w:widowControl w:val="0"/>
        <w:spacing w:before="200" w:line="240" w:lineRule="atLeast"/>
        <w:ind w:left="400"/>
        <w:jc w:val="both"/>
      </w:pPr>
      <w:bookmarkStart w:id="2729" w:name="Bookmark_para_19_12"/>
      <w:bookmarkEnd w:id="2729"/>
      <w:r>
        <w:rPr>
          <w:rFonts w:ascii="Arial" w:eastAsia="Arial" w:hAnsi="Arial" w:cs="Arial"/>
          <w:color w:val="000000"/>
          <w:sz w:val="18"/>
        </w:rPr>
        <w:t xml:space="preserve">A charge under this  [**10] section shall be filed within one hundred and eighty days after the alleged unlawful employment practice occurred [. . .] except that in a case of an unlawful employment practice with respect to which the person aggrieved has initially instituted proceedings with a State or local agency with authority to grant or seek relief from such practice or to institute criminal proceedings with respect thereto upon receiving notice thereof, </w:t>
      </w:r>
      <w:r>
        <w:rPr>
          <w:rFonts w:ascii="Arial" w:eastAsia="Arial" w:hAnsi="Arial" w:cs="Arial"/>
          <w:i/>
          <w:color w:val="000000"/>
          <w:sz w:val="18"/>
        </w:rPr>
        <w:t>such charge shall be filed by or on behalf of the person aggrieved within three hundred days after the alleged unlawful employment practice occurred,</w:t>
      </w:r>
      <w:r>
        <w:rPr>
          <w:rFonts w:ascii="Arial" w:eastAsia="Arial" w:hAnsi="Arial" w:cs="Arial"/>
          <w:color w:val="000000"/>
          <w:sz w:val="18"/>
        </w:rPr>
        <w:t xml:space="preserve"> or within thirty days after receiving notice that the State or local agency has terminated the proceedings under the State or local law, whichever is earlier, and a copy of such charge shall be filed by the Commission with the State or local agency.</w:t>
      </w:r>
    </w:p>
    <w:p w14:paraId="39B351EB" w14:textId="77777777" w:rsidR="00D041A2" w:rsidRDefault="00000000">
      <w:pPr>
        <w:pStyle w:val="Normal22"/>
        <w:widowControl w:val="0"/>
        <w:spacing w:before="120" w:line="240" w:lineRule="atLeast"/>
        <w:jc w:val="both"/>
      </w:pPr>
      <w:r>
        <w:rPr>
          <w:rFonts w:ascii="Arial" w:eastAsia="Arial" w:hAnsi="Arial" w:cs="Arial"/>
          <w:color w:val="000000"/>
          <w:sz w:val="18"/>
        </w:rPr>
        <w:t>(emphasis added).</w:t>
      </w:r>
    </w:p>
  </w:footnote>
  <w:footnote w:id="125">
    <w:p w14:paraId="2F5A7C1D" w14:textId="77777777" w:rsidR="00D041A2" w:rsidRDefault="00000000">
      <w:pPr>
        <w:pStyle w:val="Normal22"/>
        <w:widowControl w:val="0"/>
        <w:spacing w:before="120" w:line="240" w:lineRule="atLeast"/>
        <w:jc w:val="both"/>
      </w:pPr>
      <w:r>
        <w:rPr>
          <w:rFonts w:ascii="Arial" w:eastAsia="Arial" w:hAnsi="Arial" w:cs="Arial"/>
          <w:color w:val="000000"/>
          <w:sz w:val="18"/>
          <w:vertAlign w:val="superscript"/>
        </w:rPr>
        <w:t>5 </w:t>
      </w:r>
      <w:bookmarkStart w:id="2748" w:name="Bookmark_fnpara_5_9"/>
      <w:bookmarkEnd w:id="2748"/>
      <w:r>
        <w:rPr>
          <w:rFonts w:ascii="Arial" w:eastAsia="Arial" w:hAnsi="Arial" w:cs="Arial"/>
          <w:color w:val="000000"/>
          <w:sz w:val="18"/>
        </w:rPr>
        <w:t>Aubrey refers to March 2010 as the date in which his employment ended. He bases this reference on an assertion that his employment did not end until he started collecting his pension in March 2010. We reject the use of March 2010 as a marker for the end of Aubrey's employment. Aubrey's FMLA leave expired in December 2007, and he had not notified Bethlehem of an intent to return to work nor had he provided a medical clearance indicating that he could return to work. For the purpose of this analysis, we consider Aubrey's separation to have occurred once he failed to return to work after exhausting his FMLA leave.</w:t>
      </w:r>
    </w:p>
  </w:footnote>
  <w:footnote w:id="126">
    <w:p w14:paraId="3D5832E9" w14:textId="77777777" w:rsidR="00D041A2" w:rsidRDefault="00000000">
      <w:pPr>
        <w:pStyle w:val="Normal22"/>
        <w:widowControl w:val="0"/>
        <w:spacing w:before="200" w:line="240" w:lineRule="atLeast"/>
        <w:jc w:val="both"/>
      </w:pPr>
      <w:r>
        <w:rPr>
          <w:rFonts w:ascii="Arial" w:eastAsia="Arial" w:hAnsi="Arial" w:cs="Arial"/>
          <w:color w:val="000000"/>
          <w:sz w:val="18"/>
          <w:vertAlign w:val="superscript"/>
        </w:rPr>
        <w:t>6 </w:t>
      </w:r>
      <w:bookmarkStart w:id="2756" w:name="Bookmark_fnpara_6_7"/>
      <w:bookmarkEnd w:id="2756"/>
      <w:r>
        <w:rPr>
          <w:rFonts w:ascii="Arial" w:eastAsia="Arial" w:hAnsi="Arial" w:cs="Arial"/>
          <w:color w:val="000000"/>
          <w:sz w:val="18"/>
        </w:rPr>
        <w:t>The Ledbetter Act  [**15] expanded Title VII claims to include compensation discrimination:</w:t>
      </w:r>
    </w:p>
    <w:p w14:paraId="7BA5EE55" w14:textId="77777777" w:rsidR="00D041A2" w:rsidRDefault="00000000">
      <w:pPr>
        <w:pStyle w:val="Normal22"/>
        <w:widowControl w:val="0"/>
        <w:spacing w:before="200" w:line="240" w:lineRule="atLeast"/>
        <w:ind w:left="400"/>
        <w:jc w:val="both"/>
      </w:pPr>
      <w:bookmarkStart w:id="2757" w:name="Bookmark_para_24_11"/>
      <w:bookmarkStart w:id="2758" w:name="Bookmark_LNHNREFclscc15_8"/>
      <w:bookmarkEnd w:id="2757"/>
      <w:bookmarkEnd w:id="2758"/>
      <w:r>
        <w:rPr>
          <w:rFonts w:ascii="Arial" w:eastAsia="Arial" w:hAnsi="Arial" w:cs="Arial"/>
          <w:color w:val="000000"/>
          <w:sz w:val="18"/>
        </w:rPr>
        <w:t xml:space="preserve">For purposes of this section, an unlawful employment practice occurs, with respect to discrimination in compensation in violation of this subchapter, when a discriminatory compensation decision or other practice is adopted, when an individual becomes subject to a discriminatory compensation decision or other practice, or when an individual is affected by application of a discriminatory compensation decision or other practice, </w:t>
      </w:r>
      <w:r>
        <w:rPr>
          <w:rFonts w:ascii="Arial" w:eastAsia="Arial" w:hAnsi="Arial" w:cs="Arial"/>
          <w:i/>
          <w:color w:val="000000"/>
          <w:sz w:val="18"/>
        </w:rPr>
        <w:t>including each time wages, benefits, or other compensation is paid, resulting in whole or in part from such a decision or other practice.</w:t>
      </w:r>
    </w:p>
    <w:p w14:paraId="27B51CFB" w14:textId="77777777" w:rsidR="00D041A2" w:rsidRDefault="00000000">
      <w:pPr>
        <w:pStyle w:val="Normal22"/>
        <w:widowControl w:val="0"/>
        <w:spacing w:before="120" w:line="240" w:lineRule="atLeast"/>
        <w:jc w:val="both"/>
      </w:pPr>
      <w:r>
        <w:rPr>
          <w:rFonts w:ascii="Arial" w:eastAsia="Arial" w:hAnsi="Arial" w:cs="Arial"/>
          <w:color w:val="000000"/>
          <w:sz w:val="18"/>
        </w:rPr>
        <w:t>42 U.S.C. § 2000e-5(e)(3)(A) (emphasis added).</w:t>
      </w:r>
    </w:p>
  </w:footnote>
  <w:footnote w:id="127">
    <w:p w14:paraId="6A258473"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 </w:t>
      </w:r>
      <w:bookmarkStart w:id="2777" w:name="Bookmark_fnpara_1_20"/>
      <w:bookmarkEnd w:id="2777"/>
      <w:r>
        <w:rPr>
          <w:rFonts w:ascii="Arial" w:eastAsia="Arial" w:hAnsi="Arial" w:cs="Arial"/>
          <w:color w:val="000000"/>
          <w:sz w:val="18"/>
        </w:rPr>
        <w:t xml:space="preserve">Pursuant to </w:t>
      </w:r>
      <w:r>
        <w:rPr>
          <w:rFonts w:ascii="Arial" w:eastAsia="Arial" w:hAnsi="Arial" w:cs="Arial"/>
          <w:smallCaps/>
          <w:color w:val="000000"/>
          <w:sz w:val="18"/>
        </w:rPr>
        <w:t>Fifth Circuit Rule</w:t>
      </w:r>
      <w:r>
        <w:rPr>
          <w:rFonts w:ascii="Arial" w:eastAsia="Arial" w:hAnsi="Arial" w:cs="Arial"/>
          <w:color w:val="000000"/>
          <w:sz w:val="18"/>
        </w:rPr>
        <w:t xml:space="preserve"> 47.5, the court has determined that this opinion should not be published and is not precedent except under the limited circumstances set forth in </w:t>
      </w:r>
      <w:r>
        <w:rPr>
          <w:rFonts w:ascii="Arial" w:eastAsia="Arial" w:hAnsi="Arial" w:cs="Arial"/>
          <w:smallCaps/>
          <w:color w:val="000000"/>
          <w:sz w:val="18"/>
        </w:rPr>
        <w:t>Fifth Circuit Rule</w:t>
      </w:r>
      <w:r>
        <w:rPr>
          <w:rFonts w:ascii="Arial" w:eastAsia="Arial" w:hAnsi="Arial" w:cs="Arial"/>
          <w:color w:val="000000"/>
          <w:sz w:val="18"/>
        </w:rPr>
        <w:t xml:space="preserve"> 47.5.4.</w:t>
      </w:r>
    </w:p>
  </w:footnote>
  <w:footnote w:id="128">
    <w:p w14:paraId="3C57239E" w14:textId="77777777" w:rsidR="00D041A2" w:rsidRDefault="00000000">
      <w:pPr>
        <w:pStyle w:val="Normal23"/>
        <w:widowControl w:val="0"/>
        <w:spacing w:before="120" w:line="240" w:lineRule="atLeast"/>
        <w:jc w:val="both"/>
      </w:pPr>
      <w:r>
        <w:rPr>
          <w:rFonts w:ascii="Arial" w:eastAsia="Arial" w:hAnsi="Arial" w:cs="Arial"/>
          <w:color w:val="000000"/>
          <w:sz w:val="18"/>
          <w:vertAlign w:val="superscript"/>
        </w:rPr>
        <w:t>1 </w:t>
      </w:r>
      <w:bookmarkStart w:id="2781" w:name="Bookmark_fnpara_2_18"/>
      <w:bookmarkEnd w:id="2781"/>
      <w:r>
        <w:rPr>
          <w:rFonts w:ascii="Arial" w:eastAsia="Arial" w:hAnsi="Arial" w:cs="Arial"/>
          <w:color w:val="000000"/>
          <w:sz w:val="18"/>
        </w:rPr>
        <w:t>The parties agree the Texas state habeas petition can still be filed.</w:t>
      </w:r>
    </w:p>
  </w:footnote>
  <w:footnote w:id="129">
    <w:p w14:paraId="75FE3731"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2 </w:t>
      </w:r>
      <w:bookmarkStart w:id="2783" w:name="Bookmark_fnpara_3_14"/>
      <w:bookmarkEnd w:id="2783"/>
      <w:r>
        <w:rPr>
          <w:rFonts w:ascii="Arial" w:eastAsia="Arial" w:hAnsi="Arial" w:cs="Arial"/>
          <w:color w:val="000000"/>
          <w:sz w:val="18"/>
        </w:rPr>
        <w:t xml:space="preserve">Wells filed several grievances about the tables and chairs that he and Cole used while working together during August and September 2007. Although on appeal he cites the various disputes over the table and chairs as a grounds for his access to courts claim, arguing that he was denied access to a reader, Wells did not base any of his claims for relief in the district court on these particular events. </w:t>
      </w:r>
      <w:bookmarkStart w:id="2784" w:name="Bookmark_I5535SN32SF7SD0020000400"/>
      <w:bookmarkEnd w:id="2784"/>
      <w:r>
        <w:rPr>
          <w:rFonts w:ascii="Arial" w:eastAsia="Arial" w:hAnsi="Arial" w:cs="Arial"/>
          <w:color w:val="000000"/>
          <w:sz w:val="18"/>
        </w:rPr>
        <w:t xml:space="preserve">Instead, in his summary judgment briefing and in his complaint, Wells seemed to concede that he was given access to readers, such as Cole, but argued that access to readers was insufficient. Any argument based on these earlier events is waived. </w:t>
      </w:r>
      <w:r>
        <w:rPr>
          <w:rFonts w:ascii="Arial" w:eastAsia="Arial" w:hAnsi="Arial" w:cs="Arial"/>
          <w:i/>
          <w:color w:val="000000"/>
          <w:sz w:val="18"/>
        </w:rPr>
        <w:t xml:space="preserve">See </w:t>
      </w:r>
      <w:bookmarkStart w:id="2785" w:name="Bookmark_I5535SN32SF7SD0010000400"/>
      <w:bookmarkEnd w:id="2785"/>
      <w:r>
        <w:rPr>
          <w:rFonts w:ascii="Arial" w:eastAsia="Arial" w:hAnsi="Arial" w:cs="Arial"/>
          <w:i/>
          <w:color w:val="000000"/>
          <w:sz w:val="18"/>
        </w:rPr>
        <w:t>Nunez v. Allstate Ins. Co.</w:t>
      </w:r>
      <w:r>
        <w:rPr>
          <w:rFonts w:ascii="Arial" w:eastAsia="Arial" w:hAnsi="Arial" w:cs="Arial"/>
          <w:color w:val="000000"/>
          <w:sz w:val="18"/>
        </w:rPr>
        <w:t>, 604 F.3d 840, 846 (5th Cir. 2010) ("An argument not raised before the district court cannot be asserted for the first time on  [**5] appeal." (quotation marks and citation omitted)). Additionally, even if considered, a review of the various grievances indicates that Wells was not denied access to Cole during that time, but rather, that Wells believed that the seating arrangement was not the most convenient possible. These grievances show that Wells was permitted same-session visits with Cole, that the sturdier table for the CCTV was replaced after he complained, and that the CCTV was actually equipped with two chairs for joint research.</w:t>
      </w:r>
    </w:p>
  </w:footnote>
  <w:footnote w:id="130">
    <w:p w14:paraId="349847FD"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3 </w:t>
      </w:r>
      <w:bookmarkStart w:id="2788" w:name="Bookmark_fnpara_4_10"/>
      <w:bookmarkEnd w:id="2788"/>
      <w:r>
        <w:rPr>
          <w:rFonts w:ascii="Arial" w:eastAsia="Arial" w:hAnsi="Arial" w:cs="Arial"/>
          <w:color w:val="000000"/>
          <w:sz w:val="18"/>
        </w:rPr>
        <w:t xml:space="preserve">The TDCJ utilizes a two-step grievance procedure. </w:t>
      </w:r>
      <w:r>
        <w:rPr>
          <w:rFonts w:ascii="Arial" w:eastAsia="Arial" w:hAnsi="Arial" w:cs="Arial"/>
          <w:i/>
          <w:color w:val="000000"/>
          <w:sz w:val="18"/>
        </w:rPr>
        <w:t xml:space="preserve">See </w:t>
      </w:r>
      <w:bookmarkStart w:id="2789" w:name="Bookmark_I5535SN32SF7SD0030000400"/>
      <w:bookmarkEnd w:id="2789"/>
      <w:r>
        <w:rPr>
          <w:rFonts w:ascii="Arial" w:eastAsia="Arial" w:hAnsi="Arial" w:cs="Arial"/>
          <w:i/>
          <w:color w:val="000000"/>
          <w:sz w:val="18"/>
        </w:rPr>
        <w:t>Wendell v. Asher</w:t>
      </w:r>
      <w:r>
        <w:rPr>
          <w:rFonts w:ascii="Arial" w:eastAsia="Arial" w:hAnsi="Arial" w:cs="Arial"/>
          <w:color w:val="000000"/>
          <w:sz w:val="18"/>
        </w:rPr>
        <w:t>, 162 F.3d 887, 891 (5th Cir. 1998) (describing TDCJ administrative procedure).</w:t>
      </w:r>
    </w:p>
  </w:footnote>
  <w:footnote w:id="131">
    <w:p w14:paraId="510E920C" w14:textId="77777777" w:rsidR="00D041A2" w:rsidRDefault="00000000">
      <w:pPr>
        <w:pStyle w:val="Normal23"/>
        <w:widowControl w:val="0"/>
        <w:spacing w:before="120" w:line="240" w:lineRule="atLeast"/>
        <w:jc w:val="both"/>
      </w:pPr>
      <w:r>
        <w:rPr>
          <w:rFonts w:ascii="Arial" w:eastAsia="Arial" w:hAnsi="Arial" w:cs="Arial"/>
          <w:color w:val="000000"/>
          <w:sz w:val="18"/>
          <w:vertAlign w:val="superscript"/>
        </w:rPr>
        <w:t>4 </w:t>
      </w:r>
      <w:bookmarkStart w:id="2790" w:name="Bookmark_fnpara_5_10"/>
      <w:bookmarkEnd w:id="2790"/>
      <w:r>
        <w:rPr>
          <w:rFonts w:ascii="Arial" w:eastAsia="Arial" w:hAnsi="Arial" w:cs="Arial"/>
          <w:color w:val="000000"/>
          <w:sz w:val="18"/>
        </w:rPr>
        <w:t>Wells also submitted a photocopy of a typed letter that he claims he mailed to Hoke on September 23, 2007, in which he states that he is totally blind and needs adaptive equipment to research independently. The letter is hand-dated and there is no indication that it was ever received by Hoke. Assuming for purposes of this motion that the letter was actually mailed and that Hoke received it, the letter requests the same accommodations that Wells made in his September 27th grievance. Additionally, the letter would have been received by Hoke almost contemporaneously with that formal grievance.</w:t>
      </w:r>
    </w:p>
  </w:footnote>
  <w:footnote w:id="132">
    <w:p w14:paraId="3705A7BB" w14:textId="77777777" w:rsidR="00D041A2" w:rsidRDefault="00000000">
      <w:pPr>
        <w:pStyle w:val="Normal23"/>
        <w:widowControl w:val="0"/>
        <w:spacing w:before="120" w:line="240" w:lineRule="atLeast"/>
        <w:jc w:val="both"/>
      </w:pPr>
      <w:r>
        <w:rPr>
          <w:rFonts w:ascii="Arial" w:eastAsia="Arial" w:hAnsi="Arial" w:cs="Arial"/>
          <w:color w:val="000000"/>
          <w:sz w:val="18"/>
          <w:vertAlign w:val="superscript"/>
        </w:rPr>
        <w:t>5 </w:t>
      </w:r>
      <w:bookmarkStart w:id="2792" w:name="Bookmark_fnpara_6_8"/>
      <w:bookmarkEnd w:id="2792"/>
      <w:r>
        <w:rPr>
          <w:rFonts w:ascii="Arial" w:eastAsia="Arial" w:hAnsi="Arial" w:cs="Arial"/>
          <w:color w:val="000000"/>
          <w:sz w:val="18"/>
        </w:rPr>
        <w:t>Other prison medicals records indicate that Wells had told the prison in December 2006 that he could see using the CCTV.</w:t>
      </w:r>
    </w:p>
  </w:footnote>
  <w:footnote w:id="133">
    <w:p w14:paraId="6F0094CF" w14:textId="77777777" w:rsidR="00D041A2" w:rsidRDefault="00000000">
      <w:pPr>
        <w:pStyle w:val="Normal23"/>
        <w:widowControl w:val="0"/>
        <w:spacing w:before="120" w:line="240" w:lineRule="atLeast"/>
        <w:jc w:val="both"/>
      </w:pPr>
      <w:r>
        <w:rPr>
          <w:rFonts w:ascii="Arial" w:eastAsia="Arial" w:hAnsi="Arial" w:cs="Arial"/>
          <w:color w:val="000000"/>
          <w:sz w:val="18"/>
          <w:vertAlign w:val="superscript"/>
        </w:rPr>
        <w:t>6 </w:t>
      </w:r>
      <w:bookmarkStart w:id="2793" w:name="Bookmark_fnpara_7_7"/>
      <w:bookmarkEnd w:id="2793"/>
      <w:r>
        <w:rPr>
          <w:rFonts w:ascii="Arial" w:eastAsia="Arial" w:hAnsi="Arial" w:cs="Arial"/>
          <w:color w:val="000000"/>
          <w:sz w:val="18"/>
        </w:rPr>
        <w:t>JAWS is a computer screen reader program that is designed for blind or visually impaired readers and stands for "Job Access with Speech."</w:t>
      </w:r>
    </w:p>
  </w:footnote>
  <w:footnote w:id="134">
    <w:p w14:paraId="0459CE47"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7 </w:t>
      </w:r>
      <w:bookmarkStart w:id="2794" w:name="Bookmark_fnpara_8_6"/>
      <w:bookmarkEnd w:id="2794"/>
      <w:r>
        <w:rPr>
          <w:rFonts w:ascii="Arial" w:eastAsia="Arial" w:hAnsi="Arial" w:cs="Arial"/>
          <w:color w:val="000000"/>
          <w:sz w:val="18"/>
        </w:rPr>
        <w:t>Wells also filed another grievance in October 2007, requesting that the law library provide trained paralegals,  [**8] rather than prisoner readers. A prison official responded that the prisoner readers were adequate because they acquired training on the job.</w:t>
      </w:r>
    </w:p>
  </w:footnote>
  <w:footnote w:id="135">
    <w:p w14:paraId="044B1DB0" w14:textId="77777777" w:rsidR="00D041A2" w:rsidRDefault="00000000">
      <w:pPr>
        <w:pStyle w:val="Normal23"/>
        <w:widowControl w:val="0"/>
        <w:spacing w:before="120" w:line="240" w:lineRule="atLeast"/>
        <w:jc w:val="both"/>
      </w:pPr>
      <w:r>
        <w:rPr>
          <w:rFonts w:ascii="Arial" w:eastAsia="Arial" w:hAnsi="Arial" w:cs="Arial"/>
          <w:color w:val="000000"/>
          <w:sz w:val="18"/>
          <w:vertAlign w:val="superscript"/>
        </w:rPr>
        <w:t>8 </w:t>
      </w:r>
      <w:bookmarkStart w:id="2797" w:name="Bookmark_fnpara_9_5"/>
      <w:bookmarkEnd w:id="2797"/>
      <w:r>
        <w:rPr>
          <w:rFonts w:ascii="Arial" w:eastAsia="Arial" w:hAnsi="Arial" w:cs="Arial"/>
          <w:color w:val="000000"/>
          <w:sz w:val="18"/>
        </w:rPr>
        <w:t>Wells filed similar grievances in May and June 2008, and they were rejected on the same grounds.</w:t>
      </w:r>
    </w:p>
  </w:footnote>
  <w:footnote w:id="136">
    <w:p w14:paraId="50BE9CA3" w14:textId="77777777" w:rsidR="00D041A2" w:rsidRDefault="00000000">
      <w:pPr>
        <w:pStyle w:val="Normal23"/>
        <w:widowControl w:val="0"/>
        <w:spacing w:before="120" w:line="240" w:lineRule="atLeast"/>
        <w:jc w:val="both"/>
      </w:pPr>
      <w:r>
        <w:rPr>
          <w:rFonts w:ascii="Arial" w:eastAsia="Arial" w:hAnsi="Arial" w:cs="Arial"/>
          <w:color w:val="000000"/>
          <w:sz w:val="18"/>
          <w:vertAlign w:val="superscript"/>
        </w:rPr>
        <w:t>9 </w:t>
      </w:r>
      <w:bookmarkStart w:id="2799" w:name="Bookmark_fnpara_10_4"/>
      <w:bookmarkEnd w:id="2799"/>
      <w:r>
        <w:rPr>
          <w:rFonts w:ascii="Arial" w:eastAsia="Arial" w:hAnsi="Arial" w:cs="Arial"/>
          <w:color w:val="000000"/>
          <w:sz w:val="18"/>
        </w:rPr>
        <w:t>There is also evidence that Wells filed several grievances in April and May 2008 related to the letter writing resources available in the Adaptive Resources Clinic. These grievances were either rejected for failure to follow administrative rules, or because Wells did not attend meetings with ADS caseworkers to discuss his needs.</w:t>
      </w:r>
    </w:p>
  </w:footnote>
  <w:footnote w:id="137">
    <w:p w14:paraId="3B8BFFCB" w14:textId="77777777" w:rsidR="00D041A2" w:rsidRDefault="00000000">
      <w:pPr>
        <w:pStyle w:val="Normal23"/>
        <w:widowControl w:val="0"/>
        <w:spacing w:before="120" w:line="240" w:lineRule="atLeast"/>
        <w:jc w:val="both"/>
      </w:pPr>
      <w:r>
        <w:rPr>
          <w:rFonts w:ascii="Arial" w:eastAsia="Arial" w:hAnsi="Arial" w:cs="Arial"/>
          <w:color w:val="000000"/>
          <w:sz w:val="18"/>
          <w:vertAlign w:val="superscript"/>
        </w:rPr>
        <w:t>10 </w:t>
      </w:r>
      <w:bookmarkStart w:id="2801" w:name="Bookmark_fnpara_11_4"/>
      <w:bookmarkEnd w:id="2801"/>
      <w:r>
        <w:rPr>
          <w:rFonts w:ascii="Arial" w:eastAsia="Arial" w:hAnsi="Arial" w:cs="Arial"/>
          <w:color w:val="000000"/>
          <w:sz w:val="18"/>
        </w:rPr>
        <w:t>On appeal, Plaintiff-Appellant Wells also filed a motion for appointment of counsel, which was carried with the case.</w:t>
      </w:r>
    </w:p>
  </w:footnote>
  <w:footnote w:id="138">
    <w:p w14:paraId="04E0DBC7"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11 </w:t>
      </w:r>
      <w:bookmarkStart w:id="2810" w:name="Bookmark_fnpara_12_2"/>
      <w:bookmarkStart w:id="2811" w:name="Bookmark_I5535SN32HM6TD0050000400"/>
      <w:bookmarkEnd w:id="2810"/>
      <w:bookmarkEnd w:id="2811"/>
      <w:r>
        <w:rPr>
          <w:rFonts w:ascii="Arial" w:eastAsia="Arial" w:hAnsi="Arial" w:cs="Arial"/>
          <w:color w:val="000000"/>
          <w:sz w:val="18"/>
        </w:rPr>
        <w:t xml:space="preserve">It is unclear whether Wells is also trying to sue the Defendants-Appellees for violations of Title II of the ADA under Section 1983. To the extent that he is, this claim must be dismissed. </w:t>
      </w:r>
      <w:r>
        <w:rPr>
          <w:rFonts w:ascii="Arial" w:eastAsia="Arial" w:hAnsi="Arial" w:cs="Arial"/>
          <w:i/>
          <w:color w:val="000000"/>
          <w:sz w:val="18"/>
        </w:rPr>
        <w:t xml:space="preserve">See </w:t>
      </w:r>
      <w:bookmarkStart w:id="2812" w:name="Bookmark_I5535SN32HM6TD0040000400"/>
      <w:bookmarkEnd w:id="2812"/>
      <w:r>
        <w:rPr>
          <w:rFonts w:ascii="Arial" w:eastAsia="Arial" w:hAnsi="Arial" w:cs="Arial"/>
          <w:i/>
          <w:color w:val="000000"/>
          <w:sz w:val="18"/>
        </w:rPr>
        <w:t>D.A. ex rel. Latasha A. v. Hous. Indep. Sch. Dist.</w:t>
      </w:r>
      <w:r>
        <w:rPr>
          <w:rFonts w:ascii="Arial" w:eastAsia="Arial" w:hAnsi="Arial" w:cs="Arial"/>
          <w:color w:val="000000"/>
          <w:sz w:val="18"/>
        </w:rPr>
        <w:t>, 629 F.3d 450, 456-57 (5th Cir. 2010).</w:t>
      </w:r>
    </w:p>
  </w:footnote>
  <w:footnote w:id="139">
    <w:p w14:paraId="415C0A47"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12 </w:t>
      </w:r>
      <w:bookmarkStart w:id="2835" w:name="Bookmark_fnpara_13_2"/>
      <w:bookmarkStart w:id="2836" w:name="Bookmark_I5535SN32N1PSD0030000400"/>
      <w:bookmarkStart w:id="2837" w:name="Bookmark_I5535SN32N1PSD0050000400"/>
      <w:bookmarkEnd w:id="2835"/>
      <w:bookmarkEnd w:id="2836"/>
      <w:bookmarkEnd w:id="2837"/>
      <w:r>
        <w:rPr>
          <w:rFonts w:ascii="Arial" w:eastAsia="Arial" w:hAnsi="Arial" w:cs="Arial"/>
          <w:color w:val="000000"/>
          <w:sz w:val="18"/>
        </w:rPr>
        <w:t xml:space="preserve">Even if the various difficulties that Wells complained of in working with Cole in the fall of 2007 are taken into account, such as the arrangement of chairs or the table on which the CCTV machine was placed, Wells still fails to show that he was denied access to library resources. </w:t>
      </w:r>
      <w:bookmarkStart w:id="2838" w:name="Bookmark_LNHNREFclscc4_15"/>
      <w:bookmarkEnd w:id="2838"/>
      <w:r>
        <w:rPr>
          <w:rFonts w:ascii="Arial" w:eastAsia="Arial" w:hAnsi="Arial" w:cs="Arial"/>
          <w:color w:val="000000"/>
          <w:sz w:val="18"/>
        </w:rPr>
        <w:t xml:space="preserve">The right of access to the court "does not afford prisoners unlimited access to prison law libraries." </w:t>
      </w:r>
      <w:bookmarkStart w:id="2839" w:name="Bookmark_I5535SN32N1PSD0020000400"/>
      <w:bookmarkEnd w:id="2839"/>
      <w:r>
        <w:rPr>
          <w:rFonts w:ascii="Arial" w:eastAsia="Arial" w:hAnsi="Arial" w:cs="Arial"/>
          <w:i/>
          <w:color w:val="000000"/>
          <w:sz w:val="18"/>
        </w:rPr>
        <w:t>McDonald</w:t>
      </w:r>
      <w:r>
        <w:rPr>
          <w:rFonts w:ascii="Arial" w:eastAsia="Arial" w:hAnsi="Arial" w:cs="Arial"/>
          <w:color w:val="000000"/>
          <w:sz w:val="18"/>
        </w:rPr>
        <w:t xml:space="preserve">, 132 F.3d at 230. Rather, "[l]imitations may be placed on library access so long as the regulations are 'reasonably related to legitimate penological interests.'" </w:t>
      </w:r>
      <w:r>
        <w:rPr>
          <w:rFonts w:ascii="Arial" w:eastAsia="Arial" w:hAnsi="Arial" w:cs="Arial"/>
          <w:i/>
          <w:color w:val="000000"/>
          <w:sz w:val="18"/>
        </w:rPr>
        <w:t>Id.</w:t>
      </w:r>
      <w:r>
        <w:rPr>
          <w:rFonts w:ascii="Arial" w:eastAsia="Arial" w:hAnsi="Arial" w:cs="Arial"/>
          <w:color w:val="000000"/>
          <w:sz w:val="18"/>
        </w:rPr>
        <w:t xml:space="preserve"> (quoting </w:t>
      </w:r>
      <w:bookmarkStart w:id="2840" w:name="Bookmark_I5535SN32N1PSD0040000400"/>
      <w:bookmarkEnd w:id="2840"/>
      <w:r>
        <w:rPr>
          <w:rFonts w:ascii="Arial" w:eastAsia="Arial" w:hAnsi="Arial" w:cs="Arial"/>
          <w:i/>
          <w:color w:val="000000"/>
          <w:sz w:val="18"/>
        </w:rPr>
        <w:t>Casey</w:t>
      </w:r>
      <w:r>
        <w:rPr>
          <w:rFonts w:ascii="Arial" w:eastAsia="Arial" w:hAnsi="Arial" w:cs="Arial"/>
          <w:color w:val="000000"/>
          <w:sz w:val="18"/>
        </w:rPr>
        <w:t xml:space="preserve">, 518 U.S. at 361); </w:t>
      </w:r>
      <w:r>
        <w:rPr>
          <w:rFonts w:ascii="Arial" w:eastAsia="Arial" w:hAnsi="Arial" w:cs="Arial"/>
          <w:i/>
          <w:color w:val="000000"/>
          <w:sz w:val="18"/>
        </w:rPr>
        <w:t xml:space="preserve">see also </w:t>
      </w:r>
      <w:bookmarkStart w:id="2841" w:name="Bookmark_I5535SN328T4RB0010000400"/>
      <w:bookmarkEnd w:id="2841"/>
      <w:r>
        <w:rPr>
          <w:rFonts w:ascii="Arial" w:eastAsia="Arial" w:hAnsi="Arial" w:cs="Arial"/>
          <w:i/>
          <w:color w:val="000000"/>
          <w:sz w:val="18"/>
        </w:rPr>
        <w:t>Eason v. Thaler</w:t>
      </w:r>
      <w:r>
        <w:rPr>
          <w:rFonts w:ascii="Arial" w:eastAsia="Arial" w:hAnsi="Arial" w:cs="Arial"/>
          <w:color w:val="000000"/>
          <w:sz w:val="18"/>
        </w:rPr>
        <w:t>, 14 F.3d 8, 9-10 (5th Cir.1994) (right of meaningful access to courts may be validly narrowed under certain circumstances). Here, grievances show that smaller chairs were  [**15] placed at the CCTV so an aisle in the library was not blocked and that the larger table was temporarily moved so a computer could be placed on it, but that the table was soon returned. The record does not suggest that Wells's access to Cole was ever terminated, even if they were forced to temporarily work together while sitting at separate tables.</w:t>
      </w:r>
    </w:p>
  </w:footnote>
  <w:footnote w:id="140">
    <w:p w14:paraId="03032D59"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13 </w:t>
      </w:r>
      <w:bookmarkStart w:id="2860" w:name="Bookmark_fnpara_14_2"/>
      <w:bookmarkStart w:id="2861" w:name="Bookmark_LNHNREFclscc6_15"/>
      <w:bookmarkEnd w:id="2860"/>
      <w:bookmarkEnd w:id="2861"/>
      <w:r>
        <w:rPr>
          <w:rFonts w:ascii="Arial" w:eastAsia="Arial" w:hAnsi="Arial" w:cs="Arial"/>
          <w:color w:val="000000"/>
          <w:sz w:val="18"/>
        </w:rPr>
        <w:t xml:space="preserve">To succeed on a claim for ineffective assistance of counsel, Wells would need to prove that his counsel's performance was deficient and that had it not been for the deficient performance he would have insisted on going to trial. </w:t>
      </w:r>
      <w:r>
        <w:rPr>
          <w:rFonts w:ascii="Arial" w:eastAsia="Arial" w:hAnsi="Arial" w:cs="Arial"/>
          <w:i/>
          <w:color w:val="000000"/>
          <w:sz w:val="18"/>
        </w:rPr>
        <w:t xml:space="preserve">See </w:t>
      </w:r>
      <w:bookmarkStart w:id="2862" w:name="Bookmark_I5535SN32D6NKW0010000400"/>
      <w:bookmarkEnd w:id="2862"/>
      <w:r>
        <w:rPr>
          <w:rFonts w:ascii="Arial" w:eastAsia="Arial" w:hAnsi="Arial" w:cs="Arial"/>
          <w:i/>
          <w:color w:val="000000"/>
          <w:sz w:val="18"/>
        </w:rPr>
        <w:t>Arnold v. Thaler</w:t>
      </w:r>
      <w:r>
        <w:rPr>
          <w:rFonts w:ascii="Arial" w:eastAsia="Arial" w:hAnsi="Arial" w:cs="Arial"/>
          <w:color w:val="000000"/>
          <w:sz w:val="18"/>
        </w:rPr>
        <w:t xml:space="preserve">, 630 F.3d 367, 368-72 (5th Cir. 2011) (setting forth analysis for a claim of ineffective assistance of counsel based on a guilty plea); </w:t>
      </w:r>
      <w:bookmarkStart w:id="2863" w:name="Bookmark_I5535SN32D6NKW0030000400"/>
      <w:bookmarkEnd w:id="2863"/>
      <w:r>
        <w:rPr>
          <w:rFonts w:ascii="Arial" w:eastAsia="Arial" w:hAnsi="Arial" w:cs="Arial"/>
          <w:i/>
          <w:color w:val="000000"/>
          <w:sz w:val="18"/>
        </w:rPr>
        <w:t>Armstead v. Scott</w:t>
      </w:r>
      <w:r>
        <w:rPr>
          <w:rFonts w:ascii="Arial" w:eastAsia="Arial" w:hAnsi="Arial" w:cs="Arial"/>
          <w:color w:val="000000"/>
          <w:sz w:val="18"/>
        </w:rPr>
        <w:t>, 37 F.3d 202, 206-07 (5th Cir. 1994) (describing burden of proving that counsel's  [**18] performance was deficient and that prejudice resulted).</w:t>
      </w:r>
    </w:p>
  </w:footnote>
  <w:footnote w:id="141">
    <w:p w14:paraId="2BEF63DC"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14 </w:t>
      </w:r>
      <w:bookmarkStart w:id="2873" w:name="Bookmark_fnpara_15_1"/>
      <w:bookmarkEnd w:id="2873"/>
      <w:r>
        <w:rPr>
          <w:rFonts w:ascii="Arial" w:eastAsia="Arial" w:hAnsi="Arial" w:cs="Arial"/>
          <w:color w:val="000000"/>
          <w:sz w:val="18"/>
        </w:rPr>
        <w:t xml:space="preserve">Wells does not argue in the district court or on appeal that his legal filings were read or tampered with by prison officials. </w:t>
      </w:r>
      <w:r>
        <w:rPr>
          <w:rFonts w:ascii="Arial" w:eastAsia="Arial" w:hAnsi="Arial" w:cs="Arial"/>
          <w:i/>
          <w:color w:val="000000"/>
          <w:sz w:val="18"/>
        </w:rPr>
        <w:t xml:space="preserve">See </w:t>
      </w:r>
      <w:bookmarkStart w:id="2874" w:name="Bookmark_I5535SN32D6NKX0040000400"/>
      <w:bookmarkEnd w:id="2874"/>
      <w:r>
        <w:rPr>
          <w:rFonts w:ascii="Arial" w:eastAsia="Arial" w:hAnsi="Arial" w:cs="Arial"/>
          <w:i/>
          <w:color w:val="000000"/>
          <w:sz w:val="18"/>
        </w:rPr>
        <w:t>Brewer v. Wilkinson</w:t>
      </w:r>
      <w:r>
        <w:rPr>
          <w:rFonts w:ascii="Arial" w:eastAsia="Arial" w:hAnsi="Arial" w:cs="Arial"/>
          <w:color w:val="000000"/>
          <w:sz w:val="18"/>
        </w:rPr>
        <w:t>, 3 F.3d 816, 825-26 (5th Cir. 1993) (describing heightened interest in outgoing legal mail).</w:t>
      </w:r>
    </w:p>
  </w:footnote>
  <w:footnote w:id="142">
    <w:p w14:paraId="19D6AF11"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15 </w:t>
      </w:r>
      <w:bookmarkStart w:id="2875" w:name="Bookmark_fnpara_16_0"/>
      <w:bookmarkStart w:id="2876" w:name="Bookmark_I5535SN32SF7SF0020000400"/>
      <w:bookmarkEnd w:id="2875"/>
      <w:bookmarkEnd w:id="2876"/>
      <w:r>
        <w:rPr>
          <w:rFonts w:ascii="Arial" w:eastAsia="Arial" w:hAnsi="Arial" w:cs="Arial"/>
          <w:color w:val="000000"/>
          <w:sz w:val="18"/>
        </w:rPr>
        <w:t xml:space="preserve">On appeal, Defendants-Appellees assert that they are entitled to qualified immunity on the claims brought under Section 1983. Qualified immunity was never raised by the Defendants-Appellees in their motion for summary judgment and it was never ruled on by the district court, although it was listed as a defense in the answer. </w:t>
      </w:r>
      <w:bookmarkStart w:id="2877" w:name="Bookmark_I5535SN32SF7SG0010000400"/>
      <w:bookmarkEnd w:id="2877"/>
      <w:r>
        <w:rPr>
          <w:rFonts w:ascii="Arial" w:eastAsia="Arial" w:hAnsi="Arial" w:cs="Arial"/>
          <w:i/>
          <w:color w:val="000000"/>
          <w:sz w:val="18"/>
        </w:rPr>
        <w:t xml:space="preserve">See </w:t>
      </w:r>
      <w:bookmarkStart w:id="2878" w:name="Bookmark_I5535SN32SF7SF0010000400"/>
      <w:bookmarkEnd w:id="2878"/>
      <w:r>
        <w:rPr>
          <w:rFonts w:ascii="Arial" w:eastAsia="Arial" w:hAnsi="Arial" w:cs="Arial"/>
          <w:i/>
          <w:color w:val="000000"/>
          <w:sz w:val="18"/>
        </w:rPr>
        <w:t>Kelly v. Foti</w:t>
      </w:r>
      <w:r>
        <w:rPr>
          <w:rFonts w:ascii="Arial" w:eastAsia="Arial" w:hAnsi="Arial" w:cs="Arial"/>
          <w:color w:val="000000"/>
          <w:sz w:val="18"/>
        </w:rPr>
        <w:t xml:space="preserve">, 77 F.3d 819, 822-23 (5th Cir. 1996) (analyzing waiver of qualified immunity where it was not sufficiently raised below); </w:t>
      </w:r>
      <w:bookmarkStart w:id="2879" w:name="Bookmark_I5535SN32SF7SF0030000400"/>
      <w:bookmarkEnd w:id="2879"/>
      <w:r>
        <w:rPr>
          <w:rFonts w:ascii="Arial" w:eastAsia="Arial" w:hAnsi="Arial" w:cs="Arial"/>
          <w:i/>
          <w:color w:val="000000"/>
          <w:sz w:val="18"/>
        </w:rPr>
        <w:t>Martin v. Thomas</w:t>
      </w:r>
      <w:r>
        <w:rPr>
          <w:rFonts w:ascii="Arial" w:eastAsia="Arial" w:hAnsi="Arial" w:cs="Arial"/>
          <w:color w:val="000000"/>
          <w:sz w:val="18"/>
        </w:rPr>
        <w:t xml:space="preserve">, 973 F.2d 449, 458-59 (5th Cir. 1992) (same). </w:t>
      </w:r>
      <w:bookmarkStart w:id="2880" w:name="Bookmark_I5535SN32SF7SG0010000400_2"/>
      <w:bookmarkEnd w:id="2880"/>
      <w:r>
        <w:rPr>
          <w:rFonts w:ascii="Arial" w:eastAsia="Arial" w:hAnsi="Arial" w:cs="Arial"/>
          <w:color w:val="000000"/>
          <w:sz w:val="18"/>
        </w:rPr>
        <w:t xml:space="preserve">Because we hold that the district  [**20] court did not err in finding that Wells fails to establish a constitutional violation on the merits, we need not determine whether qualified immunity was waived, given that establishing a constitutional violation is a necessary step in overcoming that defense. </w:t>
      </w:r>
      <w:r>
        <w:rPr>
          <w:rFonts w:ascii="Arial" w:eastAsia="Arial" w:hAnsi="Arial" w:cs="Arial"/>
          <w:i/>
          <w:color w:val="000000"/>
          <w:sz w:val="18"/>
        </w:rPr>
        <w:t xml:space="preserve">See </w:t>
      </w:r>
      <w:bookmarkStart w:id="2881" w:name="Bookmark_I5535SN32SF7SF0050000400"/>
      <w:bookmarkEnd w:id="2881"/>
      <w:r>
        <w:rPr>
          <w:rFonts w:ascii="Arial" w:eastAsia="Arial" w:hAnsi="Arial" w:cs="Arial"/>
          <w:i/>
          <w:color w:val="000000"/>
          <w:sz w:val="18"/>
        </w:rPr>
        <w:t>Pasco ex. rel. Pasco v. Knoblauch</w:t>
      </w:r>
      <w:r>
        <w:rPr>
          <w:rFonts w:ascii="Arial" w:eastAsia="Arial" w:hAnsi="Arial" w:cs="Arial"/>
          <w:color w:val="000000"/>
          <w:sz w:val="18"/>
        </w:rPr>
        <w:t>, 566 F.3d 572, 579 (5th Cir. 2009) (laying out elements of qualified immunity defense).</w:t>
      </w:r>
    </w:p>
  </w:footnote>
  <w:footnote w:id="143">
    <w:p w14:paraId="5C06D5DF"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16 </w:t>
      </w:r>
      <w:bookmarkStart w:id="2886" w:name="Bookmark_fnpara_17"/>
      <w:bookmarkEnd w:id="2886"/>
      <w:r>
        <w:rPr>
          <w:rFonts w:ascii="Arial" w:eastAsia="Arial" w:hAnsi="Arial" w:cs="Arial"/>
          <w:color w:val="000000"/>
          <w:sz w:val="18"/>
        </w:rPr>
        <w:t xml:space="preserve">To the extent that Wells seeks damages against state officials in the their official capacities under 42 U.S.C. § 1983, this claim has been waived because it was not raised on appeal. </w:t>
      </w:r>
      <w:r>
        <w:rPr>
          <w:rFonts w:ascii="Arial" w:eastAsia="Arial" w:hAnsi="Arial" w:cs="Arial"/>
          <w:i/>
          <w:color w:val="000000"/>
          <w:sz w:val="18"/>
        </w:rPr>
        <w:t xml:space="preserve">See </w:t>
      </w:r>
      <w:bookmarkStart w:id="2887" w:name="Bookmark_I5535SN32SF7SG0040000400"/>
      <w:bookmarkEnd w:id="2887"/>
      <w:r>
        <w:rPr>
          <w:rFonts w:ascii="Arial" w:eastAsia="Arial" w:hAnsi="Arial" w:cs="Arial"/>
          <w:i/>
          <w:color w:val="000000"/>
          <w:sz w:val="18"/>
        </w:rPr>
        <w:t>Geiger v. Jowers</w:t>
      </w:r>
      <w:r>
        <w:rPr>
          <w:rFonts w:ascii="Arial" w:eastAsia="Arial" w:hAnsi="Arial" w:cs="Arial"/>
          <w:color w:val="000000"/>
          <w:sz w:val="18"/>
        </w:rPr>
        <w:t xml:space="preserve">, 404 F.3d 371, 373 n.6 (5th Cir. 2005) (stating that </w:t>
      </w:r>
      <w:bookmarkStart w:id="2888" w:name="Bookmark_LNHNREFclscc8_15"/>
      <w:bookmarkEnd w:id="2888"/>
      <w:r>
        <w:rPr>
          <w:rFonts w:ascii="Arial" w:eastAsia="Arial" w:hAnsi="Arial" w:cs="Arial"/>
          <w:color w:val="000000"/>
          <w:sz w:val="18"/>
        </w:rPr>
        <w:t xml:space="preserve">although </w:t>
      </w:r>
      <w:r>
        <w:rPr>
          <w:rFonts w:ascii="Arial" w:eastAsia="Arial" w:hAnsi="Arial" w:cs="Arial"/>
          <w:i/>
          <w:color w:val="000000"/>
          <w:sz w:val="18"/>
        </w:rPr>
        <w:t>pro se</w:t>
      </w:r>
      <w:r>
        <w:rPr>
          <w:rFonts w:ascii="Arial" w:eastAsia="Arial" w:hAnsi="Arial" w:cs="Arial"/>
          <w:color w:val="000000"/>
          <w:sz w:val="18"/>
        </w:rPr>
        <w:t xml:space="preserve"> briefs are construed liberally that these briefs are not immune from the rule "that issues and arguments not briefed on appeal are abandoned").</w:t>
      </w:r>
    </w:p>
  </w:footnote>
  <w:footnote w:id="144">
    <w:p w14:paraId="0D47BCC8"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17 </w:t>
      </w:r>
      <w:bookmarkStart w:id="2920" w:name="Bookmark_fnpara_18"/>
      <w:bookmarkEnd w:id="2920"/>
      <w:r>
        <w:rPr>
          <w:rFonts w:ascii="Arial" w:eastAsia="Arial" w:hAnsi="Arial" w:cs="Arial"/>
          <w:i/>
          <w:color w:val="000000"/>
          <w:sz w:val="18"/>
        </w:rPr>
        <w:t xml:space="preserve">See also </w:t>
      </w:r>
      <w:bookmarkStart w:id="2921" w:name="Bookmark_I5535SN32N1PSF0050000400"/>
      <w:bookmarkEnd w:id="2921"/>
      <w:r>
        <w:rPr>
          <w:rFonts w:ascii="Arial" w:eastAsia="Arial" w:hAnsi="Arial" w:cs="Arial"/>
          <w:i/>
          <w:color w:val="000000"/>
          <w:sz w:val="18"/>
        </w:rPr>
        <w:t>Georgia</w:t>
      </w:r>
      <w:r>
        <w:rPr>
          <w:rFonts w:ascii="Arial" w:eastAsia="Arial" w:hAnsi="Arial" w:cs="Arial"/>
          <w:color w:val="000000"/>
          <w:sz w:val="18"/>
        </w:rPr>
        <w:t>, 546 U.S. at 160 (Stevens, J. concurring) (noting that remand in that decision "wisely permit[ted] the parties . . . to create a factual record that will inform [the Eleventh Amendment question].").</w:t>
      </w:r>
    </w:p>
  </w:footnote>
  <w:footnote w:id="145">
    <w:p w14:paraId="1422064C"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18 </w:t>
      </w:r>
      <w:bookmarkStart w:id="2930" w:name="Bookmark_fnpara_19"/>
      <w:bookmarkStart w:id="2931" w:name="Bookmark_LNHNREFclscc12_12"/>
      <w:bookmarkEnd w:id="2930"/>
      <w:bookmarkEnd w:id="2931"/>
      <w:r>
        <w:rPr>
          <w:rFonts w:ascii="Arial" w:eastAsia="Arial" w:hAnsi="Arial" w:cs="Arial"/>
          <w:color w:val="000000"/>
          <w:sz w:val="18"/>
        </w:rPr>
        <w:t xml:space="preserve">Title II provides that "[s]ubject to the provisions of this subchapter, 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2932" w:name="Bookmark_I5535SN32N1PSG0050000400"/>
      <w:bookmarkEnd w:id="2932"/>
      <w:r>
        <w:rPr>
          <w:rFonts w:ascii="Arial" w:eastAsia="Arial" w:hAnsi="Arial" w:cs="Arial"/>
          <w:i/>
          <w:color w:val="000000"/>
          <w:sz w:val="18"/>
        </w:rPr>
        <w:t>Pa. Dep't of Corr. v. Yeskey</w:t>
      </w:r>
      <w:r>
        <w:rPr>
          <w:rFonts w:ascii="Arial" w:eastAsia="Arial" w:hAnsi="Arial" w:cs="Arial"/>
          <w:color w:val="000000"/>
          <w:sz w:val="18"/>
        </w:rPr>
        <w:t>, 524 U.S. 206, 209-10, 118 S. Ct. 1952, 141 L. Ed. 2d 215 (1998) (applying  [**25] this Section to state prison inmates).</w:t>
      </w:r>
    </w:p>
  </w:footnote>
  <w:footnote w:id="146">
    <w:p w14:paraId="78584994"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19 </w:t>
      </w:r>
      <w:bookmarkStart w:id="2942" w:name="Bookmark_fnpara_20"/>
      <w:bookmarkEnd w:id="2942"/>
      <w:r>
        <w:rPr>
          <w:rFonts w:ascii="Arial" w:eastAsia="Arial" w:hAnsi="Arial" w:cs="Arial"/>
          <w:color w:val="000000"/>
          <w:sz w:val="18"/>
        </w:rPr>
        <w:t>The implementing regulations similarly defined "auxiliary aids and services" as including, "[q]ualified readers, taped texts, audio recordings, Brailled materials, large print materials, or other effective methods of making visually delivered materials available to individuals with visual impairments[.]"  [**26] 28 C.F.R. § 35.104 (2007).</w:t>
      </w:r>
    </w:p>
  </w:footnote>
  <w:footnote w:id="147">
    <w:p w14:paraId="6E0BA6E7"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20 </w:t>
      </w:r>
      <w:bookmarkStart w:id="2943" w:name="Bookmark_fnpara_21"/>
      <w:bookmarkEnd w:id="2943"/>
      <w:r>
        <w:rPr>
          <w:rFonts w:ascii="Arial" w:eastAsia="Arial" w:hAnsi="Arial" w:cs="Arial"/>
          <w:color w:val="000000"/>
          <w:sz w:val="18"/>
        </w:rPr>
        <w:t xml:space="preserve">Wells filed his lawsuit prior to the passage of the Americans with Disabilities Act Amendments Act of 2008 (ADAAA), Pub. L. No. 110-325, 122 Stat. 3553 (2008), and any of its amendments do not apply retroactively to the claims for compensatory relief. </w:t>
      </w:r>
      <w:r>
        <w:rPr>
          <w:rFonts w:ascii="Arial" w:eastAsia="Arial" w:hAnsi="Arial" w:cs="Arial"/>
          <w:i/>
          <w:color w:val="000000"/>
          <w:sz w:val="18"/>
        </w:rPr>
        <w:t xml:space="preserve">See </w:t>
      </w:r>
      <w:bookmarkStart w:id="2944" w:name="Bookmark_I5535SN32HM6TK0020000400"/>
      <w:bookmarkEnd w:id="2944"/>
      <w:r>
        <w:rPr>
          <w:rFonts w:ascii="Arial" w:eastAsia="Arial" w:hAnsi="Arial" w:cs="Arial"/>
          <w:i/>
          <w:color w:val="000000"/>
          <w:sz w:val="18"/>
        </w:rPr>
        <w:t>EEOC v. Agro Distrib., LLC</w:t>
      </w:r>
      <w:r>
        <w:rPr>
          <w:rFonts w:ascii="Arial" w:eastAsia="Arial" w:hAnsi="Arial" w:cs="Arial"/>
          <w:color w:val="000000"/>
          <w:sz w:val="18"/>
        </w:rPr>
        <w:t>, 555 F.3d 462, 469 n.8 (5th Cir. 2009).</w:t>
      </w:r>
    </w:p>
  </w:footnote>
  <w:footnote w:id="148">
    <w:p w14:paraId="500EDABC" w14:textId="77777777" w:rsidR="00D041A2" w:rsidRDefault="00000000">
      <w:pPr>
        <w:pStyle w:val="Normal23"/>
        <w:widowControl w:val="0"/>
        <w:spacing w:before="120" w:line="240" w:lineRule="atLeast"/>
        <w:jc w:val="both"/>
      </w:pPr>
      <w:r>
        <w:rPr>
          <w:rFonts w:ascii="Arial" w:eastAsia="Arial" w:hAnsi="Arial" w:cs="Arial"/>
          <w:color w:val="000000"/>
          <w:sz w:val="18"/>
          <w:vertAlign w:val="superscript"/>
        </w:rPr>
        <w:t>21 </w:t>
      </w:r>
      <w:bookmarkStart w:id="2947" w:name="Bookmark_fnpara_22"/>
      <w:bookmarkStart w:id="2948" w:name="Bookmark_I5535SN32HM6TK0050000400"/>
      <w:bookmarkEnd w:id="2947"/>
      <w:bookmarkEnd w:id="2948"/>
      <w:r>
        <w:rPr>
          <w:rFonts w:ascii="Arial" w:eastAsia="Arial" w:hAnsi="Arial" w:cs="Arial"/>
          <w:color w:val="000000"/>
          <w:sz w:val="18"/>
        </w:rPr>
        <w:t xml:space="preserve">The term qualified reader was not defined in the regulations in effect at the time Wells sued, 28 C.F.R. § 35.104 (2007), although the term has since been defined as "a person who is able to read effectively, accurately, and impartially using any necessary specialized vocabulary," 28 C.F.R. § 35.104 (2011). Although this new definition would not apply retroactively, the commentary to the regulations indicates that the amendment is not intended to lower the "qualified reader" standard. </w:t>
      </w:r>
      <w:bookmarkStart w:id="2949" w:name="Bookmark_I5535SN32HM6TK0040000400"/>
      <w:bookmarkEnd w:id="2949"/>
      <w:r>
        <w:rPr>
          <w:rFonts w:ascii="Arial" w:eastAsia="Arial" w:hAnsi="Arial" w:cs="Arial"/>
          <w:color w:val="000000"/>
          <w:sz w:val="18"/>
        </w:rPr>
        <w:t>75 Fed. Reg. 56,164, 56,191; 28 C.F.R. Pt. 35, App. A (2011). Wells does not offer any evidence showing that the prisoners available to assist him were not capable of reading "effectively, accurately, and impartially using any necessary specialized vocabulary." Given that the readers offered by the Estelle Unit meet the new standard, they would also meet the old one.</w:t>
      </w:r>
    </w:p>
  </w:footnote>
  <w:footnote w:id="149">
    <w:p w14:paraId="64EA5103" w14:textId="77777777" w:rsidR="00D041A2" w:rsidRDefault="00000000">
      <w:pPr>
        <w:pStyle w:val="Normal23"/>
        <w:widowControl w:val="0"/>
        <w:spacing w:before="200" w:line="240" w:lineRule="atLeast"/>
        <w:jc w:val="both"/>
      </w:pPr>
      <w:r>
        <w:rPr>
          <w:rFonts w:ascii="Arial" w:eastAsia="Arial" w:hAnsi="Arial" w:cs="Arial"/>
          <w:color w:val="000000"/>
          <w:sz w:val="18"/>
          <w:vertAlign w:val="superscript"/>
        </w:rPr>
        <w:t>22 </w:t>
      </w:r>
      <w:bookmarkStart w:id="2968" w:name="Bookmark_fnpara_23"/>
      <w:bookmarkStart w:id="2969" w:name="Bookmark_I5535SN328T4RG0040000400"/>
      <w:bookmarkEnd w:id="2968"/>
      <w:bookmarkEnd w:id="2969"/>
      <w:r>
        <w:rPr>
          <w:rFonts w:ascii="Arial" w:eastAsia="Arial" w:hAnsi="Arial" w:cs="Arial"/>
          <w:color w:val="000000"/>
          <w:sz w:val="18"/>
        </w:rPr>
        <w:t xml:space="preserve">Wells also brought claims against state officers in their individual capacity and for punitive damages under the ADA. These claims were dismissed by the district court, and Wells does not appeal that ruling on appeal. Thus, these claims are waived. </w:t>
      </w:r>
      <w:r>
        <w:rPr>
          <w:rFonts w:ascii="Arial" w:eastAsia="Arial" w:hAnsi="Arial" w:cs="Arial"/>
          <w:i/>
          <w:color w:val="000000"/>
          <w:sz w:val="18"/>
        </w:rPr>
        <w:t xml:space="preserve">See </w:t>
      </w:r>
      <w:bookmarkStart w:id="2970" w:name="Bookmark_I5535SN328T4RG0030000400"/>
      <w:bookmarkEnd w:id="2970"/>
      <w:r>
        <w:rPr>
          <w:rFonts w:ascii="Arial" w:eastAsia="Arial" w:hAnsi="Arial" w:cs="Arial"/>
          <w:i/>
          <w:color w:val="000000"/>
          <w:sz w:val="18"/>
        </w:rPr>
        <w:t>Geiger</w:t>
      </w:r>
      <w:r>
        <w:rPr>
          <w:rFonts w:ascii="Arial" w:eastAsia="Arial" w:hAnsi="Arial" w:cs="Arial"/>
          <w:color w:val="000000"/>
          <w:sz w:val="18"/>
        </w:rPr>
        <w:t>, 404 F.3d at 373 n.6.</w:t>
      </w:r>
    </w:p>
  </w:footnote>
  <w:footnote w:id="150">
    <w:p w14:paraId="0C32BD74" w14:textId="77777777" w:rsidR="00D041A2" w:rsidRDefault="00000000">
      <w:pPr>
        <w:pStyle w:val="Normal26"/>
        <w:widowControl w:val="0"/>
        <w:spacing w:before="120" w:line="240" w:lineRule="atLeast"/>
        <w:jc w:val="both"/>
      </w:pPr>
      <w:r>
        <w:rPr>
          <w:rFonts w:ascii="Arial" w:eastAsia="Arial" w:hAnsi="Arial" w:cs="Arial"/>
          <w:color w:val="000000"/>
          <w:sz w:val="18"/>
          <w:vertAlign w:val="superscript"/>
        </w:rPr>
        <w:t>* </w:t>
      </w:r>
      <w:bookmarkStart w:id="3086" w:name="Bookmark_fnpara_1_21"/>
      <w:bookmarkEnd w:id="3086"/>
      <w:r>
        <w:rPr>
          <w:rFonts w:ascii="Arial" w:eastAsia="Arial" w:hAnsi="Arial" w:cs="Arial"/>
          <w:color w:val="000000"/>
          <w:sz w:val="18"/>
        </w:rPr>
        <w:t>The Honorable Paul G. Gardephe, of the United States District Court for the Southern District of New York, sitting by designation.</w:t>
      </w:r>
    </w:p>
  </w:footnote>
  <w:footnote w:id="151">
    <w:p w14:paraId="119ACB0F" w14:textId="77777777" w:rsidR="00D041A2" w:rsidRDefault="00000000">
      <w:pPr>
        <w:pStyle w:val="Normal27"/>
        <w:widowControl w:val="0"/>
        <w:spacing w:before="120" w:line="240" w:lineRule="atLeast"/>
        <w:jc w:val="both"/>
      </w:pPr>
      <w:r>
        <w:rPr>
          <w:rFonts w:ascii="Arial" w:eastAsia="Arial" w:hAnsi="Arial" w:cs="Arial"/>
          <w:color w:val="000000"/>
          <w:sz w:val="18"/>
          <w:vertAlign w:val="superscript"/>
        </w:rPr>
        <w:t>1 </w:t>
      </w:r>
      <w:bookmarkStart w:id="3136" w:name="Bookmark_fnpara_1_22"/>
      <w:bookmarkStart w:id="3137" w:name="Bookmark_LNHNREFclscc5_17"/>
      <w:bookmarkEnd w:id="3136"/>
      <w:bookmarkEnd w:id="3137"/>
      <w:r>
        <w:rPr>
          <w:rFonts w:ascii="Arial" w:eastAsia="Arial" w:hAnsi="Arial" w:cs="Arial"/>
          <w:color w:val="000000"/>
          <w:sz w:val="18"/>
        </w:rPr>
        <w:t>Not every change to an existing facility is an "alteration" under the statute. Relevant regulations define alteration as "a change to a place of public accommodation or a commercial facility that affects or could affect the usability of the building or facility or any part thereof." 28 C.F.R. § 36.402.</w:t>
      </w:r>
    </w:p>
  </w:footnote>
  <w:footnote w:id="152">
    <w:p w14:paraId="7A6CAF99" w14:textId="77777777" w:rsidR="00D041A2" w:rsidRDefault="00000000">
      <w:pPr>
        <w:pStyle w:val="Normal27"/>
        <w:widowControl w:val="0"/>
        <w:spacing w:before="120" w:line="240" w:lineRule="atLeast"/>
        <w:jc w:val="both"/>
      </w:pPr>
      <w:r>
        <w:rPr>
          <w:rFonts w:ascii="Arial" w:eastAsia="Arial" w:hAnsi="Arial" w:cs="Arial"/>
          <w:color w:val="000000"/>
          <w:sz w:val="18"/>
          <w:vertAlign w:val="superscript"/>
        </w:rPr>
        <w:t>2 </w:t>
      </w:r>
      <w:bookmarkStart w:id="3148" w:name="Bookmark_fnpara_2_19"/>
      <w:bookmarkEnd w:id="3148"/>
      <w:r>
        <w:rPr>
          <w:rFonts w:ascii="Arial" w:eastAsia="Arial" w:hAnsi="Arial" w:cs="Arial"/>
          <w:color w:val="000000"/>
          <w:sz w:val="18"/>
        </w:rPr>
        <w:t>Norkunas raises the issue of mootness, specifically that Seahorse should not win on the merits since it failed to meet the "formidable burden" required to show that the case was moot at trial. This argument is not well taken. Seahorse's failure to prevail on a mootness argument does not entitle Norkunas to judgment on the merits.</w:t>
      </w:r>
    </w:p>
  </w:footnote>
  <w:footnote w:id="153">
    <w:p w14:paraId="369986C8" w14:textId="77777777" w:rsidR="00D041A2" w:rsidRDefault="00000000">
      <w:pPr>
        <w:pStyle w:val="Normal27"/>
        <w:widowControl w:val="0"/>
        <w:spacing w:before="120" w:line="240" w:lineRule="atLeast"/>
        <w:jc w:val="both"/>
      </w:pPr>
      <w:r>
        <w:rPr>
          <w:rFonts w:ascii="Arial" w:eastAsia="Arial" w:hAnsi="Arial" w:cs="Arial"/>
          <w:color w:val="000000"/>
          <w:sz w:val="18"/>
          <w:vertAlign w:val="superscript"/>
        </w:rPr>
        <w:t>3 </w:t>
      </w:r>
      <w:bookmarkStart w:id="3159" w:name="Bookmark_fnpara_3_15"/>
      <w:bookmarkEnd w:id="3159"/>
      <w:r>
        <w:rPr>
          <w:rFonts w:ascii="Arial" w:eastAsia="Arial" w:hAnsi="Arial" w:cs="Arial"/>
          <w:color w:val="000000"/>
          <w:sz w:val="18"/>
        </w:rPr>
        <w:t>Seahorse objected to Norkunas' standing partly because he visited the Seahorse Inn in his capacity as an ADA "tester," for the purpose of investigating ADA compliance. As the district court noted, we have never addressed the issue of "tester standing" or "professional plaintiff" standing under the ADA. We find that Norkunas had standing on the basis of his continuing need to stay at hotels in Jacksonville when traveling between his two homes and in conducting his work with post-polio patients. We therefore do not address "tester standing" here.</w:t>
      </w:r>
    </w:p>
  </w:footnote>
  <w:footnote w:id="154">
    <w:p w14:paraId="3AD4666C" w14:textId="77777777" w:rsidR="00D041A2" w:rsidRDefault="00000000">
      <w:pPr>
        <w:pStyle w:val="Normal27"/>
        <w:widowControl w:val="0"/>
        <w:spacing w:before="200" w:line="240" w:lineRule="atLeast"/>
        <w:jc w:val="both"/>
      </w:pPr>
      <w:r>
        <w:rPr>
          <w:rFonts w:ascii="Arial" w:eastAsia="Arial" w:hAnsi="Arial" w:cs="Arial"/>
          <w:color w:val="000000"/>
          <w:sz w:val="18"/>
          <w:vertAlign w:val="superscript"/>
        </w:rPr>
        <w:t>4 </w:t>
      </w:r>
      <w:bookmarkStart w:id="3200" w:name="Bookmark_fnpara_4_11"/>
      <w:bookmarkEnd w:id="3200"/>
      <w:r>
        <w:rPr>
          <w:rFonts w:ascii="Arial" w:eastAsia="Arial" w:hAnsi="Arial" w:cs="Arial"/>
          <w:color w:val="000000"/>
          <w:sz w:val="18"/>
        </w:rPr>
        <w:t>Cole testified that he smoothed an area outside an office (curb ramp); added  [**13] pavers around the gate latches; leveled a threshold of a door and narrowed the size of the bump by at least one-half inch; moved grab bars an inch or two, took away part of an apron under the lavatories, and did work in the area of the Lemon Bar restrooms; and made a parking space "as level as possible." Brief for Appellant at 37-38, 42, 45.</w:t>
      </w:r>
    </w:p>
  </w:footnote>
  <w:footnote w:id="155">
    <w:p w14:paraId="016A06D1" w14:textId="77777777" w:rsidR="00D041A2" w:rsidRDefault="00000000">
      <w:pPr>
        <w:pStyle w:val="Normal28"/>
        <w:widowControl w:val="0"/>
        <w:spacing w:before="120" w:line="240" w:lineRule="atLeast"/>
        <w:jc w:val="both"/>
      </w:pPr>
      <w:r>
        <w:rPr>
          <w:rFonts w:ascii="Arial" w:eastAsia="Arial" w:hAnsi="Arial" w:cs="Arial"/>
          <w:color w:val="000000"/>
          <w:sz w:val="18"/>
          <w:vertAlign w:val="superscript"/>
        </w:rPr>
        <w:t>** </w:t>
      </w:r>
      <w:bookmarkStart w:id="3225" w:name="Bookmark_fnpara_1_23"/>
      <w:bookmarkEnd w:id="3225"/>
      <w:r>
        <w:rPr>
          <w:rFonts w:ascii="Arial" w:eastAsia="Arial" w:hAnsi="Arial" w:cs="Arial"/>
          <w:color w:val="000000"/>
          <w:sz w:val="18"/>
        </w:rPr>
        <w:t>The Honorable Thomas J. Whelan, Senior District Judge for the U.S. District Court for the Southern District of California, sitting by designation.</w:t>
      </w:r>
    </w:p>
  </w:footnote>
  <w:footnote w:id="156">
    <w:p w14:paraId="5B9441A3" w14:textId="77777777" w:rsidR="00D041A2" w:rsidRDefault="00000000">
      <w:pPr>
        <w:pStyle w:val="Normal28"/>
        <w:widowControl w:val="0"/>
        <w:spacing w:before="120" w:line="240" w:lineRule="atLeast"/>
        <w:jc w:val="both"/>
      </w:pPr>
      <w:r>
        <w:rPr>
          <w:rFonts w:ascii="Arial" w:eastAsia="Arial" w:hAnsi="Arial" w:cs="Arial"/>
          <w:color w:val="000000"/>
          <w:sz w:val="18"/>
          <w:vertAlign w:val="superscript"/>
        </w:rPr>
        <w:t>* </w:t>
      </w:r>
      <w:bookmarkStart w:id="3227" w:name="Bookmark_fnpara_2_20"/>
      <w:bookmarkEnd w:id="3227"/>
      <w:r>
        <w:rPr>
          <w:rFonts w:ascii="Arial" w:eastAsia="Arial" w:hAnsi="Arial" w:cs="Arial"/>
          <w:color w:val="000000"/>
          <w:sz w:val="18"/>
        </w:rPr>
        <w:t>This disposition is not appropriate for publication and is not precedent except as provided by 9th Cir. R. 36-3.</w:t>
      </w:r>
    </w:p>
  </w:footnote>
  <w:footnote w:id="157">
    <w:p w14:paraId="61A6EF84" w14:textId="77777777" w:rsidR="00D041A2" w:rsidRDefault="00000000">
      <w:pPr>
        <w:pStyle w:val="Normal28"/>
        <w:widowControl w:val="0"/>
        <w:spacing w:before="120" w:line="240" w:lineRule="atLeast"/>
        <w:jc w:val="both"/>
      </w:pPr>
      <w:r>
        <w:rPr>
          <w:rFonts w:ascii="Arial" w:eastAsia="Arial" w:hAnsi="Arial" w:cs="Arial"/>
          <w:color w:val="000000"/>
          <w:sz w:val="18"/>
          <w:vertAlign w:val="superscript"/>
        </w:rPr>
        <w:t>1 </w:t>
      </w:r>
      <w:bookmarkStart w:id="3258" w:name="Bookmark_fnpara_3_16"/>
      <w:bookmarkEnd w:id="3258"/>
      <w:r>
        <w:rPr>
          <w:rFonts w:ascii="Arial" w:eastAsia="Arial" w:hAnsi="Arial" w:cs="Arial"/>
          <w:color w:val="000000"/>
          <w:sz w:val="18"/>
        </w:rPr>
        <w:t>Because Goos attached the June 28, 2007 letter to her complaint with the California Department of Fair Employment and Housing, the district court properly admitted the letter into evidence.</w:t>
      </w:r>
    </w:p>
  </w:footnote>
  <w:footnote w:id="158">
    <w:p w14:paraId="5C3F966F" w14:textId="77777777" w:rsidR="00D041A2" w:rsidRDefault="00000000">
      <w:pPr>
        <w:pStyle w:val="Normal29"/>
        <w:widowControl w:val="0"/>
        <w:spacing w:before="120" w:line="240" w:lineRule="atLeast"/>
        <w:jc w:val="both"/>
      </w:pPr>
      <w:r>
        <w:rPr>
          <w:rFonts w:ascii="Arial" w:eastAsia="Arial" w:hAnsi="Arial" w:cs="Arial"/>
          <w:color w:val="000000"/>
          <w:sz w:val="18"/>
          <w:vertAlign w:val="superscript"/>
        </w:rPr>
        <w:t>1 </w:t>
      </w:r>
      <w:bookmarkStart w:id="3273" w:name="Bookmark_fnpara_1_24"/>
      <w:bookmarkEnd w:id="3273"/>
      <w:r>
        <w:rPr>
          <w:rFonts w:ascii="Arial" w:eastAsia="Arial" w:hAnsi="Arial" w:cs="Arial"/>
          <w:color w:val="000000"/>
          <w:sz w:val="18"/>
        </w:rPr>
        <w:t>Ralphs owned and operated the store in question, and defendant Cypress Creek owned the retail center in which the store was located.</w:t>
      </w:r>
    </w:p>
  </w:footnote>
  <w:footnote w:id="159">
    <w:p w14:paraId="0E7B075B" w14:textId="77777777" w:rsidR="00D041A2" w:rsidRDefault="00000000">
      <w:pPr>
        <w:pStyle w:val="Normal29"/>
        <w:widowControl w:val="0"/>
        <w:spacing w:before="120" w:line="240" w:lineRule="atLeast"/>
        <w:jc w:val="both"/>
      </w:pPr>
      <w:r>
        <w:rPr>
          <w:rFonts w:ascii="Arial" w:eastAsia="Arial" w:hAnsi="Arial" w:cs="Arial"/>
          <w:color w:val="000000"/>
          <w:sz w:val="18"/>
          <w:vertAlign w:val="superscript"/>
        </w:rPr>
        <w:t>2 </w:t>
      </w:r>
      <w:bookmarkStart w:id="3276" w:name="Bookmark_fnpara_2_21"/>
      <w:bookmarkEnd w:id="3276"/>
      <w:r>
        <w:rPr>
          <w:rFonts w:ascii="Arial" w:eastAsia="Arial" w:hAnsi="Arial" w:cs="Arial"/>
          <w:color w:val="000000"/>
          <w:sz w:val="18"/>
        </w:rPr>
        <w:t>Unless otherwise noted, all statutory citations in this opinion are to title 42 of the U.S. Code.</w:t>
      </w:r>
    </w:p>
  </w:footnote>
  <w:footnote w:id="160">
    <w:p w14:paraId="20D5D82C" w14:textId="77777777" w:rsidR="00D041A2" w:rsidRDefault="00000000">
      <w:pPr>
        <w:pStyle w:val="Normal29"/>
        <w:widowControl w:val="0"/>
        <w:spacing w:before="120" w:line="240" w:lineRule="atLeast"/>
        <w:jc w:val="both"/>
      </w:pPr>
      <w:r>
        <w:rPr>
          <w:rFonts w:ascii="Arial" w:eastAsia="Arial" w:hAnsi="Arial" w:cs="Arial"/>
          <w:color w:val="000000"/>
          <w:sz w:val="18"/>
          <w:vertAlign w:val="superscript"/>
        </w:rPr>
        <w:t>3 </w:t>
      </w:r>
      <w:bookmarkStart w:id="3277" w:name="Bookmark_fnpara_3_17"/>
      <w:bookmarkEnd w:id="3277"/>
      <w:r>
        <w:rPr>
          <w:rFonts w:ascii="Arial" w:eastAsia="Arial" w:hAnsi="Arial" w:cs="Arial"/>
          <w:color w:val="000000"/>
          <w:sz w:val="18"/>
        </w:rPr>
        <w:t>For existing facilities, discrimination includes "a failure to remove architectural barriers . . . where such removal is readily achievable." § 12182(b)(2)(A)(iv). "Existing facilities," as defined in the ADA, are not at issue in this case.</w:t>
      </w:r>
    </w:p>
  </w:footnote>
  <w:footnote w:id="161">
    <w:p w14:paraId="46D2C69B" w14:textId="77777777" w:rsidR="00D041A2" w:rsidRDefault="00000000">
      <w:pPr>
        <w:pStyle w:val="Normal29"/>
        <w:widowControl w:val="0"/>
        <w:spacing w:before="200" w:line="240" w:lineRule="atLeast"/>
        <w:jc w:val="both"/>
      </w:pPr>
      <w:r>
        <w:rPr>
          <w:rFonts w:ascii="Arial" w:eastAsia="Arial" w:hAnsi="Arial" w:cs="Arial"/>
          <w:color w:val="000000"/>
          <w:sz w:val="18"/>
          <w:vertAlign w:val="superscript"/>
        </w:rPr>
        <w:t>4 </w:t>
      </w:r>
      <w:bookmarkStart w:id="3285" w:name="Bookmark_fnpara_4_12"/>
      <w:bookmarkStart w:id="3286" w:name="Bookmark_LNHNREFclscc4_18"/>
      <w:bookmarkEnd w:id="3285"/>
      <w:bookmarkEnd w:id="3286"/>
      <w:r>
        <w:rPr>
          <w:rFonts w:ascii="Arial" w:eastAsia="Arial" w:hAnsi="Arial" w:cs="Arial"/>
          <w:color w:val="000000"/>
          <w:sz w:val="18"/>
        </w:rPr>
        <w:t xml:space="preserve">Because the Attorney General developed the ADAAG pursuant to an express delegation of authority by Congress, § 12186(b), courts must give ADAAG "controlling weight unless [it is] arbitrary, capricious, or manifestly contrary to the statute." </w:t>
      </w:r>
      <w:bookmarkStart w:id="3287" w:name="Bookmark_I53RDT0H28T4MS0040000400"/>
      <w:bookmarkEnd w:id="3287"/>
      <w:r>
        <w:rPr>
          <w:rFonts w:ascii="Arial" w:eastAsia="Arial" w:hAnsi="Arial" w:cs="Arial"/>
          <w:i/>
          <w:color w:val="000000"/>
          <w:sz w:val="18"/>
        </w:rPr>
        <w:t>Chevron U.S.A., Inc. v. NRDC</w:t>
      </w:r>
      <w:r>
        <w:rPr>
          <w:rFonts w:ascii="Arial" w:eastAsia="Arial" w:hAnsi="Arial" w:cs="Arial"/>
          <w:color w:val="000000"/>
          <w:sz w:val="18"/>
        </w:rPr>
        <w:t xml:space="preserve">, 467 U.S. 837, 843-44, 104 S. Ct. 2778, 81 L. Ed. 2d 694 (1984); </w:t>
      </w:r>
      <w:r>
        <w:rPr>
          <w:rFonts w:ascii="Arial" w:eastAsia="Arial" w:hAnsi="Arial" w:cs="Arial"/>
          <w:i/>
          <w:color w:val="000000"/>
          <w:sz w:val="18"/>
        </w:rPr>
        <w:t xml:space="preserve">see </w:t>
      </w:r>
      <w:bookmarkStart w:id="3288" w:name="Bookmark_I53RDT0H2D6MVP0010000400"/>
      <w:bookmarkEnd w:id="3288"/>
      <w:r>
        <w:rPr>
          <w:rFonts w:ascii="Arial" w:eastAsia="Arial" w:hAnsi="Arial" w:cs="Arial"/>
          <w:i/>
          <w:color w:val="000000"/>
          <w:sz w:val="18"/>
        </w:rPr>
        <w:t>Does 1-5 v. Chandler</w:t>
      </w:r>
      <w:r>
        <w:rPr>
          <w:rFonts w:ascii="Arial" w:eastAsia="Arial" w:hAnsi="Arial" w:cs="Arial"/>
          <w:color w:val="000000"/>
          <w:sz w:val="18"/>
        </w:rPr>
        <w:t>, 83 F.3d 1150, 1153 (9th Cir. 1996).</w:t>
      </w:r>
    </w:p>
  </w:footnote>
  <w:footnote w:id="162">
    <w:p w14:paraId="1F1A121C" w14:textId="77777777" w:rsidR="00D041A2" w:rsidRDefault="00000000">
      <w:pPr>
        <w:pStyle w:val="Normal29"/>
        <w:widowControl w:val="0"/>
        <w:spacing w:before="120" w:line="240" w:lineRule="atLeast"/>
        <w:jc w:val="both"/>
      </w:pPr>
      <w:r>
        <w:rPr>
          <w:rFonts w:ascii="Arial" w:eastAsia="Arial" w:hAnsi="Arial" w:cs="Arial"/>
          <w:color w:val="000000"/>
          <w:sz w:val="18"/>
          <w:vertAlign w:val="superscript"/>
        </w:rPr>
        <w:t>5 </w:t>
      </w:r>
      <w:bookmarkStart w:id="3294" w:name="Bookmark_fnpara_5_11"/>
      <w:bookmarkEnd w:id="3294"/>
      <w:r>
        <w:rPr>
          <w:rFonts w:ascii="Arial" w:eastAsia="Arial" w:hAnsi="Arial" w:cs="Arial"/>
          <w:color w:val="000000"/>
          <w:sz w:val="18"/>
        </w:rPr>
        <w:t>The 18 architectural features listed in the complaint were:</w:t>
      </w:r>
    </w:p>
    <w:p w14:paraId="463581EE" w14:textId="77777777" w:rsidR="00D041A2" w:rsidRDefault="00000000">
      <w:pPr>
        <w:pStyle w:val="Normal29"/>
        <w:widowControl w:val="0"/>
        <w:spacing w:before="120" w:line="240" w:lineRule="atLeast"/>
        <w:ind w:left="400"/>
        <w:jc w:val="both"/>
      </w:pPr>
      <w:bookmarkStart w:id="3295" w:name="Bookmark_para_7_28"/>
      <w:bookmarkEnd w:id="3295"/>
      <w:r>
        <w:rPr>
          <w:rFonts w:ascii="Arial" w:eastAsia="Arial" w:hAnsi="Arial" w:cs="Arial"/>
          <w:color w:val="000000"/>
          <w:sz w:val="18"/>
        </w:rPr>
        <w:t>• The tow away signage provided at the facility is incorrect;</w:t>
      </w:r>
    </w:p>
    <w:p w14:paraId="0DC6656D" w14:textId="77777777" w:rsidR="00D041A2" w:rsidRDefault="00000000">
      <w:pPr>
        <w:pStyle w:val="Normal29"/>
        <w:widowControl w:val="0"/>
        <w:spacing w:before="120" w:line="240" w:lineRule="atLeast"/>
        <w:ind w:left="400"/>
        <w:jc w:val="both"/>
      </w:pPr>
      <w:bookmarkStart w:id="3296" w:name="Bookmark_para_8_27"/>
      <w:bookmarkEnd w:id="3296"/>
      <w:r>
        <w:rPr>
          <w:rFonts w:ascii="Arial" w:eastAsia="Arial" w:hAnsi="Arial" w:cs="Arial"/>
          <w:color w:val="000000"/>
          <w:sz w:val="18"/>
        </w:rPr>
        <w:t>• The signage in the van accessible stall is incorrect;</w:t>
      </w:r>
    </w:p>
    <w:p w14:paraId="0F2DB189" w14:textId="77777777" w:rsidR="00D041A2" w:rsidRDefault="00000000">
      <w:pPr>
        <w:pStyle w:val="Normal29"/>
        <w:widowControl w:val="0"/>
        <w:spacing w:before="120" w:line="240" w:lineRule="atLeast"/>
        <w:ind w:left="400"/>
        <w:jc w:val="both"/>
      </w:pPr>
      <w:bookmarkStart w:id="3297" w:name="Bookmark_para_9_26"/>
      <w:bookmarkEnd w:id="3297"/>
      <w:r>
        <w:rPr>
          <w:rFonts w:ascii="Arial" w:eastAsia="Arial" w:hAnsi="Arial" w:cs="Arial"/>
          <w:color w:val="000000"/>
          <w:sz w:val="18"/>
        </w:rPr>
        <w:t>• There is no stop sign painted on the pavement where the accessible route crosses the vehicular way;</w:t>
      </w:r>
    </w:p>
    <w:p w14:paraId="67008B51" w14:textId="77777777" w:rsidR="00D041A2" w:rsidRDefault="00000000">
      <w:pPr>
        <w:pStyle w:val="Normal29"/>
        <w:widowControl w:val="0"/>
        <w:spacing w:before="120" w:line="240" w:lineRule="atLeast"/>
        <w:ind w:left="400"/>
        <w:jc w:val="both"/>
      </w:pPr>
      <w:bookmarkStart w:id="3298" w:name="Bookmark_para_10_26"/>
      <w:bookmarkEnd w:id="3298"/>
      <w:r>
        <w:rPr>
          <w:rFonts w:ascii="Arial" w:eastAsia="Arial" w:hAnsi="Arial" w:cs="Arial"/>
          <w:color w:val="000000"/>
          <w:sz w:val="18"/>
        </w:rPr>
        <w:t>• There are no detectable warnings where the accessible route crosses the vehicular way;</w:t>
      </w:r>
    </w:p>
    <w:p w14:paraId="1AED8542" w14:textId="77777777" w:rsidR="00D041A2" w:rsidRDefault="00000000">
      <w:pPr>
        <w:pStyle w:val="Normal29"/>
        <w:widowControl w:val="0"/>
        <w:spacing w:before="120" w:line="240" w:lineRule="atLeast"/>
        <w:ind w:left="400"/>
        <w:jc w:val="both"/>
      </w:pPr>
      <w:bookmarkStart w:id="3299" w:name="Bookmark_para_11_25"/>
      <w:bookmarkEnd w:id="3299"/>
      <w:r>
        <w:rPr>
          <w:rFonts w:ascii="Arial" w:eastAsia="Arial" w:hAnsi="Arial" w:cs="Arial"/>
          <w:color w:val="000000"/>
          <w:sz w:val="18"/>
        </w:rPr>
        <w:t>• The pay point machine is mounted too high and out of reach;</w:t>
      </w:r>
    </w:p>
    <w:p w14:paraId="251DFEDC" w14:textId="77777777" w:rsidR="00D041A2" w:rsidRDefault="00000000">
      <w:pPr>
        <w:pStyle w:val="Normal29"/>
        <w:widowControl w:val="0"/>
        <w:spacing w:before="120" w:line="240" w:lineRule="atLeast"/>
        <w:ind w:left="400"/>
        <w:jc w:val="both"/>
      </w:pPr>
      <w:bookmarkStart w:id="3300" w:name="Bookmark_para_12_24"/>
      <w:bookmarkEnd w:id="3300"/>
      <w:r>
        <w:rPr>
          <w:rFonts w:ascii="Arial" w:eastAsia="Arial" w:hAnsi="Arial" w:cs="Arial"/>
          <w:color w:val="000000"/>
          <w:sz w:val="18"/>
        </w:rPr>
        <w:t>• There is no directional signage leading to the accessible restrooms;</w:t>
      </w:r>
    </w:p>
    <w:p w14:paraId="0AC6F526" w14:textId="77777777" w:rsidR="00D041A2" w:rsidRDefault="00000000">
      <w:pPr>
        <w:pStyle w:val="Normal29"/>
        <w:widowControl w:val="0"/>
        <w:spacing w:before="120" w:line="240" w:lineRule="atLeast"/>
        <w:ind w:left="400"/>
        <w:jc w:val="both"/>
      </w:pPr>
      <w:bookmarkStart w:id="3301" w:name="Bookmark_para_13_22"/>
      <w:bookmarkEnd w:id="3301"/>
      <w:r>
        <w:rPr>
          <w:rFonts w:ascii="Arial" w:eastAsia="Arial" w:hAnsi="Arial" w:cs="Arial"/>
          <w:color w:val="000000"/>
          <w:sz w:val="18"/>
        </w:rPr>
        <w:t>• The signage at the men's restroom's entrance door is incorrect;</w:t>
      </w:r>
    </w:p>
    <w:p w14:paraId="0DB76143" w14:textId="77777777" w:rsidR="00D041A2" w:rsidRDefault="00000000">
      <w:pPr>
        <w:pStyle w:val="Normal29"/>
        <w:widowControl w:val="0"/>
        <w:spacing w:before="120" w:line="240" w:lineRule="atLeast"/>
        <w:ind w:left="400"/>
        <w:jc w:val="both"/>
      </w:pPr>
      <w:bookmarkStart w:id="3302" w:name="Bookmark_para_14_20"/>
      <w:bookmarkEnd w:id="3302"/>
      <w:r>
        <w:rPr>
          <w:rFonts w:ascii="Arial" w:eastAsia="Arial" w:hAnsi="Arial" w:cs="Arial"/>
          <w:color w:val="000000"/>
          <w:sz w:val="18"/>
        </w:rPr>
        <w:t>• The door into the men's restroom requires too much force to operate and does not completely close;</w:t>
      </w:r>
    </w:p>
    <w:p w14:paraId="4F1B127E" w14:textId="77777777" w:rsidR="00D041A2" w:rsidRDefault="00000000">
      <w:pPr>
        <w:pStyle w:val="Normal29"/>
        <w:widowControl w:val="0"/>
        <w:spacing w:before="120" w:line="240" w:lineRule="atLeast"/>
        <w:ind w:left="400"/>
        <w:jc w:val="both"/>
      </w:pPr>
      <w:bookmarkStart w:id="3303" w:name="Bookmark_para_15_19"/>
      <w:bookmarkEnd w:id="3303"/>
      <w:r>
        <w:rPr>
          <w:rFonts w:ascii="Arial" w:eastAsia="Arial" w:hAnsi="Arial" w:cs="Arial"/>
          <w:color w:val="000000"/>
          <w:sz w:val="18"/>
        </w:rPr>
        <w:t>• The stall door is not self closing;</w:t>
      </w:r>
    </w:p>
    <w:p w14:paraId="5CA14CBB" w14:textId="77777777" w:rsidR="00D041A2" w:rsidRDefault="00000000">
      <w:pPr>
        <w:pStyle w:val="Normal29"/>
        <w:widowControl w:val="0"/>
        <w:spacing w:before="120" w:line="240" w:lineRule="atLeast"/>
        <w:ind w:left="400"/>
        <w:jc w:val="both"/>
      </w:pPr>
      <w:bookmarkStart w:id="3304" w:name="Bookmark_para_16_19"/>
      <w:bookmarkEnd w:id="3304"/>
      <w:r>
        <w:rPr>
          <w:rFonts w:ascii="Arial" w:eastAsia="Arial" w:hAnsi="Arial" w:cs="Arial"/>
          <w:color w:val="000000"/>
          <w:sz w:val="18"/>
        </w:rPr>
        <w:t>• The handle and lock on the stall door requires pinching and twisting to operate;</w:t>
      </w:r>
    </w:p>
    <w:p w14:paraId="33097D6C" w14:textId="77777777" w:rsidR="00D041A2" w:rsidRDefault="00000000">
      <w:pPr>
        <w:pStyle w:val="Normal29"/>
        <w:widowControl w:val="0"/>
        <w:spacing w:before="120" w:line="240" w:lineRule="atLeast"/>
        <w:ind w:left="400"/>
        <w:jc w:val="both"/>
      </w:pPr>
      <w:bookmarkStart w:id="3305" w:name="Bookmark_para_17_18"/>
      <w:bookmarkEnd w:id="3305"/>
      <w:r>
        <w:rPr>
          <w:rFonts w:ascii="Arial" w:eastAsia="Arial" w:hAnsi="Arial" w:cs="Arial"/>
          <w:color w:val="000000"/>
          <w:sz w:val="18"/>
        </w:rPr>
        <w:t>• The side grab bar is mounted more than 12 inches from the back wall;</w:t>
      </w:r>
    </w:p>
    <w:p w14:paraId="0E1D69C2" w14:textId="77777777" w:rsidR="00D041A2" w:rsidRDefault="00000000">
      <w:pPr>
        <w:pStyle w:val="Normal29"/>
        <w:widowControl w:val="0"/>
        <w:spacing w:before="120" w:line="240" w:lineRule="atLeast"/>
        <w:ind w:left="400"/>
        <w:jc w:val="both"/>
      </w:pPr>
      <w:bookmarkStart w:id="3306" w:name="Bookmark_para_18_16"/>
      <w:bookmarkEnd w:id="3306"/>
      <w:r>
        <w:rPr>
          <w:rFonts w:ascii="Arial" w:eastAsia="Arial" w:hAnsi="Arial" w:cs="Arial"/>
          <w:color w:val="000000"/>
          <w:sz w:val="18"/>
        </w:rPr>
        <w:t>• The side grab bar does not extend 24 inches beyond the toilet tissue dispenser;</w:t>
      </w:r>
    </w:p>
    <w:p w14:paraId="196F02EF" w14:textId="77777777" w:rsidR="00D041A2" w:rsidRDefault="00000000">
      <w:pPr>
        <w:pStyle w:val="Normal29"/>
        <w:widowControl w:val="0"/>
        <w:spacing w:before="120" w:line="240" w:lineRule="atLeast"/>
        <w:ind w:left="400"/>
        <w:jc w:val="both"/>
      </w:pPr>
      <w:bookmarkStart w:id="3307" w:name="Bookmark_para_19_16"/>
      <w:bookmarkEnd w:id="3307"/>
      <w:r>
        <w:rPr>
          <w:rFonts w:ascii="Arial" w:eastAsia="Arial" w:hAnsi="Arial" w:cs="Arial"/>
          <w:color w:val="000000"/>
          <w:sz w:val="18"/>
        </w:rPr>
        <w:t>• The toilet tissue dispenser protrudes into the clear floor space needed at the water closet;</w:t>
      </w:r>
    </w:p>
    <w:p w14:paraId="52D03AED" w14:textId="77777777" w:rsidR="00D041A2" w:rsidRDefault="00000000">
      <w:pPr>
        <w:pStyle w:val="Normal29"/>
        <w:widowControl w:val="0"/>
        <w:spacing w:before="120" w:line="240" w:lineRule="atLeast"/>
        <w:ind w:left="400"/>
        <w:jc w:val="both"/>
      </w:pPr>
      <w:bookmarkStart w:id="3308" w:name="Bookmark_para_20_16"/>
      <w:bookmarkEnd w:id="3308"/>
      <w:r>
        <w:rPr>
          <w:rFonts w:ascii="Arial" w:eastAsia="Arial" w:hAnsi="Arial" w:cs="Arial"/>
          <w:color w:val="000000"/>
          <w:sz w:val="18"/>
        </w:rPr>
        <w:t>• The trash receptacle protrudes into the clear floor space needed at the water closet;</w:t>
      </w:r>
    </w:p>
    <w:p w14:paraId="19718778" w14:textId="77777777" w:rsidR="00D041A2" w:rsidRDefault="00000000">
      <w:pPr>
        <w:pStyle w:val="Normal29"/>
        <w:widowControl w:val="0"/>
        <w:spacing w:before="200" w:line="240" w:lineRule="atLeast"/>
        <w:ind w:left="400"/>
        <w:jc w:val="both"/>
      </w:pPr>
      <w:bookmarkStart w:id="3309" w:name="Bookmark_para_21_16"/>
      <w:bookmarkEnd w:id="3309"/>
      <w:r>
        <w:rPr>
          <w:rFonts w:ascii="Arial" w:eastAsia="Arial" w:hAnsi="Arial" w:cs="Arial"/>
          <w:color w:val="000000"/>
          <w:sz w:val="18"/>
        </w:rPr>
        <w:t>• The pipes underneath  [**6] the lavatory are not wrapped to prevent burns;</w:t>
      </w:r>
    </w:p>
    <w:p w14:paraId="3366B341" w14:textId="77777777" w:rsidR="00D041A2" w:rsidRDefault="00000000">
      <w:pPr>
        <w:pStyle w:val="Normal29"/>
        <w:widowControl w:val="0"/>
        <w:spacing w:before="120" w:line="240" w:lineRule="atLeast"/>
        <w:ind w:left="400"/>
        <w:jc w:val="both"/>
      </w:pPr>
      <w:bookmarkStart w:id="3310" w:name="Bookmark_para_22_16"/>
      <w:bookmarkEnd w:id="3310"/>
      <w:r>
        <w:rPr>
          <w:rFonts w:ascii="Arial" w:eastAsia="Arial" w:hAnsi="Arial" w:cs="Arial"/>
          <w:color w:val="000000"/>
          <w:sz w:val="18"/>
        </w:rPr>
        <w:t>• The handles to operate the lavatory controls require twisting and grasping;</w:t>
      </w:r>
    </w:p>
    <w:p w14:paraId="05F781FC" w14:textId="77777777" w:rsidR="00D041A2" w:rsidRDefault="00000000">
      <w:pPr>
        <w:pStyle w:val="Normal29"/>
        <w:widowControl w:val="0"/>
        <w:spacing w:before="120" w:line="240" w:lineRule="atLeast"/>
        <w:ind w:left="400"/>
        <w:jc w:val="both"/>
      </w:pPr>
      <w:bookmarkStart w:id="3311" w:name="Bookmark_para_23_15"/>
      <w:bookmarkEnd w:id="3311"/>
      <w:r>
        <w:rPr>
          <w:rFonts w:ascii="Arial" w:eastAsia="Arial" w:hAnsi="Arial" w:cs="Arial"/>
          <w:color w:val="000000"/>
          <w:sz w:val="18"/>
        </w:rPr>
        <w:t>• The soap dispenser's operable part is mounted at more than 40 inches from the floor; and,</w:t>
      </w:r>
    </w:p>
    <w:p w14:paraId="03424AF6" w14:textId="77777777" w:rsidR="00D041A2" w:rsidRDefault="00000000">
      <w:pPr>
        <w:pStyle w:val="Normal29"/>
        <w:widowControl w:val="0"/>
        <w:spacing w:before="120" w:line="240" w:lineRule="atLeast"/>
        <w:ind w:left="400"/>
        <w:jc w:val="both"/>
      </w:pPr>
      <w:bookmarkStart w:id="3312" w:name="Bookmark_para_24_14"/>
      <w:bookmarkEnd w:id="3312"/>
      <w:r>
        <w:rPr>
          <w:rFonts w:ascii="Arial" w:eastAsia="Arial" w:hAnsi="Arial" w:cs="Arial"/>
          <w:color w:val="000000"/>
          <w:sz w:val="18"/>
        </w:rPr>
        <w:t>• The operable part of the hand dryer is mounted at more than 40 inches from the floor.</w:t>
      </w:r>
    </w:p>
    <w:p w14:paraId="21426B81" w14:textId="77777777" w:rsidR="00D041A2" w:rsidRDefault="00000000">
      <w:pPr>
        <w:pStyle w:val="Normal29"/>
        <w:widowControl w:val="0"/>
        <w:spacing w:before="120" w:line="240" w:lineRule="atLeast"/>
        <w:jc w:val="both"/>
      </w:pPr>
      <w:r>
        <w:rPr>
          <w:rFonts w:ascii="Arial" w:eastAsia="Arial" w:hAnsi="Arial" w:cs="Arial"/>
          <w:color w:val="000000"/>
          <w:sz w:val="18"/>
        </w:rPr>
        <w:t>Cypress Creek asserts that only the first four features listed in the complaint relate to areas under its control.</w:t>
      </w:r>
    </w:p>
  </w:footnote>
  <w:footnote w:id="163">
    <w:p w14:paraId="0C22E6D2" w14:textId="77777777" w:rsidR="00D041A2" w:rsidRDefault="00000000">
      <w:pPr>
        <w:pStyle w:val="Normal29"/>
        <w:widowControl w:val="0"/>
        <w:spacing w:before="200" w:line="240" w:lineRule="atLeast"/>
        <w:jc w:val="both"/>
      </w:pPr>
      <w:r>
        <w:rPr>
          <w:rFonts w:ascii="Arial" w:eastAsia="Arial" w:hAnsi="Arial" w:cs="Arial"/>
          <w:color w:val="000000"/>
          <w:sz w:val="18"/>
          <w:vertAlign w:val="superscript"/>
        </w:rPr>
        <w:t>6 </w:t>
      </w:r>
      <w:bookmarkStart w:id="3313" w:name="Bookmark_fnpara_6_9"/>
      <w:bookmarkEnd w:id="3313"/>
      <w:r>
        <w:rPr>
          <w:rFonts w:ascii="Arial" w:eastAsia="Arial" w:hAnsi="Arial" w:cs="Arial"/>
          <w:color w:val="000000"/>
          <w:sz w:val="18"/>
        </w:rPr>
        <w:t xml:space="preserve">Oliver's complaint alleged violations of the Disabled Persons Act, see Cal. Civil Code § 54, and the Unruh Civil Rights Act, </w:t>
      </w:r>
      <w:r>
        <w:rPr>
          <w:rFonts w:ascii="Arial" w:eastAsia="Arial" w:hAnsi="Arial" w:cs="Arial"/>
          <w:i/>
          <w:color w:val="000000"/>
          <w:sz w:val="18"/>
        </w:rPr>
        <w:t>see</w:t>
      </w:r>
      <w:r>
        <w:rPr>
          <w:rFonts w:ascii="Arial" w:eastAsia="Arial" w:hAnsi="Arial" w:cs="Arial"/>
          <w:color w:val="000000"/>
          <w:sz w:val="18"/>
        </w:rPr>
        <w:t xml:space="preserve"> Cal. Civil Code § 51.</w:t>
      </w:r>
    </w:p>
  </w:footnote>
  <w:footnote w:id="164">
    <w:p w14:paraId="31FDBE30" w14:textId="77777777" w:rsidR="00D041A2" w:rsidRDefault="00000000">
      <w:pPr>
        <w:pStyle w:val="Normal29"/>
        <w:widowControl w:val="0"/>
        <w:spacing w:before="120" w:line="240" w:lineRule="atLeast"/>
        <w:jc w:val="both"/>
      </w:pPr>
      <w:r>
        <w:rPr>
          <w:rFonts w:ascii="Arial" w:eastAsia="Arial" w:hAnsi="Arial" w:cs="Arial"/>
          <w:color w:val="000000"/>
          <w:sz w:val="18"/>
          <w:vertAlign w:val="superscript"/>
        </w:rPr>
        <w:t>7 </w:t>
      </w:r>
      <w:bookmarkStart w:id="3316" w:name="Bookmark_fnpara_7_8"/>
      <w:bookmarkEnd w:id="3316"/>
      <w:r>
        <w:rPr>
          <w:rFonts w:ascii="Arial" w:eastAsia="Arial" w:hAnsi="Arial" w:cs="Arial"/>
          <w:color w:val="000000"/>
          <w:sz w:val="18"/>
        </w:rPr>
        <w:t>Oliver's counsel later explained that his delays in identifying the barriers at the facility were part of his legal strategy: he purposely "forces the defense to wait until expert disclosures (or discovery) before revealing a complete list of barriers," because otherwise a defendant could remove all the barriers prior to trial and moot the entire case.</w:t>
      </w:r>
    </w:p>
  </w:footnote>
  <w:footnote w:id="165">
    <w:p w14:paraId="6E75FE3E" w14:textId="77777777" w:rsidR="00D041A2" w:rsidRDefault="00000000">
      <w:pPr>
        <w:pStyle w:val="Normal29"/>
        <w:widowControl w:val="0"/>
        <w:spacing w:before="120" w:line="240" w:lineRule="atLeast"/>
        <w:jc w:val="both"/>
      </w:pPr>
      <w:r>
        <w:rPr>
          <w:rFonts w:ascii="Arial" w:eastAsia="Arial" w:hAnsi="Arial" w:cs="Arial"/>
          <w:color w:val="000000"/>
          <w:sz w:val="18"/>
          <w:vertAlign w:val="superscript"/>
        </w:rPr>
        <w:t>8 </w:t>
      </w:r>
      <w:bookmarkStart w:id="3319" w:name="Bookmark_fnpara_8_7"/>
      <w:bookmarkEnd w:id="3319"/>
      <w:r>
        <w:rPr>
          <w:rFonts w:ascii="Arial" w:eastAsia="Arial" w:hAnsi="Arial" w:cs="Arial"/>
          <w:color w:val="000000"/>
          <w:sz w:val="18"/>
        </w:rPr>
        <w:t>He does not challenge the court's refusal to consider the allegations in his proposed amended complaint or the court's decision to deny him leave to amend the complaint.</w:t>
      </w:r>
    </w:p>
  </w:footnote>
  <w:footnote w:id="166">
    <w:p w14:paraId="3FA78350" w14:textId="77777777" w:rsidR="00D041A2" w:rsidRDefault="00000000">
      <w:pPr>
        <w:pStyle w:val="Normal29"/>
        <w:widowControl w:val="0"/>
        <w:spacing w:before="200" w:line="240" w:lineRule="atLeast"/>
        <w:jc w:val="both"/>
      </w:pPr>
      <w:r>
        <w:rPr>
          <w:rFonts w:ascii="Arial" w:eastAsia="Arial" w:hAnsi="Arial" w:cs="Arial"/>
          <w:color w:val="000000"/>
          <w:sz w:val="18"/>
          <w:vertAlign w:val="superscript"/>
        </w:rPr>
        <w:t>9 </w:t>
      </w:r>
      <w:bookmarkStart w:id="3394" w:name="Bookmark_fnpara_9_6"/>
      <w:bookmarkStart w:id="3395" w:name="Bookmark_LNHNREFclscc15_11"/>
      <w:bookmarkEnd w:id="3394"/>
      <w:bookmarkEnd w:id="3395"/>
      <w:r>
        <w:rPr>
          <w:rFonts w:ascii="Arial" w:eastAsia="Arial" w:hAnsi="Arial" w:cs="Arial"/>
          <w:color w:val="000000"/>
          <w:sz w:val="18"/>
        </w:rPr>
        <w:t>Section 109(d) gives the Secretary of Transportation the authority to approve the "location, form and character of  [**18] informational, regulatory and warning signs, curb and pavement or other markings, and traffic signals" on any highway project involving the use of federal funds. 23 U.S.C. § 109(d). Section 402(a) mandates that each state create "a highway safety program . . . designed to reduce traffic accidents and deaths, injuries, and property damage resulting therefrom" and requires that each state program be "in accordance with uniform guidelines promulgated by the Secretary." 23 U.S.C. § 402(a).</w:t>
      </w:r>
    </w:p>
  </w:footnote>
  <w:footnote w:id="167">
    <w:p w14:paraId="18657865" w14:textId="77777777" w:rsidR="00D041A2" w:rsidRDefault="00000000">
      <w:pPr>
        <w:pStyle w:val="Normal29"/>
        <w:widowControl w:val="0"/>
        <w:spacing w:before="200" w:line="240" w:lineRule="atLeast"/>
        <w:jc w:val="both"/>
      </w:pPr>
      <w:r>
        <w:rPr>
          <w:rFonts w:ascii="Arial" w:eastAsia="Arial" w:hAnsi="Arial" w:cs="Arial"/>
          <w:color w:val="000000"/>
          <w:sz w:val="18"/>
          <w:vertAlign w:val="superscript"/>
        </w:rPr>
        <w:t>10 </w:t>
      </w:r>
      <w:bookmarkStart w:id="3397" w:name="Bookmark_fnpara_10_5"/>
      <w:bookmarkStart w:id="3398" w:name="Bookmark_LNHNREFclscc16_8"/>
      <w:bookmarkEnd w:id="3397"/>
      <w:bookmarkEnd w:id="3398"/>
      <w:r>
        <w:rPr>
          <w:rFonts w:ascii="Arial" w:eastAsia="Arial" w:hAnsi="Arial" w:cs="Arial"/>
          <w:color w:val="000000"/>
          <w:sz w:val="18"/>
        </w:rPr>
        <w:t xml:space="preserve">The Rehabilitation Act of 1973 mandates nondiscrimination and affirmative action by federal employers and federal contractors, </w:t>
      </w:r>
      <w:r>
        <w:rPr>
          <w:rFonts w:ascii="Arial" w:eastAsia="Arial" w:hAnsi="Arial" w:cs="Arial"/>
          <w:i/>
          <w:color w:val="000000"/>
          <w:sz w:val="18"/>
        </w:rPr>
        <w:t>see</w:t>
      </w:r>
      <w:r>
        <w:rPr>
          <w:rFonts w:ascii="Arial" w:eastAsia="Arial" w:hAnsi="Arial" w:cs="Arial"/>
          <w:color w:val="000000"/>
          <w:sz w:val="18"/>
        </w:rPr>
        <w:t xml:space="preserve"> 29 U.S.C. §§ 791, 793, and nondiscrimination and reasonable accommodation among recipients of federal financial assistance (such as higher education programs, public facilities, state transportation programs, and state health and welfare services), </w:t>
      </w:r>
      <w:r>
        <w:rPr>
          <w:rFonts w:ascii="Arial" w:eastAsia="Arial" w:hAnsi="Arial" w:cs="Arial"/>
          <w:i/>
          <w:color w:val="000000"/>
          <w:sz w:val="18"/>
        </w:rPr>
        <w:t>see</w:t>
      </w:r>
      <w:r>
        <w:rPr>
          <w:rFonts w:ascii="Arial" w:eastAsia="Arial" w:hAnsi="Arial" w:cs="Arial"/>
          <w:color w:val="000000"/>
          <w:sz w:val="18"/>
        </w:rPr>
        <w:t xml:space="preserve"> 29 U.S.C. § 794.</w:t>
      </w:r>
    </w:p>
  </w:footnote>
  <w:footnote w:id="168">
    <w:p w14:paraId="07C8767D" w14:textId="77777777" w:rsidR="00D041A2" w:rsidRDefault="00000000">
      <w:pPr>
        <w:pStyle w:val="Normal29"/>
        <w:widowControl w:val="0"/>
        <w:spacing w:before="120" w:line="240" w:lineRule="atLeast"/>
        <w:jc w:val="both"/>
      </w:pPr>
      <w:r>
        <w:rPr>
          <w:rFonts w:ascii="Arial" w:eastAsia="Arial" w:hAnsi="Arial" w:cs="Arial"/>
          <w:color w:val="000000"/>
          <w:sz w:val="18"/>
          <w:vertAlign w:val="superscript"/>
        </w:rPr>
        <w:t>11 </w:t>
      </w:r>
      <w:bookmarkStart w:id="3404" w:name="Bookmark_fnpara_11_5"/>
      <w:bookmarkEnd w:id="3404"/>
      <w:r>
        <w:rPr>
          <w:rFonts w:ascii="Arial" w:eastAsia="Arial" w:hAnsi="Arial" w:cs="Arial"/>
          <w:color w:val="000000"/>
          <w:sz w:val="18"/>
        </w:rPr>
        <w:t>Because we reject Oliver's incorporation theory on this basis, we need not address his other arguments. We note, however, that our case law interpreting § 12201(a) does not support Oliver's argument that the ADA incorporates the substantive standards contained in the Rehabilitation Act and its regulations, and the Secretary of Transportation's approval of the California MUTCD as being in "substantial conformance" with the federal MUTCD does not transform that state regulation into a federal regulation for purposes of § 12201(a).</w:t>
      </w:r>
    </w:p>
  </w:footnote>
  <w:footnote w:id="169">
    <w:p w14:paraId="30764AF0" w14:textId="77777777" w:rsidR="00D041A2" w:rsidRDefault="00000000">
      <w:pPr>
        <w:pStyle w:val="Normal30"/>
        <w:widowControl w:val="0"/>
        <w:spacing w:before="120" w:line="240" w:lineRule="atLeast"/>
        <w:jc w:val="both"/>
      </w:pPr>
      <w:r>
        <w:rPr>
          <w:rFonts w:ascii="Arial" w:eastAsia="Arial" w:hAnsi="Arial" w:cs="Arial"/>
          <w:color w:val="000000"/>
          <w:sz w:val="18"/>
          <w:vertAlign w:val="superscript"/>
        </w:rPr>
        <w:t>1 </w:t>
      </w:r>
      <w:bookmarkStart w:id="3424" w:name="Bookmark_fnpara_1_25"/>
      <w:bookmarkEnd w:id="3424"/>
      <w:r>
        <w:rPr>
          <w:rFonts w:ascii="Arial" w:eastAsia="Arial" w:hAnsi="Arial" w:cs="Arial"/>
          <w:color w:val="000000"/>
          <w:sz w:val="18"/>
        </w:rPr>
        <w:t>Though Defendant's motion was styled a "Motion for Judgment as a Matter of Law," and the judgment is alternatively characterized on appeal as a "directed verdict" and a "judgment as a matter of law," we will treat it as a judgment on partial findings pursuant to Federal Rule of Civil Procedure 52(c).</w:t>
      </w:r>
    </w:p>
    <w:p w14:paraId="4525B580" w14:textId="77777777" w:rsidR="00D041A2" w:rsidRDefault="00000000">
      <w:pPr>
        <w:pStyle w:val="Normal30"/>
        <w:widowControl w:val="0"/>
        <w:spacing w:before="200" w:line="240" w:lineRule="atLeast"/>
        <w:jc w:val="both"/>
      </w:pPr>
      <w:bookmarkStart w:id="3425" w:name="Bookmark_fnpara_2_22"/>
      <w:bookmarkEnd w:id="3425"/>
      <w:r>
        <w:rPr>
          <w:rFonts w:ascii="Arial" w:eastAsia="Arial" w:hAnsi="Arial" w:cs="Arial"/>
          <w:color w:val="000000"/>
          <w:sz w:val="18"/>
        </w:rPr>
        <w:t>Rule 52(c)  [**2] provides:</w:t>
      </w:r>
    </w:p>
    <w:p w14:paraId="52B0C0F2" w14:textId="77777777" w:rsidR="00D041A2" w:rsidRDefault="00000000">
      <w:pPr>
        <w:pStyle w:val="Normal30"/>
        <w:widowControl w:val="0"/>
        <w:spacing w:before="200" w:line="240" w:lineRule="atLeast"/>
        <w:ind w:left="400"/>
        <w:jc w:val="both"/>
      </w:pPr>
      <w:bookmarkStart w:id="3426" w:name="Bookmark_para_5_29"/>
      <w:bookmarkStart w:id="3427" w:name="Bookmark_LNHNREFclscc1_22"/>
      <w:bookmarkEnd w:id="3426"/>
      <w:bookmarkEnd w:id="3427"/>
      <w:r>
        <w:rPr>
          <w:rFonts w:ascii="Arial" w:eastAsia="Arial" w:hAnsi="Arial" w:cs="Arial"/>
          <w:b/>
          <w:color w:val="000000"/>
          <w:sz w:val="18"/>
        </w:rPr>
        <w:t>Judgment on Partial Findings</w:t>
      </w:r>
      <w:r>
        <w:rPr>
          <w:rFonts w:ascii="Arial" w:eastAsia="Arial" w:hAnsi="Arial" w:cs="Arial"/>
          <w:color w:val="000000"/>
          <w:sz w:val="18"/>
        </w:rPr>
        <w:t>. If a party has been fully heard on an issue during a nonjury trial and the court finds against the party on that issue, the court may enter judgment against the party on a claim or defense that, under the controlling law, can be maintained or defeated only with a favorable finding on that issue. The court may, however, decline to render any judgment until the close of the evidence. A judgment on partial findings must be supported by findings of fact and conclusions of law as required by Rule 52(a).</w:t>
      </w:r>
    </w:p>
    <w:p w14:paraId="61E6EEC3" w14:textId="77777777" w:rsidR="00D041A2" w:rsidRDefault="00000000">
      <w:pPr>
        <w:pStyle w:val="Normal30"/>
        <w:widowControl w:val="0"/>
        <w:spacing w:before="120" w:line="240" w:lineRule="atLeast"/>
        <w:jc w:val="both"/>
      </w:pPr>
      <w:bookmarkStart w:id="3428" w:name="Bookmark_LNHNREFclscc2_22"/>
      <w:bookmarkEnd w:id="3428"/>
      <w:r>
        <w:rPr>
          <w:rFonts w:ascii="Arial" w:eastAsia="Arial" w:hAnsi="Arial" w:cs="Arial"/>
          <w:color w:val="000000"/>
          <w:sz w:val="18"/>
        </w:rPr>
        <w:t>Rule 52(a)(1) explains that "[t]he findings and conclusions may be stated on the record after the close of the evidence or may appear in an opinion or a memorandum of decision filed by the court."</w:t>
      </w:r>
    </w:p>
    <w:p w14:paraId="7362896D" w14:textId="77777777" w:rsidR="00D041A2" w:rsidRDefault="00000000">
      <w:pPr>
        <w:pStyle w:val="Normal30"/>
        <w:widowControl w:val="0"/>
        <w:spacing w:before="200" w:line="240" w:lineRule="atLeast"/>
        <w:jc w:val="both"/>
      </w:pPr>
      <w:bookmarkStart w:id="3429" w:name="Bookmark_fnpara_3_18"/>
      <w:bookmarkStart w:id="3430" w:name="Bookmark_I5398CRV28T4V30020000400"/>
      <w:bookmarkEnd w:id="3429"/>
      <w:bookmarkEnd w:id="3430"/>
      <w:r>
        <w:rPr>
          <w:rFonts w:ascii="Arial" w:eastAsia="Arial" w:hAnsi="Arial" w:cs="Arial"/>
          <w:color w:val="000000"/>
          <w:sz w:val="18"/>
        </w:rPr>
        <w:t xml:space="preserve">There are a number of differences between the two rules and their corresponding motions. </w:t>
      </w:r>
      <w:bookmarkStart w:id="3431" w:name="Bookmark_I5398CRV2D6N210010000400"/>
      <w:bookmarkStart w:id="3432" w:name="Bookmark_LNHNREFclscc3_20"/>
      <w:bookmarkEnd w:id="3431"/>
      <w:bookmarkEnd w:id="3432"/>
      <w:r>
        <w:rPr>
          <w:rFonts w:ascii="Arial" w:eastAsia="Arial" w:hAnsi="Arial" w:cs="Arial"/>
          <w:color w:val="000000"/>
          <w:sz w:val="18"/>
        </w:rPr>
        <w:t xml:space="preserve">Rule 52 explicitly applies to bench trials, whereas Federal Rule of Civil Procedure 50 explicitly applies to jury trials. We review Rule 50(a) motions </w:t>
      </w:r>
      <w:r>
        <w:rPr>
          <w:rFonts w:ascii="Arial" w:eastAsia="Arial" w:hAnsi="Arial" w:cs="Arial"/>
          <w:i/>
          <w:color w:val="000000"/>
          <w:sz w:val="18"/>
        </w:rPr>
        <w:t xml:space="preserve">de novo, see </w:t>
      </w:r>
      <w:bookmarkStart w:id="3433" w:name="Bookmark_I5398CRV28T4V30010000400"/>
      <w:bookmarkEnd w:id="3433"/>
      <w:r>
        <w:rPr>
          <w:rFonts w:ascii="Arial" w:eastAsia="Arial" w:hAnsi="Arial" w:cs="Arial"/>
          <w:i/>
          <w:color w:val="000000"/>
          <w:sz w:val="18"/>
        </w:rPr>
        <w:t>Abel v. Dubberly</w:t>
      </w:r>
      <w:r>
        <w:rPr>
          <w:rFonts w:ascii="Arial" w:eastAsia="Arial" w:hAnsi="Arial" w:cs="Arial"/>
          <w:color w:val="000000"/>
          <w:sz w:val="18"/>
        </w:rPr>
        <w:t xml:space="preserve">, 210 F.3d 1334, 1337 (11th Cir. 2000) (per curiam), but Rule 52(c) motions present mixed questions of law and fact, so we review factual findings for clear error and conclusions of law </w:t>
      </w:r>
      <w:r>
        <w:rPr>
          <w:rFonts w:ascii="Arial" w:eastAsia="Arial" w:hAnsi="Arial" w:cs="Arial"/>
          <w:i/>
          <w:color w:val="000000"/>
          <w:sz w:val="18"/>
        </w:rPr>
        <w:t xml:space="preserve">de novo.  [**3] See </w:t>
      </w:r>
      <w:bookmarkStart w:id="3434" w:name="Bookmark_I5398CRV28T4V30030000400"/>
      <w:bookmarkEnd w:id="3434"/>
      <w:r>
        <w:rPr>
          <w:rFonts w:ascii="Arial" w:eastAsia="Arial" w:hAnsi="Arial" w:cs="Arial"/>
          <w:i/>
          <w:color w:val="000000"/>
          <w:sz w:val="18"/>
        </w:rPr>
        <w:t>Veale v. Citibank, F.S.B</w:t>
      </w:r>
      <w:r>
        <w:rPr>
          <w:rFonts w:ascii="Arial" w:eastAsia="Arial" w:hAnsi="Arial" w:cs="Arial"/>
          <w:color w:val="000000"/>
          <w:sz w:val="18"/>
        </w:rPr>
        <w:t xml:space="preserve">., 85 F.3d 577, 579 (11th Cir. 1996). </w:t>
      </w:r>
      <w:bookmarkStart w:id="3435" w:name="Bookmark_I5398CRV2D6N210010000400_2"/>
      <w:bookmarkEnd w:id="3435"/>
      <w:r>
        <w:rPr>
          <w:rFonts w:ascii="Arial" w:eastAsia="Arial" w:hAnsi="Arial" w:cs="Arial"/>
          <w:color w:val="000000"/>
          <w:sz w:val="18"/>
        </w:rPr>
        <w:t xml:space="preserve">Finally, "[i]n addressing a Rule 52(c) motion, the court does not view the evidence in the light most favorable to the nonmoving party, as it would in . . . a Rule 50(a) motion for judgment as a matter of law; instead, it exercises its role as factfinder." </w:t>
      </w:r>
      <w:bookmarkStart w:id="3436" w:name="Bookmark_I5398CRV28T4V30050000400"/>
      <w:bookmarkEnd w:id="3436"/>
      <w:r>
        <w:rPr>
          <w:rFonts w:ascii="Arial" w:eastAsia="Arial" w:hAnsi="Arial" w:cs="Arial"/>
          <w:i/>
          <w:color w:val="000000"/>
          <w:sz w:val="18"/>
        </w:rPr>
        <w:t>United States v. $242,484.00</w:t>
      </w:r>
      <w:r>
        <w:rPr>
          <w:rFonts w:ascii="Arial" w:eastAsia="Arial" w:hAnsi="Arial" w:cs="Arial"/>
          <w:color w:val="000000"/>
          <w:sz w:val="18"/>
        </w:rPr>
        <w:t>, 389 F.3d 1149, 1172 (11th Cir. 2004) (en banc).</w:t>
      </w:r>
    </w:p>
    <w:p w14:paraId="263F0B97" w14:textId="77777777" w:rsidR="00D041A2" w:rsidRDefault="00000000">
      <w:pPr>
        <w:pStyle w:val="Normal30"/>
        <w:widowControl w:val="0"/>
        <w:spacing w:before="200" w:line="240" w:lineRule="atLeast"/>
        <w:jc w:val="both"/>
      </w:pPr>
      <w:bookmarkStart w:id="3437" w:name="Bookmark_fnpara_4_13"/>
      <w:bookmarkEnd w:id="3437"/>
      <w:r>
        <w:rPr>
          <w:rFonts w:ascii="Arial" w:eastAsia="Arial" w:hAnsi="Arial" w:cs="Arial"/>
          <w:color w:val="000000"/>
          <w:sz w:val="18"/>
        </w:rPr>
        <w:t xml:space="preserve">The Rule 50(a) rubric requires the court to draw all inferences in the nonmoving party's favor, but Rule 52(c) has no such requirement. </w:t>
      </w:r>
      <w:r>
        <w:rPr>
          <w:rFonts w:ascii="Arial" w:eastAsia="Arial" w:hAnsi="Arial" w:cs="Arial"/>
          <w:i/>
          <w:color w:val="000000"/>
          <w:sz w:val="18"/>
        </w:rPr>
        <w:t>See id</w:t>
      </w:r>
      <w:r>
        <w:rPr>
          <w:rFonts w:ascii="Arial" w:eastAsia="Arial" w:hAnsi="Arial" w:cs="Arial"/>
          <w:color w:val="000000"/>
          <w:sz w:val="18"/>
        </w:rPr>
        <w:t>. Therefore, to the extent that the district court treated Defendant's motion as requesting a Rule 50(a) judgment as a matter of law, the mistake benefitted Pinero.</w:t>
      </w:r>
    </w:p>
  </w:footnote>
  <w:footnote w:id="170">
    <w:p w14:paraId="5BAC7665" w14:textId="77777777" w:rsidR="00D041A2" w:rsidRDefault="00000000">
      <w:pPr>
        <w:pStyle w:val="Normal30"/>
        <w:widowControl w:val="0"/>
        <w:spacing w:before="200" w:line="240" w:lineRule="atLeast"/>
        <w:jc w:val="both"/>
      </w:pPr>
      <w:r>
        <w:rPr>
          <w:rFonts w:ascii="Arial" w:eastAsia="Arial" w:hAnsi="Arial" w:cs="Arial"/>
          <w:color w:val="000000"/>
          <w:sz w:val="18"/>
          <w:vertAlign w:val="superscript"/>
        </w:rPr>
        <w:t>2 </w:t>
      </w:r>
      <w:bookmarkStart w:id="3438" w:name="Bookmark_fnpara_5_12"/>
      <w:bookmarkStart w:id="3439" w:name="Bookmark_I5398CRV2D6N210030000400"/>
      <w:bookmarkStart w:id="3440" w:name="Bookmark_I5398CRV2D6N210050000400"/>
      <w:bookmarkEnd w:id="3438"/>
      <w:bookmarkEnd w:id="3439"/>
      <w:bookmarkEnd w:id="3440"/>
      <w:r>
        <w:rPr>
          <w:rFonts w:ascii="Arial" w:eastAsia="Arial" w:hAnsi="Arial" w:cs="Arial"/>
          <w:color w:val="000000"/>
          <w:sz w:val="18"/>
        </w:rPr>
        <w:t xml:space="preserve">Several of these issues relate to the substance of </w:t>
      </w:r>
      <w:bookmarkStart w:id="3441" w:name="Bookmark_LNHNREFclscc4_19"/>
      <w:bookmarkEnd w:id="3441"/>
      <w:r>
        <w:rPr>
          <w:rFonts w:ascii="Arial" w:eastAsia="Arial" w:hAnsi="Arial" w:cs="Arial"/>
          <w:color w:val="000000"/>
          <w:sz w:val="18"/>
        </w:rPr>
        <w:t xml:space="preserve">Title III of the ADA, which explains that, for facilities that existed before the statute's enactment, "discrimination includes a private entity's 'failure to remove architectural barriers . . . where such removal is readily achievable.'" </w:t>
      </w:r>
      <w:bookmarkStart w:id="3442" w:name="Bookmark_I5398CRV2D6N210020000400"/>
      <w:bookmarkEnd w:id="3442"/>
      <w:r>
        <w:rPr>
          <w:rFonts w:ascii="Arial" w:eastAsia="Arial" w:hAnsi="Arial" w:cs="Arial"/>
          <w:i/>
          <w:color w:val="000000"/>
          <w:sz w:val="18"/>
        </w:rPr>
        <w:t>Garthright-Dietrich v. Atlanta Landmarks, Inc.</w:t>
      </w:r>
      <w:r>
        <w:rPr>
          <w:rFonts w:ascii="Arial" w:eastAsia="Arial" w:hAnsi="Arial" w:cs="Arial"/>
          <w:color w:val="000000"/>
          <w:sz w:val="18"/>
        </w:rPr>
        <w:t xml:space="preserve">., 452 F.3d 1269, 1273 (11th Cir. 2006) (quoting 42 U.S.C. § 12182(b)(2)(A)(iv)) (alteration in original). Accordingly, to meet the initial burden of production  [**4] in a Title III action, a plaintiff must show (1) that an architectural barrier exists, and (2) that the proposed method of architectural barrier removal is "readily achievable," which means "easily accomplishable and able to be carried out without much difficulty or expense." </w:t>
      </w:r>
      <w:r>
        <w:rPr>
          <w:rFonts w:ascii="Arial" w:eastAsia="Arial" w:hAnsi="Arial" w:cs="Arial"/>
          <w:i/>
          <w:color w:val="000000"/>
          <w:sz w:val="18"/>
        </w:rPr>
        <w:t>Id</w:t>
      </w:r>
      <w:r>
        <w:rPr>
          <w:rFonts w:ascii="Arial" w:eastAsia="Arial" w:hAnsi="Arial" w:cs="Arial"/>
          <w:color w:val="000000"/>
          <w:sz w:val="18"/>
        </w:rPr>
        <w:t xml:space="preserve">. (quoting 42 U.S.C. § 12181(9)); </w:t>
      </w:r>
      <w:r>
        <w:rPr>
          <w:rFonts w:ascii="Arial" w:eastAsia="Arial" w:hAnsi="Arial" w:cs="Arial"/>
          <w:i/>
          <w:color w:val="000000"/>
          <w:sz w:val="18"/>
        </w:rPr>
        <w:t>see generally</w:t>
      </w:r>
      <w:r>
        <w:rPr>
          <w:rFonts w:ascii="Arial" w:eastAsia="Arial" w:hAnsi="Arial" w:cs="Arial"/>
          <w:color w:val="000000"/>
          <w:sz w:val="18"/>
        </w:rPr>
        <w:t xml:space="preserve"> 42 U.S.C. § 12181(9) (listing factors to be considered in evaluating whether removal of a barrier is readily achievable). "If the plaintiff meets this burden, the defendant then bears the ultimate burden of persuasion that barrier removal is not 'readily achievable.'" </w:t>
      </w:r>
      <w:bookmarkStart w:id="3443" w:name="Bookmark_I5398CRV2D6N210040000400"/>
      <w:bookmarkEnd w:id="3443"/>
      <w:r>
        <w:rPr>
          <w:rFonts w:ascii="Arial" w:eastAsia="Arial" w:hAnsi="Arial" w:cs="Arial"/>
          <w:i/>
          <w:color w:val="000000"/>
          <w:sz w:val="18"/>
        </w:rPr>
        <w:t>Garthright-Dietrich</w:t>
      </w:r>
      <w:r>
        <w:rPr>
          <w:rFonts w:ascii="Arial" w:eastAsia="Arial" w:hAnsi="Arial" w:cs="Arial"/>
          <w:color w:val="000000"/>
          <w:sz w:val="18"/>
        </w:rPr>
        <w:t>, 452 F.3d at 1273.</w:t>
      </w:r>
    </w:p>
  </w:footnote>
  <w:footnote w:id="171">
    <w:p w14:paraId="0246F908" w14:textId="77777777" w:rsidR="00D041A2" w:rsidRDefault="00000000">
      <w:pPr>
        <w:pStyle w:val="Normal30"/>
        <w:widowControl w:val="0"/>
        <w:spacing w:before="200" w:line="240" w:lineRule="atLeast"/>
        <w:jc w:val="both"/>
      </w:pPr>
      <w:r>
        <w:rPr>
          <w:rFonts w:ascii="Arial" w:eastAsia="Arial" w:hAnsi="Arial" w:cs="Arial"/>
          <w:color w:val="000000"/>
          <w:sz w:val="18"/>
          <w:vertAlign w:val="superscript"/>
        </w:rPr>
        <w:t>3 </w:t>
      </w:r>
      <w:bookmarkStart w:id="3464" w:name="Bookmark_fnpara_6_10"/>
      <w:bookmarkStart w:id="3465" w:name="Bookmark_I5398CRV2SF88J0030000400"/>
      <w:bookmarkEnd w:id="3464"/>
      <w:bookmarkEnd w:id="3465"/>
      <w:r>
        <w:rPr>
          <w:rFonts w:ascii="Arial" w:eastAsia="Arial" w:hAnsi="Arial" w:cs="Arial"/>
          <w:i/>
          <w:color w:val="000000"/>
          <w:sz w:val="18"/>
        </w:rPr>
        <w:t>Daubert v. Merrell Dow Pharms., Inc</w:t>
      </w:r>
      <w:r>
        <w:rPr>
          <w:rFonts w:ascii="Arial" w:eastAsia="Arial" w:hAnsi="Arial" w:cs="Arial"/>
          <w:color w:val="000000"/>
          <w:sz w:val="18"/>
        </w:rPr>
        <w:t>., 509 U.S. 579, 113 S. Ct. 2786, 125 L. Ed. 2d 469 (1993).</w:t>
      </w:r>
    </w:p>
  </w:footnote>
  <w:footnote w:id="172">
    <w:p w14:paraId="77CC5070"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1 </w:t>
      </w:r>
      <w:bookmarkStart w:id="3489" w:name="Bookmark_fnpara_1_26"/>
      <w:bookmarkEnd w:id="3489"/>
      <w:r>
        <w:rPr>
          <w:rFonts w:ascii="Arial" w:eastAsia="Arial" w:hAnsi="Arial" w:cs="Arial"/>
          <w:color w:val="000000"/>
          <w:sz w:val="18"/>
        </w:rPr>
        <w:t>The voluntary disclosure of Mr. Watson's illness to Ms. Johansen occurred after a "team drive" that Mr. Watson took with Alan Franklin, another C.R. England driver. Due to  [*3] an incident that occurred between the two men, Mr. Watson had refused to complete the drive and had been left in Las Vegas. After returning to Salt Lake City, he informed Ms. Johansen about his HIV-positive status. Mr. Watson stated that Ms. Johansen told him that the disclosure would remain confidential, and that he only offered the information because he believed that Mr. Franklin had already disclosed his illness to the company. Although there is some disagreement regarding exactly how the information was offered, there is no evidence that C.R. England elicited the information, and Mr. Watson does not dispute that he voluntarily disclosed his illness to the company.</w:t>
      </w:r>
    </w:p>
  </w:footnote>
  <w:footnote w:id="173">
    <w:p w14:paraId="7436E328" w14:textId="77777777" w:rsidR="00D041A2" w:rsidRDefault="00000000">
      <w:pPr>
        <w:pStyle w:val="Normal31"/>
        <w:widowControl w:val="0"/>
        <w:spacing w:before="120" w:line="240" w:lineRule="atLeast"/>
        <w:jc w:val="both"/>
      </w:pPr>
      <w:r>
        <w:rPr>
          <w:rFonts w:ascii="Arial" w:eastAsia="Arial" w:hAnsi="Arial" w:cs="Arial"/>
          <w:color w:val="000000"/>
          <w:sz w:val="18"/>
          <w:vertAlign w:val="superscript"/>
        </w:rPr>
        <w:t>2 </w:t>
      </w:r>
      <w:bookmarkStart w:id="3490" w:name="Bookmark_fnpara_2_23"/>
      <w:bookmarkEnd w:id="3490"/>
      <w:r>
        <w:rPr>
          <w:rFonts w:ascii="Arial" w:eastAsia="Arial" w:hAnsi="Arial" w:cs="Arial"/>
          <w:color w:val="000000"/>
          <w:sz w:val="18"/>
        </w:rPr>
        <w:t>The relevant terms of the ICOA, as described by the district court, are as follows:</w:t>
      </w:r>
    </w:p>
    <w:p w14:paraId="78B559DB" w14:textId="77777777" w:rsidR="00D041A2" w:rsidRDefault="00000000">
      <w:pPr>
        <w:pStyle w:val="Normal31"/>
        <w:widowControl w:val="0"/>
        <w:spacing w:before="200" w:line="240" w:lineRule="atLeast"/>
        <w:ind w:left="400"/>
        <w:jc w:val="both"/>
      </w:pPr>
      <w:bookmarkStart w:id="3491" w:name="Bookmark_para_5_30"/>
      <w:bookmarkEnd w:id="3491"/>
      <w:r>
        <w:rPr>
          <w:rFonts w:ascii="Arial" w:eastAsia="Arial" w:hAnsi="Arial" w:cs="Arial"/>
          <w:color w:val="000000"/>
          <w:sz w:val="18"/>
        </w:rPr>
        <w:t xml:space="preserve">The ICOA allows drivers to "refuse any specific shipment offered by [England] as long as, in [England's] reasonable judgment, [it is] nonetheless able to meet the needs of [its] customers." The ICOA does not require the driver to rent any products or equipment from England. The ICOA states that a driver's relationship with England "is subject to government regulation," and it lists a driver's responsibilities in meeting those regulations.  [*4] The ICOA makes drivers responsible for determining how to provide England with services, including selecting workers, securing equipment, selecting routes, and scheduling work hours. Additionally, the ICOA disclaims England's liability for damage to a driver's equipment and requires drivers to indemnify and hold England harmless from any claim that arises out of a driver's negligence, gross negligence, willful misconduct, or other culpable acts. Both England and a driver governed by the ICOA may terminate the agreement for any reason by giving 30 days' written notice. As a driver governed by the ICOA, Watson was not entitled to medical benefits or a retirement plan from England. </w:t>
      </w:r>
      <w:bookmarkStart w:id="3492" w:name="Bookmark_I33FYXHM3B1000CXWC2000BS"/>
      <w:bookmarkStart w:id="3493" w:name="Bookmark_I532DVDD2D6N8R0020000400"/>
      <w:bookmarkEnd w:id="3492"/>
      <w:bookmarkEnd w:id="3493"/>
      <w:r>
        <w:rPr>
          <w:rFonts w:ascii="Arial" w:eastAsia="Arial" w:hAnsi="Arial" w:cs="Arial"/>
          <w:color w:val="000000"/>
          <w:sz w:val="18"/>
        </w:rPr>
        <w:t>Consistent with applicable federal regulations, Watson could use his truck to transport freight for another carrier by obtaining England's consent to sublease equipment to the other carrier, or he could simply transport it using the other carrier's truck.</w:t>
      </w:r>
    </w:p>
    <w:p w14:paraId="60452F27" w14:textId="77777777" w:rsidR="00D041A2" w:rsidRDefault="00000000">
      <w:pPr>
        <w:pStyle w:val="Normal31"/>
        <w:widowControl w:val="0"/>
        <w:spacing w:before="200" w:line="240" w:lineRule="atLeast"/>
        <w:jc w:val="both"/>
      </w:pPr>
      <w:bookmarkStart w:id="3494" w:name="Bookmark_I532DVDD2D6N8R0020000400_2"/>
      <w:bookmarkStart w:id="3495" w:name="Bookmark_I532DVDD2D6N8R0010000400"/>
      <w:bookmarkEnd w:id="3494"/>
      <w:bookmarkEnd w:id="3495"/>
      <w:r>
        <w:rPr>
          <w:rFonts w:ascii="Arial" w:eastAsia="Arial" w:hAnsi="Arial" w:cs="Arial"/>
          <w:i/>
          <w:color w:val="000000"/>
          <w:sz w:val="18"/>
        </w:rPr>
        <w:t>EEOC v. C.R. England, Inc</w:t>
      </w:r>
      <w:r>
        <w:rPr>
          <w:rFonts w:ascii="Arial" w:eastAsia="Arial" w:hAnsi="Arial" w:cs="Arial"/>
          <w:color w:val="000000"/>
          <w:sz w:val="18"/>
        </w:rPr>
        <w:t>., No. 2:06-CV-00811BSJ, slip op. at 3-4 (D. Utah Sept. 17, 2009) (alterations in original) (citations omitted).</w:t>
      </w:r>
    </w:p>
  </w:footnote>
  <w:footnote w:id="174">
    <w:p w14:paraId="592ECA1A" w14:textId="77777777" w:rsidR="00D041A2" w:rsidRDefault="00000000">
      <w:pPr>
        <w:pStyle w:val="Normal31"/>
        <w:widowControl w:val="0"/>
        <w:spacing w:before="120" w:line="240" w:lineRule="atLeast"/>
        <w:jc w:val="both"/>
      </w:pPr>
      <w:r>
        <w:rPr>
          <w:rFonts w:ascii="Arial" w:eastAsia="Arial" w:hAnsi="Arial" w:cs="Arial"/>
          <w:color w:val="000000"/>
          <w:sz w:val="18"/>
          <w:vertAlign w:val="superscript"/>
        </w:rPr>
        <w:t>3 </w:t>
      </w:r>
      <w:bookmarkStart w:id="3501" w:name="Bookmark_fnpara_3_19"/>
      <w:bookmarkEnd w:id="3501"/>
      <w:r>
        <w:rPr>
          <w:rFonts w:ascii="Arial" w:eastAsia="Arial" w:hAnsi="Arial" w:cs="Arial"/>
          <w:color w:val="000000"/>
          <w:sz w:val="18"/>
        </w:rPr>
        <w:t>The district court, EEOC, and C.R. England refer to the trainee as "Eddie Seastrunk," while Mr. Watson refers to him as "Eddie Seastruck."</w:t>
      </w:r>
    </w:p>
  </w:footnote>
  <w:footnote w:id="175">
    <w:p w14:paraId="730C269A" w14:textId="77777777" w:rsidR="00D041A2" w:rsidRDefault="00000000">
      <w:pPr>
        <w:pStyle w:val="Normal31"/>
        <w:widowControl w:val="0"/>
        <w:spacing w:before="120" w:line="240" w:lineRule="atLeast"/>
        <w:jc w:val="both"/>
      </w:pPr>
      <w:r>
        <w:rPr>
          <w:rFonts w:ascii="Arial" w:eastAsia="Arial" w:hAnsi="Arial" w:cs="Arial"/>
          <w:color w:val="000000"/>
          <w:sz w:val="18"/>
          <w:vertAlign w:val="superscript"/>
        </w:rPr>
        <w:t>4 </w:t>
      </w:r>
      <w:bookmarkStart w:id="3505" w:name="Bookmark_fnpara_4_14"/>
      <w:bookmarkEnd w:id="3505"/>
      <w:r>
        <w:rPr>
          <w:rFonts w:ascii="Arial" w:eastAsia="Arial" w:hAnsi="Arial" w:cs="Arial"/>
          <w:color w:val="000000"/>
          <w:sz w:val="18"/>
        </w:rPr>
        <w:t>The communication between Mr. Watson and C.R. England occurred through a series of written messages transmitted over a "Qualcomm" satellite messaging system, which was installed in Mr. Watson's truck.</w:t>
      </w:r>
    </w:p>
  </w:footnote>
  <w:footnote w:id="176">
    <w:p w14:paraId="3431D603"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5 </w:t>
      </w:r>
      <w:bookmarkStart w:id="3507" w:name="Bookmark_fnpara_5_13"/>
      <w:bookmarkEnd w:id="3507"/>
      <w:r>
        <w:rPr>
          <w:rFonts w:ascii="Arial" w:eastAsia="Arial" w:hAnsi="Arial" w:cs="Arial"/>
          <w:color w:val="000000"/>
          <w:sz w:val="18"/>
        </w:rPr>
        <w:t xml:space="preserve">Under the applicable U.S. Department of Transportation ("DOT") regulations, drivers were "restricted from operating trucks beyond a certain number of hours in a 24-hour period." C.R. England Br., No. 09-4207, at 11 n.4. More specifically, they were "restricted from operating trucks beyond 11 hours after 10 hours of rest." C.R. England Br., No. 09-4217, at 12 n.4. Furthermore, C.R. England's trainees were prohibited from driving during certain times of the day. Within these constraints,  [*10] C.R. England required a trainer and his trainee to drive 1000 miles per day. </w:t>
      </w:r>
      <w:r>
        <w:rPr>
          <w:rFonts w:ascii="Arial" w:eastAsia="Arial" w:hAnsi="Arial" w:cs="Arial"/>
          <w:i/>
          <w:color w:val="000000"/>
          <w:sz w:val="18"/>
        </w:rPr>
        <w:t>See</w:t>
      </w:r>
      <w:r>
        <w:rPr>
          <w:rFonts w:ascii="Arial" w:eastAsia="Arial" w:hAnsi="Arial" w:cs="Arial"/>
          <w:color w:val="000000"/>
          <w:sz w:val="18"/>
        </w:rPr>
        <w:t xml:space="preserve"> EEOC App. at 135 (Dep. of Cynthia Horsley, dated Dec. 14, 2007). C.R. England assigned the responsibility to the trainer for allocating the driving hours between the trainer and the trainee to ensure that the 1000-mile daily requirement was satisfied. C.R. England took the position that, by staying awake with his trainee (i.e., "s[itting] up with his student," EEOC App. at 432) when he should have been resting, Mr. Watson limited his ability—given the foregoing time constraints—to contribute driving hours to the 1000-mile quota.</w:t>
      </w:r>
    </w:p>
  </w:footnote>
  <w:footnote w:id="177">
    <w:p w14:paraId="76EBF280" w14:textId="77777777" w:rsidR="00D041A2" w:rsidRDefault="00000000">
      <w:pPr>
        <w:pStyle w:val="Normal31"/>
        <w:widowControl w:val="0"/>
        <w:spacing w:before="120" w:line="240" w:lineRule="atLeast"/>
        <w:jc w:val="both"/>
      </w:pPr>
      <w:r>
        <w:rPr>
          <w:rFonts w:ascii="Arial" w:eastAsia="Arial" w:hAnsi="Arial" w:cs="Arial"/>
          <w:color w:val="000000"/>
          <w:sz w:val="18"/>
          <w:vertAlign w:val="superscript"/>
        </w:rPr>
        <w:t>6 </w:t>
      </w:r>
      <w:bookmarkStart w:id="3510" w:name="Bookmark_fnpara_6_11"/>
      <w:bookmarkEnd w:id="3510"/>
      <w:r>
        <w:rPr>
          <w:rFonts w:ascii="Arial" w:eastAsia="Arial" w:hAnsi="Arial" w:cs="Arial"/>
          <w:color w:val="000000"/>
          <w:sz w:val="18"/>
        </w:rPr>
        <w:t>On appeal, Mr. Watson does not challenge the district court's grant of summary judgement in favor of C.R. England on his "negligent infliction emotional distress" claim. Accordingly, we need not (and do not) address that claim.</w:t>
      </w:r>
    </w:p>
  </w:footnote>
  <w:footnote w:id="178">
    <w:p w14:paraId="54C3084B"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7 </w:t>
      </w:r>
      <w:bookmarkStart w:id="3518" w:name="Bookmark_fnpara_7_9"/>
      <w:bookmarkStart w:id="3519" w:name="Bookmark_I532DVDD2N1PN00010000400"/>
      <w:bookmarkEnd w:id="3518"/>
      <w:bookmarkEnd w:id="3519"/>
      <w:r>
        <w:rPr>
          <w:rFonts w:ascii="Arial" w:eastAsia="Arial" w:hAnsi="Arial" w:cs="Arial"/>
          <w:color w:val="000000"/>
          <w:sz w:val="18"/>
        </w:rPr>
        <w:t xml:space="preserve">As discussed above, the district court refused to grant summary judgment on the issues of whether Mr. Watson was an "employee" of C.R. England, and whether Mr. Watson's HIV-positive status qualified as a "disability" under the ADA. Nevertheless, C.R. England seeks to raise those two issues in defending against these appeals. First, the company argues that Mr. Watson was not an "employee" of C.R. England, and therefore he is not protected by the ADA because the Act protects only "employees," not "independent contractors." </w:t>
      </w:r>
      <w:bookmarkStart w:id="3520" w:name="Bookmark_I532DVDD2D6N8R0050000400"/>
      <w:bookmarkEnd w:id="3520"/>
      <w:r>
        <w:rPr>
          <w:rFonts w:ascii="Arial" w:eastAsia="Arial" w:hAnsi="Arial" w:cs="Arial"/>
          <w:i/>
          <w:color w:val="000000"/>
          <w:sz w:val="18"/>
        </w:rPr>
        <w:t>PGA Tour, Inc. v. Martin</w:t>
      </w:r>
      <w:r>
        <w:rPr>
          <w:rFonts w:ascii="Arial" w:eastAsia="Arial" w:hAnsi="Arial" w:cs="Arial"/>
          <w:color w:val="000000"/>
          <w:sz w:val="18"/>
        </w:rPr>
        <w:t xml:space="preserve">, 532 U.S. 661, 692, 121 S. Ct. 1879, 149 L. Ed. 2d 904 (2001). Second, the company argues that Mr. Watson did not have a "disability," as that term is defined under the ADA, and that he is therefore not covered by the ADA because the Act protects only "qualified individual[s]" with a "disability." 42 U.S.C. § 12112(a), (b). </w:t>
      </w:r>
      <w:bookmarkStart w:id="3521" w:name="Bookmark_I532DVDD2N1PN00030000400"/>
      <w:bookmarkEnd w:id="3521"/>
      <w:r>
        <w:rPr>
          <w:rFonts w:ascii="Arial" w:eastAsia="Arial" w:hAnsi="Arial" w:cs="Arial"/>
          <w:color w:val="000000"/>
          <w:sz w:val="18"/>
        </w:rPr>
        <w:t>They ask this court to alternatively affirm the district court's grant of summary judgment in its favor on those two grounds.</w:t>
      </w:r>
    </w:p>
    <w:p w14:paraId="5921FF62" w14:textId="77777777" w:rsidR="00D041A2" w:rsidRDefault="00000000">
      <w:pPr>
        <w:pStyle w:val="Normal31"/>
        <w:widowControl w:val="0"/>
        <w:spacing w:before="200" w:line="240" w:lineRule="atLeast"/>
        <w:jc w:val="both"/>
      </w:pPr>
      <w:bookmarkStart w:id="3522" w:name="Bookmark_fnpara_8_8"/>
      <w:bookmarkStart w:id="3523" w:name="Bookmark_I532DVDD2N1PN00030000400_2"/>
      <w:bookmarkEnd w:id="3522"/>
      <w:bookmarkEnd w:id="3523"/>
      <w:r>
        <w:rPr>
          <w:rFonts w:ascii="Arial" w:eastAsia="Arial" w:hAnsi="Arial" w:cs="Arial"/>
          <w:color w:val="000000"/>
          <w:sz w:val="18"/>
        </w:rPr>
        <w:t xml:space="preserve">Under our case law, </w:t>
      </w:r>
      <w:bookmarkStart w:id="3524" w:name="Bookmark_LNHNREFclscc1_23"/>
      <w:bookmarkEnd w:id="3524"/>
      <w:r>
        <w:rPr>
          <w:rFonts w:ascii="Arial" w:eastAsia="Arial" w:hAnsi="Arial" w:cs="Arial"/>
          <w:color w:val="000000"/>
          <w:sz w:val="18"/>
        </w:rPr>
        <w:t xml:space="preserve">an appellee is generally permitted to "defend  [*17] the judgment won below on any ground supported by the record without filing a cross appeal." </w:t>
      </w:r>
      <w:bookmarkStart w:id="3525" w:name="Bookmark_I532DVDD2N1PN00020000400"/>
      <w:bookmarkEnd w:id="3525"/>
      <w:r>
        <w:rPr>
          <w:rFonts w:ascii="Arial" w:eastAsia="Arial" w:hAnsi="Arial" w:cs="Arial"/>
          <w:i/>
          <w:color w:val="000000"/>
          <w:sz w:val="18"/>
        </w:rPr>
        <w:t>S. Utah Wilderness Alliance v. Bureau of Land Mgmt</w:t>
      </w:r>
      <w:r>
        <w:rPr>
          <w:rFonts w:ascii="Arial" w:eastAsia="Arial" w:hAnsi="Arial" w:cs="Arial"/>
          <w:color w:val="000000"/>
          <w:sz w:val="18"/>
        </w:rPr>
        <w:t xml:space="preserve">., 425 F.3d 735, 745 n.2 (10th Cir. 2005) (quoting </w:t>
      </w:r>
      <w:bookmarkStart w:id="3526" w:name="Bookmark_I532DVDD2N1PN00040000400"/>
      <w:bookmarkEnd w:id="3526"/>
      <w:r>
        <w:rPr>
          <w:rFonts w:ascii="Arial" w:eastAsia="Arial" w:hAnsi="Arial" w:cs="Arial"/>
          <w:i/>
          <w:color w:val="000000"/>
          <w:sz w:val="18"/>
        </w:rPr>
        <w:t>Tinkler v. United States ex rel. FAA</w:t>
      </w:r>
      <w:r>
        <w:rPr>
          <w:rFonts w:ascii="Arial" w:eastAsia="Arial" w:hAnsi="Arial" w:cs="Arial"/>
          <w:color w:val="000000"/>
          <w:sz w:val="18"/>
        </w:rPr>
        <w:t xml:space="preserve">, 982 F.2d 1456, 1461 n.4 (10th Cir. 1992)); </w:t>
      </w:r>
      <w:r>
        <w:rPr>
          <w:rFonts w:ascii="Arial" w:eastAsia="Arial" w:hAnsi="Arial" w:cs="Arial"/>
          <w:i/>
          <w:color w:val="000000"/>
          <w:sz w:val="18"/>
        </w:rPr>
        <w:t xml:space="preserve">see also </w:t>
      </w:r>
      <w:bookmarkStart w:id="3527" w:name="Bookmark_I532DVDD2D6N8S0010000400"/>
      <w:bookmarkEnd w:id="3527"/>
      <w:r>
        <w:rPr>
          <w:rFonts w:ascii="Arial" w:eastAsia="Arial" w:hAnsi="Arial" w:cs="Arial"/>
          <w:i/>
          <w:color w:val="000000"/>
          <w:sz w:val="18"/>
        </w:rPr>
        <w:t>United Fire &amp; Cas. Co. v. Boulder Plaza Residential, LLC</w:t>
      </w:r>
      <w:r>
        <w:rPr>
          <w:rFonts w:ascii="Arial" w:eastAsia="Arial" w:hAnsi="Arial" w:cs="Arial"/>
          <w:color w:val="000000"/>
          <w:sz w:val="18"/>
        </w:rPr>
        <w:t xml:space="preserve">, 633 F.3d 951, 958 (10th Cir. 2011) ("We have held that an 'appellee may, without filing a cross-appeal, urge in support of a decree any matter appearing in the record, although his argument may involve an attack upon the reasoning of the lower court.'" (quoting </w:t>
      </w:r>
      <w:bookmarkStart w:id="3528" w:name="Bookmark_I532DVDD2D6N8S0030000400"/>
      <w:bookmarkEnd w:id="3528"/>
      <w:r>
        <w:rPr>
          <w:rFonts w:ascii="Arial" w:eastAsia="Arial" w:hAnsi="Arial" w:cs="Arial"/>
          <w:i/>
          <w:color w:val="000000"/>
          <w:sz w:val="18"/>
        </w:rPr>
        <w:t>Ute Distrib. Corp. v. Sec'y of Interior</w:t>
      </w:r>
      <w:r>
        <w:rPr>
          <w:rFonts w:ascii="Arial" w:eastAsia="Arial" w:hAnsi="Arial" w:cs="Arial"/>
          <w:color w:val="000000"/>
          <w:sz w:val="18"/>
        </w:rPr>
        <w:t xml:space="preserve">, 584 F.3d 1275, 1282 (10th Cir.2009))); </w:t>
      </w:r>
      <w:bookmarkStart w:id="3529" w:name="Bookmark_I532DVDD2D6N8S0050000400"/>
      <w:bookmarkEnd w:id="3529"/>
      <w:r>
        <w:rPr>
          <w:rFonts w:ascii="Arial" w:eastAsia="Arial" w:hAnsi="Arial" w:cs="Arial"/>
          <w:i/>
          <w:color w:val="000000"/>
          <w:sz w:val="18"/>
        </w:rPr>
        <w:t>Fischer-Ross v. Barnhart</w:t>
      </w:r>
      <w:r>
        <w:rPr>
          <w:rFonts w:ascii="Arial" w:eastAsia="Arial" w:hAnsi="Arial" w:cs="Arial"/>
          <w:color w:val="000000"/>
          <w:sz w:val="18"/>
        </w:rPr>
        <w:t>, 431 F.3d 729, 732 n.2 (10th Cir. 2005) (stating that "an appellee may generally, without taking a cross appeal, urge in support of a decree any matter appearing in the record"). However, in this instance, we can affirm the district court's grant of summary judgment without reaching those two issues. Accordingly, we decline to address them on appeal.</w:t>
      </w:r>
    </w:p>
  </w:footnote>
  <w:footnote w:id="179">
    <w:p w14:paraId="084F4027"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8 </w:t>
      </w:r>
      <w:bookmarkStart w:id="3537" w:name="Bookmark_fnpara_9_7"/>
      <w:bookmarkEnd w:id="3537"/>
      <w:r>
        <w:rPr>
          <w:rFonts w:ascii="Arial" w:eastAsia="Arial" w:hAnsi="Arial" w:cs="Arial"/>
          <w:color w:val="000000"/>
          <w:sz w:val="18"/>
        </w:rPr>
        <w:t xml:space="preserve">Rule 56 was recently amended, effective December 1, 2010. Under the amended rule, the standard previously enumerated in subsection (c) was moved to subsection (a), and the term genuine "issue" became genuine "dispute." </w:t>
      </w:r>
      <w:r>
        <w:rPr>
          <w:rFonts w:ascii="Arial" w:eastAsia="Arial" w:hAnsi="Arial" w:cs="Arial"/>
          <w:i/>
          <w:color w:val="000000"/>
          <w:sz w:val="18"/>
        </w:rPr>
        <w:t>See</w:t>
      </w:r>
      <w:r>
        <w:rPr>
          <w:rFonts w:ascii="Arial" w:eastAsia="Arial" w:hAnsi="Arial" w:cs="Arial"/>
          <w:color w:val="000000"/>
          <w:sz w:val="18"/>
        </w:rPr>
        <w:t xml:space="preserve"> Fed. R. Civ. P. 56 advisory committee's notes (2010 Amendments).  [*19] However, the "standard for granting summary judgment remains unchanged." </w:t>
      </w:r>
      <w:r>
        <w:rPr>
          <w:rFonts w:ascii="Arial" w:eastAsia="Arial" w:hAnsi="Arial" w:cs="Arial"/>
          <w:i/>
          <w:color w:val="000000"/>
          <w:sz w:val="18"/>
        </w:rPr>
        <w:t>Id</w:t>
      </w:r>
      <w:r>
        <w:rPr>
          <w:rFonts w:ascii="Arial" w:eastAsia="Arial" w:hAnsi="Arial" w:cs="Arial"/>
          <w:color w:val="000000"/>
          <w:sz w:val="18"/>
        </w:rPr>
        <w:t>.</w:t>
      </w:r>
    </w:p>
  </w:footnote>
  <w:footnote w:id="180">
    <w:p w14:paraId="635CBAB5"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9 </w:t>
      </w:r>
      <w:bookmarkStart w:id="3549" w:name="Bookmark_fnpara_10_6"/>
      <w:bookmarkEnd w:id="3549"/>
      <w:r>
        <w:rPr>
          <w:rFonts w:ascii="Arial" w:eastAsia="Arial" w:hAnsi="Arial" w:cs="Arial"/>
          <w:color w:val="000000"/>
          <w:sz w:val="18"/>
        </w:rPr>
        <w:t xml:space="preserve">Effective  [*20] January 1, 2009, 42 U.S.C. § 12112(a) was amended by replacing the phrase "with a disability because of the disability of such individual" with the phrase "on the basis of disability." </w:t>
      </w:r>
      <w:r>
        <w:rPr>
          <w:rFonts w:ascii="Arial" w:eastAsia="Arial" w:hAnsi="Arial" w:cs="Arial"/>
          <w:i/>
          <w:color w:val="000000"/>
          <w:sz w:val="18"/>
        </w:rPr>
        <w:t>See</w:t>
      </w:r>
      <w:r>
        <w:rPr>
          <w:rFonts w:ascii="Arial" w:eastAsia="Arial" w:hAnsi="Arial" w:cs="Arial"/>
          <w:color w:val="000000"/>
          <w:sz w:val="18"/>
        </w:rPr>
        <w:t xml:space="preserve"> Pub. L. No. 110-325, § 5(a), 122 Stat. 3557 (Sept. 25, 2008). This statutory amendment does not affect our analysis of the issues presented on appeal.</w:t>
      </w:r>
    </w:p>
  </w:footnote>
  <w:footnote w:id="181">
    <w:p w14:paraId="7773A7D6"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10 </w:t>
      </w:r>
      <w:bookmarkStart w:id="3562" w:name="Bookmark_fnpara_11_6"/>
      <w:bookmarkEnd w:id="3562"/>
      <w:r>
        <w:rPr>
          <w:rFonts w:ascii="Arial" w:eastAsia="Arial" w:hAnsi="Arial" w:cs="Arial"/>
          <w:color w:val="000000"/>
          <w:sz w:val="18"/>
        </w:rPr>
        <w:t xml:space="preserve">The parties acknowledge that in order to prevail on his ADA discrimination claim, Mr. Watson must demonstrate some sort of "adverse" action or "adverse" effect on his employment. </w:t>
      </w:r>
      <w:r>
        <w:rPr>
          <w:rFonts w:ascii="Arial" w:eastAsia="Arial" w:hAnsi="Arial" w:cs="Arial"/>
          <w:i/>
          <w:color w:val="000000"/>
          <w:sz w:val="18"/>
        </w:rPr>
        <w:t>See</w:t>
      </w:r>
      <w:r>
        <w:rPr>
          <w:rFonts w:ascii="Arial" w:eastAsia="Arial" w:hAnsi="Arial" w:cs="Arial"/>
          <w:color w:val="000000"/>
          <w:sz w:val="18"/>
        </w:rPr>
        <w:t xml:space="preserve"> EEOC Opening Br., No. 09-4207, at 49 (stating that  [*22] C.R. England's actions "adversely affected [Mr. Watson's] status"); Watson Opening Br., No. 09-4217, at 31 (recognizing that his claim is one for "discrimination based on adverse employment actions," and arguing that "[Mr.] Watson has provided evidence that shows that Defendant England discriminated against him by taking adverse job actions" against him); C.R. England Br., No. 09-4217, at 29 (arguing that the plaintiffs must show that Mr. Watson "has been subjected to a genuinely adverse employment action"). Indeed, ADA § 102(b)(1)—upon which the EEOC's discrimination claim is based—only prohibits "limiting, segregating, or classifying a[n] . . . employee </w:t>
      </w:r>
      <w:r>
        <w:rPr>
          <w:rFonts w:ascii="Arial" w:eastAsia="Arial" w:hAnsi="Arial" w:cs="Arial"/>
          <w:i/>
          <w:color w:val="000000"/>
          <w:sz w:val="18"/>
        </w:rPr>
        <w:t>in a way that adversely affects the opportunities or status</w:t>
      </w:r>
      <w:r>
        <w:rPr>
          <w:rFonts w:ascii="Arial" w:eastAsia="Arial" w:hAnsi="Arial" w:cs="Arial"/>
          <w:color w:val="000000"/>
          <w:sz w:val="18"/>
        </w:rPr>
        <w:t xml:space="preserve"> of such . . . employee because of the disability of such . . . employee." 42 U.S.C. § 12112(b)(1) (emphasis added).</w:t>
      </w:r>
    </w:p>
  </w:footnote>
  <w:footnote w:id="182">
    <w:p w14:paraId="2AFAC723"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11 </w:t>
      </w:r>
      <w:bookmarkStart w:id="3568" w:name="Bookmark_fnpara_12_3"/>
      <w:bookmarkStart w:id="3569" w:name="Bookmark_LNHNREFclscc8_20"/>
      <w:bookmarkEnd w:id="3568"/>
      <w:bookmarkEnd w:id="3569"/>
      <w:r>
        <w:rPr>
          <w:rFonts w:ascii="Arial" w:eastAsia="Arial" w:hAnsi="Arial" w:cs="Arial"/>
          <w:color w:val="000000"/>
          <w:sz w:val="18"/>
        </w:rPr>
        <w:t xml:space="preserve">Due to the similarities between the ADA and Title VII, we generally interpret those statutes consistently. </w:t>
      </w:r>
      <w:r>
        <w:rPr>
          <w:rFonts w:ascii="Arial" w:eastAsia="Arial" w:hAnsi="Arial" w:cs="Arial"/>
          <w:i/>
          <w:color w:val="000000"/>
          <w:sz w:val="18"/>
        </w:rPr>
        <w:t xml:space="preserve">See, e.g., </w:t>
      </w:r>
      <w:bookmarkStart w:id="3570" w:name="Bookmark_I532DVDF2SF8GB0050000400"/>
      <w:bookmarkEnd w:id="3570"/>
      <w:r>
        <w:rPr>
          <w:rFonts w:ascii="Arial" w:eastAsia="Arial" w:hAnsi="Arial" w:cs="Arial"/>
          <w:i/>
          <w:color w:val="000000"/>
          <w:sz w:val="18"/>
        </w:rPr>
        <w:t>Lanman v. Johnson Cnty., Kan</w:t>
      </w:r>
      <w:r>
        <w:rPr>
          <w:rFonts w:ascii="Arial" w:eastAsia="Arial" w:hAnsi="Arial" w:cs="Arial"/>
          <w:color w:val="000000"/>
          <w:sz w:val="18"/>
        </w:rPr>
        <w:t xml:space="preserve">., 393 F.3d 1151, 1155 (10th Cir. 2004) ("Given the[] similarities [between the ADA and Title VII], this court, and many others, have used similar analyses when interpreting the two statutes."); </w:t>
      </w:r>
      <w:r>
        <w:rPr>
          <w:rFonts w:ascii="Arial" w:eastAsia="Arial" w:hAnsi="Arial" w:cs="Arial"/>
          <w:i/>
          <w:color w:val="000000"/>
          <w:sz w:val="18"/>
        </w:rPr>
        <w:t>id</w:t>
      </w:r>
      <w:r>
        <w:rPr>
          <w:rFonts w:ascii="Arial" w:eastAsia="Arial" w:hAnsi="Arial" w:cs="Arial"/>
          <w:color w:val="000000"/>
          <w:sz w:val="18"/>
        </w:rPr>
        <w:t xml:space="preserve">. ("Courts of appeals  [*23] routinely apply the same standards to evaluate Title VII claims as they do ADA claims . . . ." (quoting </w:t>
      </w:r>
      <w:bookmarkStart w:id="3571" w:name="Bookmark_I532DVDF2HM6FN0020000400"/>
      <w:bookmarkEnd w:id="3571"/>
      <w:r>
        <w:rPr>
          <w:rFonts w:ascii="Arial" w:eastAsia="Arial" w:hAnsi="Arial" w:cs="Arial"/>
          <w:i/>
          <w:color w:val="000000"/>
          <w:sz w:val="18"/>
        </w:rPr>
        <w:t>Brown v. Brody</w:t>
      </w:r>
      <w:r>
        <w:rPr>
          <w:rFonts w:ascii="Arial" w:eastAsia="Arial" w:hAnsi="Arial" w:cs="Arial"/>
          <w:color w:val="000000"/>
          <w:sz w:val="18"/>
        </w:rPr>
        <w:t>, 199 F.3d 446, 456 n.10, 339 U.S. App. D.C. 233 (D.C. Cir. 1999)) (internal quotation marks omitted)).</w:t>
      </w:r>
    </w:p>
  </w:footnote>
  <w:footnote w:id="183">
    <w:p w14:paraId="71B65012"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12 </w:t>
      </w:r>
      <w:bookmarkStart w:id="3617" w:name="Bookmark_fnpara_13_3"/>
      <w:bookmarkEnd w:id="3617"/>
      <w:r>
        <w:rPr>
          <w:rFonts w:ascii="Arial" w:eastAsia="Arial" w:hAnsi="Arial" w:cs="Arial"/>
          <w:i/>
          <w:color w:val="000000"/>
          <w:sz w:val="18"/>
        </w:rPr>
        <w:t xml:space="preserve">See </w:t>
      </w:r>
      <w:bookmarkStart w:id="3618" w:name="Bookmark_I532DVDF2SF8GJ0040000400"/>
      <w:bookmarkEnd w:id="3618"/>
      <w:r>
        <w:rPr>
          <w:rFonts w:ascii="Arial" w:eastAsia="Arial" w:hAnsi="Arial" w:cs="Arial"/>
          <w:i/>
          <w:color w:val="000000"/>
          <w:sz w:val="18"/>
        </w:rPr>
        <w:t>Lockard v. Pizza Hut, Inc</w:t>
      </w:r>
      <w:r>
        <w:rPr>
          <w:rFonts w:ascii="Arial" w:eastAsia="Arial" w:hAnsi="Arial" w:cs="Arial"/>
          <w:color w:val="000000"/>
          <w:sz w:val="18"/>
        </w:rPr>
        <w:t xml:space="preserve">., 162 F.3d 1062, 1073-74 (10th Cir. 1998) (Under Title VII, "[a]n employer who condones or tolerates the creation of [a hostile work] environment should be held liable regardless of whether the environment was created by a co-employee or a nonemployee [i.e., a customer], since the employer ultimately controls the conditions of the work environment."); </w:t>
      </w:r>
      <w:bookmarkStart w:id="3619" w:name="Bookmark_I532DVDF2HM6FV0010000400"/>
      <w:bookmarkEnd w:id="3619"/>
      <w:r>
        <w:rPr>
          <w:rFonts w:ascii="Arial" w:eastAsia="Arial" w:hAnsi="Arial" w:cs="Arial"/>
          <w:i/>
          <w:color w:val="000000"/>
          <w:sz w:val="18"/>
        </w:rPr>
        <w:t>Lam v. Univ. of Haw</w:t>
      </w:r>
      <w:r>
        <w:rPr>
          <w:rFonts w:ascii="Arial" w:eastAsia="Arial" w:hAnsi="Arial" w:cs="Arial"/>
          <w:color w:val="000000"/>
          <w:sz w:val="18"/>
        </w:rPr>
        <w:t xml:space="preserve">., 40 F.3d 1551, 1560 n.13 (9th Cir. 1994) ("The existence of . . . third party preferences for discrimination does not, of course, justify discriminatory hiring practices." (citing </w:t>
      </w:r>
      <w:bookmarkStart w:id="3620" w:name="Bookmark_I532DVDF2HM6FV0030000400"/>
      <w:bookmarkEnd w:id="3620"/>
      <w:r>
        <w:rPr>
          <w:rFonts w:ascii="Arial" w:eastAsia="Arial" w:hAnsi="Arial" w:cs="Arial"/>
          <w:i/>
          <w:color w:val="000000"/>
          <w:sz w:val="18"/>
        </w:rPr>
        <w:t>Diaz v. Pan Am. World Airways</w:t>
      </w:r>
      <w:r>
        <w:rPr>
          <w:rFonts w:ascii="Arial" w:eastAsia="Arial" w:hAnsi="Arial" w:cs="Arial"/>
          <w:color w:val="000000"/>
          <w:sz w:val="18"/>
        </w:rPr>
        <w:t xml:space="preserve">, 442 F.2d 385, 389 (5th Cir. 1971))); </w:t>
      </w:r>
      <w:bookmarkStart w:id="3621" w:name="Bookmark_I532DVDF2HM6FV0050000400"/>
      <w:bookmarkEnd w:id="3621"/>
      <w:r>
        <w:rPr>
          <w:rFonts w:ascii="Arial" w:eastAsia="Arial" w:hAnsi="Arial" w:cs="Arial"/>
          <w:i/>
          <w:color w:val="000000"/>
          <w:sz w:val="18"/>
        </w:rPr>
        <w:t>Erebia v. Chrysler Plastic Prods. Corp</w:t>
      </w:r>
      <w:r>
        <w:rPr>
          <w:rFonts w:ascii="Arial" w:eastAsia="Arial" w:hAnsi="Arial" w:cs="Arial"/>
          <w:color w:val="000000"/>
          <w:sz w:val="18"/>
        </w:rPr>
        <w:t xml:space="preserve">., 772 F.2d 1250, 1258 (6th Cir. 1985) ("An employer intends discrimination where he condones racial harassment of employees."); </w:t>
      </w:r>
      <w:bookmarkStart w:id="3622" w:name="Bookmark_I532DVDF2N1PN80020000400"/>
      <w:bookmarkEnd w:id="3622"/>
      <w:r>
        <w:rPr>
          <w:rFonts w:ascii="Arial" w:eastAsia="Arial" w:hAnsi="Arial" w:cs="Arial"/>
          <w:i/>
          <w:color w:val="000000"/>
          <w:sz w:val="18"/>
        </w:rPr>
        <w:t>Abron v. Black &amp; Decker (U.S.) Inc</w:t>
      </w:r>
      <w:r>
        <w:rPr>
          <w:rFonts w:ascii="Arial" w:eastAsia="Arial" w:hAnsi="Arial" w:cs="Arial"/>
          <w:color w:val="000000"/>
          <w:sz w:val="18"/>
        </w:rPr>
        <w:t xml:space="preserve">., 654 F.2d 951, 965 (4th Cir. 1981) ("Numerous cases have held that an employee may bring a Title VII suit against an employer who creates or condones a discriminatory work environment  [*29] . . . ."); </w:t>
      </w:r>
      <w:bookmarkStart w:id="3623" w:name="Bookmark_I532DVDF2N1PN80040000400"/>
      <w:bookmarkEnd w:id="3623"/>
      <w:r>
        <w:rPr>
          <w:rFonts w:ascii="Arial" w:eastAsia="Arial" w:hAnsi="Arial" w:cs="Arial"/>
          <w:i/>
          <w:color w:val="000000"/>
          <w:sz w:val="18"/>
        </w:rPr>
        <w:t>Diaz</w:t>
      </w:r>
      <w:r>
        <w:rPr>
          <w:rFonts w:ascii="Arial" w:eastAsia="Arial" w:hAnsi="Arial" w:cs="Arial"/>
          <w:color w:val="000000"/>
          <w:sz w:val="18"/>
        </w:rPr>
        <w:t xml:space="preserve">, 442 F.2d at 389 ("While we recognize that the public's expectation of finding one sex in a particular role may cause some initial difficulty, it would be totally anomalous if we were to allow the preferences and prejudices of the customers to determine whether the sex discrimination was valid."); </w:t>
      </w:r>
      <w:r>
        <w:rPr>
          <w:rFonts w:ascii="Arial" w:eastAsia="Arial" w:hAnsi="Arial" w:cs="Arial"/>
          <w:i/>
          <w:color w:val="000000"/>
          <w:sz w:val="18"/>
        </w:rPr>
        <w:t xml:space="preserve">see also </w:t>
      </w:r>
      <w:bookmarkStart w:id="3624" w:name="Bookmark_I532DVDF2HM6FW0010000400"/>
      <w:bookmarkEnd w:id="3624"/>
      <w:r>
        <w:rPr>
          <w:rFonts w:ascii="Arial" w:eastAsia="Arial" w:hAnsi="Arial" w:cs="Arial"/>
          <w:i/>
          <w:color w:val="000000"/>
          <w:sz w:val="18"/>
        </w:rPr>
        <w:t>Pleener v. New York City Bd. of Educ</w:t>
      </w:r>
      <w:r>
        <w:rPr>
          <w:rFonts w:ascii="Arial" w:eastAsia="Arial" w:hAnsi="Arial" w:cs="Arial"/>
          <w:color w:val="000000"/>
          <w:sz w:val="18"/>
        </w:rPr>
        <w:t xml:space="preserve">., 311 F. App'x 479, 482 (2d Cir. 2009) ("We agree that federal law does not permit an employer to discriminate based on race to accommodate the actual or perceived invidious biases of its clientele." (citing </w:t>
      </w:r>
      <w:bookmarkStart w:id="3625" w:name="Bookmark_I532DVDF2HM6FW0030000400"/>
      <w:bookmarkEnd w:id="3625"/>
      <w:r>
        <w:rPr>
          <w:rFonts w:ascii="Arial" w:eastAsia="Arial" w:hAnsi="Arial" w:cs="Arial"/>
          <w:i/>
          <w:color w:val="000000"/>
          <w:sz w:val="18"/>
        </w:rPr>
        <w:t>Knight v. Nassau Cnty. Civil Serv. Comm'n</w:t>
      </w:r>
      <w:r>
        <w:rPr>
          <w:rFonts w:ascii="Arial" w:eastAsia="Arial" w:hAnsi="Arial" w:cs="Arial"/>
          <w:color w:val="000000"/>
          <w:sz w:val="18"/>
        </w:rPr>
        <w:t xml:space="preserve">, 649 F.2d 157, 162 (2d Cir. 1981))); </w:t>
      </w:r>
      <w:r>
        <w:rPr>
          <w:rFonts w:ascii="Arial" w:eastAsia="Arial" w:hAnsi="Arial" w:cs="Arial"/>
          <w:i/>
          <w:color w:val="000000"/>
          <w:sz w:val="18"/>
        </w:rPr>
        <w:t>cf</w:t>
      </w:r>
      <w:r>
        <w:rPr>
          <w:rFonts w:ascii="Arial" w:eastAsia="Arial" w:hAnsi="Arial" w:cs="Arial"/>
          <w:color w:val="000000"/>
          <w:sz w:val="18"/>
        </w:rPr>
        <w:t>. 29 C.F.R. § 1604.2(a)(1)(iii) (providing that the bona fide occupational qualification exception does not generally apply to "refusal to hire an individual because of the preferences of coworkers, the employer, clients or customers").</w:t>
      </w:r>
    </w:p>
  </w:footnote>
  <w:footnote w:id="184">
    <w:p w14:paraId="7A2AB1E1"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13 </w:t>
      </w:r>
      <w:bookmarkStart w:id="3649" w:name="Bookmark_fnpara_14_3"/>
      <w:bookmarkStart w:id="3650" w:name="Bookmark_I33FYXHGBRF000CXWC2001C1"/>
      <w:bookmarkStart w:id="3651" w:name="Bookmark_I532DVDF2N1PN90010000400"/>
      <w:bookmarkStart w:id="3652" w:name="Bookmark_I532DVDF2N1PN90030000400"/>
      <w:bookmarkEnd w:id="3649"/>
      <w:bookmarkEnd w:id="3650"/>
      <w:bookmarkEnd w:id="3651"/>
      <w:bookmarkEnd w:id="3652"/>
      <w:r>
        <w:rPr>
          <w:rFonts w:ascii="Arial" w:eastAsia="Arial" w:hAnsi="Arial" w:cs="Arial"/>
          <w:color w:val="000000"/>
          <w:sz w:val="18"/>
        </w:rPr>
        <w:t xml:space="preserve">EEOC also argues that Mr. Watson was faced with the "Hobson's choice" of acquiescing to the use of the acknowledgment form or forgoing the opportunity to be a trainer altogether. </w:t>
      </w:r>
      <w:bookmarkStart w:id="3653" w:name="Bookmark_I532DVDF2N1PN90050000400"/>
      <w:bookmarkEnd w:id="3653"/>
      <w:r>
        <w:rPr>
          <w:rFonts w:ascii="Arial" w:eastAsia="Arial" w:hAnsi="Arial" w:cs="Arial"/>
          <w:color w:val="000000"/>
          <w:sz w:val="18"/>
        </w:rPr>
        <w:t xml:space="preserve">In support of its argument, EEOC cites the unpublished Sixth Circuit decision </w:t>
      </w:r>
      <w:bookmarkStart w:id="3654" w:name="Bookmark_I532DVDF2HM6FW0050000400"/>
      <w:bookmarkEnd w:id="3654"/>
      <w:r>
        <w:rPr>
          <w:rFonts w:ascii="Arial" w:eastAsia="Arial" w:hAnsi="Arial" w:cs="Arial"/>
          <w:i/>
          <w:color w:val="000000"/>
          <w:sz w:val="18"/>
        </w:rPr>
        <w:t>Baker v. Windsor Republic Doors</w:t>
      </w:r>
      <w:r>
        <w:rPr>
          <w:rFonts w:ascii="Arial" w:eastAsia="Arial" w:hAnsi="Arial" w:cs="Arial"/>
          <w:color w:val="000000"/>
          <w:sz w:val="18"/>
        </w:rPr>
        <w:t xml:space="preserve">, Nos. 08-6200; 09-5722; 09-6553, 414 Fed. Appx. 764, 2011 U.S. App. LEXIS 4810, 2011 WL 805768 (6th Cir. Mar. 8, 2011). In that case, the employee was told by his employer that he could not  [*32] return to work unless and until he waived his right to claim workers' compensation benefits arising from the accident that caused his disability. </w:t>
      </w:r>
      <w:bookmarkStart w:id="3655" w:name="Bookmark_I532DVDF2N1PN90020000400"/>
      <w:bookmarkEnd w:id="3655"/>
      <w:r>
        <w:rPr>
          <w:rFonts w:ascii="Arial" w:eastAsia="Arial" w:hAnsi="Arial" w:cs="Arial"/>
          <w:color w:val="000000"/>
          <w:sz w:val="18"/>
        </w:rPr>
        <w:t xml:space="preserve">2011 U.S. App. LEXIS 4810, [WL] at *3. </w:t>
      </w:r>
      <w:bookmarkStart w:id="3656" w:name="Bookmark_I532DVDF2N1PN90050000400_2"/>
      <w:bookmarkEnd w:id="3656"/>
      <w:r>
        <w:rPr>
          <w:rFonts w:ascii="Arial" w:eastAsia="Arial" w:hAnsi="Arial" w:cs="Arial"/>
          <w:color w:val="000000"/>
          <w:sz w:val="18"/>
        </w:rPr>
        <w:t xml:space="preserve">The Sixth Circuit concluded that this amounted to an "adverse employment action" under the ADA. </w:t>
      </w:r>
      <w:bookmarkStart w:id="3657" w:name="Bookmark_I532DVDF2N1PN90040000400"/>
      <w:bookmarkEnd w:id="3657"/>
      <w:r>
        <w:rPr>
          <w:rFonts w:ascii="Arial" w:eastAsia="Arial" w:hAnsi="Arial" w:cs="Arial"/>
          <w:color w:val="000000"/>
          <w:sz w:val="18"/>
        </w:rPr>
        <w:t xml:space="preserve">2011 U.S. App. LEXIS 4810, [WL] at *7. EEOC argues that </w:t>
      </w:r>
      <w:r>
        <w:rPr>
          <w:rFonts w:ascii="Arial" w:eastAsia="Arial" w:hAnsi="Arial" w:cs="Arial"/>
          <w:i/>
          <w:color w:val="000000"/>
          <w:sz w:val="18"/>
        </w:rPr>
        <w:t>Baker</w:t>
      </w:r>
      <w:r>
        <w:rPr>
          <w:rFonts w:ascii="Arial" w:eastAsia="Arial" w:hAnsi="Arial" w:cs="Arial"/>
          <w:color w:val="000000"/>
          <w:sz w:val="18"/>
        </w:rPr>
        <w:t xml:space="preserve"> is analogous to the situation presently before us because Mr. Watson, like Mr. Baker, was presented with a "Hobson's choice"—</w:t>
      </w:r>
      <w:r>
        <w:rPr>
          <w:rFonts w:ascii="Arial" w:eastAsia="Arial" w:hAnsi="Arial" w:cs="Arial"/>
          <w:i/>
          <w:color w:val="000000"/>
          <w:sz w:val="18"/>
        </w:rPr>
        <w:t>viz</w:t>
      </w:r>
      <w:r>
        <w:rPr>
          <w:rFonts w:ascii="Arial" w:eastAsia="Arial" w:hAnsi="Arial" w:cs="Arial"/>
          <w:color w:val="000000"/>
          <w:sz w:val="18"/>
        </w:rPr>
        <w:t xml:space="preserve">., either disclose your medical information to potential trainees or forgo the opportunity to be employed as a trainer. Contrary to the case at bar, however, the plaintiff in </w:t>
      </w:r>
      <w:r>
        <w:rPr>
          <w:rFonts w:ascii="Arial" w:eastAsia="Arial" w:hAnsi="Arial" w:cs="Arial"/>
          <w:i/>
          <w:color w:val="000000"/>
          <w:sz w:val="18"/>
        </w:rPr>
        <w:t>Baker</w:t>
      </w:r>
      <w:r>
        <w:rPr>
          <w:rFonts w:ascii="Arial" w:eastAsia="Arial" w:hAnsi="Arial" w:cs="Arial"/>
          <w:color w:val="000000"/>
          <w:sz w:val="18"/>
        </w:rPr>
        <w:t xml:space="preserve"> was prohibited from returning to work due to his objection to the employer's request. In the present case, Mr. Watson was never prevented from working or participating in the training program. In fact, Mr. Watson consistently agreed to the form's use, and never voiced any objection to C.R. England. Furthermore, even if </w:t>
      </w:r>
      <w:r>
        <w:rPr>
          <w:rFonts w:ascii="Arial" w:eastAsia="Arial" w:hAnsi="Arial" w:cs="Arial"/>
          <w:i/>
          <w:color w:val="000000"/>
          <w:sz w:val="18"/>
        </w:rPr>
        <w:t>Baker</w:t>
      </w:r>
      <w:r>
        <w:rPr>
          <w:rFonts w:ascii="Arial" w:eastAsia="Arial" w:hAnsi="Arial" w:cs="Arial"/>
          <w:color w:val="000000"/>
          <w:sz w:val="18"/>
        </w:rPr>
        <w:t xml:space="preserve"> was on point, it is an unpublished, out-of-circuit case that accordingly has no precedential value. We therefore find the EEOC's argument unpersuasive.</w:t>
      </w:r>
    </w:p>
  </w:footnote>
  <w:footnote w:id="185">
    <w:p w14:paraId="52F701F1"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14 </w:t>
      </w:r>
      <w:bookmarkStart w:id="3687" w:name="Bookmark_fnpara_15_2"/>
      <w:bookmarkEnd w:id="3687"/>
      <w:r>
        <w:rPr>
          <w:rFonts w:ascii="Arial" w:eastAsia="Arial" w:hAnsi="Arial" w:cs="Arial"/>
          <w:color w:val="000000"/>
          <w:sz w:val="18"/>
        </w:rPr>
        <w:t xml:space="preserve">The district court granted summary judgment on this claim because Mr. Watson did not "point to significant probative evidence from which it may reasonably be inferred that England deliberately misdirected him as to new loads in the Omaha area . . . , and that it did so because of his HIV status." </w:t>
      </w:r>
      <w:bookmarkStart w:id="3688" w:name="Bookmark_I532DVDG2SF8GN0010000400"/>
      <w:bookmarkEnd w:id="3688"/>
      <w:r>
        <w:rPr>
          <w:rFonts w:ascii="Arial" w:eastAsia="Arial" w:hAnsi="Arial" w:cs="Arial"/>
          <w:i/>
          <w:color w:val="000000"/>
          <w:sz w:val="18"/>
        </w:rPr>
        <w:t>EEOC v. C.R. England</w:t>
      </w:r>
      <w:r>
        <w:rPr>
          <w:rFonts w:ascii="Arial" w:eastAsia="Arial" w:hAnsi="Arial" w:cs="Arial"/>
          <w:color w:val="000000"/>
          <w:sz w:val="18"/>
        </w:rPr>
        <w:t xml:space="preserve">, No. 2:06-CV-00811BSJ, slip op. at 22. Although we ultimately affirm on an alternate ground supported by the record, </w:t>
      </w:r>
      <w:r>
        <w:rPr>
          <w:rFonts w:ascii="Arial" w:eastAsia="Arial" w:hAnsi="Arial" w:cs="Arial"/>
          <w:i/>
          <w:color w:val="000000"/>
          <w:sz w:val="18"/>
        </w:rPr>
        <w:t xml:space="preserve">see </w:t>
      </w:r>
      <w:bookmarkStart w:id="3689" w:name="Bookmark_I532DVDG2SF8GN0030000400"/>
      <w:bookmarkEnd w:id="3689"/>
      <w:r>
        <w:rPr>
          <w:rFonts w:ascii="Arial" w:eastAsia="Arial" w:hAnsi="Arial" w:cs="Arial"/>
          <w:i/>
          <w:color w:val="000000"/>
          <w:sz w:val="18"/>
        </w:rPr>
        <w:t>Hayes v. Whitman</w:t>
      </w:r>
      <w:r>
        <w:rPr>
          <w:rFonts w:ascii="Arial" w:eastAsia="Arial" w:hAnsi="Arial" w:cs="Arial"/>
          <w:color w:val="000000"/>
          <w:sz w:val="18"/>
        </w:rPr>
        <w:t>, 264 F.3d 1017, 1025 (10th Cir. 2001), we agree with the district court that Mr. Watson has put forth no significant evidence demonstrating that C.R. England's actions were motivated by a discriminatory animus, or that the company's legitimate non-discriminatory justification—that these types of cancellations are commonplace?was merely pretextual.</w:t>
      </w:r>
    </w:p>
  </w:footnote>
  <w:footnote w:id="186">
    <w:p w14:paraId="69126878"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15 </w:t>
      </w:r>
      <w:bookmarkStart w:id="3708" w:name="Bookmark_fnpara_16_1"/>
      <w:bookmarkEnd w:id="3708"/>
      <w:r>
        <w:rPr>
          <w:rFonts w:ascii="Arial" w:eastAsia="Arial" w:hAnsi="Arial" w:cs="Arial"/>
          <w:color w:val="000000"/>
          <w:sz w:val="18"/>
        </w:rPr>
        <w:t>Mr. Watson  [*40] also argues that he "did not abandon his student at a truck stop," but instead "dropped the student at the truck stop under instructions from Defendant England." Watson Opening Br., No. 09-4217, at 45. However, C.R. England did not cite abandonment of his trainee as a ground for his removal as a trainer. Mr. Watson's argument, therefore, does not in any way undermine C.R. England's stated reasons for the termination.</w:t>
      </w:r>
    </w:p>
  </w:footnote>
  <w:footnote w:id="187">
    <w:p w14:paraId="023EAF58"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16 </w:t>
      </w:r>
      <w:bookmarkStart w:id="3772" w:name="Bookmark_fnpara_17_0"/>
      <w:bookmarkStart w:id="3773" w:name="Bookmark_I532DVDH28T4JP0040000400"/>
      <w:bookmarkEnd w:id="3772"/>
      <w:bookmarkEnd w:id="3773"/>
      <w:r>
        <w:rPr>
          <w:rFonts w:ascii="Arial" w:eastAsia="Arial" w:hAnsi="Arial" w:cs="Arial"/>
          <w:color w:val="000000"/>
          <w:sz w:val="18"/>
        </w:rPr>
        <w:t xml:space="preserve">EEOC cites its own Enforcement Guidance as support for the proposition that voluntarily disclosed medical information is protected by § 102(d). This argument is based on an assertion found in this Enforcement Guidance, which states that "[t]he ADA requires employers to treat any medical information obtained from a disability-related inquiry or medical examination . . . as well as any medical information </w:t>
      </w:r>
      <w:r>
        <w:rPr>
          <w:rFonts w:ascii="Arial" w:eastAsia="Arial" w:hAnsi="Arial" w:cs="Arial"/>
          <w:i/>
          <w:color w:val="000000"/>
          <w:sz w:val="18"/>
        </w:rPr>
        <w:t>voluntarily disclosed</w:t>
      </w:r>
      <w:r>
        <w:rPr>
          <w:rFonts w:ascii="Arial" w:eastAsia="Arial" w:hAnsi="Arial" w:cs="Arial"/>
          <w:color w:val="000000"/>
          <w:sz w:val="18"/>
        </w:rPr>
        <w:t xml:space="preserve"> by an employee, as a confidential medical record." EEOC App. at 1112 (alteration in original) (emphasis added) (quoting EEOC Enforcement Guidance: Disability-Related Inquiries and Medical Examinations of Employees Under the Americans with Disabilities Act (July 27, 2000)) (internal quotation marks omitted). </w:t>
      </w:r>
      <w:bookmarkStart w:id="3774" w:name="Bookmark_I532DVDH2SF8GS0030000400"/>
      <w:bookmarkEnd w:id="3774"/>
      <w:r>
        <w:rPr>
          <w:rFonts w:ascii="Arial" w:eastAsia="Arial" w:hAnsi="Arial" w:cs="Arial"/>
          <w:color w:val="000000"/>
          <w:sz w:val="18"/>
        </w:rPr>
        <w:t xml:space="preserve">However, as the district court properly noted, EEOC's interpretations are not controlling; the cited guidance document is only entitled to our respect  [*52] to the extent that it has the "power to persuade." </w:t>
      </w:r>
      <w:bookmarkStart w:id="3775" w:name="Bookmark_I532DVDH28T4JP0030000400"/>
      <w:bookmarkEnd w:id="3775"/>
      <w:r>
        <w:rPr>
          <w:rFonts w:ascii="Arial" w:eastAsia="Arial" w:hAnsi="Arial" w:cs="Arial"/>
          <w:i/>
          <w:color w:val="000000"/>
          <w:sz w:val="18"/>
        </w:rPr>
        <w:t>Nat'l R.R. Passenger Corp. v. Morgan</w:t>
      </w:r>
      <w:r>
        <w:rPr>
          <w:rFonts w:ascii="Arial" w:eastAsia="Arial" w:hAnsi="Arial" w:cs="Arial"/>
          <w:color w:val="000000"/>
          <w:sz w:val="18"/>
        </w:rPr>
        <w:t xml:space="preserve">, 536 U.S. 101, 111 n.6, 122 S. Ct. 2061, 153 L. Ed. 2d 106 (2002) (quoting </w:t>
      </w:r>
      <w:bookmarkStart w:id="3776" w:name="Bookmark_I532DVDH28T4JP0050000400"/>
      <w:bookmarkEnd w:id="3776"/>
      <w:r>
        <w:rPr>
          <w:rFonts w:ascii="Arial" w:eastAsia="Arial" w:hAnsi="Arial" w:cs="Arial"/>
          <w:i/>
          <w:color w:val="000000"/>
          <w:sz w:val="18"/>
        </w:rPr>
        <w:t>Christensen v. Harris Cnty</w:t>
      </w:r>
      <w:r>
        <w:rPr>
          <w:rFonts w:ascii="Arial" w:eastAsia="Arial" w:hAnsi="Arial" w:cs="Arial"/>
          <w:color w:val="000000"/>
          <w:sz w:val="18"/>
        </w:rPr>
        <w:t xml:space="preserve">., 529 U.S. 576, 587, 120 S. Ct. 1655, 146 L. Ed. 2d 621 (2000)) (internal quotation marks omitted). </w:t>
      </w:r>
      <w:bookmarkStart w:id="3777" w:name="Bookmark_I532DVDH2SF8GS0030000400_2"/>
      <w:bookmarkEnd w:id="3777"/>
      <w:r>
        <w:rPr>
          <w:rFonts w:ascii="Arial" w:eastAsia="Arial" w:hAnsi="Arial" w:cs="Arial"/>
          <w:color w:val="000000"/>
          <w:sz w:val="18"/>
        </w:rPr>
        <w:t xml:space="preserve">EEOC also acknowledges the non-binding effect of its guidance document. </w:t>
      </w:r>
      <w:r>
        <w:rPr>
          <w:rFonts w:ascii="Arial" w:eastAsia="Arial" w:hAnsi="Arial" w:cs="Arial"/>
          <w:i/>
          <w:color w:val="000000"/>
          <w:sz w:val="18"/>
        </w:rPr>
        <w:t>See</w:t>
      </w:r>
      <w:r>
        <w:rPr>
          <w:rFonts w:ascii="Arial" w:eastAsia="Arial" w:hAnsi="Arial" w:cs="Arial"/>
          <w:color w:val="000000"/>
          <w:sz w:val="18"/>
        </w:rPr>
        <w:t xml:space="preserve"> EEOC Opening Br., No. 09-4207, at 59 (stating that EEOC's guidelines "are not controlling upon the courts by reason of their authority, but they do constitute a body of experience and informed judgment to which courts and litigants may properly resort for guidance" (quoting </w:t>
      </w:r>
      <w:bookmarkStart w:id="3778" w:name="Bookmark_I532DVDH2SF8GS0020000400"/>
      <w:bookmarkEnd w:id="3778"/>
      <w:r>
        <w:rPr>
          <w:rFonts w:ascii="Arial" w:eastAsia="Arial" w:hAnsi="Arial" w:cs="Arial"/>
          <w:i/>
          <w:color w:val="000000"/>
          <w:sz w:val="18"/>
        </w:rPr>
        <w:t>Smith v. Midland Brake, Inc</w:t>
      </w:r>
      <w:r>
        <w:rPr>
          <w:rFonts w:ascii="Arial" w:eastAsia="Arial" w:hAnsi="Arial" w:cs="Arial"/>
          <w:color w:val="000000"/>
          <w:sz w:val="18"/>
        </w:rPr>
        <w:t>., 180 F.3d 1154, 1165 (10th Cir. 1999)) (internal quotation marks omitted)). In this instance, EEOC's guidance does not persuade us because it is not consistent with the plain language of the statute. Furthermore, the Enforcement Guidance states elsewhere that "[o]nly disability-related inquiries and medical examinations are subject to the ADA's restrictions." EEOC App. at 1113.</w:t>
      </w:r>
    </w:p>
  </w:footnote>
  <w:footnote w:id="188">
    <w:p w14:paraId="39D97E16"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17 </w:t>
      </w:r>
      <w:bookmarkStart w:id="3824" w:name="Bookmark_fnpara_18_0"/>
      <w:bookmarkEnd w:id="3824"/>
      <w:r>
        <w:rPr>
          <w:rFonts w:ascii="Arial" w:eastAsia="Arial" w:hAnsi="Arial" w:cs="Arial"/>
          <w:color w:val="000000"/>
          <w:sz w:val="18"/>
        </w:rPr>
        <w:t xml:space="preserve">As previously stated, we need not opine on whether Mr. Watson in fact had a disability within the meaning of the ADA. </w:t>
      </w:r>
      <w:r>
        <w:rPr>
          <w:rFonts w:ascii="Arial" w:eastAsia="Arial" w:hAnsi="Arial" w:cs="Arial"/>
          <w:i/>
          <w:color w:val="000000"/>
          <w:sz w:val="18"/>
        </w:rPr>
        <w:t>See supra</w:t>
      </w:r>
      <w:r>
        <w:rPr>
          <w:rFonts w:ascii="Arial" w:eastAsia="Arial" w:hAnsi="Arial" w:cs="Arial"/>
          <w:color w:val="000000"/>
          <w:sz w:val="18"/>
        </w:rPr>
        <w:t xml:space="preserve"> note 7.</w:t>
      </w:r>
    </w:p>
  </w:footnote>
  <w:footnote w:id="189">
    <w:p w14:paraId="67C6F7E5"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18 </w:t>
      </w:r>
      <w:bookmarkStart w:id="3832" w:name="Bookmark_fnpara_19_0"/>
      <w:bookmarkEnd w:id="3832"/>
      <w:r>
        <w:rPr>
          <w:rFonts w:ascii="Arial" w:eastAsia="Arial" w:hAnsi="Arial" w:cs="Arial"/>
          <w:color w:val="000000"/>
          <w:sz w:val="18"/>
        </w:rPr>
        <w:t xml:space="preserve">Mr. Watson also asserts that C.R. England retaliated against him by disseminating false information. </w:t>
      </w:r>
      <w:bookmarkStart w:id="3833" w:name="Bookmark_I532DVDH2D6N9B0050000400"/>
      <w:bookmarkEnd w:id="3833"/>
      <w:r>
        <w:rPr>
          <w:rFonts w:ascii="Arial" w:eastAsia="Arial" w:hAnsi="Arial" w:cs="Arial"/>
          <w:color w:val="000000"/>
          <w:sz w:val="18"/>
        </w:rPr>
        <w:t xml:space="preserve">However, he cites no evidence in support of this accusation; in fact, his argument with regard to this claim—in its entirety—states that "Defendant England  [*62] has disseminated false material regarding Plaintiff Watson." Watson Opening Br., No. 09-4217, at 48. Under the federal appellate rules, an "appellant's brief </w:t>
      </w:r>
      <w:r>
        <w:rPr>
          <w:rFonts w:ascii="Arial" w:eastAsia="Arial" w:hAnsi="Arial" w:cs="Arial"/>
          <w:i/>
          <w:color w:val="000000"/>
          <w:sz w:val="18"/>
        </w:rPr>
        <w:t>must</w:t>
      </w:r>
      <w:r>
        <w:rPr>
          <w:rFonts w:ascii="Arial" w:eastAsia="Arial" w:hAnsi="Arial" w:cs="Arial"/>
          <w:color w:val="000000"/>
          <w:sz w:val="18"/>
        </w:rPr>
        <w:t xml:space="preserve"> contain . . . appellant's contentions and the reasons for them, with citations to the authorities and parts of the record on which the appellant relies." Fed. R. App. P. 28(a)(9)(A) (emphasis added). </w:t>
      </w:r>
      <w:bookmarkStart w:id="3834" w:name="Bookmark_I532DVDH28T4JV0040000400"/>
      <w:bookmarkEnd w:id="3834"/>
      <w:r>
        <w:rPr>
          <w:rFonts w:ascii="Arial" w:eastAsia="Arial" w:hAnsi="Arial" w:cs="Arial"/>
          <w:color w:val="000000"/>
          <w:sz w:val="18"/>
        </w:rPr>
        <w:t xml:space="preserve">"Consistent with this requirement, we routinely have declined to consider arguments that are not raised, or are inadequately presented, in an appellant's opening brief." </w:t>
      </w:r>
      <w:bookmarkStart w:id="3835" w:name="Bookmark_I532DVDH2D6N9B0040000400"/>
      <w:bookmarkEnd w:id="3835"/>
      <w:r>
        <w:rPr>
          <w:rFonts w:ascii="Arial" w:eastAsia="Arial" w:hAnsi="Arial" w:cs="Arial"/>
          <w:i/>
          <w:color w:val="000000"/>
          <w:sz w:val="18"/>
        </w:rPr>
        <w:t>Bronson v. Swensen</w:t>
      </w:r>
      <w:r>
        <w:rPr>
          <w:rFonts w:ascii="Arial" w:eastAsia="Arial" w:hAnsi="Arial" w:cs="Arial"/>
          <w:color w:val="000000"/>
          <w:sz w:val="18"/>
        </w:rPr>
        <w:t xml:space="preserve">, 500 F.3d 1099, 1104 (10th Cir. 2007); </w:t>
      </w:r>
      <w:r>
        <w:rPr>
          <w:rFonts w:ascii="Arial" w:eastAsia="Arial" w:hAnsi="Arial" w:cs="Arial"/>
          <w:i/>
          <w:color w:val="000000"/>
          <w:sz w:val="18"/>
        </w:rPr>
        <w:t xml:space="preserve">see also </w:t>
      </w:r>
      <w:bookmarkStart w:id="3836" w:name="Bookmark_I532DVDH28T4JV0010000400"/>
      <w:bookmarkEnd w:id="3836"/>
      <w:r>
        <w:rPr>
          <w:rFonts w:ascii="Arial" w:eastAsia="Arial" w:hAnsi="Arial" w:cs="Arial"/>
          <w:i/>
          <w:color w:val="000000"/>
          <w:sz w:val="18"/>
        </w:rPr>
        <w:t>Exum v. U.S. Olympic Comm</w:t>
      </w:r>
      <w:r>
        <w:rPr>
          <w:rFonts w:ascii="Arial" w:eastAsia="Arial" w:hAnsi="Arial" w:cs="Arial"/>
          <w:color w:val="000000"/>
          <w:sz w:val="18"/>
        </w:rPr>
        <w:t xml:space="preserve">., 389 F.3d 1130, 1133 n.4 (10th Cir. 2004) ("Scattered statements in the appellant's brief are not enough to preserve an issue for appeal."). </w:t>
      </w:r>
      <w:bookmarkStart w:id="3837" w:name="Bookmark_I532DVDH28T4JV0040000400_2"/>
      <w:bookmarkEnd w:id="3837"/>
      <w:r>
        <w:rPr>
          <w:rFonts w:ascii="Arial" w:eastAsia="Arial" w:hAnsi="Arial" w:cs="Arial"/>
          <w:color w:val="000000"/>
          <w:sz w:val="18"/>
        </w:rPr>
        <w:t xml:space="preserve">Because Mr. Watson has failed to present any argument or authority in support of this particular retaliation claim, we decline to further consider it on appeal. </w:t>
      </w:r>
      <w:r>
        <w:rPr>
          <w:rFonts w:ascii="Arial" w:eastAsia="Arial" w:hAnsi="Arial" w:cs="Arial"/>
          <w:i/>
          <w:color w:val="000000"/>
          <w:sz w:val="18"/>
        </w:rPr>
        <w:t xml:space="preserve">See </w:t>
      </w:r>
      <w:bookmarkStart w:id="3838" w:name="Bookmark_I532DVDH28T4JV0030000400"/>
      <w:bookmarkEnd w:id="3838"/>
      <w:r>
        <w:rPr>
          <w:rFonts w:ascii="Arial" w:eastAsia="Arial" w:hAnsi="Arial" w:cs="Arial"/>
          <w:i/>
          <w:color w:val="000000"/>
          <w:sz w:val="18"/>
        </w:rPr>
        <w:t>Gaither v. Aetna Life Ins. Co</w:t>
      </w:r>
      <w:r>
        <w:rPr>
          <w:rFonts w:ascii="Arial" w:eastAsia="Arial" w:hAnsi="Arial" w:cs="Arial"/>
          <w:color w:val="000000"/>
          <w:sz w:val="18"/>
        </w:rPr>
        <w:t>., 394 F.3d 792, 810 (10th Cir. 2004) ("It is well-settled in this Circuit that an issue listed, but not argued in the opening brief is waived.").</w:t>
      </w:r>
    </w:p>
  </w:footnote>
  <w:footnote w:id="190">
    <w:p w14:paraId="5720FE3B"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19 </w:t>
      </w:r>
      <w:bookmarkStart w:id="3879" w:name="Bookmark_fnpara_20_0"/>
      <w:bookmarkEnd w:id="3879"/>
      <w:r>
        <w:rPr>
          <w:rFonts w:ascii="Arial" w:eastAsia="Arial" w:hAnsi="Arial" w:cs="Arial"/>
          <w:color w:val="000000"/>
          <w:sz w:val="18"/>
        </w:rPr>
        <w:t xml:space="preserve">As noted, Mr. Watson does not contest on appeal the district court's decision granting summary judgment in favor of C.R. England on his </w:t>
      </w:r>
      <w:r>
        <w:rPr>
          <w:rFonts w:ascii="Arial" w:eastAsia="Arial" w:hAnsi="Arial" w:cs="Arial"/>
          <w:i/>
          <w:color w:val="000000"/>
          <w:sz w:val="18"/>
        </w:rPr>
        <w:t>negligent</w:t>
      </w:r>
      <w:r>
        <w:rPr>
          <w:rFonts w:ascii="Arial" w:eastAsia="Arial" w:hAnsi="Arial" w:cs="Arial"/>
          <w:color w:val="000000"/>
          <w:sz w:val="18"/>
        </w:rPr>
        <w:t xml:space="preserve"> infliction of emotional distress claim. </w:t>
      </w:r>
      <w:r>
        <w:rPr>
          <w:rFonts w:ascii="Arial" w:eastAsia="Arial" w:hAnsi="Arial" w:cs="Arial"/>
          <w:i/>
          <w:color w:val="000000"/>
          <w:sz w:val="18"/>
        </w:rPr>
        <w:t>See supra</w:t>
      </w:r>
      <w:r>
        <w:rPr>
          <w:rFonts w:ascii="Arial" w:eastAsia="Arial" w:hAnsi="Arial" w:cs="Arial"/>
          <w:color w:val="000000"/>
          <w:sz w:val="18"/>
        </w:rPr>
        <w:t xml:space="preserve"> note 6.</w:t>
      </w:r>
    </w:p>
  </w:footnote>
  <w:footnote w:id="191">
    <w:p w14:paraId="27C608CF" w14:textId="77777777" w:rsidR="00D041A2" w:rsidRDefault="00000000">
      <w:pPr>
        <w:pStyle w:val="Normal31"/>
        <w:widowControl w:val="0"/>
        <w:spacing w:before="200" w:line="240" w:lineRule="atLeast"/>
        <w:jc w:val="both"/>
      </w:pPr>
      <w:r>
        <w:rPr>
          <w:rFonts w:ascii="Arial" w:eastAsia="Arial" w:hAnsi="Arial" w:cs="Arial"/>
          <w:color w:val="000000"/>
          <w:sz w:val="18"/>
          <w:vertAlign w:val="superscript"/>
        </w:rPr>
        <w:t>20 </w:t>
      </w:r>
      <w:bookmarkStart w:id="3924" w:name="Bookmark_fnpara_21_0"/>
      <w:bookmarkEnd w:id="3924"/>
      <w:r>
        <w:rPr>
          <w:rFonts w:ascii="Arial" w:eastAsia="Arial" w:hAnsi="Arial" w:cs="Arial"/>
          <w:color w:val="000000"/>
          <w:sz w:val="18"/>
        </w:rPr>
        <w:t xml:space="preserve">EEOC's pending motion to seal its Opening Brief and specified appendices is </w:t>
      </w:r>
      <w:r>
        <w:rPr>
          <w:rFonts w:ascii="Arial" w:eastAsia="Arial" w:hAnsi="Arial" w:cs="Arial"/>
          <w:b/>
          <w:color w:val="000000"/>
          <w:sz w:val="18"/>
        </w:rPr>
        <w:t>GRANTED</w:t>
      </w:r>
      <w:r>
        <w:rPr>
          <w:rFonts w:ascii="Arial" w:eastAsia="Arial" w:hAnsi="Arial" w:cs="Arial"/>
          <w:color w:val="000000"/>
          <w:sz w:val="18"/>
        </w:rPr>
        <w:t>.</w:t>
      </w:r>
    </w:p>
  </w:footnote>
  <w:footnote w:id="192">
    <w:p w14:paraId="734CABD6" w14:textId="77777777" w:rsidR="00D041A2" w:rsidRDefault="00000000">
      <w:pPr>
        <w:pStyle w:val="Normal32"/>
        <w:widowControl w:val="0"/>
        <w:spacing w:before="120" w:line="240" w:lineRule="atLeast"/>
        <w:jc w:val="both"/>
      </w:pPr>
      <w:r>
        <w:rPr>
          <w:rFonts w:ascii="Arial" w:eastAsia="Arial" w:hAnsi="Arial" w:cs="Arial"/>
          <w:color w:val="000000"/>
          <w:sz w:val="18"/>
          <w:vertAlign w:val="superscript"/>
        </w:rPr>
        <w:t>1 </w:t>
      </w:r>
      <w:bookmarkStart w:id="3937" w:name="Bookmark_fnpara_1_27"/>
      <w:bookmarkEnd w:id="3937"/>
      <w:r>
        <w:rPr>
          <w:rFonts w:ascii="Arial" w:eastAsia="Arial" w:hAnsi="Arial" w:cs="Arial"/>
          <w:color w:val="000000"/>
          <w:sz w:val="18"/>
        </w:rPr>
        <w:t>Defendants' "Half-Time Mix" includes lyrics like "Y'all don't really want it but the young got time / With a flow so spec like . . . technologic / Shawty get loose, baby do what you do, let me see you let down your hair." Lil' Mama, "Shawty Get Loose" (Jive Records 2008). J.A. 586.</w:t>
      </w:r>
    </w:p>
  </w:footnote>
  <w:footnote w:id="193">
    <w:p w14:paraId="5F692B40" w14:textId="77777777" w:rsidR="00D041A2" w:rsidRDefault="00000000">
      <w:pPr>
        <w:pStyle w:val="Normal32"/>
        <w:widowControl w:val="0"/>
        <w:spacing w:before="200" w:line="240" w:lineRule="atLeast"/>
        <w:jc w:val="both"/>
      </w:pPr>
      <w:r>
        <w:rPr>
          <w:rFonts w:ascii="Arial" w:eastAsia="Arial" w:hAnsi="Arial" w:cs="Arial"/>
          <w:color w:val="000000"/>
          <w:sz w:val="18"/>
          <w:vertAlign w:val="superscript"/>
        </w:rPr>
        <w:t>2 </w:t>
      </w:r>
      <w:bookmarkStart w:id="3954" w:name="Bookmark_fnpara_2_24"/>
      <w:bookmarkEnd w:id="3954"/>
      <w:r>
        <w:rPr>
          <w:rFonts w:ascii="Arial" w:eastAsia="Arial" w:hAnsi="Arial" w:cs="Arial"/>
          <w:color w:val="000000"/>
          <w:sz w:val="18"/>
        </w:rPr>
        <w:t>The  [**13] district court also held that plaintiffs' claims were not prudentially moot. Defendants do not challenge this holding.</w:t>
      </w:r>
    </w:p>
  </w:footnote>
  <w:footnote w:id="194">
    <w:p w14:paraId="60AD0F7D" w14:textId="77777777" w:rsidR="00D041A2" w:rsidRDefault="00000000">
      <w:pPr>
        <w:pStyle w:val="Normal32"/>
        <w:widowControl w:val="0"/>
        <w:spacing w:before="200" w:line="240" w:lineRule="atLeast"/>
        <w:jc w:val="both"/>
      </w:pPr>
      <w:r>
        <w:rPr>
          <w:rFonts w:ascii="Arial" w:eastAsia="Arial" w:hAnsi="Arial" w:cs="Arial"/>
          <w:color w:val="000000"/>
          <w:sz w:val="18"/>
          <w:vertAlign w:val="superscript"/>
        </w:rPr>
        <w:t>1 </w:t>
      </w:r>
      <w:bookmarkStart w:id="4041" w:name="Bookmark_fnpara_3_20"/>
      <w:bookmarkEnd w:id="4041"/>
      <w:r>
        <w:rPr>
          <w:rFonts w:ascii="Arial" w:eastAsia="Arial" w:hAnsi="Arial" w:cs="Arial"/>
          <w:color w:val="000000"/>
          <w:sz w:val="18"/>
        </w:rPr>
        <w:t>Defendants also offered the possibility  [**36] of a hand-held captioning system. However, Plaintiff Feldman rejected this option and the district court did not consider whether this type of auxiliary aid would result in effective communication.</w:t>
      </w:r>
    </w:p>
  </w:footnote>
  <w:footnote w:id="195">
    <w:p w14:paraId="6A38150F" w14:textId="77777777" w:rsidR="00D041A2" w:rsidRDefault="00000000">
      <w:pPr>
        <w:pStyle w:val="Normal32"/>
        <w:widowControl w:val="0"/>
        <w:spacing w:before="200" w:line="240" w:lineRule="atLeast"/>
        <w:jc w:val="both"/>
      </w:pPr>
      <w:r>
        <w:rPr>
          <w:rFonts w:ascii="Arial" w:eastAsia="Arial" w:hAnsi="Arial" w:cs="Arial"/>
          <w:color w:val="000000"/>
          <w:sz w:val="18"/>
          <w:vertAlign w:val="superscript"/>
        </w:rPr>
        <w:t>2 </w:t>
      </w:r>
      <w:bookmarkStart w:id="4044" w:name="Bookmark_fnpara_4_15"/>
      <w:bookmarkEnd w:id="4044"/>
      <w:r>
        <w:rPr>
          <w:rFonts w:ascii="Arial" w:eastAsia="Arial" w:hAnsi="Arial" w:cs="Arial"/>
          <w:color w:val="000000"/>
          <w:sz w:val="18"/>
        </w:rPr>
        <w:t>The Department of Justice Technical Assistance Manual includes a reference to "equal access." However, the Technical Assistance Manual  [**38] explains that "[i]n order to provide equal access, a public accommodation is required to make available appropriate auxiliary aids and services where necessary to ensure effective communication." Thus, even under the Technical Assistance Manual, the obligation is framed in terms of "effective communication." The Technical Assistance Manual further notes that "[t]he type of auxiliary aid or service necessary to ensure effective communication will vary in accordance with the length and complexity of the communication involved" and "the ultimate decision as to what measures to take to ensure effective communication rests in the hands of the public accommodation, provided that the method chosen results in effective communication." U.S. Dep't of Justice, Civil Rights Division, The Americans with Disabilities Act: Title III Technical Assistance Manual III-4.3200.</w:t>
      </w:r>
    </w:p>
  </w:footnote>
  <w:footnote w:id="196">
    <w:p w14:paraId="048CDAD0" w14:textId="77777777" w:rsidR="00D041A2" w:rsidRDefault="00000000">
      <w:pPr>
        <w:pStyle w:val="Normal32"/>
        <w:widowControl w:val="0"/>
        <w:spacing w:before="200" w:line="240" w:lineRule="atLeast"/>
        <w:jc w:val="both"/>
      </w:pPr>
      <w:r>
        <w:rPr>
          <w:rFonts w:ascii="Arial" w:eastAsia="Arial" w:hAnsi="Arial" w:cs="Arial"/>
          <w:color w:val="000000"/>
          <w:sz w:val="18"/>
          <w:vertAlign w:val="superscript"/>
        </w:rPr>
        <w:t>3 </w:t>
      </w:r>
      <w:bookmarkStart w:id="4046" w:name="Bookmark_fnpara_5_14"/>
      <w:bookmarkEnd w:id="4046"/>
      <w:r>
        <w:rPr>
          <w:rFonts w:ascii="Arial" w:eastAsia="Arial" w:hAnsi="Arial" w:cs="Arial"/>
          <w:color w:val="000000"/>
          <w:sz w:val="18"/>
        </w:rPr>
        <w:t>The difficulty in this conclusion is exemplified by the ultimate result here: the district court ruled that "equal access" to the lyrics of the dance routines must be provided, and Defendants have therefore been providing the lyrics by emailing song lyrics to Plaintiffs prior to the games. However, if, as the  [**40] district court concluded, equal access to the lyrics of the dance routines is required, the auxiliary aid provided by Defendants must still be evaluated in terms of whether it results in "effective communication," and the district court's decision leaves open the question of whether prior e-mailing of the full lyrics of songs that may be played during the dance routines results in "effective communication."</w:t>
      </w:r>
    </w:p>
  </w:footnote>
  <w:footnote w:id="197">
    <w:p w14:paraId="2AB3026E" w14:textId="77777777" w:rsidR="00D041A2" w:rsidRDefault="00000000">
      <w:pPr>
        <w:pStyle w:val="Normal32"/>
        <w:widowControl w:val="0"/>
        <w:spacing w:before="200" w:line="240" w:lineRule="atLeast"/>
        <w:jc w:val="both"/>
      </w:pPr>
      <w:r>
        <w:rPr>
          <w:rFonts w:ascii="Arial" w:eastAsia="Arial" w:hAnsi="Arial" w:cs="Arial"/>
          <w:color w:val="000000"/>
          <w:sz w:val="18"/>
          <w:vertAlign w:val="superscript"/>
        </w:rPr>
        <w:t>4 </w:t>
      </w:r>
      <w:bookmarkStart w:id="4049" w:name="Bookmark_fnpara_6_12"/>
      <w:bookmarkEnd w:id="4049"/>
      <w:r>
        <w:rPr>
          <w:rFonts w:ascii="Arial" w:eastAsia="Arial" w:hAnsi="Arial" w:cs="Arial"/>
          <w:color w:val="000000"/>
          <w:sz w:val="18"/>
        </w:rPr>
        <w:t>However, as in the majority opinion, I would affirm the district court on Plaintiffs'  [**42] cross-appeal with respect to the determination that issues related to the FM radio broadcast were not raised in the Complaint and therefore are not properly before the court. I therefore join that portion of the majority opinion related to the FM radio broadcast issue.</w:t>
      </w:r>
    </w:p>
  </w:footnote>
  <w:footnote w:id="198">
    <w:p w14:paraId="3070F786"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1 </w:t>
      </w:r>
      <w:bookmarkStart w:id="4114" w:name="Bookmark_fnpara_1_28"/>
      <w:bookmarkEnd w:id="4114"/>
      <w:r>
        <w:rPr>
          <w:rFonts w:ascii="Arial" w:eastAsia="Arial" w:hAnsi="Arial" w:cs="Arial"/>
          <w:color w:val="000000"/>
          <w:sz w:val="18"/>
        </w:rPr>
        <w:t>"The SEPTA Regional Rail Division provides commuter rail service on thirteen branches to over 150 active stations in Philadelphia, Pennsylvania and its suburbs." Wikipedia, SEPTA Regional Rail, http://en.wikipedia.org/wiki/SEPTA_Regional_Rail (last visited November 8, 2010).</w:t>
      </w:r>
    </w:p>
  </w:footnote>
  <w:footnote w:id="199">
    <w:p w14:paraId="78D4A70B"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2 </w:t>
      </w:r>
      <w:bookmarkStart w:id="4115" w:name="Bookmark_fnpara_2_25"/>
      <w:bookmarkEnd w:id="4115"/>
      <w:r>
        <w:rPr>
          <w:rFonts w:ascii="Arial" w:eastAsia="Arial" w:hAnsi="Arial" w:cs="Arial"/>
          <w:color w:val="000000"/>
          <w:sz w:val="18"/>
        </w:rPr>
        <w:t>The parties dispute whether the 15th Street Courtyard is an entrance to the 15th and Market Street Station or to Suburban Station. The District Court did not resolve this issue, and we do not find it necessary to resolve it in order to determine this case.</w:t>
      </w:r>
    </w:p>
  </w:footnote>
  <w:footnote w:id="200">
    <w:p w14:paraId="11194942"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3 </w:t>
      </w:r>
      <w:bookmarkStart w:id="4119" w:name="Bookmark_fnpara_3_21"/>
      <w:bookmarkEnd w:id="4119"/>
      <w:r>
        <w:rPr>
          <w:rFonts w:ascii="Arial" w:eastAsia="Arial" w:hAnsi="Arial" w:cs="Arial"/>
          <w:color w:val="000000"/>
          <w:sz w:val="18"/>
        </w:rPr>
        <w:t>City Hall Subway Station is not connected to either Suburban Station or the 15th Street Station.</w:t>
      </w:r>
    </w:p>
  </w:footnote>
  <w:footnote w:id="201">
    <w:p w14:paraId="121C30FC"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4 </w:t>
      </w:r>
      <w:bookmarkStart w:id="4121" w:name="Bookmark_fnpara_4_16"/>
      <w:bookmarkEnd w:id="4121"/>
      <w:r>
        <w:rPr>
          <w:rFonts w:ascii="Arial" w:eastAsia="Arial" w:hAnsi="Arial" w:cs="Arial"/>
          <w:color w:val="000000"/>
          <w:sz w:val="18"/>
        </w:rPr>
        <w:t>City Hall Courtyard is owned by the City of Philadelphia, not SEPTA.</w:t>
      </w:r>
    </w:p>
  </w:footnote>
  <w:footnote w:id="202">
    <w:p w14:paraId="5E8FFC60" w14:textId="77777777" w:rsidR="00D041A2" w:rsidRDefault="00000000">
      <w:pPr>
        <w:pStyle w:val="Normal34"/>
        <w:widowControl w:val="0"/>
        <w:spacing w:before="200" w:line="240" w:lineRule="atLeast"/>
        <w:jc w:val="both"/>
      </w:pPr>
      <w:r>
        <w:rPr>
          <w:rFonts w:ascii="Arial" w:eastAsia="Arial" w:hAnsi="Arial" w:cs="Arial"/>
          <w:color w:val="000000"/>
          <w:sz w:val="18"/>
          <w:vertAlign w:val="superscript"/>
        </w:rPr>
        <w:t>5 </w:t>
      </w:r>
      <w:bookmarkStart w:id="4124" w:name="Bookmark_fnpara_5_15"/>
      <w:bookmarkEnd w:id="4124"/>
      <w:r>
        <w:rPr>
          <w:rFonts w:ascii="Arial" w:eastAsia="Arial" w:hAnsi="Arial" w:cs="Arial"/>
          <w:color w:val="000000"/>
          <w:sz w:val="18"/>
        </w:rPr>
        <w:t xml:space="preserve">The analysis below applies to both the ADA and the RA claims. </w:t>
      </w:r>
      <w:bookmarkStart w:id="4125" w:name="Bookmark_LNHNREFclscc1_25"/>
      <w:bookmarkEnd w:id="4125"/>
      <w:r>
        <w:rPr>
          <w:rFonts w:ascii="Arial" w:eastAsia="Arial" w:hAnsi="Arial" w:cs="Arial"/>
          <w:color w:val="000000"/>
          <w:sz w:val="18"/>
        </w:rPr>
        <w:t xml:space="preserve">"In light of the similarities between ... the ADA and RA and their implementing regulations, we construe and apply them in a consistent manner." </w:t>
      </w:r>
      <w:bookmarkStart w:id="4126" w:name="Bookmark_I52BM08W0P9CX80010000400"/>
      <w:bookmarkEnd w:id="4126"/>
      <w:r>
        <w:rPr>
          <w:rFonts w:ascii="Arial" w:eastAsia="Arial" w:hAnsi="Arial" w:cs="Arial"/>
          <w:color w:val="000000"/>
          <w:sz w:val="18"/>
          <w:u w:val="single"/>
        </w:rPr>
        <w:t>Pennsylvania Prot. and Advocacy, Inc. v Pennsylvania Dep't of Pub. Welfare</w:t>
      </w:r>
      <w:r>
        <w:rPr>
          <w:rFonts w:ascii="Arial" w:eastAsia="Arial" w:hAnsi="Arial" w:cs="Arial"/>
          <w:color w:val="000000"/>
          <w:sz w:val="18"/>
        </w:rPr>
        <w:t>, 402 F.3d 374, 379 n.3 (3d Cir. 2005).</w:t>
      </w:r>
    </w:p>
  </w:footnote>
  <w:footnote w:id="203">
    <w:p w14:paraId="54D1DDFE"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6 </w:t>
      </w:r>
      <w:bookmarkStart w:id="4128" w:name="Bookmark_fnpara_6_13"/>
      <w:bookmarkEnd w:id="4128"/>
      <w:r>
        <w:rPr>
          <w:rFonts w:ascii="Arial" w:eastAsia="Arial" w:hAnsi="Arial" w:cs="Arial"/>
          <w:color w:val="000000"/>
          <w:sz w:val="18"/>
        </w:rPr>
        <w:t>SEPTA was not a party to the settlement reached between DIA and the City.</w:t>
      </w:r>
    </w:p>
  </w:footnote>
  <w:footnote w:id="204">
    <w:p w14:paraId="123E416D"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7 </w:t>
      </w:r>
      <w:bookmarkStart w:id="4129" w:name="Bookmark_fnpara_7_10"/>
      <w:bookmarkEnd w:id="4129"/>
      <w:r>
        <w:rPr>
          <w:rFonts w:ascii="Arial" w:eastAsia="Arial" w:hAnsi="Arial" w:cs="Arial"/>
          <w:color w:val="000000"/>
          <w:sz w:val="18"/>
        </w:rPr>
        <w:t>Elevators at Dilworth Plaza would provide those with disabilities access to City Hall Station via the concourse level.</w:t>
      </w:r>
    </w:p>
  </w:footnote>
  <w:footnote w:id="205">
    <w:p w14:paraId="7960B881"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8 </w:t>
      </w:r>
      <w:bookmarkStart w:id="4162" w:name="Bookmark_fnpara_8_9"/>
      <w:bookmarkEnd w:id="4162"/>
      <w:r>
        <w:rPr>
          <w:rFonts w:ascii="Arial" w:eastAsia="Arial" w:hAnsi="Arial" w:cs="Arial"/>
          <w:color w:val="000000"/>
          <w:sz w:val="18"/>
        </w:rPr>
        <w:t>The relevant ADAAG standards are the 1991 version, codified at 49 C.F.R. Pt. 37, App. A.</w:t>
      </w:r>
    </w:p>
  </w:footnote>
  <w:footnote w:id="206">
    <w:p w14:paraId="0E9318C3" w14:textId="77777777" w:rsidR="00D041A2" w:rsidRDefault="00000000">
      <w:pPr>
        <w:pStyle w:val="Normal34"/>
        <w:widowControl w:val="0"/>
        <w:spacing w:before="200" w:line="240" w:lineRule="atLeast"/>
        <w:jc w:val="both"/>
      </w:pPr>
      <w:r>
        <w:rPr>
          <w:rFonts w:ascii="Arial" w:eastAsia="Arial" w:hAnsi="Arial" w:cs="Arial"/>
          <w:color w:val="000000"/>
          <w:sz w:val="18"/>
          <w:vertAlign w:val="superscript"/>
        </w:rPr>
        <w:t>9 </w:t>
      </w:r>
      <w:bookmarkStart w:id="4176" w:name="Bookmark_fnpara_9_8"/>
      <w:bookmarkEnd w:id="4176"/>
      <w:r>
        <w:rPr>
          <w:rFonts w:ascii="Arial" w:eastAsia="Arial" w:hAnsi="Arial" w:cs="Arial"/>
          <w:color w:val="000000"/>
          <w:sz w:val="18"/>
        </w:rPr>
        <w:t xml:space="preserve">Although SEPTA has provided information that the costs of installing elevators at the two courtyards might be </w:t>
      </w:r>
      <w:r>
        <w:rPr>
          <w:rFonts w:ascii="Arial" w:eastAsia="Arial" w:hAnsi="Arial" w:cs="Arial"/>
          <w:i/>
          <w:color w:val="000000"/>
          <w:sz w:val="18"/>
        </w:rPr>
        <w:t>disproportionate</w:t>
      </w:r>
      <w:r>
        <w:rPr>
          <w:rFonts w:ascii="Arial" w:eastAsia="Arial" w:hAnsi="Arial" w:cs="Arial"/>
          <w:color w:val="000000"/>
          <w:sz w:val="18"/>
        </w:rPr>
        <w:t xml:space="preserve"> to the cost of the rest of the construction projects there, it has not actually argued before us that the installation of the elevators was truly economically </w:t>
      </w:r>
      <w:r>
        <w:rPr>
          <w:rFonts w:ascii="Arial" w:eastAsia="Arial" w:hAnsi="Arial" w:cs="Arial"/>
          <w:i/>
          <w:color w:val="000000"/>
          <w:sz w:val="18"/>
        </w:rPr>
        <w:t>infeasible</w:t>
      </w:r>
      <w:r>
        <w:rPr>
          <w:rFonts w:ascii="Arial" w:eastAsia="Arial" w:hAnsi="Arial" w:cs="Arial"/>
          <w:color w:val="000000"/>
          <w:sz w:val="18"/>
        </w:rPr>
        <w:t>, nor has it explained how the Court would make such a determination.</w:t>
      </w:r>
    </w:p>
  </w:footnote>
  <w:footnote w:id="207">
    <w:p w14:paraId="3C29B9E5" w14:textId="77777777" w:rsidR="00D041A2" w:rsidRDefault="00000000">
      <w:pPr>
        <w:pStyle w:val="Normal34"/>
        <w:widowControl w:val="0"/>
        <w:spacing w:before="200" w:line="240" w:lineRule="atLeast"/>
        <w:jc w:val="both"/>
      </w:pPr>
      <w:r>
        <w:rPr>
          <w:rFonts w:ascii="Arial" w:eastAsia="Arial" w:hAnsi="Arial" w:cs="Arial"/>
          <w:color w:val="000000"/>
          <w:sz w:val="18"/>
          <w:vertAlign w:val="superscript"/>
        </w:rPr>
        <w:t>10 </w:t>
      </w:r>
      <w:bookmarkStart w:id="4182" w:name="Bookmark_fnpara_10_7"/>
      <w:bookmarkEnd w:id="4182"/>
      <w:r>
        <w:rPr>
          <w:rFonts w:ascii="Arial" w:eastAsia="Arial" w:hAnsi="Arial" w:cs="Arial"/>
          <w:color w:val="000000"/>
          <w:sz w:val="18"/>
        </w:rPr>
        <w:t xml:space="preserve">Technical infeasibility will likely, in practice, often overlap with particularly excessive costs; that is, the more technically difficult an alteration, the more expensive it is likely to be. But </w:t>
      </w:r>
      <w:bookmarkStart w:id="4183" w:name="Bookmark_LNHNREFclscc13_15"/>
      <w:bookmarkEnd w:id="4183"/>
      <w:r>
        <w:rPr>
          <w:rFonts w:ascii="Arial" w:eastAsia="Arial" w:hAnsi="Arial" w:cs="Arial"/>
          <w:color w:val="000000"/>
          <w:sz w:val="18"/>
        </w:rPr>
        <w:t xml:space="preserve">the ADA does contemplate that, in general, if a public entity cannot afford to make alterations to a public transit facility that include making the altered portions accessible, it should not make alterations at all. "Congress felt that it was discriminatory to the disabled to enhance or improve an existing facility without making it fully accessible to those previously excluded." </w:t>
      </w:r>
      <w:bookmarkStart w:id="4184" w:name="Bookmark_I52BM0920P9CYX0040000400"/>
      <w:bookmarkEnd w:id="4184"/>
      <w:r>
        <w:rPr>
          <w:rFonts w:ascii="Arial" w:eastAsia="Arial" w:hAnsi="Arial" w:cs="Arial"/>
          <w:color w:val="000000"/>
          <w:sz w:val="18"/>
          <w:u w:val="single"/>
        </w:rPr>
        <w:t>Kinney</w:t>
      </w:r>
      <w:r>
        <w:rPr>
          <w:rFonts w:ascii="Arial" w:eastAsia="Arial" w:hAnsi="Arial" w:cs="Arial"/>
          <w:color w:val="000000"/>
          <w:sz w:val="18"/>
        </w:rPr>
        <w:t>, 9 F.3d at 1073. Although this is a demanding requirement, it is consistent with the ADA's nature as a far-reaching anti-discrimination statute.</w:t>
      </w:r>
    </w:p>
  </w:footnote>
  <w:footnote w:id="208">
    <w:p w14:paraId="27CD63DB"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11 </w:t>
      </w:r>
      <w:bookmarkStart w:id="4196" w:name="Bookmark_fnpara_11_7"/>
      <w:bookmarkEnd w:id="4196"/>
      <w:r>
        <w:rPr>
          <w:rFonts w:ascii="Arial" w:eastAsia="Arial" w:hAnsi="Arial" w:cs="Arial"/>
          <w:color w:val="000000"/>
          <w:sz w:val="18"/>
        </w:rPr>
        <w:t>SEPTA does not argue that City Hall Courtyard is "readily accessible," and so there is no need to engage in this analysis for that Courtyard.</w:t>
      </w:r>
    </w:p>
  </w:footnote>
  <w:footnote w:id="209">
    <w:p w14:paraId="0D7C7DFC" w14:textId="77777777" w:rsidR="00D041A2" w:rsidRDefault="00000000">
      <w:pPr>
        <w:pStyle w:val="Normal34"/>
        <w:widowControl w:val="0"/>
        <w:spacing w:before="200" w:line="240" w:lineRule="atLeast"/>
        <w:jc w:val="both"/>
      </w:pPr>
      <w:r>
        <w:rPr>
          <w:rFonts w:ascii="Arial" w:eastAsia="Arial" w:hAnsi="Arial" w:cs="Arial"/>
          <w:color w:val="000000"/>
          <w:sz w:val="18"/>
          <w:vertAlign w:val="superscript"/>
        </w:rPr>
        <w:t>12 </w:t>
      </w:r>
      <w:bookmarkStart w:id="4199" w:name="Bookmark_fnpara_12_4"/>
      <w:bookmarkEnd w:id="4199"/>
      <w:r>
        <w:rPr>
          <w:rFonts w:ascii="Arial" w:eastAsia="Arial" w:hAnsi="Arial" w:cs="Arial"/>
          <w:color w:val="000000"/>
          <w:sz w:val="18"/>
        </w:rPr>
        <w:t xml:space="preserve">On the first appeal, we noted that the 15th Street Courtyard "undisputedly provides access to" the 15th Street Station, and assumed that it was an entrance to that station. </w:t>
      </w:r>
      <w:bookmarkStart w:id="4200" w:name="Bookmark_I52BM0930P9D0D0030000400"/>
      <w:bookmarkEnd w:id="4200"/>
      <w:r>
        <w:rPr>
          <w:rFonts w:ascii="Arial" w:eastAsia="Arial" w:hAnsi="Arial" w:cs="Arial"/>
          <w:color w:val="000000"/>
          <w:sz w:val="18"/>
          <w:u w:val="single"/>
        </w:rPr>
        <w:t>Disabled in Action</w:t>
      </w:r>
      <w:r>
        <w:rPr>
          <w:rFonts w:ascii="Arial" w:eastAsia="Arial" w:hAnsi="Arial" w:cs="Arial"/>
          <w:color w:val="000000"/>
          <w:sz w:val="18"/>
        </w:rPr>
        <w:t>, 539 F.3d at 202 n.1.</w:t>
      </w:r>
    </w:p>
  </w:footnote>
  <w:footnote w:id="210">
    <w:p w14:paraId="7BF9F393" w14:textId="77777777" w:rsidR="00D041A2" w:rsidRDefault="00000000">
      <w:pPr>
        <w:pStyle w:val="Normal34"/>
        <w:widowControl w:val="0"/>
        <w:spacing w:before="120" w:line="240" w:lineRule="atLeast"/>
        <w:jc w:val="both"/>
      </w:pPr>
      <w:r>
        <w:rPr>
          <w:rFonts w:ascii="Arial" w:eastAsia="Arial" w:hAnsi="Arial" w:cs="Arial"/>
          <w:color w:val="000000"/>
          <w:sz w:val="18"/>
          <w:vertAlign w:val="superscript"/>
        </w:rPr>
        <w:t>13 </w:t>
      </w:r>
      <w:bookmarkStart w:id="4203" w:name="Bookmark_fnpara_13_4"/>
      <w:bookmarkStart w:id="4204" w:name="Bookmark_LNHNREFclscc17_9"/>
      <w:bookmarkEnd w:id="4203"/>
      <w:bookmarkEnd w:id="4204"/>
      <w:r>
        <w:rPr>
          <w:rFonts w:ascii="Arial" w:eastAsia="Arial" w:hAnsi="Arial" w:cs="Arial"/>
          <w:color w:val="000000"/>
          <w:sz w:val="18"/>
        </w:rPr>
        <w:t>Section 10.1 of the ADAAG states that "[e]very station ... shall comply with the applicable provisions of 4.1 through 4.35 ... ." Section 4.1.6(1)(b) mandates that "if existing elements, spaces, or common areas are altered, then each such altered element, space, feature, or area shall comply with the applicable provisions of 4.1.1 to 4.1.3 Minimum Requirements (for New Construction)." Section 4.1.3(8) lays out requirements for the number of accessible entrances but those requirements are, in turn, modified by § 10.3.1, which says that, "[i]n lieu of compliance with 4.1.3(8), at least one entrance to each station shall comply with 4.14 [and be made accessible]." ADAAG § 10.3.1(2).</w:t>
      </w:r>
    </w:p>
  </w:footnote>
  <w:footnote w:id="211">
    <w:p w14:paraId="3F025619" w14:textId="77777777" w:rsidR="00D041A2" w:rsidRDefault="00000000">
      <w:pPr>
        <w:pStyle w:val="Normal34"/>
        <w:widowControl w:val="0"/>
        <w:spacing w:before="200" w:line="240" w:lineRule="atLeast"/>
        <w:jc w:val="both"/>
      </w:pPr>
      <w:r>
        <w:rPr>
          <w:rFonts w:ascii="Arial" w:eastAsia="Arial" w:hAnsi="Arial" w:cs="Arial"/>
          <w:color w:val="000000"/>
          <w:sz w:val="18"/>
          <w:vertAlign w:val="superscript"/>
        </w:rPr>
        <w:t>14 </w:t>
      </w:r>
      <w:bookmarkStart w:id="4205" w:name="Bookmark_fnpara_14_4"/>
      <w:bookmarkEnd w:id="4205"/>
      <w:r>
        <w:rPr>
          <w:rFonts w:ascii="Arial" w:eastAsia="Arial" w:hAnsi="Arial" w:cs="Arial"/>
          <w:color w:val="000000"/>
          <w:sz w:val="18"/>
        </w:rPr>
        <w:t>SEPTA does not deny that the 15th Street Station is not "readily accessible." Instead, SEPTA argues that "[e]ven if an elevator were installed at the 15th Street [Courtyard Entrance], a person in a wheelchair could not access 15th Street Subway  [**24] Station" because there is no wheelchair access from the concourse to the subway platform. (BB at 38.) While SEPTA's assertion is correct, the District Court already aptly addressed this issue, finding that the ADA is an "incremental statute." (App. at 26.) According to the District Court, "[g]iven that eventually SEPTA will alter the stairway to the platform, triggering a requirement of additional accessibility, at that point, wheelchair-bound individuals will have an accessible exit waiting for them at the mezzanine level." (</w:t>
      </w:r>
      <w:r>
        <w:rPr>
          <w:rFonts w:ascii="Arial" w:eastAsia="Arial" w:hAnsi="Arial" w:cs="Arial"/>
          <w:color w:val="000000"/>
          <w:sz w:val="18"/>
          <w:u w:val="single"/>
        </w:rPr>
        <w:t>Id</w:t>
      </w:r>
      <w:r>
        <w:rPr>
          <w:rFonts w:ascii="Arial" w:eastAsia="Arial" w:hAnsi="Arial" w:cs="Arial"/>
          <w:color w:val="000000"/>
          <w:sz w:val="18"/>
        </w:rPr>
        <w:t xml:space="preserve">. at 22-23.) Otherwise, </w:t>
      </w:r>
      <w:bookmarkStart w:id="4206" w:name="Bookmark_LNHNREFclscc18_7"/>
      <w:bookmarkEnd w:id="4206"/>
      <w:r>
        <w:rPr>
          <w:rFonts w:ascii="Arial" w:eastAsia="Arial" w:hAnsi="Arial" w:cs="Arial"/>
          <w:color w:val="000000"/>
          <w:sz w:val="18"/>
        </w:rPr>
        <w:t xml:space="preserve">to excuse public entities from complying with the accessibility requirements simply because they altered only a </w:t>
      </w:r>
      <w:r>
        <w:rPr>
          <w:rFonts w:ascii="Arial" w:eastAsia="Arial" w:hAnsi="Arial" w:cs="Arial"/>
          <w:i/>
          <w:color w:val="000000"/>
          <w:sz w:val="18"/>
        </w:rPr>
        <w:t>portion</w:t>
      </w:r>
      <w:r>
        <w:rPr>
          <w:rFonts w:ascii="Arial" w:eastAsia="Arial" w:hAnsi="Arial" w:cs="Arial"/>
          <w:color w:val="000000"/>
          <w:sz w:val="18"/>
        </w:rPr>
        <w:t xml:space="preserve"> of a facility would undermine the intent of the ADA.</w:t>
      </w:r>
    </w:p>
  </w:footnote>
  <w:footnote w:id="212">
    <w:p w14:paraId="57ADD51F" w14:textId="77777777" w:rsidR="00D041A2" w:rsidRDefault="00000000">
      <w:pPr>
        <w:pStyle w:val="Normal34"/>
        <w:widowControl w:val="0"/>
        <w:spacing w:before="200" w:line="240" w:lineRule="atLeast"/>
        <w:jc w:val="both"/>
      </w:pPr>
      <w:r>
        <w:rPr>
          <w:rFonts w:ascii="Arial" w:eastAsia="Arial" w:hAnsi="Arial" w:cs="Arial"/>
          <w:color w:val="000000"/>
          <w:sz w:val="18"/>
          <w:vertAlign w:val="superscript"/>
        </w:rPr>
        <w:t>1 </w:t>
      </w:r>
      <w:bookmarkStart w:id="4233" w:name="Bookmark_fnpara_15_3"/>
      <w:bookmarkEnd w:id="4233"/>
      <w:r>
        <w:rPr>
          <w:rFonts w:ascii="Arial" w:eastAsia="Arial" w:hAnsi="Arial" w:cs="Arial"/>
          <w:color w:val="000000"/>
          <w:sz w:val="18"/>
        </w:rPr>
        <w:t xml:space="preserve">Although the Majority's analysis is confined to the ADA,  [**29] it concludes that the same result is required by the Rehabilitation Act ("RA"). Given the close relationship between those two statutory schemes, </w:t>
      </w:r>
      <w:r>
        <w:rPr>
          <w:rFonts w:ascii="Arial" w:eastAsia="Arial" w:hAnsi="Arial" w:cs="Arial"/>
          <w:i/>
          <w:color w:val="000000"/>
          <w:sz w:val="18"/>
        </w:rPr>
        <w:t xml:space="preserve">see </w:t>
      </w:r>
      <w:bookmarkStart w:id="4234" w:name="Bookmark_I52BM0950P9D190050000400"/>
      <w:bookmarkEnd w:id="4234"/>
      <w:r>
        <w:rPr>
          <w:rFonts w:ascii="Arial" w:eastAsia="Arial" w:hAnsi="Arial" w:cs="Arial"/>
          <w:i/>
          <w:color w:val="000000"/>
          <w:sz w:val="18"/>
        </w:rPr>
        <w:t>McDonald v. Com. of Pa., Dep't of Public Welfare</w:t>
      </w:r>
      <w:r>
        <w:rPr>
          <w:rFonts w:ascii="Arial" w:eastAsia="Arial" w:hAnsi="Arial" w:cs="Arial"/>
          <w:color w:val="000000"/>
          <w:sz w:val="18"/>
        </w:rPr>
        <w:t>, 62 F.3d 92, 95 (3d Cir. 1995) ("Whether suit is filed under the Rehabilitation Act or under the Disabilities Act, the substantive standards for determining liability are the same."), I do not doubt that is so, but it is not necessary to assume or decide that here.</w:t>
      </w:r>
    </w:p>
  </w:footnote>
  <w:footnote w:id="213">
    <w:p w14:paraId="42D5F083" w14:textId="77777777" w:rsidR="00D041A2" w:rsidRDefault="00000000">
      <w:pPr>
        <w:pStyle w:val="Normal34"/>
        <w:widowControl w:val="0"/>
        <w:spacing w:before="200" w:line="240" w:lineRule="atLeast"/>
        <w:jc w:val="both"/>
      </w:pPr>
      <w:r>
        <w:rPr>
          <w:rFonts w:ascii="Arial" w:eastAsia="Arial" w:hAnsi="Arial" w:cs="Arial"/>
          <w:color w:val="000000"/>
          <w:sz w:val="18"/>
          <w:vertAlign w:val="superscript"/>
        </w:rPr>
        <w:t>2 </w:t>
      </w:r>
      <w:bookmarkStart w:id="4240" w:name="Bookmark_fnpara_16_2"/>
      <w:bookmarkEnd w:id="4240"/>
      <w:r>
        <w:rPr>
          <w:rFonts w:ascii="Arial" w:eastAsia="Arial" w:hAnsi="Arial" w:cs="Arial"/>
          <w:color w:val="000000"/>
          <w:sz w:val="18"/>
        </w:rPr>
        <w:t xml:space="preserve">Being a "required party"  [**31] under Rule 19 is contingent upon the party being "subject to service of process" and being a party "whose joinder will not deprive the court of subject-matter jurisdiction," conditions which the City satisfies. </w:t>
      </w:r>
      <w:r>
        <w:rPr>
          <w:rFonts w:ascii="Arial" w:eastAsia="Arial" w:hAnsi="Arial" w:cs="Arial"/>
          <w:smallCaps/>
          <w:color w:val="000000"/>
          <w:sz w:val="18"/>
        </w:rPr>
        <w:t>Fed. R. Civ. P.</w:t>
      </w:r>
      <w:r>
        <w:rPr>
          <w:rFonts w:ascii="Arial" w:eastAsia="Arial" w:hAnsi="Arial" w:cs="Arial"/>
          <w:color w:val="000000"/>
          <w:sz w:val="18"/>
        </w:rPr>
        <w:t xml:space="preserve"> 19(a)(1).</w:t>
      </w:r>
    </w:p>
  </w:footnote>
  <w:footnote w:id="214">
    <w:p w14:paraId="24789ACC" w14:textId="77777777" w:rsidR="00D041A2" w:rsidRDefault="00000000">
      <w:pPr>
        <w:pStyle w:val="Normal34"/>
        <w:widowControl w:val="0"/>
        <w:spacing w:before="200" w:line="240" w:lineRule="atLeast"/>
        <w:jc w:val="both"/>
      </w:pPr>
      <w:r>
        <w:rPr>
          <w:rFonts w:ascii="Arial" w:eastAsia="Arial" w:hAnsi="Arial" w:cs="Arial"/>
          <w:color w:val="000000"/>
          <w:sz w:val="18"/>
          <w:vertAlign w:val="superscript"/>
        </w:rPr>
        <w:t>3 </w:t>
      </w:r>
      <w:bookmarkStart w:id="4244" w:name="Bookmark_fnpara_17_1"/>
      <w:bookmarkEnd w:id="4244"/>
      <w:r>
        <w:rPr>
          <w:rFonts w:ascii="Arial" w:eastAsia="Arial" w:hAnsi="Arial" w:cs="Arial"/>
          <w:color w:val="000000"/>
          <w:sz w:val="18"/>
        </w:rPr>
        <w:t>In its settlement agreement with DIA, the City acquiesced to construction of an elevator at the 15th Street Courtyard and agreed to permit construction of an elevator at Dilworth Plaza to service City Hall Station, as had "been discussed by SEPTA and the Plaintiffs in conceptual form for years." (App. at 89-90.) But Dilworth Plaza is not the City Hall Courtyard, the location where DIA currently seeks to have an elevator installed to service City Hall Station. While the City and SEPTA have engaged in discussions regarding  [**34] compliance with the District Court's order, the record does not reflect that any agreement was reached on the precise location for the installation of elevators at the City Hall Courtyard. Indeed, the Statement of Compliance that SEPTA filed with the District Court says that the "City prefers installation of elevators at locations other than those directed by the Court." (App. at 1163.)</w:t>
      </w:r>
    </w:p>
  </w:footnote>
  <w:footnote w:id="215">
    <w:p w14:paraId="41D74958" w14:textId="77777777" w:rsidR="00D041A2" w:rsidRDefault="00000000">
      <w:pPr>
        <w:pStyle w:val="Normal35"/>
        <w:widowControl w:val="0"/>
        <w:spacing w:before="120" w:line="240" w:lineRule="atLeast"/>
        <w:jc w:val="both"/>
      </w:pPr>
      <w:r>
        <w:rPr>
          <w:rFonts w:ascii="Arial" w:eastAsia="Arial" w:hAnsi="Arial" w:cs="Arial"/>
          <w:color w:val="000000"/>
          <w:sz w:val="18"/>
          <w:vertAlign w:val="superscript"/>
        </w:rPr>
        <w:t>1 </w:t>
      </w:r>
      <w:bookmarkStart w:id="4319" w:name="Bookmark_fnpara_1_29"/>
      <w:bookmarkEnd w:id="4319"/>
      <w:r>
        <w:rPr>
          <w:rFonts w:ascii="Arial" w:eastAsia="Arial" w:hAnsi="Arial" w:cs="Arial"/>
          <w:color w:val="000000"/>
          <w:sz w:val="18"/>
        </w:rPr>
        <w:t>Although "solely" is part of this circuit's test for disability discrimination, we do not believe that it does any work in this case.</w:t>
      </w:r>
    </w:p>
  </w:footnote>
  <w:footnote w:id="216">
    <w:p w14:paraId="7B258883" w14:textId="77777777" w:rsidR="00D041A2" w:rsidRDefault="00000000">
      <w:pPr>
        <w:pStyle w:val="Normal35"/>
        <w:widowControl w:val="0"/>
        <w:spacing w:before="200" w:line="240" w:lineRule="atLeast"/>
        <w:jc w:val="both"/>
      </w:pPr>
      <w:r>
        <w:rPr>
          <w:rFonts w:ascii="Arial" w:eastAsia="Arial" w:hAnsi="Arial" w:cs="Arial"/>
          <w:color w:val="000000"/>
          <w:sz w:val="18"/>
          <w:vertAlign w:val="superscript"/>
        </w:rPr>
        <w:t>2 </w:t>
      </w:r>
      <w:bookmarkStart w:id="4435" w:name="Bookmark_fnpara_2_26"/>
      <w:bookmarkEnd w:id="4435"/>
      <w:r>
        <w:rPr>
          <w:rFonts w:ascii="Arial" w:eastAsia="Arial" w:hAnsi="Arial" w:cs="Arial"/>
          <w:color w:val="000000"/>
          <w:sz w:val="18"/>
        </w:rPr>
        <w:t xml:space="preserve">In his brief, Wittich argues that Everson was not arrested because of his disability but rather because he "was engaged in objectively verifiable misconduct." Appellee Br. at 8. Wittich further argues that the question of whether he violated the ADA hinges on whether he violated the constitutional protections for wrongful arrest. </w:t>
      </w:r>
      <w:r>
        <w:rPr>
          <w:rFonts w:ascii="Arial" w:eastAsia="Arial" w:hAnsi="Arial" w:cs="Arial"/>
          <w:i/>
          <w:color w:val="000000"/>
          <w:sz w:val="18"/>
        </w:rPr>
        <w:t>Id.</w:t>
      </w:r>
      <w:r>
        <w:rPr>
          <w:rFonts w:ascii="Arial" w:eastAsia="Arial" w:hAnsi="Arial" w:cs="Arial"/>
          <w:color w:val="000000"/>
          <w:sz w:val="18"/>
        </w:rPr>
        <w:t xml:space="preserve"> at 16 ("[Everson's] actions clearly constituted probable cause that he had violated both statutes [for which he was arrested] and his arrest was therefore completed with probable cause. </w:t>
      </w:r>
      <w:bookmarkStart w:id="4436" w:name="Bookmark_I1PDM8FT9JD000135S40000R"/>
      <w:bookmarkStart w:id="4437" w:name="Bookmark_I529J4F70M6K030050000400"/>
      <w:bookmarkEnd w:id="4436"/>
      <w:bookmarkEnd w:id="4437"/>
      <w:r>
        <w:rPr>
          <w:rFonts w:ascii="Arial" w:eastAsia="Arial" w:hAnsi="Arial" w:cs="Arial"/>
          <w:color w:val="000000"/>
          <w:sz w:val="18"/>
        </w:rPr>
        <w:t>There was no constitutional violation by Deputy Wittich in effecting the arrest of Everson, and therefore no violation of the ADA.").</w:t>
      </w:r>
    </w:p>
    <w:p w14:paraId="69F2F7BB" w14:textId="77777777" w:rsidR="00D041A2" w:rsidRDefault="00000000">
      <w:pPr>
        <w:pStyle w:val="Normal35"/>
        <w:widowControl w:val="0"/>
        <w:spacing w:before="200" w:line="240" w:lineRule="atLeast"/>
        <w:jc w:val="both"/>
      </w:pPr>
      <w:bookmarkStart w:id="4438" w:name="Bookmark_fnpara_3_22"/>
      <w:bookmarkStart w:id="4439" w:name="Bookmark_I529J4F70M6K030050000400_2"/>
      <w:bookmarkStart w:id="4440" w:name="Bookmark_I1PDM8FTKF8000135S40000T"/>
      <w:bookmarkStart w:id="4441" w:name="Bookmark_I529J4F70M6K0G0020000400"/>
      <w:bookmarkEnd w:id="4438"/>
      <w:bookmarkEnd w:id="4439"/>
      <w:bookmarkEnd w:id="4440"/>
      <w:bookmarkEnd w:id="4441"/>
      <w:r>
        <w:rPr>
          <w:rFonts w:ascii="Arial" w:eastAsia="Arial" w:hAnsi="Arial" w:cs="Arial"/>
          <w:color w:val="000000"/>
          <w:sz w:val="18"/>
        </w:rPr>
        <w:t xml:space="preserve">For his arguments, Wittich relies on the Fourth Circuit's decision in </w:t>
      </w:r>
      <w:bookmarkStart w:id="4442" w:name="Bookmark_I529J4F70M6K030040000400"/>
      <w:bookmarkEnd w:id="4442"/>
      <w:r>
        <w:rPr>
          <w:rFonts w:ascii="Arial" w:eastAsia="Arial" w:hAnsi="Arial" w:cs="Arial"/>
          <w:i/>
          <w:color w:val="000000"/>
          <w:sz w:val="18"/>
        </w:rPr>
        <w:t>Bates ex rel. Johns v. Chesterfield County, Virginia</w:t>
      </w:r>
      <w:r>
        <w:rPr>
          <w:rFonts w:ascii="Arial" w:eastAsia="Arial" w:hAnsi="Arial" w:cs="Arial"/>
          <w:color w:val="000000"/>
          <w:sz w:val="18"/>
        </w:rPr>
        <w:t xml:space="preserve">, 216 F.3d 367 (4th Cir. 2000). </w:t>
      </w:r>
      <w:bookmarkStart w:id="4443" w:name="Bookmark_I529J4F70M6K0G0020000400_2"/>
      <w:bookmarkEnd w:id="4443"/>
      <w:r>
        <w:rPr>
          <w:rFonts w:ascii="Arial" w:eastAsia="Arial" w:hAnsi="Arial" w:cs="Arial"/>
          <w:color w:val="000000"/>
          <w:sz w:val="18"/>
        </w:rPr>
        <w:t xml:space="preserve">In that case, officers were responding to a 911 call regarding a "suspicious suspect" and encountered  [**25] an autistic teenager who became physically confrontational. </w:t>
      </w:r>
      <w:bookmarkStart w:id="4444" w:name="Bookmark_I529J4F70M6K0G0010000400"/>
      <w:bookmarkEnd w:id="4444"/>
      <w:r>
        <w:rPr>
          <w:rFonts w:ascii="Arial" w:eastAsia="Arial" w:hAnsi="Arial" w:cs="Arial"/>
          <w:i/>
          <w:color w:val="000000"/>
          <w:sz w:val="18"/>
        </w:rPr>
        <w:t>Id.</w:t>
      </w:r>
      <w:r>
        <w:rPr>
          <w:rFonts w:ascii="Arial" w:eastAsia="Arial" w:hAnsi="Arial" w:cs="Arial"/>
          <w:color w:val="000000"/>
          <w:sz w:val="18"/>
        </w:rPr>
        <w:t xml:space="preserve"> at 371. The officers did not know the teenager was autistic when the incident first escalated but were informed of his disability during the course of the incident. </w:t>
      </w:r>
      <w:bookmarkStart w:id="4445" w:name="Bookmark_I1PDM8FTX0B000135S40000W"/>
      <w:bookmarkStart w:id="4446" w:name="Bookmark_I529J4F70M6K0G0040000400"/>
      <w:bookmarkEnd w:id="4445"/>
      <w:bookmarkEnd w:id="4446"/>
      <w:r>
        <w:rPr>
          <w:rFonts w:ascii="Arial" w:eastAsia="Arial" w:hAnsi="Arial" w:cs="Arial"/>
          <w:color w:val="000000"/>
          <w:sz w:val="18"/>
        </w:rPr>
        <w:t xml:space="preserve">Despite knowing of the teenager's autism, the officers decided to charge him with assault. </w:t>
      </w:r>
      <w:bookmarkStart w:id="4447" w:name="Bookmark_I1PDM8FV1WW000135S40000X"/>
      <w:bookmarkStart w:id="4448" w:name="Bookmark_I529J4F80M6K0W0010000400"/>
      <w:bookmarkEnd w:id="4447"/>
      <w:bookmarkEnd w:id="4448"/>
      <w:r>
        <w:rPr>
          <w:rFonts w:ascii="Arial" w:eastAsia="Arial" w:hAnsi="Arial" w:cs="Arial"/>
          <w:color w:val="000000"/>
          <w:sz w:val="18"/>
        </w:rPr>
        <w:t xml:space="preserve">The Fourth Circuit conducted little analysis with respect to the plaintiff's ADA claim, relying instead on its analysis of the plaintiff's Fourth Amendment claim. </w:t>
      </w:r>
      <w:bookmarkStart w:id="4449" w:name="Bookmark_I529J4F70M6K0G0030000400"/>
      <w:bookmarkEnd w:id="4449"/>
      <w:r>
        <w:rPr>
          <w:rFonts w:ascii="Arial" w:eastAsia="Arial" w:hAnsi="Arial" w:cs="Arial"/>
          <w:i/>
          <w:color w:val="000000"/>
          <w:sz w:val="18"/>
        </w:rPr>
        <w:t>Id.</w:t>
      </w:r>
      <w:r>
        <w:rPr>
          <w:rFonts w:ascii="Arial" w:eastAsia="Arial" w:hAnsi="Arial" w:cs="Arial"/>
          <w:color w:val="000000"/>
          <w:sz w:val="18"/>
        </w:rPr>
        <w:t xml:space="preserve"> at 368 ("And as the officers complied with the Fourth Amendment in all respects, we are unable to discern any discrimination on account of disability."). </w:t>
      </w:r>
      <w:bookmarkStart w:id="4450" w:name="Bookmark_I529J4F80M6K0W0010000400_2"/>
      <w:bookmarkEnd w:id="4450"/>
      <w:r>
        <w:rPr>
          <w:rFonts w:ascii="Arial" w:eastAsia="Arial" w:hAnsi="Arial" w:cs="Arial"/>
          <w:color w:val="000000"/>
          <w:sz w:val="18"/>
        </w:rPr>
        <w:t xml:space="preserve">Specifically, the court concluded that "Bates was not arrested because of his disability" but rather "because there was probable cause to believe that he assaulted a police officer"—in other words, "because of [his] objectively verifiable misconduct." </w:t>
      </w:r>
      <w:bookmarkStart w:id="4451" w:name="Bookmark_I529J4F70M6K0G0050000400"/>
      <w:bookmarkEnd w:id="4451"/>
      <w:r>
        <w:rPr>
          <w:rFonts w:ascii="Arial" w:eastAsia="Arial" w:hAnsi="Arial" w:cs="Arial"/>
          <w:i/>
          <w:color w:val="000000"/>
          <w:sz w:val="18"/>
        </w:rPr>
        <w:t>Id.</w:t>
      </w:r>
      <w:r>
        <w:rPr>
          <w:rFonts w:ascii="Arial" w:eastAsia="Arial" w:hAnsi="Arial" w:cs="Arial"/>
          <w:color w:val="000000"/>
          <w:sz w:val="18"/>
        </w:rPr>
        <w:t xml:space="preserve"> at 373.</w:t>
      </w:r>
    </w:p>
    <w:p w14:paraId="2916C1BD" w14:textId="77777777" w:rsidR="00D041A2" w:rsidRDefault="00000000">
      <w:pPr>
        <w:pStyle w:val="Normal35"/>
        <w:widowControl w:val="0"/>
        <w:spacing w:before="200" w:line="240" w:lineRule="atLeast"/>
        <w:jc w:val="both"/>
      </w:pPr>
      <w:bookmarkStart w:id="4452" w:name="Bookmark_fnpara_4_17"/>
      <w:bookmarkEnd w:id="4452"/>
      <w:r>
        <w:rPr>
          <w:rFonts w:ascii="Arial" w:eastAsia="Arial" w:hAnsi="Arial" w:cs="Arial"/>
          <w:color w:val="000000"/>
          <w:sz w:val="18"/>
        </w:rPr>
        <w:t xml:space="preserve">I do not agree with the Fourth Circuit's view that the analysis of an ADA discrimination claim simply relies on a Fourth Amendment reasonableness analysis. At oral argument, when asked what would be intentional discrimination given that the officer could always rely on the involuntary actions caused  [**26] by an epileptic seizure to say that he relied on "objectively verifiable misconduct," counsel for Wittich responded that an officer would have to know of the individual's disability </w:t>
      </w:r>
      <w:r>
        <w:rPr>
          <w:rFonts w:ascii="Arial" w:eastAsia="Arial" w:hAnsi="Arial" w:cs="Arial"/>
          <w:i/>
          <w:color w:val="000000"/>
          <w:sz w:val="18"/>
        </w:rPr>
        <w:t>and</w:t>
      </w:r>
      <w:r>
        <w:rPr>
          <w:rFonts w:ascii="Arial" w:eastAsia="Arial" w:hAnsi="Arial" w:cs="Arial"/>
          <w:color w:val="000000"/>
          <w:sz w:val="18"/>
        </w:rPr>
        <w:t xml:space="preserve"> know that the individual's conduct was related to the disability.</w:t>
      </w:r>
    </w:p>
  </w:footnote>
  <w:footnote w:id="217">
    <w:p w14:paraId="69132C5A" w14:textId="77777777" w:rsidR="00D041A2" w:rsidRDefault="00000000">
      <w:pPr>
        <w:pStyle w:val="Normal35"/>
        <w:widowControl w:val="0"/>
        <w:spacing w:before="200" w:line="240" w:lineRule="atLeast"/>
        <w:jc w:val="both"/>
      </w:pPr>
      <w:r>
        <w:rPr>
          <w:rFonts w:ascii="Arial" w:eastAsia="Arial" w:hAnsi="Arial" w:cs="Arial"/>
          <w:color w:val="000000"/>
          <w:sz w:val="18"/>
          <w:vertAlign w:val="superscript"/>
        </w:rPr>
        <w:t>3 </w:t>
      </w:r>
      <w:bookmarkStart w:id="4453" w:name="Bookmark_fnpara_5_16"/>
      <w:bookmarkEnd w:id="4453"/>
      <w:r>
        <w:rPr>
          <w:rFonts w:ascii="Arial" w:eastAsia="Arial" w:hAnsi="Arial" w:cs="Arial"/>
          <w:color w:val="000000"/>
          <w:sz w:val="18"/>
        </w:rPr>
        <w:t xml:space="preserve">By modifying the third element to require that the officer know that the person's conduct is related to his disability, the theory would not cover plaintiffs in the scenario contemplated by the </w:t>
      </w:r>
      <w:r>
        <w:rPr>
          <w:rFonts w:ascii="Arial" w:eastAsia="Arial" w:hAnsi="Arial" w:cs="Arial"/>
          <w:i/>
          <w:color w:val="000000"/>
          <w:sz w:val="18"/>
        </w:rPr>
        <w:t>Lewis</w:t>
      </w:r>
      <w:r>
        <w:rPr>
          <w:rFonts w:ascii="Arial" w:eastAsia="Arial" w:hAnsi="Arial" w:cs="Arial"/>
          <w:color w:val="000000"/>
          <w:sz w:val="18"/>
        </w:rPr>
        <w:t xml:space="preserve"> court in setting forth the wrongful-arrest theory and first expressed by the House Judiciary Committee when considering the ADA:</w:t>
      </w:r>
    </w:p>
    <w:p w14:paraId="1F99577B" w14:textId="77777777" w:rsidR="00D041A2" w:rsidRDefault="00000000">
      <w:pPr>
        <w:pStyle w:val="Normal35"/>
        <w:widowControl w:val="0"/>
        <w:spacing w:before="200" w:line="240" w:lineRule="atLeast"/>
        <w:ind w:left="400"/>
        <w:jc w:val="both"/>
      </w:pPr>
      <w:bookmarkStart w:id="4454" w:name="Bookmark_para_46_9"/>
      <w:bookmarkEnd w:id="4454"/>
      <w:r>
        <w:rPr>
          <w:rFonts w:ascii="Arial" w:eastAsia="Arial" w:hAnsi="Arial" w:cs="Arial"/>
          <w:color w:val="000000"/>
          <w:sz w:val="18"/>
        </w:rPr>
        <w:t xml:space="preserve">"In order to comply with the non-discrimination mandate, it is often necessary to provide training to public employees about disability. For example, persons who have epilepsy, and a variety of other disabilities, are frequently inappropriately arrested and jailed because police officers have not received proper training in the recognition of and aid of seizures. </w:t>
      </w:r>
      <w:bookmarkStart w:id="4455" w:name="Bookmark_I1PDM8FVBMD000135S400010"/>
      <w:bookmarkStart w:id="4456" w:name="Bookmark_I529J4F80M6K0W0030000400"/>
      <w:bookmarkEnd w:id="4455"/>
      <w:bookmarkEnd w:id="4456"/>
      <w:r>
        <w:rPr>
          <w:rFonts w:ascii="Arial" w:eastAsia="Arial" w:hAnsi="Arial" w:cs="Arial"/>
          <w:color w:val="000000"/>
          <w:sz w:val="18"/>
        </w:rPr>
        <w:t>Such discriminatory treatment based on disability can be avoided by proper training."</w:t>
      </w:r>
    </w:p>
    <w:p w14:paraId="58BDDAE8" w14:textId="77777777" w:rsidR="00D041A2" w:rsidRDefault="00000000">
      <w:pPr>
        <w:pStyle w:val="Normal35"/>
        <w:widowControl w:val="0"/>
        <w:spacing w:before="200" w:line="240" w:lineRule="atLeast"/>
        <w:jc w:val="both"/>
      </w:pPr>
      <w:bookmarkStart w:id="4457" w:name="Bookmark_I1PDM8FVMM7000135S400012"/>
      <w:bookmarkStart w:id="4458" w:name="Bookmark_I529J4F80M6K0W0050000400"/>
      <w:bookmarkStart w:id="4459" w:name="Bookmark_I529J4F80M6K0W0030000400_2"/>
      <w:bookmarkStart w:id="4460" w:name="Bookmark_I1PDM8FVSMW000135S400013"/>
      <w:bookmarkStart w:id="4461" w:name="Bookmark_I529J4F80M6K1C0020000400"/>
      <w:bookmarkStart w:id="4462" w:name="Bookmark_I529J4F80M6K0W0020000400"/>
      <w:bookmarkEnd w:id="4457"/>
      <w:bookmarkEnd w:id="4458"/>
      <w:bookmarkEnd w:id="4459"/>
      <w:bookmarkEnd w:id="4460"/>
      <w:bookmarkEnd w:id="4461"/>
      <w:bookmarkEnd w:id="4462"/>
      <w:r>
        <w:rPr>
          <w:rFonts w:ascii="Arial" w:eastAsia="Arial" w:hAnsi="Arial" w:cs="Arial"/>
          <w:i/>
          <w:color w:val="000000"/>
          <w:sz w:val="18"/>
        </w:rPr>
        <w:t>Lewis</w:t>
      </w:r>
      <w:r>
        <w:rPr>
          <w:rFonts w:ascii="Arial" w:eastAsia="Arial" w:hAnsi="Arial" w:cs="Arial"/>
          <w:color w:val="000000"/>
          <w:sz w:val="18"/>
        </w:rPr>
        <w:t xml:space="preserve">, 960 F. Supp. at 178 (quoting H.R. Rep. No. 101-485, pt. III, 101st Cong., 2d Sess. 50, </w:t>
      </w:r>
      <w:r>
        <w:rPr>
          <w:rFonts w:ascii="Arial" w:eastAsia="Arial" w:hAnsi="Arial" w:cs="Arial"/>
          <w:i/>
          <w:color w:val="000000"/>
          <w:sz w:val="18"/>
        </w:rPr>
        <w:t>reprinted in</w:t>
      </w:r>
      <w:r>
        <w:rPr>
          <w:rFonts w:ascii="Arial" w:eastAsia="Arial" w:hAnsi="Arial" w:cs="Arial"/>
          <w:color w:val="000000"/>
          <w:sz w:val="18"/>
        </w:rPr>
        <w:t xml:space="preserve"> 1990 U.S.C.C.A.N. 473). </w:t>
      </w:r>
      <w:bookmarkStart w:id="4463" w:name="Bookmark_I529J4F80M6K1C0020000400_2"/>
      <w:bookmarkEnd w:id="4463"/>
      <w:r>
        <w:rPr>
          <w:rFonts w:ascii="Arial" w:eastAsia="Arial" w:hAnsi="Arial" w:cs="Arial"/>
          <w:color w:val="000000"/>
          <w:sz w:val="18"/>
        </w:rPr>
        <w:t xml:space="preserve">The wrongful-arrest theory from </w:t>
      </w:r>
      <w:r>
        <w:rPr>
          <w:rFonts w:ascii="Arial" w:eastAsia="Arial" w:hAnsi="Arial" w:cs="Arial"/>
          <w:i/>
          <w:color w:val="000000"/>
          <w:sz w:val="18"/>
        </w:rPr>
        <w:t>Lewis</w:t>
      </w:r>
      <w:r>
        <w:rPr>
          <w:rFonts w:ascii="Arial" w:eastAsia="Arial" w:hAnsi="Arial" w:cs="Arial"/>
          <w:color w:val="000000"/>
          <w:sz w:val="18"/>
        </w:rPr>
        <w:t xml:space="preserve">  [**27] contemplates an ADA violation when law-enforcement officers </w:t>
      </w:r>
      <w:r>
        <w:rPr>
          <w:rFonts w:ascii="Arial" w:eastAsia="Arial" w:hAnsi="Arial" w:cs="Arial"/>
          <w:i/>
          <w:color w:val="000000"/>
          <w:sz w:val="18"/>
        </w:rPr>
        <w:t>"misperceive[]</w:t>
      </w:r>
      <w:r>
        <w:rPr>
          <w:rFonts w:ascii="Arial" w:eastAsia="Arial" w:hAnsi="Arial" w:cs="Arial"/>
          <w:color w:val="000000"/>
          <w:sz w:val="18"/>
        </w:rPr>
        <w:t xml:space="preserve"> the effects of a disability as illegal conduct." </w:t>
      </w:r>
      <w:bookmarkStart w:id="4464" w:name="Bookmark_I529J4F80M6K0W0040000400"/>
      <w:bookmarkEnd w:id="4464"/>
      <w:r>
        <w:rPr>
          <w:rFonts w:ascii="Arial" w:eastAsia="Arial" w:hAnsi="Arial" w:cs="Arial"/>
          <w:i/>
          <w:color w:val="000000"/>
          <w:sz w:val="18"/>
        </w:rPr>
        <w:t>Gohier</w:t>
      </w:r>
      <w:r>
        <w:rPr>
          <w:rFonts w:ascii="Arial" w:eastAsia="Arial" w:hAnsi="Arial" w:cs="Arial"/>
          <w:color w:val="000000"/>
          <w:sz w:val="18"/>
        </w:rPr>
        <w:t xml:space="preserve">, 186 F.3d at 1221 (emphasis added). </w:t>
      </w:r>
      <w:bookmarkStart w:id="4465" w:name="Bookmark_I529J4F80M6K1C0020000400_3"/>
      <w:bookmarkEnd w:id="4465"/>
      <w:r>
        <w:rPr>
          <w:rFonts w:ascii="Arial" w:eastAsia="Arial" w:hAnsi="Arial" w:cs="Arial"/>
          <w:color w:val="000000"/>
          <w:sz w:val="18"/>
        </w:rPr>
        <w:t xml:space="preserve">We require, however, the plaintiff to "show that the discrimination was </w:t>
      </w:r>
      <w:r>
        <w:rPr>
          <w:rFonts w:ascii="Arial" w:eastAsia="Arial" w:hAnsi="Arial" w:cs="Arial"/>
          <w:i/>
          <w:color w:val="000000"/>
          <w:sz w:val="18"/>
        </w:rPr>
        <w:t>intentionally</w:t>
      </w:r>
      <w:r>
        <w:rPr>
          <w:rFonts w:ascii="Arial" w:eastAsia="Arial" w:hAnsi="Arial" w:cs="Arial"/>
          <w:color w:val="000000"/>
          <w:sz w:val="18"/>
        </w:rPr>
        <w:t xml:space="preserve"> directed toward him or her in particular." </w:t>
      </w:r>
      <w:bookmarkStart w:id="4466" w:name="Bookmark_I529J4F80M6K1C0010000400"/>
      <w:bookmarkEnd w:id="4466"/>
      <w:r>
        <w:rPr>
          <w:rFonts w:ascii="Arial" w:eastAsia="Arial" w:hAnsi="Arial" w:cs="Arial"/>
          <w:i/>
          <w:color w:val="000000"/>
          <w:sz w:val="18"/>
        </w:rPr>
        <w:t>Tucker v. Tennessee</w:t>
      </w:r>
      <w:r>
        <w:rPr>
          <w:rFonts w:ascii="Arial" w:eastAsia="Arial" w:hAnsi="Arial" w:cs="Arial"/>
          <w:color w:val="000000"/>
          <w:sz w:val="18"/>
        </w:rPr>
        <w:t xml:space="preserve">, 539 F.3d 526, 532 (6th Cir. 2008), </w:t>
      </w:r>
      <w:r>
        <w:rPr>
          <w:rFonts w:ascii="Arial" w:eastAsia="Arial" w:hAnsi="Arial" w:cs="Arial"/>
          <w:i/>
          <w:color w:val="000000"/>
          <w:sz w:val="18"/>
        </w:rPr>
        <w:t>cert. denied</w:t>
      </w:r>
      <w:r>
        <w:rPr>
          <w:rFonts w:ascii="Arial" w:eastAsia="Arial" w:hAnsi="Arial" w:cs="Arial"/>
          <w:color w:val="000000"/>
          <w:sz w:val="18"/>
        </w:rPr>
        <w:t>, 130 S. Ct. 60, 175 L. Ed. 2d 24 (2009). The wrongful-arrest theory nevertheless could be used as an indirect method of proof to show intentional discrimination if the plaintiff proved that the officer knew or should have known that the plaintiff's conduct is related to the disability.</w:t>
      </w:r>
    </w:p>
    <w:p w14:paraId="0683CC3A" w14:textId="77777777" w:rsidR="00D041A2" w:rsidRDefault="00000000">
      <w:pPr>
        <w:pStyle w:val="Normal35"/>
        <w:widowControl w:val="0"/>
        <w:spacing w:before="200" w:line="240" w:lineRule="atLeast"/>
        <w:jc w:val="both"/>
      </w:pPr>
      <w:bookmarkStart w:id="4467" w:name="Bookmark_fnpara_6_14"/>
      <w:bookmarkStart w:id="4468" w:name="Bookmark_I1PDM8FW5Y6000135S400016"/>
      <w:bookmarkStart w:id="4469" w:name="Bookmark_I529J4F80M6K1C0040000400"/>
      <w:bookmarkEnd w:id="4467"/>
      <w:bookmarkEnd w:id="4468"/>
      <w:bookmarkEnd w:id="4469"/>
      <w:r>
        <w:rPr>
          <w:rFonts w:ascii="Arial" w:eastAsia="Arial" w:hAnsi="Arial" w:cs="Arial"/>
          <w:color w:val="000000"/>
          <w:sz w:val="18"/>
        </w:rPr>
        <w:t xml:space="preserve">I note also that we have stated that the failure to train officers on how to comply with the ADA is not intentional discrimination. </w:t>
      </w:r>
      <w:bookmarkStart w:id="4470" w:name="Bookmark_I529J4F80M6K1C0030000400"/>
      <w:bookmarkEnd w:id="4470"/>
      <w:r>
        <w:rPr>
          <w:rFonts w:ascii="Arial" w:eastAsia="Arial" w:hAnsi="Arial" w:cs="Arial"/>
          <w:i/>
          <w:color w:val="000000"/>
          <w:sz w:val="18"/>
        </w:rPr>
        <w:t>Dillery v. City of Sandusky</w:t>
      </w:r>
      <w:r>
        <w:rPr>
          <w:rFonts w:ascii="Arial" w:eastAsia="Arial" w:hAnsi="Arial" w:cs="Arial"/>
          <w:color w:val="000000"/>
          <w:sz w:val="18"/>
        </w:rPr>
        <w:t xml:space="preserve">, 398 F.3d 562, 568 (6th Cir. 2005). </w:t>
      </w:r>
      <w:bookmarkStart w:id="4471" w:name="Bookmark_I1PDM8FWB20000135S400017"/>
      <w:bookmarkStart w:id="4472" w:name="Bookmark_I529J4FC0M6K2B0010000400"/>
      <w:bookmarkEnd w:id="4471"/>
      <w:bookmarkEnd w:id="4472"/>
      <w:r>
        <w:rPr>
          <w:rFonts w:ascii="Arial" w:eastAsia="Arial" w:hAnsi="Arial" w:cs="Arial"/>
          <w:color w:val="000000"/>
          <w:sz w:val="18"/>
        </w:rPr>
        <w:t xml:space="preserve">Indeed, Wittich </w:t>
      </w:r>
      <w:r>
        <w:rPr>
          <w:rFonts w:ascii="Arial" w:eastAsia="Arial" w:hAnsi="Arial" w:cs="Arial"/>
          <w:i/>
          <w:color w:val="000000"/>
          <w:sz w:val="18"/>
        </w:rPr>
        <w:t>benefits</w:t>
      </w:r>
      <w:r>
        <w:rPr>
          <w:rFonts w:ascii="Arial" w:eastAsia="Arial" w:hAnsi="Arial" w:cs="Arial"/>
          <w:color w:val="000000"/>
          <w:sz w:val="18"/>
        </w:rPr>
        <w:t xml:space="preserve"> in this case from his lack of training in how to recognize and handle situations involving a person having an epileptic seizure. Majority Op. at 13. Although some courts have applied a "reasonable-accommodation-during-arrest theory," Everson has not developed a failure-to-accommodate argument in this case. </w:t>
      </w:r>
      <w:r>
        <w:rPr>
          <w:rFonts w:ascii="Arial" w:eastAsia="Arial" w:hAnsi="Arial" w:cs="Arial"/>
          <w:i/>
          <w:color w:val="000000"/>
          <w:sz w:val="18"/>
        </w:rPr>
        <w:t xml:space="preserve">See </w:t>
      </w:r>
      <w:bookmarkStart w:id="4473" w:name="Bookmark_I529J4F80M6K1C0050000400"/>
      <w:bookmarkEnd w:id="4473"/>
      <w:r>
        <w:rPr>
          <w:rFonts w:ascii="Arial" w:eastAsia="Arial" w:hAnsi="Arial" w:cs="Arial"/>
          <w:i/>
          <w:color w:val="000000"/>
          <w:sz w:val="18"/>
        </w:rPr>
        <w:t>Gohier</w:t>
      </w:r>
      <w:r>
        <w:rPr>
          <w:rFonts w:ascii="Arial" w:eastAsia="Arial" w:hAnsi="Arial" w:cs="Arial"/>
          <w:color w:val="000000"/>
          <w:sz w:val="18"/>
        </w:rPr>
        <w:t>, 186 F.3d at 1222 (recognizing  [**28] theory but declining to decide whether it would apply to the facts of that case because the plaintiff did not pursue the theory on appeal).</w:t>
      </w:r>
    </w:p>
  </w:footnote>
  <w:footnote w:id="218">
    <w:p w14:paraId="093E8DAA" w14:textId="77777777" w:rsidR="00D041A2" w:rsidRDefault="00000000">
      <w:pPr>
        <w:pStyle w:val="Normal35"/>
        <w:widowControl w:val="0"/>
        <w:spacing w:before="200" w:line="240" w:lineRule="atLeast"/>
        <w:jc w:val="both"/>
      </w:pPr>
      <w:r>
        <w:rPr>
          <w:rFonts w:ascii="Arial" w:eastAsia="Arial" w:hAnsi="Arial" w:cs="Arial"/>
          <w:color w:val="000000"/>
          <w:sz w:val="18"/>
          <w:vertAlign w:val="superscript"/>
        </w:rPr>
        <w:t>4 </w:t>
      </w:r>
      <w:bookmarkStart w:id="4492" w:name="Bookmark_fnpara_7_11"/>
      <w:bookmarkEnd w:id="4492"/>
      <w:r>
        <w:rPr>
          <w:rFonts w:ascii="Arial" w:eastAsia="Arial" w:hAnsi="Arial" w:cs="Arial"/>
          <w:color w:val="000000"/>
          <w:sz w:val="18"/>
        </w:rPr>
        <w:t>For example, at oral argument, counsel for Everson raised the fact that evidence of the Wittich's conversation with the paramedic was first brought to light at Wittich's deposition; the conversation was not included in either the paramedic's affidavit or Wittich's charging documents.  [**32] Such arguments regarding the credibility of Wittich's testimony are appropriate for the factfinder to consider.</w:t>
      </w:r>
    </w:p>
  </w:footnote>
  <w:footnote w:id="219">
    <w:p w14:paraId="3FCD55E6" w14:textId="77777777" w:rsidR="00D041A2" w:rsidRDefault="00000000">
      <w:pPr>
        <w:pStyle w:val="Normal35"/>
        <w:widowControl w:val="0"/>
        <w:spacing w:before="200" w:line="240" w:lineRule="atLeast"/>
        <w:jc w:val="both"/>
      </w:pPr>
      <w:r>
        <w:rPr>
          <w:rFonts w:ascii="Arial" w:eastAsia="Arial" w:hAnsi="Arial" w:cs="Arial"/>
          <w:color w:val="000000"/>
          <w:sz w:val="18"/>
          <w:vertAlign w:val="superscript"/>
        </w:rPr>
        <w:t>5 </w:t>
      </w:r>
      <w:bookmarkStart w:id="4505" w:name="Bookmark_fnpara_8_10"/>
      <w:bookmarkStart w:id="4506" w:name="Bookmark_I1PDM8FXS3W000135S40001K"/>
      <w:bookmarkStart w:id="4507" w:name="Bookmark_I529J4FG0M6K3J0050000400"/>
      <w:bookmarkEnd w:id="4505"/>
      <w:bookmarkEnd w:id="4506"/>
      <w:bookmarkEnd w:id="4507"/>
      <w:r>
        <w:rPr>
          <w:rFonts w:ascii="Arial" w:eastAsia="Arial" w:hAnsi="Arial" w:cs="Arial"/>
          <w:color w:val="000000"/>
          <w:sz w:val="18"/>
        </w:rPr>
        <w:t xml:space="preserve">The majority also includes a short discussion of the reasonableness of the force that Wittich used while restraining and arresting Everson. Majority Op. at 11. This court previously dismissed Everson's excessive-force claim, </w:t>
      </w:r>
      <w:bookmarkStart w:id="4508" w:name="Bookmark_I529J4FG0M6K3J0040000400"/>
      <w:bookmarkEnd w:id="4508"/>
      <w:r>
        <w:rPr>
          <w:rFonts w:ascii="Arial" w:eastAsia="Arial" w:hAnsi="Arial" w:cs="Arial"/>
          <w:i/>
          <w:color w:val="000000"/>
          <w:sz w:val="18"/>
        </w:rPr>
        <w:t>Everson</w:t>
      </w:r>
      <w:r>
        <w:rPr>
          <w:rFonts w:ascii="Arial" w:eastAsia="Arial" w:hAnsi="Arial" w:cs="Arial"/>
          <w:color w:val="000000"/>
          <w:sz w:val="18"/>
        </w:rPr>
        <w:t>, 556 F.3d at 497-98, and, as I explained above, I believe that whether Wittich discriminated against Everson under the ADA is a separate question from whether Wittich acted reasonably under the Fourth Amendment.</w:t>
      </w:r>
    </w:p>
  </w:footnote>
  <w:footnote w:id="220">
    <w:p w14:paraId="436539A9" w14:textId="77777777" w:rsidR="00D041A2" w:rsidRDefault="00000000">
      <w:pPr>
        <w:pStyle w:val="Normal35"/>
        <w:widowControl w:val="0"/>
        <w:spacing w:before="200" w:line="240" w:lineRule="atLeast"/>
        <w:jc w:val="both"/>
      </w:pPr>
      <w:r>
        <w:rPr>
          <w:rFonts w:ascii="Arial" w:eastAsia="Arial" w:hAnsi="Arial" w:cs="Arial"/>
          <w:color w:val="000000"/>
          <w:sz w:val="18"/>
          <w:vertAlign w:val="superscript"/>
        </w:rPr>
        <w:t>6 </w:t>
      </w:r>
      <w:bookmarkStart w:id="4509" w:name="Bookmark_fnpara_9_9"/>
      <w:bookmarkStart w:id="4510" w:name="Bookmark_I1PDM8FXWV2000135S40001M"/>
      <w:bookmarkStart w:id="4511" w:name="Bookmark_I1PDM8FY1SF000135S40001N"/>
      <w:bookmarkStart w:id="4512" w:name="Bookmark_I1PDM8FY5F9000135S40001P"/>
      <w:bookmarkStart w:id="4513" w:name="Bookmark_I1PDM8FY97R000135S40001R"/>
      <w:bookmarkStart w:id="4514" w:name="Bookmark_I529J4FH0M6K420020000400"/>
      <w:bookmarkStart w:id="4515" w:name="Bookmark_I1PDM8FYFKT000135S40001S"/>
      <w:bookmarkStart w:id="4516" w:name="Bookmark_I1PDM8FYKYJ000135S40001T"/>
      <w:bookmarkStart w:id="4517" w:name="Bookmark_I529J4FJ0M6K4C0050000400"/>
      <w:bookmarkEnd w:id="4509"/>
      <w:bookmarkEnd w:id="4510"/>
      <w:bookmarkEnd w:id="4511"/>
      <w:bookmarkEnd w:id="4512"/>
      <w:bookmarkEnd w:id="4513"/>
      <w:bookmarkEnd w:id="4514"/>
      <w:bookmarkEnd w:id="4515"/>
      <w:bookmarkEnd w:id="4516"/>
      <w:bookmarkEnd w:id="4517"/>
      <w:r>
        <w:rPr>
          <w:rFonts w:ascii="Arial" w:eastAsia="Arial" w:hAnsi="Arial" w:cs="Arial"/>
          <w:color w:val="000000"/>
          <w:sz w:val="18"/>
        </w:rPr>
        <w:t xml:space="preserve">This court has not explicitly decided whether a reasonable-accommodation claim under Title II is a viable claim separate from a disparate-treatment or disparate-impact type claim. </w:t>
      </w:r>
      <w:r>
        <w:rPr>
          <w:rFonts w:ascii="Arial" w:eastAsia="Arial" w:hAnsi="Arial" w:cs="Arial"/>
          <w:i/>
          <w:color w:val="000000"/>
          <w:sz w:val="18"/>
        </w:rPr>
        <w:t xml:space="preserve">See </w:t>
      </w:r>
      <w:bookmarkStart w:id="4518" w:name="Bookmark_I529J4FH0M6K420010000400"/>
      <w:bookmarkEnd w:id="4518"/>
      <w:r>
        <w:rPr>
          <w:rFonts w:ascii="Arial" w:eastAsia="Arial" w:hAnsi="Arial" w:cs="Arial"/>
          <w:i/>
          <w:color w:val="000000"/>
          <w:sz w:val="18"/>
        </w:rPr>
        <w:t>Tucker</w:t>
      </w:r>
      <w:r>
        <w:rPr>
          <w:rFonts w:ascii="Arial" w:eastAsia="Arial" w:hAnsi="Arial" w:cs="Arial"/>
          <w:color w:val="000000"/>
          <w:sz w:val="18"/>
        </w:rPr>
        <w:t xml:space="preserve">, 539 F.3d at 532-33, 535 (contemplating the accommodation requirement within the framework of an  [**36] intentional discrimination claim but also stating the plaintiff must show intentional discrimination </w:t>
      </w:r>
      <w:r>
        <w:rPr>
          <w:rFonts w:ascii="Arial" w:eastAsia="Arial" w:hAnsi="Arial" w:cs="Arial"/>
          <w:i/>
          <w:color w:val="000000"/>
          <w:sz w:val="18"/>
        </w:rPr>
        <w:t>or</w:t>
      </w:r>
      <w:r>
        <w:rPr>
          <w:rFonts w:ascii="Arial" w:eastAsia="Arial" w:hAnsi="Arial" w:cs="Arial"/>
          <w:color w:val="000000"/>
          <w:sz w:val="18"/>
        </w:rPr>
        <w:t xml:space="preserve"> failure to accommodate effectively); </w:t>
      </w:r>
      <w:bookmarkStart w:id="4519" w:name="Bookmark_I529J4FH0M6K420030000400"/>
      <w:bookmarkEnd w:id="4519"/>
      <w:r>
        <w:rPr>
          <w:rFonts w:ascii="Arial" w:eastAsia="Arial" w:hAnsi="Arial" w:cs="Arial"/>
          <w:i/>
          <w:color w:val="000000"/>
          <w:sz w:val="18"/>
        </w:rPr>
        <w:t>Dillery</w:t>
      </w:r>
      <w:r>
        <w:rPr>
          <w:rFonts w:ascii="Arial" w:eastAsia="Arial" w:hAnsi="Arial" w:cs="Arial"/>
          <w:color w:val="000000"/>
          <w:sz w:val="18"/>
        </w:rPr>
        <w:t xml:space="preserve">, 398 F.3d at 568 (recognizing that the plaintiff made a reasonable-accommodation argument but providing no further accommodation analysis); </w:t>
      </w:r>
      <w:bookmarkStart w:id="4520" w:name="Bookmark_I529J4FH0M6K420050000400"/>
      <w:bookmarkEnd w:id="4520"/>
      <w:r>
        <w:rPr>
          <w:rFonts w:ascii="Arial" w:eastAsia="Arial" w:hAnsi="Arial" w:cs="Arial"/>
          <w:i/>
          <w:color w:val="000000"/>
          <w:sz w:val="18"/>
        </w:rPr>
        <w:t>Ability Ctr. of Greater Toledo v. City of Sandusky</w:t>
      </w:r>
      <w:r>
        <w:rPr>
          <w:rFonts w:ascii="Arial" w:eastAsia="Arial" w:hAnsi="Arial" w:cs="Arial"/>
          <w:color w:val="000000"/>
          <w:sz w:val="18"/>
        </w:rPr>
        <w:t xml:space="preserve">, 385 F.3d 901, 904 n.4 (6th Cir. 2004) (questioning, without deciding, whether it was appropriate to characterize a failure-to-accommodate claim as a form of disparate-impact discrimination); </w:t>
      </w:r>
      <w:bookmarkStart w:id="4521" w:name="Bookmark_I529J4FJ0M6K4C0020000400"/>
      <w:bookmarkEnd w:id="4521"/>
      <w:r>
        <w:rPr>
          <w:rFonts w:ascii="Arial" w:eastAsia="Arial" w:hAnsi="Arial" w:cs="Arial"/>
          <w:i/>
          <w:color w:val="000000"/>
          <w:sz w:val="18"/>
        </w:rPr>
        <w:t>Jones v. City of Monroe</w:t>
      </w:r>
      <w:r>
        <w:rPr>
          <w:rFonts w:ascii="Arial" w:eastAsia="Arial" w:hAnsi="Arial" w:cs="Arial"/>
          <w:color w:val="000000"/>
          <w:sz w:val="18"/>
        </w:rPr>
        <w:t xml:space="preserve">, 341 F.3d 474, 480 (6th Cir. 2003) (construing the plaintiff's argument to be relating to reasonable accommodation but not discussing the relationship of a reasonable-accommodation claim to an intentional-discrimination claim). </w:t>
      </w:r>
      <w:r>
        <w:rPr>
          <w:rFonts w:ascii="Arial" w:eastAsia="Arial" w:hAnsi="Arial" w:cs="Arial"/>
          <w:i/>
          <w:color w:val="000000"/>
          <w:sz w:val="18"/>
        </w:rPr>
        <w:t xml:space="preserve">But see </w:t>
      </w:r>
      <w:bookmarkStart w:id="4522" w:name="Bookmark_I529J4FJ0M6K4C0040000400"/>
      <w:bookmarkEnd w:id="4522"/>
      <w:r>
        <w:rPr>
          <w:rFonts w:ascii="Arial" w:eastAsia="Arial" w:hAnsi="Arial" w:cs="Arial"/>
          <w:i/>
          <w:color w:val="000000"/>
          <w:sz w:val="18"/>
        </w:rPr>
        <w:t>Wis. Cmty. Servs., Inc. v. City of Milwaukee</w:t>
      </w:r>
      <w:r>
        <w:rPr>
          <w:rFonts w:ascii="Arial" w:eastAsia="Arial" w:hAnsi="Arial" w:cs="Arial"/>
          <w:color w:val="000000"/>
          <w:sz w:val="18"/>
        </w:rPr>
        <w:t xml:space="preserve">, 465 F.3d 737, 751 (7th Cir. 2006) (en banc) (distinguishing the failure to accommodate as an independent claim from disparate-treatment claims); </w:t>
      </w:r>
      <w:bookmarkStart w:id="4523" w:name="Bookmark_I529J4FK0M6K4M0010000400"/>
      <w:bookmarkEnd w:id="4523"/>
      <w:r>
        <w:rPr>
          <w:rFonts w:ascii="Arial" w:eastAsia="Arial" w:hAnsi="Arial" w:cs="Arial"/>
          <w:i/>
          <w:color w:val="000000"/>
          <w:sz w:val="18"/>
        </w:rPr>
        <w:t>Henrietta D. v. Bloomberg</w:t>
      </w:r>
      <w:r>
        <w:rPr>
          <w:rFonts w:ascii="Arial" w:eastAsia="Arial" w:hAnsi="Arial" w:cs="Arial"/>
          <w:color w:val="000000"/>
          <w:sz w:val="18"/>
        </w:rPr>
        <w:t xml:space="preserve">, 331 F.3d 261, 275 (2d Cir. 2003) (collecting cases for the same), </w:t>
      </w:r>
      <w:r>
        <w:rPr>
          <w:rFonts w:ascii="Arial" w:eastAsia="Arial" w:hAnsi="Arial" w:cs="Arial"/>
          <w:i/>
          <w:color w:val="000000"/>
          <w:sz w:val="18"/>
        </w:rPr>
        <w:t>cert. denied</w:t>
      </w:r>
      <w:r>
        <w:rPr>
          <w:rFonts w:ascii="Arial" w:eastAsia="Arial" w:hAnsi="Arial" w:cs="Arial"/>
          <w:color w:val="000000"/>
          <w:sz w:val="18"/>
        </w:rPr>
        <w:t>, 541 U.S. 936, 124 S. Ct. 1658, 158 L. Ed. 2d 356 (2004).</w:t>
      </w:r>
    </w:p>
  </w:footnote>
  <w:footnote w:id="221">
    <w:p w14:paraId="1D61F1D2" w14:textId="77777777" w:rsidR="00D041A2" w:rsidRDefault="00000000">
      <w:pPr>
        <w:pStyle w:val="Normal35"/>
        <w:widowControl w:val="0"/>
        <w:spacing w:before="200" w:line="240" w:lineRule="atLeast"/>
        <w:jc w:val="both"/>
      </w:pPr>
      <w:r>
        <w:rPr>
          <w:rFonts w:ascii="Arial" w:eastAsia="Arial" w:hAnsi="Arial" w:cs="Arial"/>
          <w:color w:val="000000"/>
          <w:sz w:val="18"/>
          <w:vertAlign w:val="superscript"/>
        </w:rPr>
        <w:t>7 </w:t>
      </w:r>
      <w:bookmarkStart w:id="4578" w:name="Bookmark_fnpara_10_8"/>
      <w:bookmarkStart w:id="4579" w:name="Bookmark_I1PDM8G3DCM000135S40002T"/>
      <w:bookmarkStart w:id="4580" w:name="Bookmark_I529J4FN0M6K5G0020000400"/>
      <w:bookmarkStart w:id="4581" w:name="Bookmark_I1PDM8G3HW1000135S40002V"/>
      <w:bookmarkStart w:id="4582" w:name="Bookmark_I529J4FN0M6K5G0040000400"/>
      <w:bookmarkStart w:id="4583" w:name="Bookmark_I1PDM8G3NHN000135S40002W"/>
      <w:bookmarkStart w:id="4584" w:name="Bookmark_I1PDM8G3T3X000135S40002X"/>
      <w:bookmarkStart w:id="4585" w:name="Bookmark_I529J4FN0M6K5J0010000400"/>
      <w:bookmarkEnd w:id="4578"/>
      <w:bookmarkEnd w:id="4579"/>
      <w:bookmarkEnd w:id="4580"/>
      <w:bookmarkEnd w:id="4581"/>
      <w:bookmarkEnd w:id="4582"/>
      <w:bookmarkEnd w:id="4583"/>
      <w:bookmarkEnd w:id="4584"/>
      <w:bookmarkEnd w:id="4585"/>
      <w:r>
        <w:rPr>
          <w:rFonts w:ascii="Arial" w:eastAsia="Arial" w:hAnsi="Arial" w:cs="Arial"/>
          <w:i/>
          <w:color w:val="000000"/>
          <w:sz w:val="18"/>
        </w:rPr>
        <w:t>Jones</w:t>
      </w:r>
      <w:r>
        <w:rPr>
          <w:rFonts w:ascii="Arial" w:eastAsia="Arial" w:hAnsi="Arial" w:cs="Arial"/>
          <w:color w:val="000000"/>
          <w:sz w:val="18"/>
        </w:rPr>
        <w:t xml:space="preserve"> was not the first time that we summarily imported the sole-motivation standard from the Rehabilitation Act into the ADA. In </w:t>
      </w:r>
      <w:bookmarkStart w:id="4586" w:name="Bookmark_I529J4FN0M6K5G0010000400"/>
      <w:bookmarkEnd w:id="4586"/>
      <w:r>
        <w:rPr>
          <w:rFonts w:ascii="Arial" w:eastAsia="Arial" w:hAnsi="Arial" w:cs="Arial"/>
          <w:i/>
          <w:color w:val="000000"/>
          <w:sz w:val="18"/>
        </w:rPr>
        <w:t>Maddox v. University of Tennessee</w:t>
      </w:r>
      <w:r>
        <w:rPr>
          <w:rFonts w:ascii="Arial" w:eastAsia="Arial" w:hAnsi="Arial" w:cs="Arial"/>
          <w:color w:val="000000"/>
          <w:sz w:val="18"/>
        </w:rPr>
        <w:t xml:space="preserve">, 62 F.3d 843, 846 &amp; n.2 (6th Cir. 1995),  [**41] we added the Rehabilitation Act's "solely" language to the "because of' standard under Title I of the ADA. We have since recognized that our sole-motivation standard in the Title I area is in tension with the majority of our sister circuits. </w:t>
      </w:r>
      <w:bookmarkStart w:id="4587" w:name="Bookmark_I1PDM8G3XXB000135S40002Y"/>
      <w:bookmarkStart w:id="4588" w:name="Bookmark_I1PDM8G465T000135S400031"/>
      <w:bookmarkStart w:id="4589" w:name="Bookmark_I529J4FN0M6K5J0050000400"/>
      <w:bookmarkStart w:id="4590" w:name="Bookmark_I529J4FN0M6K5G0030000400"/>
      <w:bookmarkEnd w:id="4587"/>
      <w:bookmarkEnd w:id="4588"/>
      <w:bookmarkEnd w:id="4589"/>
      <w:bookmarkEnd w:id="4590"/>
      <w:r>
        <w:rPr>
          <w:rFonts w:ascii="Arial" w:eastAsia="Arial" w:hAnsi="Arial" w:cs="Arial"/>
          <w:i/>
          <w:color w:val="000000"/>
          <w:sz w:val="18"/>
        </w:rPr>
        <w:t>Macy v. Hopkins Cnty. Sch. Bd. of Educ.</w:t>
      </w:r>
      <w:r>
        <w:rPr>
          <w:rFonts w:ascii="Arial" w:eastAsia="Arial" w:hAnsi="Arial" w:cs="Arial"/>
          <w:color w:val="000000"/>
          <w:sz w:val="18"/>
        </w:rPr>
        <w:t xml:space="preserve">, 484 F.3d 357, 363-64 n.2 (6th Cir.) (collecting cases from other circuits), </w:t>
      </w:r>
      <w:r>
        <w:rPr>
          <w:rFonts w:ascii="Arial" w:eastAsia="Arial" w:hAnsi="Arial" w:cs="Arial"/>
          <w:i/>
          <w:color w:val="000000"/>
          <w:sz w:val="18"/>
        </w:rPr>
        <w:t>cert. denied</w:t>
      </w:r>
      <w:r>
        <w:rPr>
          <w:rFonts w:ascii="Arial" w:eastAsia="Arial" w:hAnsi="Arial" w:cs="Arial"/>
          <w:color w:val="000000"/>
          <w:sz w:val="18"/>
        </w:rPr>
        <w:t xml:space="preserve">, 552 U.S. 826, 128 S. Ct. 201, 169 L. Ed. 2d 37 (2007); </w:t>
      </w:r>
      <w:bookmarkStart w:id="4591" w:name="Bookmark_I529J4FN0M6K5G0050000400"/>
      <w:bookmarkEnd w:id="4591"/>
      <w:r>
        <w:rPr>
          <w:rFonts w:ascii="Arial" w:eastAsia="Arial" w:hAnsi="Arial" w:cs="Arial"/>
          <w:i/>
          <w:color w:val="000000"/>
          <w:sz w:val="18"/>
        </w:rPr>
        <w:t>Hedrick v. W. Reserve Care Sys.</w:t>
      </w:r>
      <w:r>
        <w:rPr>
          <w:rFonts w:ascii="Arial" w:eastAsia="Arial" w:hAnsi="Arial" w:cs="Arial"/>
          <w:color w:val="000000"/>
          <w:sz w:val="18"/>
        </w:rPr>
        <w:t xml:space="preserve">, 355 F.3d 444, 454 (6th Cir. 2004) (recognizing that the sole-motivation standard is still the law of this circuit, even though it is in tension with other circuits); </w:t>
      </w:r>
      <w:r>
        <w:rPr>
          <w:rFonts w:ascii="Arial" w:eastAsia="Arial" w:hAnsi="Arial" w:cs="Arial"/>
          <w:i/>
          <w:color w:val="000000"/>
          <w:sz w:val="18"/>
        </w:rPr>
        <w:t xml:space="preserve">see also </w:t>
      </w:r>
      <w:bookmarkStart w:id="4592" w:name="Bookmark_I529J4FN0M6K5J0020000400"/>
      <w:bookmarkEnd w:id="4592"/>
      <w:r>
        <w:rPr>
          <w:rFonts w:ascii="Arial" w:eastAsia="Arial" w:hAnsi="Arial" w:cs="Arial"/>
          <w:i/>
          <w:color w:val="000000"/>
          <w:sz w:val="18"/>
        </w:rPr>
        <w:t>Pinkerton v. Spellings</w:t>
      </w:r>
      <w:r>
        <w:rPr>
          <w:rFonts w:ascii="Arial" w:eastAsia="Arial" w:hAnsi="Arial" w:cs="Arial"/>
          <w:color w:val="000000"/>
          <w:sz w:val="18"/>
        </w:rPr>
        <w:t xml:space="preserve">, 529 F.3d 513, 518 &amp; n.30 (5th Cir. 2008) (collecting cases reaching "the conclusion that the ADA causation standard does not require a showing of sole cause" but noting that our court has concluded otherwise). </w:t>
      </w:r>
      <w:bookmarkStart w:id="4593" w:name="Bookmark_I529J4FN0M6K5J0050000400_2"/>
      <w:bookmarkEnd w:id="4593"/>
      <w:r>
        <w:rPr>
          <w:rFonts w:ascii="Arial" w:eastAsia="Arial" w:hAnsi="Arial" w:cs="Arial"/>
          <w:i/>
          <w:color w:val="000000"/>
          <w:sz w:val="18"/>
        </w:rPr>
        <w:t xml:space="preserve">But see </w:t>
      </w:r>
      <w:bookmarkStart w:id="4594" w:name="Bookmark_I529J4FN0M6K5J0040000400"/>
      <w:bookmarkEnd w:id="4594"/>
      <w:r>
        <w:rPr>
          <w:rFonts w:ascii="Arial" w:eastAsia="Arial" w:hAnsi="Arial" w:cs="Arial"/>
          <w:i/>
          <w:color w:val="000000"/>
          <w:sz w:val="18"/>
        </w:rPr>
        <w:t>Todd v. City of Cincinnati</w:t>
      </w:r>
      <w:r>
        <w:rPr>
          <w:rFonts w:ascii="Arial" w:eastAsia="Arial" w:hAnsi="Arial" w:cs="Arial"/>
          <w:color w:val="000000"/>
          <w:sz w:val="18"/>
        </w:rPr>
        <w:t xml:space="preserve">, 436 F.3d 635, 637-38 (6th Cir. 2006) (discussing </w:t>
      </w:r>
      <w:bookmarkStart w:id="4595" w:name="Bookmark_I529J4FN0M6K5M0010000400"/>
      <w:bookmarkEnd w:id="4595"/>
      <w:r>
        <w:rPr>
          <w:rFonts w:ascii="Arial" w:eastAsia="Arial" w:hAnsi="Arial" w:cs="Arial"/>
          <w:i/>
          <w:color w:val="000000"/>
          <w:sz w:val="18"/>
        </w:rPr>
        <w:t>Monette v. Elec. Data Sys. Corp.</w:t>
      </w:r>
      <w:r>
        <w:rPr>
          <w:rFonts w:ascii="Arial" w:eastAsia="Arial" w:hAnsi="Arial" w:cs="Arial"/>
          <w:color w:val="000000"/>
          <w:sz w:val="18"/>
        </w:rPr>
        <w:t>, 90 F.3d 1173 (6th Cir. 1996), and attempting to limit application of the sole-motivation standard).</w:t>
      </w:r>
    </w:p>
  </w:footnote>
  <w:footnote w:id="222">
    <w:p w14:paraId="5186CE91" w14:textId="77777777" w:rsidR="00D041A2" w:rsidRDefault="00000000">
      <w:pPr>
        <w:pStyle w:val="Normal35"/>
        <w:widowControl w:val="0"/>
        <w:spacing w:before="200" w:line="240" w:lineRule="atLeast"/>
        <w:jc w:val="both"/>
      </w:pPr>
      <w:r>
        <w:rPr>
          <w:rFonts w:ascii="Arial" w:eastAsia="Arial" w:hAnsi="Arial" w:cs="Arial"/>
          <w:color w:val="000000"/>
          <w:sz w:val="18"/>
          <w:vertAlign w:val="superscript"/>
        </w:rPr>
        <w:t>8 </w:t>
      </w:r>
      <w:bookmarkStart w:id="4600" w:name="Bookmark_fnpara_11_8"/>
      <w:bookmarkStart w:id="4601" w:name="Bookmark_I1PDM8G4G9B000135S400033"/>
      <w:bookmarkStart w:id="4602" w:name="Bookmark_I1PDM8G4M3J000135S400034"/>
      <w:bookmarkStart w:id="4603" w:name="Bookmark_I1PDM8G4RY2000135S400035"/>
      <w:bookmarkStart w:id="4604" w:name="Bookmark_I529J4FN0M6K5M0040000400"/>
      <w:bookmarkStart w:id="4605" w:name="Bookmark_I1PDM8G4WFV000135S400036"/>
      <w:bookmarkStart w:id="4606" w:name="Bookmark_I529J4FN0M6K5P0050000400"/>
      <w:bookmarkEnd w:id="4600"/>
      <w:bookmarkEnd w:id="4601"/>
      <w:bookmarkEnd w:id="4602"/>
      <w:bookmarkEnd w:id="4603"/>
      <w:bookmarkEnd w:id="4604"/>
      <w:bookmarkEnd w:id="4605"/>
      <w:bookmarkEnd w:id="4606"/>
      <w:r>
        <w:rPr>
          <w:rFonts w:ascii="Arial" w:eastAsia="Arial" w:hAnsi="Arial" w:cs="Arial"/>
          <w:color w:val="000000"/>
          <w:sz w:val="18"/>
        </w:rPr>
        <w:t xml:space="preserve">Some circuits have interpreted the "by reason of' language of Title II to establish a "motiving factor" standard. </w:t>
      </w:r>
      <w:bookmarkStart w:id="4607" w:name="Bookmark_I1PDM8G510B000135S400037"/>
      <w:bookmarkStart w:id="4608" w:name="Bookmark_I1PDM8G5964000135S400039"/>
      <w:bookmarkStart w:id="4609" w:name="Bookmark_I1PDM8G5JWR000135S40003C"/>
      <w:bookmarkStart w:id="4610" w:name="Bookmark_I529J4FN0M6K5S0020000400"/>
      <w:bookmarkEnd w:id="4607"/>
      <w:bookmarkEnd w:id="4608"/>
      <w:bookmarkEnd w:id="4609"/>
      <w:bookmarkEnd w:id="4610"/>
      <w:r>
        <w:rPr>
          <w:rFonts w:ascii="Arial" w:eastAsia="Arial" w:hAnsi="Arial" w:cs="Arial"/>
          <w:i/>
          <w:color w:val="000000"/>
          <w:sz w:val="18"/>
        </w:rPr>
        <w:t xml:space="preserve">See, e.g., </w:t>
      </w:r>
      <w:bookmarkStart w:id="4611" w:name="Bookmark_I529J4FN0M6K5M0030000400"/>
      <w:bookmarkEnd w:id="4611"/>
      <w:r>
        <w:rPr>
          <w:rFonts w:ascii="Arial" w:eastAsia="Arial" w:hAnsi="Arial" w:cs="Arial"/>
          <w:i/>
          <w:color w:val="000000"/>
          <w:sz w:val="18"/>
        </w:rPr>
        <w:t>Head v. Glacier Nw., Inc.</w:t>
      </w:r>
      <w:r>
        <w:rPr>
          <w:rFonts w:ascii="Arial" w:eastAsia="Arial" w:hAnsi="Arial" w:cs="Arial"/>
          <w:color w:val="000000"/>
          <w:sz w:val="18"/>
        </w:rPr>
        <w:t>, 413 F.3d 1053, 1065-66 (9th Cir. 2005);  [**42] </w:t>
      </w:r>
      <w:bookmarkStart w:id="4612" w:name="Bookmark_I529J4FN0M6K5M0050000400"/>
      <w:bookmarkEnd w:id="4612"/>
      <w:r>
        <w:rPr>
          <w:rFonts w:ascii="Arial" w:eastAsia="Arial" w:hAnsi="Arial" w:cs="Arial"/>
          <w:i/>
          <w:color w:val="000000"/>
          <w:sz w:val="18"/>
        </w:rPr>
        <w:t>Tsombanidis v. W. Haven Fire Dep't</w:t>
      </w:r>
      <w:r>
        <w:rPr>
          <w:rFonts w:ascii="Arial" w:eastAsia="Arial" w:hAnsi="Arial" w:cs="Arial"/>
          <w:color w:val="000000"/>
          <w:sz w:val="18"/>
        </w:rPr>
        <w:t xml:space="preserve">, 352 F.3d 565, 579 (2d Cir. 2003); </w:t>
      </w:r>
      <w:r>
        <w:rPr>
          <w:rFonts w:ascii="Arial" w:eastAsia="Arial" w:hAnsi="Arial" w:cs="Arial"/>
          <w:i/>
          <w:color w:val="000000"/>
          <w:sz w:val="18"/>
        </w:rPr>
        <w:t xml:space="preserve">cf. </w:t>
      </w:r>
      <w:bookmarkStart w:id="4613" w:name="Bookmark_I529J4FN0M6K5P0020000400"/>
      <w:bookmarkEnd w:id="4613"/>
      <w:r>
        <w:rPr>
          <w:rFonts w:ascii="Arial" w:eastAsia="Arial" w:hAnsi="Arial" w:cs="Arial"/>
          <w:i/>
          <w:color w:val="000000"/>
          <w:sz w:val="18"/>
        </w:rPr>
        <w:t>Macy</w:t>
      </w:r>
      <w:r>
        <w:rPr>
          <w:rFonts w:ascii="Arial" w:eastAsia="Arial" w:hAnsi="Arial" w:cs="Arial"/>
          <w:color w:val="000000"/>
          <w:sz w:val="18"/>
        </w:rPr>
        <w:t xml:space="preserve">, 484 F.3d at 363-64 n.2 (noting cases from other circuits that apply a "motivating factor" standard to claims under Title I of the ADA). It is unclear whether a mixed-motive standard is proper under the ADA in light of the Supreme Court's decision in </w:t>
      </w:r>
      <w:bookmarkStart w:id="4614" w:name="Bookmark_I529J4FN0M6K5P0040000400"/>
      <w:bookmarkEnd w:id="4614"/>
      <w:r>
        <w:rPr>
          <w:rFonts w:ascii="Arial" w:eastAsia="Arial" w:hAnsi="Arial" w:cs="Arial"/>
          <w:i/>
          <w:color w:val="000000"/>
          <w:sz w:val="18"/>
        </w:rPr>
        <w:t>Gross v. FBL Financial Services, Inc.</w:t>
      </w:r>
      <w:r>
        <w:rPr>
          <w:rFonts w:ascii="Arial" w:eastAsia="Arial" w:hAnsi="Arial" w:cs="Arial"/>
          <w:color w:val="000000"/>
          <w:sz w:val="18"/>
        </w:rPr>
        <w:t xml:space="preserve">, — U.S. —, 129 S. Ct. 2343, 2352, 174 L. Ed. 2d 119 (2009), which held that mixed-motive analysis does not apply in the context of the Age Discrimination in Employment Act of 1967 ("ADEA"). </w:t>
      </w:r>
      <w:bookmarkStart w:id="4615" w:name="Bookmark_I529J4FN0M6K5S0020000400_2"/>
      <w:bookmarkStart w:id="4616" w:name="Bookmark_I1PDM8G5VRM000135S40003F"/>
      <w:bookmarkStart w:id="4617" w:name="Bookmark_I1PDM8G64VN000135S40003H"/>
      <w:bookmarkStart w:id="4618" w:name="Bookmark_I1PDM8G6DGW000135S40003K"/>
      <w:bookmarkStart w:id="4619" w:name="Bookmark_I1PDM8G6NFW000135S40003N"/>
      <w:bookmarkStart w:id="4620" w:name="Bookmark_I529J4FN0M6K5V0030000400"/>
      <w:bookmarkEnd w:id="4615"/>
      <w:bookmarkEnd w:id="4616"/>
      <w:bookmarkEnd w:id="4617"/>
      <w:bookmarkEnd w:id="4618"/>
      <w:bookmarkEnd w:id="4619"/>
      <w:bookmarkEnd w:id="4620"/>
      <w:r>
        <w:rPr>
          <w:rFonts w:ascii="Arial" w:eastAsia="Arial" w:hAnsi="Arial" w:cs="Arial"/>
          <w:i/>
          <w:color w:val="000000"/>
          <w:sz w:val="18"/>
        </w:rPr>
        <w:t xml:space="preserve">See </w:t>
      </w:r>
      <w:bookmarkStart w:id="4621" w:name="Bookmark_I529J4FN0M6K5S0010000400"/>
      <w:bookmarkEnd w:id="4621"/>
      <w:r>
        <w:rPr>
          <w:rFonts w:ascii="Arial" w:eastAsia="Arial" w:hAnsi="Arial" w:cs="Arial"/>
          <w:i/>
          <w:color w:val="000000"/>
          <w:sz w:val="18"/>
        </w:rPr>
        <w:t>Serwatka v. Rockwell Automation, Inc.</w:t>
      </w:r>
      <w:r>
        <w:rPr>
          <w:rFonts w:ascii="Arial" w:eastAsia="Arial" w:hAnsi="Arial" w:cs="Arial"/>
          <w:color w:val="000000"/>
          <w:sz w:val="18"/>
        </w:rPr>
        <w:t xml:space="preserve">, 591 F.3d 957, 961-62 (7th Cir. 2010) (extending </w:t>
      </w:r>
      <w:r>
        <w:rPr>
          <w:rFonts w:ascii="Arial" w:eastAsia="Arial" w:hAnsi="Arial" w:cs="Arial"/>
          <w:i/>
          <w:color w:val="000000"/>
          <w:sz w:val="18"/>
        </w:rPr>
        <w:t>Gross</w:t>
      </w:r>
      <w:r>
        <w:rPr>
          <w:rFonts w:ascii="Arial" w:eastAsia="Arial" w:hAnsi="Arial" w:cs="Arial"/>
          <w:color w:val="000000"/>
          <w:sz w:val="18"/>
        </w:rPr>
        <w:t xml:space="preserve"> to the ADA); </w:t>
      </w:r>
      <w:r>
        <w:rPr>
          <w:rFonts w:ascii="Arial" w:eastAsia="Arial" w:hAnsi="Arial" w:cs="Arial"/>
          <w:i/>
          <w:color w:val="000000"/>
          <w:sz w:val="18"/>
        </w:rPr>
        <w:t xml:space="preserve">see also </w:t>
      </w:r>
      <w:bookmarkStart w:id="4622" w:name="Bookmark_I529J4FN0M6K5S0030000400"/>
      <w:bookmarkEnd w:id="4622"/>
      <w:r>
        <w:rPr>
          <w:rFonts w:ascii="Arial" w:eastAsia="Arial" w:hAnsi="Arial" w:cs="Arial"/>
          <w:i/>
          <w:color w:val="000000"/>
          <w:sz w:val="18"/>
        </w:rPr>
        <w:t>Bolmer v. Oliveira</w:t>
      </w:r>
      <w:r>
        <w:rPr>
          <w:rFonts w:ascii="Arial" w:eastAsia="Arial" w:hAnsi="Arial" w:cs="Arial"/>
          <w:color w:val="000000"/>
          <w:sz w:val="18"/>
        </w:rPr>
        <w:t xml:space="preserve">, 594 F.3d 134, 148 (2d Cir. 2010) (recognizing open question regarding </w:t>
      </w:r>
      <w:r>
        <w:rPr>
          <w:rFonts w:ascii="Arial" w:eastAsia="Arial" w:hAnsi="Arial" w:cs="Arial"/>
          <w:i/>
          <w:color w:val="000000"/>
          <w:sz w:val="18"/>
        </w:rPr>
        <w:t>Gross's</w:t>
      </w:r>
      <w:r>
        <w:rPr>
          <w:rFonts w:ascii="Arial" w:eastAsia="Arial" w:hAnsi="Arial" w:cs="Arial"/>
          <w:color w:val="000000"/>
          <w:sz w:val="18"/>
        </w:rPr>
        <w:t xml:space="preserve"> extension to ADA claims); </w:t>
      </w:r>
      <w:bookmarkStart w:id="4623" w:name="Bookmark_I529J4FN0M6K5S0050000400"/>
      <w:bookmarkEnd w:id="4623"/>
      <w:r>
        <w:rPr>
          <w:rFonts w:ascii="Arial" w:eastAsia="Arial" w:hAnsi="Arial" w:cs="Arial"/>
          <w:i/>
          <w:color w:val="000000"/>
          <w:sz w:val="18"/>
        </w:rPr>
        <w:t>Crouch v. J C Penney Corp.</w:t>
      </w:r>
      <w:r>
        <w:rPr>
          <w:rFonts w:ascii="Arial" w:eastAsia="Arial" w:hAnsi="Arial" w:cs="Arial"/>
          <w:color w:val="000000"/>
          <w:sz w:val="18"/>
        </w:rPr>
        <w:t xml:space="preserve">, 337 F. App'x 399, 402 n.1 (5th Cir. 2009) (unpublished decision) (same). </w:t>
      </w:r>
      <w:bookmarkStart w:id="4624" w:name="Bookmark_I529J4FN0M6K5V0030000400_2"/>
      <w:bookmarkEnd w:id="4624"/>
      <w:r>
        <w:rPr>
          <w:rFonts w:ascii="Arial" w:eastAsia="Arial" w:hAnsi="Arial" w:cs="Arial"/>
          <w:color w:val="000000"/>
          <w:sz w:val="18"/>
        </w:rPr>
        <w:t xml:space="preserve">Regardless, even the "but-for" causal standard does not require disability to be the sole motivating factor. </w:t>
      </w:r>
      <w:r>
        <w:rPr>
          <w:rFonts w:ascii="Arial" w:eastAsia="Arial" w:hAnsi="Arial" w:cs="Arial"/>
          <w:i/>
          <w:color w:val="000000"/>
          <w:sz w:val="18"/>
        </w:rPr>
        <w:t xml:space="preserve">See </w:t>
      </w:r>
      <w:bookmarkStart w:id="4625" w:name="Bookmark_I529J4FN0M6K5V0020000400"/>
      <w:bookmarkEnd w:id="4625"/>
      <w:r>
        <w:rPr>
          <w:rFonts w:ascii="Arial" w:eastAsia="Arial" w:hAnsi="Arial" w:cs="Arial"/>
          <w:i/>
          <w:color w:val="000000"/>
          <w:sz w:val="18"/>
        </w:rPr>
        <w:t>Goostree v. Tennessee</w:t>
      </w:r>
      <w:r>
        <w:rPr>
          <w:rFonts w:ascii="Arial" w:eastAsia="Arial" w:hAnsi="Arial" w:cs="Arial"/>
          <w:color w:val="000000"/>
          <w:sz w:val="18"/>
        </w:rPr>
        <w:t xml:space="preserve">, 796 F.2d 854, 863 (6th Cir. 1986) (distinguishing sole-motivation standard from "but for" standard) (quoting </w:t>
      </w:r>
      <w:bookmarkStart w:id="4626" w:name="Bookmark_I529J4FN0M6K5V0040000400"/>
      <w:bookmarkEnd w:id="4626"/>
      <w:r>
        <w:rPr>
          <w:rFonts w:ascii="Arial" w:eastAsia="Arial" w:hAnsi="Arial" w:cs="Arial"/>
          <w:i/>
          <w:color w:val="000000"/>
          <w:sz w:val="18"/>
        </w:rPr>
        <w:t>McDonald v. Santa Fe Trail Transp. Co.</w:t>
      </w:r>
      <w:r>
        <w:rPr>
          <w:rFonts w:ascii="Arial" w:eastAsia="Arial" w:hAnsi="Arial" w:cs="Arial"/>
          <w:color w:val="000000"/>
          <w:sz w:val="18"/>
        </w:rPr>
        <w:t xml:space="preserve">, 427 U.S. 273, 282 n.10, 96 S. Ct. 2574, 49 L. Ed. 2d 493 (1976)), </w:t>
      </w:r>
      <w:r>
        <w:rPr>
          <w:rFonts w:ascii="Arial" w:eastAsia="Arial" w:hAnsi="Arial" w:cs="Arial"/>
          <w:i/>
          <w:color w:val="000000"/>
          <w:sz w:val="18"/>
        </w:rPr>
        <w:t>cert.  [**43] denied</w:t>
      </w:r>
      <w:r>
        <w:rPr>
          <w:rFonts w:ascii="Arial" w:eastAsia="Arial" w:hAnsi="Arial" w:cs="Arial"/>
          <w:color w:val="000000"/>
          <w:sz w:val="18"/>
        </w:rPr>
        <w:t xml:space="preserve">, 480 U.S. 918, 107 S. Ct. 1374, 94 L. Ed. 2d 689 (1987); </w:t>
      </w:r>
      <w:r>
        <w:rPr>
          <w:rFonts w:ascii="Arial" w:eastAsia="Arial" w:hAnsi="Arial" w:cs="Arial"/>
          <w:i/>
          <w:color w:val="000000"/>
          <w:sz w:val="18"/>
        </w:rPr>
        <w:t xml:space="preserve">see also </w:t>
      </w:r>
      <w:bookmarkStart w:id="4627" w:name="Bookmark_I529J4FN0M6K5X0010000400"/>
      <w:bookmarkEnd w:id="4627"/>
      <w:r>
        <w:rPr>
          <w:rFonts w:ascii="Arial" w:eastAsia="Arial" w:hAnsi="Arial" w:cs="Arial"/>
          <w:i/>
          <w:color w:val="000000"/>
          <w:sz w:val="18"/>
        </w:rPr>
        <w:t>Jones v. Okla. City Pub. Schs.</w:t>
      </w:r>
      <w:r>
        <w:rPr>
          <w:rFonts w:ascii="Arial" w:eastAsia="Arial" w:hAnsi="Arial" w:cs="Arial"/>
          <w:color w:val="000000"/>
          <w:sz w:val="18"/>
        </w:rPr>
        <w:t xml:space="preserve">, 617 F.3d 1273, 1277-78 (10th Cir. 2010) (same); </w:t>
      </w:r>
      <w:r>
        <w:rPr>
          <w:rFonts w:ascii="Arial" w:eastAsia="Arial" w:hAnsi="Arial" w:cs="Arial"/>
          <w:i/>
          <w:color w:val="000000"/>
          <w:sz w:val="18"/>
        </w:rPr>
        <w:t xml:space="preserve">cf. </w:t>
      </w:r>
      <w:bookmarkStart w:id="4628" w:name="Bookmark_I529J4FN0M6K5X0030000400"/>
      <w:bookmarkEnd w:id="4628"/>
      <w:r>
        <w:rPr>
          <w:rFonts w:ascii="Arial" w:eastAsia="Arial" w:hAnsi="Arial" w:cs="Arial"/>
          <w:i/>
          <w:color w:val="000000"/>
          <w:sz w:val="18"/>
        </w:rPr>
        <w:t>Gross</w:t>
      </w:r>
      <w:r>
        <w:rPr>
          <w:rFonts w:ascii="Arial" w:eastAsia="Arial" w:hAnsi="Arial" w:cs="Arial"/>
          <w:color w:val="000000"/>
          <w:sz w:val="18"/>
        </w:rPr>
        <w:t>, 129 S. Ct. at 2350 (describing a "but-for" cause as one that "had a determinative influence on the outcome" (emphasis and internal quotation marks omitted)).</w:t>
      </w:r>
    </w:p>
  </w:footnote>
  <w:footnote w:id="223">
    <w:p w14:paraId="3BAF833E" w14:textId="77777777" w:rsidR="00D041A2" w:rsidRDefault="00000000">
      <w:pPr>
        <w:pStyle w:val="Normal36"/>
        <w:widowControl w:val="0"/>
        <w:spacing w:before="120" w:line="240" w:lineRule="atLeast"/>
        <w:jc w:val="both"/>
      </w:pPr>
      <w:r>
        <w:rPr>
          <w:rFonts w:ascii="Arial" w:eastAsia="Arial" w:hAnsi="Arial" w:cs="Arial"/>
          <w:color w:val="000000"/>
          <w:sz w:val="18"/>
          <w:vertAlign w:val="superscript"/>
        </w:rPr>
        <w:t>1 </w:t>
      </w:r>
      <w:bookmarkStart w:id="4645" w:name="Bookmark_fnpara_1_30"/>
      <w:bookmarkEnd w:id="4645"/>
      <w:r>
        <w:rPr>
          <w:rFonts w:ascii="Arial" w:eastAsia="Arial" w:hAnsi="Arial" w:cs="Arial"/>
          <w:color w:val="000000"/>
          <w:sz w:val="18"/>
        </w:rPr>
        <w:t>Litigation documents alternately cite plaintiff's surname as "Steward," "Frazier Steward," and "Frazier-Steward." We refer to her as Steward, as she is denominated in her complaint.</w:t>
      </w:r>
    </w:p>
  </w:footnote>
  <w:footnote w:id="224">
    <w:p w14:paraId="574AB0F2"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2 </w:t>
      </w:r>
      <w:bookmarkStart w:id="4646" w:name="Bookmark_fnpara_2_27"/>
      <w:bookmarkEnd w:id="4646"/>
      <w:r>
        <w:rPr>
          <w:rFonts w:ascii="Arial" w:eastAsia="Arial" w:hAnsi="Arial" w:cs="Arial"/>
          <w:color w:val="000000"/>
          <w:sz w:val="18"/>
        </w:rPr>
        <w:t>At the time Steward was hired, defendant's predecessor  [**2] entity was known as the Chrysler Corporation. In 1998, this entity was purchased by German-based Daimler-Benz AG, creating the combined entity DaimlerChrysler, which was the originally named defendant in this lawsuit. In 2007, the majority of DaimlerChrysler was sold to an American private equity firm, and the corporation changed its name to Chrysler LLC. In April 2009, Chrysler LLC filed for Chapter 11 reorganization and transferred substantially all of its assets and certain liabilities — including this lawsuit — to the newly formed entity Chrysler Group LLC, also known as New Chrysler. The parties stipulated to New Chrysler's substitution for its predecessor entity in this lawsuit.</w:t>
      </w:r>
    </w:p>
  </w:footnote>
  <w:footnote w:id="225">
    <w:p w14:paraId="6773226E" w14:textId="77777777" w:rsidR="00D041A2" w:rsidRDefault="00000000">
      <w:pPr>
        <w:pStyle w:val="Normal36"/>
        <w:widowControl w:val="0"/>
        <w:spacing w:before="120" w:line="240" w:lineRule="atLeast"/>
        <w:jc w:val="both"/>
      </w:pPr>
      <w:r>
        <w:rPr>
          <w:rFonts w:ascii="Arial" w:eastAsia="Arial" w:hAnsi="Arial" w:cs="Arial"/>
          <w:color w:val="000000"/>
          <w:sz w:val="18"/>
          <w:vertAlign w:val="superscript"/>
        </w:rPr>
        <w:t>3 </w:t>
      </w:r>
      <w:bookmarkStart w:id="4651" w:name="Bookmark_fnpara_3_23"/>
      <w:bookmarkEnd w:id="4651"/>
      <w:r>
        <w:rPr>
          <w:rFonts w:ascii="Arial" w:eastAsia="Arial" w:hAnsi="Arial" w:cs="Arial"/>
          <w:color w:val="000000"/>
          <w:sz w:val="18"/>
        </w:rPr>
        <w:t>The statements from Steward's deposition mentioned at page 5 of the dissent are clearly not time-identified to the relevant time frame, and thus cannot be considered, even if they could constitute evidence of adverse action. Steward's clear statements as to picking her own job during the relevant time period are not undermined by the vague complaints referenced in pages 2-4 of the dissent, also not identified to the relevant time period.</w:t>
      </w:r>
    </w:p>
  </w:footnote>
  <w:footnote w:id="226">
    <w:p w14:paraId="46FCD317"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4 </w:t>
      </w:r>
      <w:bookmarkStart w:id="4724" w:name="Bookmark_fnpara_4_18"/>
      <w:bookmarkEnd w:id="4724"/>
      <w:r>
        <w:rPr>
          <w:rFonts w:ascii="Arial" w:eastAsia="Arial" w:hAnsi="Arial" w:cs="Arial"/>
          <w:color w:val="000000"/>
          <w:sz w:val="18"/>
        </w:rPr>
        <w:t xml:space="preserve">Steward's attempt to evade the contractual  [**19] limitations period by arguing that Chrysler's conduct throughout her employment amounts to a "continuing violation" must fail, as the Michigan Supreme Court has rejected the "continuing violation" doctrine under its civil rights laws. </w:t>
      </w:r>
      <w:r>
        <w:rPr>
          <w:rFonts w:ascii="Arial" w:eastAsia="Arial" w:hAnsi="Arial" w:cs="Arial"/>
          <w:i/>
          <w:color w:val="000000"/>
          <w:sz w:val="18"/>
        </w:rPr>
        <w:t xml:space="preserve">See </w:t>
      </w:r>
      <w:bookmarkStart w:id="4725" w:name="Bookmark_I5282BMJ0N5Y660030000400"/>
      <w:bookmarkEnd w:id="4725"/>
      <w:r>
        <w:rPr>
          <w:rFonts w:ascii="Arial" w:eastAsia="Arial" w:hAnsi="Arial" w:cs="Arial"/>
          <w:i/>
          <w:color w:val="000000"/>
          <w:sz w:val="18"/>
        </w:rPr>
        <w:t>Garg v. Macomb County Cmty. Mental Health Servs.</w:t>
      </w:r>
      <w:r>
        <w:rPr>
          <w:rFonts w:ascii="Arial" w:eastAsia="Arial" w:hAnsi="Arial" w:cs="Arial"/>
          <w:color w:val="000000"/>
          <w:sz w:val="18"/>
        </w:rPr>
        <w:t xml:space="preserve">, 472 Mich. 263, 696 N.W.2d 646, 658-660 (Mich. 2005) (overruling </w:t>
      </w:r>
      <w:bookmarkStart w:id="4726" w:name="Bookmark_I5282BMJ0N5Y660050000400"/>
      <w:bookmarkEnd w:id="4726"/>
      <w:r>
        <w:rPr>
          <w:rFonts w:ascii="Arial" w:eastAsia="Arial" w:hAnsi="Arial" w:cs="Arial"/>
          <w:i/>
          <w:color w:val="000000"/>
          <w:sz w:val="18"/>
        </w:rPr>
        <w:t>Sumner v. Goodyear Tire &amp; Rubber Co.</w:t>
      </w:r>
      <w:r>
        <w:rPr>
          <w:rFonts w:ascii="Arial" w:eastAsia="Arial" w:hAnsi="Arial" w:cs="Arial"/>
          <w:color w:val="000000"/>
          <w:sz w:val="18"/>
        </w:rPr>
        <w:t>, 427 Mich. 505, 398 N.W.2d 368 (Mich. 1986)).</w:t>
      </w:r>
    </w:p>
  </w:footnote>
  <w:footnote w:id="227">
    <w:p w14:paraId="6C3B003B"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5 </w:t>
      </w:r>
      <w:bookmarkStart w:id="4744" w:name="Bookmark_fnpara_5_17"/>
      <w:bookmarkStart w:id="4745" w:name="Bookmark_I0MP4108KR200109S6200333"/>
      <w:bookmarkStart w:id="4746" w:name="Bookmark_I5282BMM0N5Y7H0040000400"/>
      <w:bookmarkEnd w:id="4744"/>
      <w:bookmarkEnd w:id="4745"/>
      <w:bookmarkEnd w:id="4746"/>
      <w:r>
        <w:rPr>
          <w:rFonts w:ascii="Arial" w:eastAsia="Arial" w:hAnsi="Arial" w:cs="Arial"/>
          <w:color w:val="000000"/>
          <w:sz w:val="18"/>
        </w:rPr>
        <w:t xml:space="preserve">Steward does cite </w:t>
      </w:r>
      <w:bookmarkStart w:id="4747" w:name="Bookmark_I5282BMM0N5Y7H0030000400"/>
      <w:bookmarkEnd w:id="4747"/>
      <w:r>
        <w:rPr>
          <w:rFonts w:ascii="Arial" w:eastAsia="Arial" w:hAnsi="Arial" w:cs="Arial"/>
          <w:i/>
          <w:color w:val="000000"/>
          <w:sz w:val="18"/>
        </w:rPr>
        <w:t>Morris v. Oldham County Fiscal Court</w:t>
      </w:r>
      <w:r>
        <w:rPr>
          <w:rFonts w:ascii="Arial" w:eastAsia="Arial" w:hAnsi="Arial" w:cs="Arial"/>
          <w:color w:val="000000"/>
          <w:sz w:val="18"/>
        </w:rPr>
        <w:t xml:space="preserve">, 201 F.3d 784 (6th Cir. 2000), a hostile-work-environment case, in her opening brief. </w:t>
      </w:r>
      <w:r>
        <w:rPr>
          <w:rFonts w:ascii="Arial" w:eastAsia="Arial" w:hAnsi="Arial" w:cs="Arial"/>
          <w:i/>
          <w:color w:val="000000"/>
          <w:sz w:val="18"/>
        </w:rPr>
        <w:t>See</w:t>
      </w:r>
      <w:r>
        <w:rPr>
          <w:rFonts w:ascii="Arial" w:eastAsia="Arial" w:hAnsi="Arial" w:cs="Arial"/>
          <w:color w:val="000000"/>
          <w:sz w:val="18"/>
        </w:rPr>
        <w:t xml:space="preserve"> Appellant's Br. at 26-27. </w:t>
      </w:r>
      <w:bookmarkStart w:id="4748" w:name="Bookmark_I5282BMM0N5Y7Y0010000400"/>
      <w:bookmarkEnd w:id="4748"/>
      <w:r>
        <w:rPr>
          <w:rFonts w:ascii="Arial" w:eastAsia="Arial" w:hAnsi="Arial" w:cs="Arial"/>
          <w:color w:val="000000"/>
          <w:sz w:val="18"/>
        </w:rPr>
        <w:t xml:space="preserve">However, she claims nowhere in her brief that a  [**21] hostile work environment actually existed at the Chrysler plant and conducts no legal analysis of the hostile-work-environment factors. </w:t>
      </w:r>
      <w:bookmarkStart w:id="4749" w:name="Bookmark_I5282BMM0N5Y7Y0010000400_2"/>
      <w:bookmarkEnd w:id="4749"/>
      <w:r>
        <w:rPr>
          <w:rFonts w:ascii="Arial" w:eastAsia="Arial" w:hAnsi="Arial" w:cs="Arial"/>
          <w:color w:val="000000"/>
          <w:sz w:val="18"/>
        </w:rPr>
        <w:t xml:space="preserve">Issues adverted to in such a perfunctory manner are deemed waived. </w:t>
      </w:r>
      <w:bookmarkStart w:id="4750" w:name="Bookmark_I5282BMM0N5Y7Y0030000400"/>
      <w:bookmarkStart w:id="4751" w:name="Bookmark_I5282BMM0N5Y7H0050000400"/>
      <w:bookmarkEnd w:id="4750"/>
      <w:bookmarkEnd w:id="4751"/>
      <w:r>
        <w:rPr>
          <w:rFonts w:ascii="Arial" w:eastAsia="Arial" w:hAnsi="Arial" w:cs="Arial"/>
          <w:i/>
          <w:color w:val="000000"/>
          <w:sz w:val="18"/>
        </w:rPr>
        <w:t>Arch of Ky., Inc. v. Dir., Office of Workers' Comp. Programs</w:t>
      </w:r>
      <w:r>
        <w:rPr>
          <w:rFonts w:ascii="Arial" w:eastAsia="Arial" w:hAnsi="Arial" w:cs="Arial"/>
          <w:color w:val="000000"/>
          <w:sz w:val="18"/>
        </w:rPr>
        <w:t xml:space="preserve">, 556 F.3d 472, 477 (6th Cir. 2009). </w:t>
      </w:r>
      <w:bookmarkStart w:id="4752" w:name="Bookmark_I5282BMM0N5Y7Y0030000400_2"/>
      <w:bookmarkEnd w:id="4752"/>
      <w:r>
        <w:rPr>
          <w:rFonts w:ascii="Arial" w:eastAsia="Arial" w:hAnsi="Arial" w:cs="Arial"/>
          <w:color w:val="000000"/>
          <w:sz w:val="18"/>
        </w:rPr>
        <w:t xml:space="preserve">In any event, the fact that this form of discrimination was not alleged in Steward's original complaint is itself dispositive. </w:t>
      </w:r>
      <w:bookmarkStart w:id="4753" w:name="Bookmark_I5282BMM0N5Y7Y0020000400"/>
      <w:bookmarkEnd w:id="4753"/>
      <w:r>
        <w:rPr>
          <w:rFonts w:ascii="Arial" w:eastAsia="Arial" w:hAnsi="Arial" w:cs="Arial"/>
          <w:i/>
          <w:color w:val="000000"/>
          <w:sz w:val="18"/>
        </w:rPr>
        <w:t>Mitchell v. McNeil</w:t>
      </w:r>
      <w:r>
        <w:rPr>
          <w:rFonts w:ascii="Arial" w:eastAsia="Arial" w:hAnsi="Arial" w:cs="Arial"/>
          <w:color w:val="000000"/>
          <w:sz w:val="18"/>
        </w:rPr>
        <w:t>, 487 F.3d 374, 379 (6th Cir. 2007).</w:t>
      </w:r>
    </w:p>
  </w:footnote>
  <w:footnote w:id="228">
    <w:p w14:paraId="2E84C056"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6 </w:t>
      </w:r>
      <w:bookmarkStart w:id="4797" w:name="Bookmark_fnpara_6_15"/>
      <w:bookmarkStart w:id="4798" w:name="Bookmark_I5282BMP0N5Y990030000400"/>
      <w:bookmarkEnd w:id="4797"/>
      <w:bookmarkEnd w:id="4798"/>
      <w:r>
        <w:rPr>
          <w:rFonts w:ascii="Arial" w:eastAsia="Arial" w:hAnsi="Arial" w:cs="Arial"/>
          <w:color w:val="000000"/>
          <w:sz w:val="18"/>
        </w:rPr>
        <w:t xml:space="preserve">Being placed on paid layoff, and thereby being  [**25] deprived of one's job duties, would surely qualify as an adverse employment action. However, Steward does not argue in her opening brief that her placement on leave was racially motivated, and her cursory suggestion to that effect in her reply brief does not preserve the argument. </w:t>
      </w:r>
      <w:r>
        <w:rPr>
          <w:rFonts w:ascii="Arial" w:eastAsia="Arial" w:hAnsi="Arial" w:cs="Arial"/>
          <w:i/>
          <w:color w:val="000000"/>
          <w:sz w:val="18"/>
        </w:rPr>
        <w:t xml:space="preserve">See </w:t>
      </w:r>
      <w:bookmarkStart w:id="4799" w:name="Bookmark_I5282BMP0N5Y990020000400"/>
      <w:bookmarkEnd w:id="4799"/>
      <w:r>
        <w:rPr>
          <w:rFonts w:ascii="Arial" w:eastAsia="Arial" w:hAnsi="Arial" w:cs="Arial"/>
          <w:i/>
          <w:color w:val="000000"/>
          <w:sz w:val="18"/>
        </w:rPr>
        <w:t>Garcia v. Daimler Chrysler Corp.</w:t>
      </w:r>
      <w:r>
        <w:rPr>
          <w:rFonts w:ascii="Arial" w:eastAsia="Arial" w:hAnsi="Arial" w:cs="Arial"/>
          <w:color w:val="000000"/>
          <w:sz w:val="18"/>
        </w:rPr>
        <w:t xml:space="preserve">, 320 F. App'x 356, 363 (6th Cir. 2009). Moreover, her deposition testimony is inconsistent with such an argument. </w:t>
      </w:r>
      <w:r>
        <w:rPr>
          <w:rFonts w:ascii="Arial" w:eastAsia="Arial" w:hAnsi="Arial" w:cs="Arial"/>
          <w:i/>
          <w:color w:val="000000"/>
          <w:sz w:val="18"/>
        </w:rPr>
        <w:t>See</w:t>
      </w:r>
      <w:r>
        <w:rPr>
          <w:rFonts w:ascii="Arial" w:eastAsia="Arial" w:hAnsi="Arial" w:cs="Arial"/>
          <w:color w:val="000000"/>
          <w:sz w:val="18"/>
        </w:rPr>
        <w:t xml:space="preserve"> ROA at 146 ("They accommodate everybody else's restrictions [except mine,] whether they're white, black, Puerto Rican, gay, it don't make no difference.").</w:t>
      </w:r>
    </w:p>
  </w:footnote>
  <w:footnote w:id="229">
    <w:p w14:paraId="35D3621C"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7 </w:t>
      </w:r>
      <w:bookmarkStart w:id="4800" w:name="Bookmark_fnpara_7_12"/>
      <w:bookmarkEnd w:id="4800"/>
      <w:r>
        <w:rPr>
          <w:rFonts w:ascii="Arial" w:eastAsia="Arial" w:hAnsi="Arial" w:cs="Arial"/>
          <w:color w:val="000000"/>
          <w:sz w:val="18"/>
        </w:rPr>
        <w:t xml:space="preserve">To be sure, race-based harassment that "intimidat[es]" or "offen[ds]" without causing economic harm may be actionable under Title VII's </w:t>
      </w:r>
      <w:r>
        <w:rPr>
          <w:rFonts w:ascii="Arial" w:eastAsia="Arial" w:hAnsi="Arial" w:cs="Arial"/>
          <w:i/>
          <w:color w:val="000000"/>
          <w:sz w:val="18"/>
        </w:rPr>
        <w:t>hostile-work-environment</w:t>
      </w:r>
      <w:r>
        <w:rPr>
          <w:rFonts w:ascii="Arial" w:eastAsia="Arial" w:hAnsi="Arial" w:cs="Arial"/>
          <w:color w:val="000000"/>
          <w:sz w:val="18"/>
        </w:rPr>
        <w:t xml:space="preserve"> theory of liability, </w:t>
      </w:r>
      <w:bookmarkStart w:id="4801" w:name="Bookmark_I5282BMP0N5Y990040000400"/>
      <w:bookmarkEnd w:id="4801"/>
      <w:r>
        <w:rPr>
          <w:rFonts w:ascii="Arial" w:eastAsia="Arial" w:hAnsi="Arial" w:cs="Arial"/>
          <w:i/>
          <w:color w:val="000000"/>
          <w:sz w:val="18"/>
        </w:rPr>
        <w:t>Clay v. United Parcel Serv., Inc.</w:t>
      </w:r>
      <w:r>
        <w:rPr>
          <w:rFonts w:ascii="Arial" w:eastAsia="Arial" w:hAnsi="Arial" w:cs="Arial"/>
          <w:color w:val="000000"/>
          <w:sz w:val="18"/>
        </w:rPr>
        <w:t xml:space="preserve">, 501 F.3d 695, 706 (6th Cir. 2007), provided such harassment is "sufficiently severe or pervasive," </w:t>
      </w:r>
      <w:bookmarkStart w:id="4802" w:name="Bookmark_I5282BMP0N5Y9D0010000400"/>
      <w:bookmarkEnd w:id="4802"/>
      <w:r>
        <w:rPr>
          <w:rFonts w:ascii="Arial" w:eastAsia="Arial" w:hAnsi="Arial" w:cs="Arial"/>
          <w:i/>
          <w:color w:val="000000"/>
          <w:sz w:val="18"/>
        </w:rPr>
        <w:t>id.</w:t>
      </w:r>
      <w:r>
        <w:rPr>
          <w:rFonts w:ascii="Arial" w:eastAsia="Arial" w:hAnsi="Arial" w:cs="Arial"/>
          <w:color w:val="000000"/>
          <w:sz w:val="18"/>
        </w:rPr>
        <w:t xml:space="preserve"> at 707 (quoting </w:t>
      </w:r>
      <w:bookmarkStart w:id="4803" w:name="Bookmark_I5282BMP0N5Y9D0030000400"/>
      <w:bookmarkEnd w:id="4803"/>
      <w:r>
        <w:rPr>
          <w:rFonts w:ascii="Arial" w:eastAsia="Arial" w:hAnsi="Arial" w:cs="Arial"/>
          <w:i/>
          <w:color w:val="000000"/>
          <w:sz w:val="18"/>
        </w:rPr>
        <w:t>Williams v. Gen. Motors Corp.</w:t>
      </w:r>
      <w:r>
        <w:rPr>
          <w:rFonts w:ascii="Arial" w:eastAsia="Arial" w:hAnsi="Arial" w:cs="Arial"/>
          <w:color w:val="000000"/>
          <w:sz w:val="18"/>
        </w:rPr>
        <w:t xml:space="preserve">, 187 F.3d 553, 560, 562 (6th Cir. 1999)); </w:t>
      </w:r>
      <w:r>
        <w:rPr>
          <w:rFonts w:ascii="Arial" w:eastAsia="Arial" w:hAnsi="Arial" w:cs="Arial"/>
          <w:i/>
          <w:color w:val="000000"/>
          <w:sz w:val="18"/>
        </w:rPr>
        <w:t xml:space="preserve">see also </w:t>
      </w:r>
      <w:bookmarkStart w:id="4804" w:name="Bookmark_I5282BMP0N5Y9D0050000400"/>
      <w:bookmarkEnd w:id="4804"/>
      <w:r>
        <w:rPr>
          <w:rFonts w:ascii="Arial" w:eastAsia="Arial" w:hAnsi="Arial" w:cs="Arial"/>
          <w:i/>
          <w:color w:val="000000"/>
          <w:sz w:val="18"/>
        </w:rPr>
        <w:t>Meritor Sav. Bank, FSB v. Vinson</w:t>
      </w:r>
      <w:r>
        <w:rPr>
          <w:rFonts w:ascii="Arial" w:eastAsia="Arial" w:hAnsi="Arial" w:cs="Arial"/>
          <w:color w:val="000000"/>
          <w:sz w:val="18"/>
        </w:rPr>
        <w:t>, 477 U.S. 57, 67-68, 106 S. Ct. 2399, 91 L. Ed. 2d 49 (1986). However, Steward does not pursue that theory of discrimination in this action.</w:t>
      </w:r>
    </w:p>
  </w:footnote>
  <w:footnote w:id="230">
    <w:p w14:paraId="09678EDD"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8 </w:t>
      </w:r>
      <w:bookmarkStart w:id="4810" w:name="Bookmark_fnpara_8_11"/>
      <w:bookmarkStart w:id="4811" w:name="Bookmark_I5282BMP0N5Y9H0050000400"/>
      <w:bookmarkEnd w:id="4810"/>
      <w:bookmarkEnd w:id="4811"/>
      <w:r>
        <w:rPr>
          <w:rFonts w:ascii="Arial" w:eastAsia="Arial" w:hAnsi="Arial" w:cs="Arial"/>
          <w:color w:val="000000"/>
          <w:sz w:val="18"/>
        </w:rPr>
        <w:t xml:space="preserve">We note that the ADA was amended in 2008 to "broad[en the] scope of protection . . . available under the [statute]." Pub. L. No. 110-325, § 2, 122 Stat. 3553, 3554. These amendments "became effective on January 1, 2009," but "do[] not apply retroactively to govern conduct occuring before the[y] became effective." </w:t>
      </w:r>
      <w:bookmarkStart w:id="4812" w:name="Bookmark_I5282BMP0N5Y9H0040000400"/>
      <w:bookmarkEnd w:id="4812"/>
      <w:r>
        <w:rPr>
          <w:rFonts w:ascii="Arial" w:eastAsia="Arial" w:hAnsi="Arial" w:cs="Arial"/>
          <w:i/>
          <w:color w:val="000000"/>
          <w:sz w:val="18"/>
        </w:rPr>
        <w:t>Milholland v. Sumner County Bd. of Educ.</w:t>
      </w:r>
      <w:r>
        <w:rPr>
          <w:rFonts w:ascii="Arial" w:eastAsia="Arial" w:hAnsi="Arial" w:cs="Arial"/>
          <w:color w:val="000000"/>
          <w:sz w:val="18"/>
        </w:rPr>
        <w:t>, 569 F.3d 562, 565-67 (6th Cir. 2009). Accordingly, Steward's claims must be analyzed under the pre-amendment version of the ADA (although, in this case,  [**27] the version applied would make no difference).</w:t>
      </w:r>
    </w:p>
  </w:footnote>
  <w:footnote w:id="231">
    <w:p w14:paraId="64E05AB9"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9 </w:t>
      </w:r>
      <w:bookmarkStart w:id="4852" w:name="Bookmark_fnpara_9_10"/>
      <w:bookmarkEnd w:id="4852"/>
      <w:r>
        <w:rPr>
          <w:rFonts w:ascii="Arial" w:eastAsia="Arial" w:hAnsi="Arial" w:cs="Arial"/>
          <w:color w:val="000000"/>
          <w:sz w:val="18"/>
        </w:rPr>
        <w:t>The closest thing the record contains to evidence pointing the other way is an email sent by human-resources employee Todd Taylor in August 2005, five months after Steward was placed on paid layoff. The  [**32] email states that Chrysler "</w:t>
      </w:r>
      <w:r>
        <w:rPr>
          <w:rFonts w:ascii="Arial" w:eastAsia="Arial" w:hAnsi="Arial" w:cs="Arial"/>
          <w:i/>
          <w:color w:val="000000"/>
          <w:sz w:val="18"/>
        </w:rPr>
        <w:t>may</w:t>
      </w:r>
      <w:r>
        <w:rPr>
          <w:rFonts w:ascii="Arial" w:eastAsia="Arial" w:hAnsi="Arial" w:cs="Arial"/>
          <w:color w:val="000000"/>
          <w:sz w:val="18"/>
        </w:rPr>
        <w:t xml:space="preserve"> have [had] a job [as of August 2005] that c[ould] accommodate [Steward's] restrictions, but some new [physical requirements] might have just been added due to [a product] launch," and that Taylor was looking into the issue. ROA at 316 (emphasis added). Because this email does not identify any specific position — or state that an appropriate position was definitely, or </w:t>
      </w:r>
      <w:r>
        <w:rPr>
          <w:rFonts w:ascii="Arial" w:eastAsia="Arial" w:hAnsi="Arial" w:cs="Arial"/>
          <w:i/>
          <w:color w:val="000000"/>
          <w:sz w:val="18"/>
        </w:rPr>
        <w:t>even probably</w:t>
      </w:r>
      <w:r>
        <w:rPr>
          <w:rFonts w:ascii="Arial" w:eastAsia="Arial" w:hAnsi="Arial" w:cs="Arial"/>
          <w:color w:val="000000"/>
          <w:sz w:val="18"/>
        </w:rPr>
        <w:t>, available — it cannot create a genuine issue of material fact.</w:t>
      </w:r>
    </w:p>
  </w:footnote>
  <w:footnote w:id="232">
    <w:p w14:paraId="0E054C05"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1 </w:t>
      </w:r>
      <w:bookmarkStart w:id="4894" w:name="Bookmark_fnpara_10_9"/>
      <w:bookmarkEnd w:id="4894"/>
      <w:r>
        <w:rPr>
          <w:rFonts w:ascii="Arial" w:eastAsia="Arial" w:hAnsi="Arial" w:cs="Arial"/>
          <w:color w:val="000000"/>
          <w:sz w:val="18"/>
        </w:rPr>
        <w:t xml:space="preserve">The majority's assertion that Steward made "clear statements as to picking her own job </w:t>
      </w:r>
      <w:r>
        <w:rPr>
          <w:rFonts w:ascii="Arial" w:eastAsia="Arial" w:hAnsi="Arial" w:cs="Arial"/>
          <w:i/>
          <w:color w:val="000000"/>
          <w:sz w:val="18"/>
        </w:rPr>
        <w:t>during the relevant time period</w:t>
      </w:r>
      <w:r>
        <w:rPr>
          <w:rFonts w:ascii="Arial" w:eastAsia="Arial" w:hAnsi="Arial" w:cs="Arial"/>
          <w:color w:val="000000"/>
          <w:sz w:val="18"/>
        </w:rPr>
        <w:t xml:space="preserve">" is puzzling. Majority Op. at 3 n.3 (emphasis added); </w:t>
      </w:r>
      <w:r>
        <w:rPr>
          <w:rFonts w:ascii="Arial" w:eastAsia="Arial" w:hAnsi="Arial" w:cs="Arial"/>
          <w:i/>
          <w:color w:val="000000"/>
          <w:sz w:val="18"/>
        </w:rPr>
        <w:t>see also id.</w:t>
      </w:r>
      <w:r>
        <w:rPr>
          <w:rFonts w:ascii="Arial" w:eastAsia="Arial" w:hAnsi="Arial" w:cs="Arial"/>
          <w:color w:val="000000"/>
          <w:sz w:val="18"/>
        </w:rPr>
        <w:t xml:space="preserve"> at 2 (citing ROA at 122, 366). In the two instances that she made such statements, she clearly identifies one as relating to the time period around 2000-2001, ROA at 366 (Steward Dep. at 280), and she does not identify the time period of the other, ROA at 122 (Steward Dep. at 43-45).</w:t>
      </w:r>
    </w:p>
  </w:footnote>
  <w:footnote w:id="233">
    <w:p w14:paraId="7C420300"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2 </w:t>
      </w:r>
      <w:bookmarkStart w:id="4896" w:name="Bookmark_fnpara_11_9"/>
      <w:bookmarkEnd w:id="4896"/>
      <w:r>
        <w:rPr>
          <w:rFonts w:ascii="Arial" w:eastAsia="Arial" w:hAnsi="Arial" w:cs="Arial"/>
          <w:color w:val="000000"/>
          <w:sz w:val="18"/>
        </w:rPr>
        <w:t xml:space="preserve">Despite its reliance on statements by Steward that are not time-identified to the relevant time frame, </w:t>
      </w:r>
      <w:r>
        <w:rPr>
          <w:rFonts w:ascii="Arial" w:eastAsia="Arial" w:hAnsi="Arial" w:cs="Arial"/>
          <w:i/>
          <w:color w:val="000000"/>
          <w:sz w:val="18"/>
        </w:rPr>
        <w:t>see supra</w:t>
      </w:r>
      <w:r>
        <w:rPr>
          <w:rFonts w:ascii="Arial" w:eastAsia="Arial" w:hAnsi="Arial" w:cs="Arial"/>
          <w:color w:val="000000"/>
          <w:sz w:val="18"/>
        </w:rPr>
        <w:t xml:space="preserve"> note 1, the majority dismisses other evidence in the record relating to how positions on the line are filled because the evidence is not explicitly identified to the relevant time frame. Majority Op. at 3 n.3. The record does not suggest that the practice for filling positions changed materially over the course of Steward's  [**42] employment at Chrysler such that evidence speaking to the practice generally would not be applicable for the relevant post-February 2005 time period. Furthermore, in response to the question whether, "[a]t any period in time," he intentionally set up the line to segregate employees on the basis of race, McKerley responded with a description of how he "place[s] people on jobs according to need and basic requirements to get the job done," with seniority also being a factor. ROA at 400-01 (McKerley Dep. at 112-13). Chrysler also argues that "Steward's </w:t>
      </w:r>
      <w:r>
        <w:rPr>
          <w:rFonts w:ascii="Arial" w:eastAsia="Arial" w:hAnsi="Arial" w:cs="Arial"/>
          <w:i/>
          <w:color w:val="000000"/>
          <w:sz w:val="18"/>
        </w:rPr>
        <w:t>assignment in 2005</w:t>
      </w:r>
      <w:r>
        <w:rPr>
          <w:rFonts w:ascii="Arial" w:eastAsia="Arial" w:hAnsi="Arial" w:cs="Arial"/>
          <w:color w:val="000000"/>
          <w:sz w:val="18"/>
        </w:rPr>
        <w:t xml:space="preserve"> was an attempt to accommodate her restrictions," Chrysler Br. at 30 (emphasis added), suggesting that her position on the line during the relevant time period was one that was assigned to her rather than the result of her own choice. I therefore disagree with the majority's assertion that this evidence cannot be considered with respect to the question of whether McKerley influenced the placement of workers on the line.</w:t>
      </w:r>
    </w:p>
  </w:footnote>
  <w:footnote w:id="234">
    <w:p w14:paraId="0B7A1722"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3 </w:t>
      </w:r>
      <w:bookmarkStart w:id="4899" w:name="Bookmark_fnpara_12_5"/>
      <w:bookmarkEnd w:id="4899"/>
      <w:r>
        <w:rPr>
          <w:rFonts w:ascii="Arial" w:eastAsia="Arial" w:hAnsi="Arial" w:cs="Arial"/>
          <w:color w:val="000000"/>
          <w:sz w:val="18"/>
        </w:rPr>
        <w:t xml:space="preserve">I believe that the claim of a segregated workforce, when supported by evidence that the employer exercises at least some discretion over job placements, is sufficient to demonstrate aprima facie case for  [**43] race discrimination. </w:t>
      </w:r>
      <w:r>
        <w:rPr>
          <w:rFonts w:ascii="Arial" w:eastAsia="Arial" w:hAnsi="Arial" w:cs="Arial"/>
          <w:i/>
          <w:color w:val="000000"/>
          <w:sz w:val="18"/>
        </w:rPr>
        <w:t>See, e.g.</w:t>
      </w:r>
      <w:r>
        <w:rPr>
          <w:rFonts w:ascii="Arial" w:eastAsia="Arial" w:hAnsi="Arial" w:cs="Arial"/>
          <w:color w:val="000000"/>
          <w:sz w:val="18"/>
        </w:rPr>
        <w:t xml:space="preserve">, </w:t>
      </w:r>
      <w:r>
        <w:rPr>
          <w:rFonts w:ascii="Arial" w:eastAsia="Arial" w:hAnsi="Arial" w:cs="Arial"/>
          <w:smallCaps/>
          <w:color w:val="000000"/>
          <w:sz w:val="18"/>
        </w:rPr>
        <w:t>Mich. Comp. Laws</w:t>
      </w:r>
      <w:r>
        <w:rPr>
          <w:rFonts w:ascii="Arial" w:eastAsia="Arial" w:hAnsi="Arial" w:cs="Arial"/>
          <w:color w:val="000000"/>
          <w:sz w:val="18"/>
        </w:rPr>
        <w:t xml:space="preserve"> § 37.2202(1)(b) (prohibiting employers from "segregat[ing]" an employee "for employment in a way that deprives or tends to deprive the employee . . . of an employment opportunity, or otherwise adversely affects the status of an employee . . . because of . . . race"); Civil Rights Act of 1964, § 703(a)(1), 42 U.S.C. § 2000e-2(a)(2) (same); </w:t>
      </w:r>
      <w:bookmarkStart w:id="4900" w:name="Bookmark_I5282BMW0N5YBG0010000400"/>
      <w:bookmarkEnd w:id="4900"/>
      <w:r>
        <w:rPr>
          <w:rFonts w:ascii="Arial" w:eastAsia="Arial" w:hAnsi="Arial" w:cs="Arial"/>
          <w:i/>
          <w:color w:val="000000"/>
          <w:sz w:val="18"/>
        </w:rPr>
        <w:t>United Steelworkers v. Weber</w:t>
      </w:r>
      <w:r>
        <w:rPr>
          <w:rFonts w:ascii="Arial" w:eastAsia="Arial" w:hAnsi="Arial" w:cs="Arial"/>
          <w:color w:val="000000"/>
          <w:sz w:val="18"/>
        </w:rPr>
        <w:t xml:space="preserve">, 443 U.S. 193, 208, 99 S. Ct. 2721, 61 L. Ed. 2d 480 (1979) (stating that Title VII was "designed to break down old patterns of racial segregation and hierarchy"); EEOC </w:t>
      </w:r>
      <w:r>
        <w:rPr>
          <w:rFonts w:ascii="Arial" w:eastAsia="Arial" w:hAnsi="Arial" w:cs="Arial"/>
          <w:smallCaps/>
          <w:color w:val="000000"/>
          <w:sz w:val="18"/>
        </w:rPr>
        <w:t>Complirance Manual</w:t>
      </w:r>
      <w:r>
        <w:rPr>
          <w:rFonts w:ascii="Arial" w:eastAsia="Arial" w:hAnsi="Arial" w:cs="Arial"/>
          <w:color w:val="000000"/>
          <w:sz w:val="18"/>
        </w:rPr>
        <w:t xml:space="preserve"> § 618.3(a) (2003) (stating that "a </w:t>
      </w:r>
      <w:r>
        <w:rPr>
          <w:rFonts w:ascii="Arial" w:eastAsia="Arial" w:hAnsi="Arial" w:cs="Arial"/>
          <w:i/>
          <w:color w:val="000000"/>
          <w:sz w:val="18"/>
        </w:rPr>
        <w:t>prima facie</w:t>
      </w:r>
      <w:r>
        <w:rPr>
          <w:rFonts w:ascii="Arial" w:eastAsia="Arial" w:hAnsi="Arial" w:cs="Arial"/>
          <w:color w:val="000000"/>
          <w:sz w:val="18"/>
        </w:rPr>
        <w:t xml:space="preserve"> case of discrimination would be established if the employer had a policy of assigning Blacks to one section of the plant and Whites to another, or women to one production line and men to another" and that "[t]he same is also true if the employer has no policy, but nonetheless Blacks are assigned to only one section of the plant, or women are assigned to only one production line").</w:t>
      </w:r>
    </w:p>
  </w:footnote>
  <w:footnote w:id="235">
    <w:p w14:paraId="65D617D7"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4 </w:t>
      </w:r>
      <w:bookmarkStart w:id="4902" w:name="Bookmark_fnpara_13_5"/>
      <w:bookmarkEnd w:id="4902"/>
      <w:r>
        <w:rPr>
          <w:rFonts w:ascii="Arial" w:eastAsia="Arial" w:hAnsi="Arial" w:cs="Arial"/>
          <w:color w:val="000000"/>
          <w:sz w:val="18"/>
        </w:rPr>
        <w:t xml:space="preserve">The majority rejects these allegations because it concludes they are also not identified to the relevant time period. Majority Op. at 3 n.3. However, viewing the facts in the light most favorable to Steward, which we must do at summary judgment, I believe that Steward's statement that McKerley's assignment of additional work "was something that was going on </w:t>
      </w:r>
      <w:r>
        <w:rPr>
          <w:rFonts w:ascii="Arial" w:eastAsia="Arial" w:hAnsi="Arial" w:cs="Arial"/>
          <w:i/>
          <w:color w:val="000000"/>
          <w:sz w:val="18"/>
        </w:rPr>
        <w:t>every day</w:t>
      </w:r>
      <w:r>
        <w:rPr>
          <w:rFonts w:ascii="Arial" w:eastAsia="Arial" w:hAnsi="Arial" w:cs="Arial"/>
          <w:color w:val="000000"/>
          <w:sz w:val="18"/>
        </w:rPr>
        <w:t>" is sufficient to place it in the relevant time frame. ROA at 367-68 (Steward Dep. at 283-85).</w:t>
      </w:r>
    </w:p>
  </w:footnote>
  <w:footnote w:id="236">
    <w:p w14:paraId="615D7E8D"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5 </w:t>
      </w:r>
      <w:bookmarkStart w:id="4906" w:name="Bookmark_fnpara_14_5"/>
      <w:bookmarkEnd w:id="4906"/>
      <w:r>
        <w:rPr>
          <w:rFonts w:ascii="Arial" w:eastAsia="Arial" w:hAnsi="Arial" w:cs="Arial"/>
          <w:color w:val="000000"/>
          <w:sz w:val="18"/>
        </w:rPr>
        <w:t>Steward has also sufficiently established the first, third, and fourth prongs of her prima facie case: Steward is an African American; Steward was laid  [**46] off because of her disability-based work restrictions, not because she was not qualified for the job; and her testimony and the testimony of her coworkers sufficiently establishes that McKerley treated African Americans more poorly than white employees with respect to placement on the assembly line and the assignment of additional work.</w:t>
      </w:r>
    </w:p>
  </w:footnote>
  <w:footnote w:id="237">
    <w:p w14:paraId="5ACCD331" w14:textId="77777777" w:rsidR="00D041A2" w:rsidRDefault="00000000">
      <w:pPr>
        <w:pStyle w:val="Normal36"/>
        <w:widowControl w:val="0"/>
        <w:spacing w:before="120" w:line="240" w:lineRule="atLeast"/>
        <w:jc w:val="both"/>
      </w:pPr>
      <w:r>
        <w:rPr>
          <w:rFonts w:ascii="Arial" w:eastAsia="Arial" w:hAnsi="Arial" w:cs="Arial"/>
          <w:color w:val="000000"/>
          <w:sz w:val="18"/>
          <w:vertAlign w:val="superscript"/>
        </w:rPr>
        <w:t>6 </w:t>
      </w:r>
      <w:bookmarkStart w:id="4908" w:name="Bookmark_fnpara_15_4"/>
      <w:bookmarkEnd w:id="4908"/>
      <w:r>
        <w:rPr>
          <w:rFonts w:ascii="Arial" w:eastAsia="Arial" w:hAnsi="Arial" w:cs="Arial"/>
          <w:color w:val="000000"/>
          <w:sz w:val="18"/>
        </w:rPr>
        <w:t>Although Chrysler makes the statement in support of its argument that Steward has not established a prima facie case of race discrimination, Chrysler's assertion that "Steward's assignment in 2005 was an attempt to accommodate her [disability] restrictions," Chrysler Br. at 30, could be construed as a legitimate, nondiscriminatory reason for her job assignment in the relevant time period. It is not clear, however, whether Steward's assignment on the line at that time was chosen to accommodate her restrictions. The record shows that, rather than moving Steward to another position as an accommodation, Chrysler chose to provide an extra person to assist her in completing the job. ROA at 128 (Steward Dep. at 141).</w:t>
      </w:r>
    </w:p>
  </w:footnote>
  <w:footnote w:id="238">
    <w:p w14:paraId="7ECEF52F" w14:textId="77777777" w:rsidR="00D041A2" w:rsidRDefault="00000000">
      <w:pPr>
        <w:pStyle w:val="Normal36"/>
        <w:widowControl w:val="0"/>
        <w:spacing w:before="200" w:line="240" w:lineRule="atLeast"/>
        <w:jc w:val="both"/>
      </w:pPr>
      <w:r>
        <w:rPr>
          <w:rFonts w:ascii="Arial" w:eastAsia="Arial" w:hAnsi="Arial" w:cs="Arial"/>
          <w:color w:val="000000"/>
          <w:sz w:val="18"/>
          <w:vertAlign w:val="superscript"/>
        </w:rPr>
        <w:t>7 </w:t>
      </w:r>
      <w:bookmarkStart w:id="4916" w:name="Bookmark_fnpara_16_3"/>
      <w:bookmarkEnd w:id="4916"/>
      <w:r>
        <w:rPr>
          <w:rFonts w:ascii="Arial" w:eastAsia="Arial" w:hAnsi="Arial" w:cs="Arial"/>
          <w:color w:val="000000"/>
          <w:sz w:val="18"/>
        </w:rPr>
        <w:t xml:space="preserve">The majority suggests that Steward  [**48] did not satisfy her burden of requesting the accommodation that she now seeks. Majority Op. at 20 ("However, she has not come forward with evidence that she contemporaneously requested that Chrysler assign her to any specific [clerical or other position involving non-physical labor]."); </w:t>
      </w:r>
      <w:r>
        <w:rPr>
          <w:rFonts w:ascii="Arial" w:eastAsia="Arial" w:hAnsi="Arial" w:cs="Arial"/>
          <w:i/>
          <w:color w:val="000000"/>
          <w:sz w:val="18"/>
        </w:rPr>
        <w:t>id.</w:t>
      </w:r>
      <w:r>
        <w:rPr>
          <w:rFonts w:ascii="Arial" w:eastAsia="Arial" w:hAnsi="Arial" w:cs="Arial"/>
          <w:color w:val="000000"/>
          <w:sz w:val="18"/>
        </w:rPr>
        <w:t xml:space="preserve"> (emphasizing that Steward's evidentiary burden includes actually requesting a particular position). Chrysler, however, does not challenge whether Steward requested to be assigned to the types of jobs that she now seeks as accommodation; rather, it argues that "Steward has only pointed to jobs already held by other employees and that were provided to those restricted employees based upon the fact that, unlike Steward, their restrictions were determined to be work-related . . . ." Chrysler Br. at 43. I would therefore restrict the analysis to whether any appropriate positions were available at the relevant time.</w:t>
      </w:r>
    </w:p>
  </w:footnote>
  <w:footnote w:id="239">
    <w:p w14:paraId="64A10BFA" w14:textId="77777777" w:rsidR="00D041A2" w:rsidRDefault="00000000">
      <w:pPr>
        <w:pStyle w:val="Normal37"/>
        <w:widowControl w:val="0"/>
        <w:spacing w:before="120" w:line="240" w:lineRule="atLeast"/>
        <w:jc w:val="both"/>
      </w:pPr>
      <w:r>
        <w:rPr>
          <w:rFonts w:ascii="Arial" w:eastAsia="Arial" w:hAnsi="Arial" w:cs="Arial"/>
          <w:color w:val="000000"/>
          <w:sz w:val="18"/>
          <w:vertAlign w:val="superscript"/>
        </w:rPr>
        <w:t>1 </w:t>
      </w:r>
      <w:bookmarkStart w:id="4945" w:name="Bookmark_fnpara_1_31"/>
      <w:bookmarkEnd w:id="4945"/>
      <w:r>
        <w:rPr>
          <w:rFonts w:ascii="Arial" w:eastAsia="Arial" w:hAnsi="Arial" w:cs="Arial"/>
          <w:color w:val="000000"/>
          <w:sz w:val="18"/>
        </w:rPr>
        <w:t>Attached as Exhibit A to the complaint was an "Accessibility Survey," which listed purported ADA and California Building Code ("CBC") violations at the Store.</w:t>
      </w:r>
    </w:p>
  </w:footnote>
  <w:footnote w:id="240">
    <w:p w14:paraId="1155520F"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2 </w:t>
      </w:r>
      <w:bookmarkStart w:id="4959" w:name="Bookmark_fnpara_2_28"/>
      <w:bookmarkEnd w:id="4959"/>
      <w:r>
        <w:rPr>
          <w:rFonts w:ascii="Arial" w:eastAsia="Arial" w:hAnsi="Arial" w:cs="Arial"/>
          <w:color w:val="000000"/>
          <w:sz w:val="18"/>
        </w:rPr>
        <w:t xml:space="preserve">Although these findings supported the Rehabilitation Act of 1973, Pub. L. No. 93-112, 87 Stat. 355, </w:t>
      </w:r>
      <w:bookmarkStart w:id="4960" w:name="Bookmark_LNHNREFclscc4_25"/>
      <w:bookmarkEnd w:id="4960"/>
      <w:r>
        <w:rPr>
          <w:rFonts w:ascii="Arial" w:eastAsia="Arial" w:hAnsi="Arial" w:cs="Arial"/>
          <w:color w:val="000000"/>
          <w:sz w:val="18"/>
        </w:rPr>
        <w:t xml:space="preserve">"[t]he legislative history of the ADA indicates that Congress intended judicial interpretation of the Rehabilitation Act be incorporated by reference when interpreting the ADA." </w:t>
      </w:r>
      <w:bookmarkStart w:id="4961" w:name="Bookmark_I522R2K60TVR0X0040000400"/>
      <w:bookmarkEnd w:id="4961"/>
      <w:r>
        <w:rPr>
          <w:rFonts w:ascii="Arial" w:eastAsia="Arial" w:hAnsi="Arial" w:cs="Arial"/>
          <w:i/>
          <w:color w:val="000000"/>
          <w:sz w:val="18"/>
        </w:rPr>
        <w:t>Collings v. Longview Fibre Co</w:t>
      </w:r>
      <w:r>
        <w:rPr>
          <w:rFonts w:ascii="Arial" w:eastAsia="Arial" w:hAnsi="Arial" w:cs="Arial"/>
          <w:color w:val="000000"/>
          <w:sz w:val="18"/>
        </w:rPr>
        <w:t>., 63 F.3d 828, 832 n.3 (9th Cir. 1995).</w:t>
      </w:r>
    </w:p>
  </w:footnote>
  <w:footnote w:id="241">
    <w:p w14:paraId="1139D3EE"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3 </w:t>
      </w:r>
      <w:bookmarkStart w:id="5008" w:name="Bookmark_fnpara_3_24"/>
      <w:bookmarkStart w:id="5009" w:name="Bookmark_LNHNREFclscc11_19"/>
      <w:bookmarkEnd w:id="5008"/>
      <w:bookmarkEnd w:id="5009"/>
      <w:r>
        <w:rPr>
          <w:rFonts w:ascii="Arial" w:eastAsia="Arial" w:hAnsi="Arial" w:cs="Arial"/>
          <w:color w:val="000000"/>
          <w:sz w:val="18"/>
        </w:rPr>
        <w:t xml:space="preserve">42 U.S.C. § 12188(a)(1) affords private plaintiffs the remedies provided under the Civil Rights Act of 1964, 42 U.S.C. § 2000a-3(a). Damages may be awarded to aggrieved individuals when requested in suits brought by the Attorney General. </w:t>
      </w:r>
      <w:r>
        <w:rPr>
          <w:rFonts w:ascii="Arial" w:eastAsia="Arial" w:hAnsi="Arial" w:cs="Arial"/>
          <w:i/>
          <w:color w:val="000000"/>
          <w:sz w:val="18"/>
        </w:rPr>
        <w:t>See id</w:t>
      </w:r>
      <w:r>
        <w:rPr>
          <w:rFonts w:ascii="Arial" w:eastAsia="Arial" w:hAnsi="Arial" w:cs="Arial"/>
          <w:color w:val="000000"/>
          <w:sz w:val="18"/>
        </w:rPr>
        <w:t>. § 12188(b)(2)(B).</w:t>
      </w:r>
    </w:p>
  </w:footnote>
  <w:footnote w:id="242">
    <w:p w14:paraId="72841A10"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4 </w:t>
      </w:r>
      <w:bookmarkStart w:id="5032" w:name="Bookmark_fnpara_4_19"/>
      <w:bookmarkEnd w:id="5032"/>
      <w:r>
        <w:rPr>
          <w:rFonts w:ascii="Arial" w:eastAsia="Arial" w:hAnsi="Arial" w:cs="Arial"/>
          <w:color w:val="000000"/>
          <w:sz w:val="18"/>
        </w:rPr>
        <w:t xml:space="preserve">The concurrence fails to recognize that </w:t>
      </w:r>
      <w:bookmarkStart w:id="5033" w:name="Bookmark_LNHNREFclscc15_15"/>
      <w:bookmarkEnd w:id="5033"/>
      <w:r>
        <w:rPr>
          <w:rFonts w:ascii="Arial" w:eastAsia="Arial" w:hAnsi="Arial" w:cs="Arial"/>
          <w:color w:val="000000"/>
          <w:sz w:val="18"/>
        </w:rPr>
        <w:t xml:space="preserve">a plaintiff's standing to claim an ADA violation is necessarily linked to the nature  [**14] of his disability. We recognize that an encountered barrier must interfere with the particular plaintiff's full and equal enjoyment of the facility, making his use of the facility more difficult than a nondisabled individual's, to constitute an injury-in-fact, and that he is required to allege and prove that injury. </w:t>
      </w:r>
      <w:bookmarkStart w:id="5034" w:name="Bookmark_I522R2K90TVR2P0010000400"/>
      <w:bookmarkEnd w:id="5034"/>
      <w:r>
        <w:rPr>
          <w:rFonts w:ascii="Arial" w:eastAsia="Arial" w:hAnsi="Arial" w:cs="Arial"/>
          <w:color w:val="000000"/>
          <w:sz w:val="18"/>
        </w:rPr>
        <w:t xml:space="preserve">Thus, a blind person would have standing to assert an ADA violation where a newly constructed multi-story facility has elevators lacking floor buttons in Braille, while Chapman, who we assume can see and press the floor buttons, would not. </w:t>
      </w:r>
      <w:r>
        <w:rPr>
          <w:rFonts w:ascii="Arial" w:eastAsia="Arial" w:hAnsi="Arial" w:cs="Arial"/>
          <w:i/>
          <w:color w:val="000000"/>
          <w:sz w:val="18"/>
        </w:rPr>
        <w:t>See, e.g</w:t>
      </w:r>
      <w:r>
        <w:rPr>
          <w:rFonts w:ascii="Arial" w:eastAsia="Arial" w:hAnsi="Arial" w:cs="Arial"/>
          <w:color w:val="000000"/>
          <w:sz w:val="18"/>
        </w:rPr>
        <w:t xml:space="preserve">., ADAAG § 4.10.12(2) (requiring that "[a]ll control buttons shall be designated by Braille and by raised standard alphabet characters for letters, arabic characters for numerals, or standard symbols"). Where the barrier is related to the particular plaintiff's disability, however, an encounter with the barrier necessarily injures the plaintiff by depriving him of full and equal enjoyment of the facility. </w:t>
      </w:r>
      <w:r>
        <w:rPr>
          <w:rFonts w:ascii="Arial" w:eastAsia="Arial" w:hAnsi="Arial" w:cs="Arial"/>
          <w:i/>
          <w:color w:val="000000"/>
          <w:sz w:val="18"/>
        </w:rPr>
        <w:t xml:space="preserve">See, e.g., </w:t>
      </w:r>
      <w:bookmarkStart w:id="5035" w:name="Bookmark_I522R2K90TVR2J0050000400"/>
      <w:bookmarkEnd w:id="5035"/>
      <w:r>
        <w:rPr>
          <w:rFonts w:ascii="Arial" w:eastAsia="Arial" w:hAnsi="Arial" w:cs="Arial"/>
          <w:i/>
          <w:color w:val="000000"/>
          <w:sz w:val="18"/>
        </w:rPr>
        <w:t>Doran</w:t>
      </w:r>
      <w:r>
        <w:rPr>
          <w:rFonts w:ascii="Arial" w:eastAsia="Arial" w:hAnsi="Arial" w:cs="Arial"/>
          <w:color w:val="000000"/>
          <w:sz w:val="18"/>
        </w:rPr>
        <w:t xml:space="preserve">, 524 F.3d at 1044 n.7 (stating that a wheelchair-bound plaintiff cannot challenge all accessibility barriers, but only those affecting mobility); </w:t>
      </w:r>
      <w:r>
        <w:rPr>
          <w:rFonts w:ascii="Arial" w:eastAsia="Arial" w:hAnsi="Arial" w:cs="Arial"/>
          <w:i/>
          <w:color w:val="000000"/>
          <w:sz w:val="18"/>
        </w:rPr>
        <w:t xml:space="preserve">accord </w:t>
      </w:r>
      <w:bookmarkStart w:id="5036" w:name="Bookmark_I522R2K90TVR2P0020000400"/>
      <w:bookmarkEnd w:id="5036"/>
      <w:r>
        <w:rPr>
          <w:rFonts w:ascii="Arial" w:eastAsia="Arial" w:hAnsi="Arial" w:cs="Arial"/>
          <w:i/>
          <w:color w:val="000000"/>
          <w:sz w:val="18"/>
        </w:rPr>
        <w:t>Steger v. Franco, Inc</w:t>
      </w:r>
      <w:r>
        <w:rPr>
          <w:rFonts w:ascii="Arial" w:eastAsia="Arial" w:hAnsi="Arial" w:cs="Arial"/>
          <w:color w:val="000000"/>
          <w:sz w:val="18"/>
        </w:rPr>
        <w:t>., 228 F.3d 889, 893 (8th Cir. 2000)  [**15] (finding that a disabled plaintiff who was not blind "is not 'among the injured' with regard to ADA violations in the building that do not affect the blind," and that he therefore did not have standing as to those violations).</w:t>
      </w:r>
    </w:p>
  </w:footnote>
  <w:footnote w:id="243">
    <w:p w14:paraId="50E8D864"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5 </w:t>
      </w:r>
      <w:bookmarkStart w:id="5044" w:name="Bookmark_fnpara_5_18"/>
      <w:bookmarkStart w:id="5045" w:name="Bookmark_I522R2K90TVR2Y0050000400"/>
      <w:bookmarkEnd w:id="5044"/>
      <w:bookmarkEnd w:id="5045"/>
      <w:r>
        <w:rPr>
          <w:rFonts w:ascii="Arial" w:eastAsia="Arial" w:hAnsi="Arial" w:cs="Arial"/>
          <w:color w:val="000000"/>
          <w:sz w:val="18"/>
        </w:rPr>
        <w:t xml:space="preserve">That opinion's author now disagrees with this well-established principle, but it is far from clear what the concurrence actually would require instead, given the ADA's structure. </w:t>
      </w:r>
      <w:bookmarkStart w:id="5046" w:name="Bookmark_LNHNREFclscc17_11"/>
      <w:bookmarkEnd w:id="5046"/>
      <w:r>
        <w:rPr>
          <w:rFonts w:ascii="Arial" w:eastAsia="Arial" w:hAnsi="Arial" w:cs="Arial"/>
          <w:color w:val="000000"/>
          <w:sz w:val="18"/>
        </w:rPr>
        <w:t xml:space="preserve">A disabled person who encounters a "barrier," </w:t>
      </w:r>
      <w:r>
        <w:rPr>
          <w:rFonts w:ascii="Arial" w:eastAsia="Arial" w:hAnsi="Arial" w:cs="Arial"/>
          <w:i/>
          <w:color w:val="000000"/>
          <w:sz w:val="18"/>
        </w:rPr>
        <w:t>i.e</w:t>
      </w:r>
      <w:r>
        <w:rPr>
          <w:rFonts w:ascii="Arial" w:eastAsia="Arial" w:hAnsi="Arial" w:cs="Arial"/>
          <w:color w:val="000000"/>
          <w:sz w:val="18"/>
        </w:rPr>
        <w:t xml:space="preserve">., an architectural feature that fails to comply with an ADAAG standard relating to his disability, suffers unlawful discrimination as defined by the ADA. 42 U.S.C. § 12182(b)(1)(A)(i). Indeed, by "establish[ing] a national standard for minimum levels of accessability in all new facilities," </w:t>
      </w:r>
      <w:bookmarkStart w:id="5047" w:name="Bookmark_I522R2K90TVR2Y0040000400"/>
      <w:bookmarkEnd w:id="5047"/>
      <w:r>
        <w:rPr>
          <w:rFonts w:ascii="Arial" w:eastAsia="Arial" w:hAnsi="Arial" w:cs="Arial"/>
          <w:i/>
          <w:color w:val="000000"/>
          <w:sz w:val="18"/>
        </w:rPr>
        <w:t>Indep. Living Res</w:t>
      </w:r>
      <w:r>
        <w:rPr>
          <w:rFonts w:ascii="Arial" w:eastAsia="Arial" w:hAnsi="Arial" w:cs="Arial"/>
          <w:color w:val="000000"/>
          <w:sz w:val="18"/>
        </w:rPr>
        <w:t>., 982 F. Supp. at 714, the ADAAG removes the risk of vexatious litigation that a more subjective test would create. Those responsible for new construction are on notice that if they comply with the ADAAG's objectively measurable requirements, they will be free from suit by a person who has a particular disability related to that requirement.</w:t>
      </w:r>
    </w:p>
  </w:footnote>
  <w:footnote w:id="244">
    <w:p w14:paraId="0FC2427B"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6 </w:t>
      </w:r>
      <w:bookmarkStart w:id="5093" w:name="Bookmark_fnpara_6_16"/>
      <w:bookmarkEnd w:id="5093"/>
      <w:r>
        <w:rPr>
          <w:rFonts w:ascii="Arial" w:eastAsia="Arial" w:hAnsi="Arial" w:cs="Arial"/>
          <w:i/>
          <w:color w:val="000000"/>
          <w:sz w:val="18"/>
        </w:rPr>
        <w:t xml:space="preserve">See, e.g., </w:t>
      </w:r>
      <w:bookmarkStart w:id="5094" w:name="Bookmark_I522R2KB0TVR3P0040000400"/>
      <w:bookmarkEnd w:id="5094"/>
      <w:r>
        <w:rPr>
          <w:rFonts w:ascii="Arial" w:eastAsia="Arial" w:hAnsi="Arial" w:cs="Arial"/>
          <w:i/>
          <w:color w:val="000000"/>
          <w:sz w:val="18"/>
        </w:rPr>
        <w:t>Hoepfl v. Barlow</w:t>
      </w:r>
      <w:r>
        <w:rPr>
          <w:rFonts w:ascii="Arial" w:eastAsia="Arial" w:hAnsi="Arial" w:cs="Arial"/>
          <w:color w:val="000000"/>
          <w:sz w:val="18"/>
        </w:rPr>
        <w:t xml:space="preserve">, 906 F. Supp. 317, 322-23 (E.D. Va. 1995) (concluding plaintiff lacked standing to sue for injunctive relief where she challenged a doctor's refusal to treat her but was no longer in need of medical services and she had moved to another state); </w:t>
      </w:r>
      <w:bookmarkStart w:id="5095" w:name="Bookmark_I522R2KB0TVR3V0010000400"/>
      <w:bookmarkEnd w:id="5095"/>
      <w:r>
        <w:rPr>
          <w:rFonts w:ascii="Arial" w:eastAsia="Arial" w:hAnsi="Arial" w:cs="Arial"/>
          <w:i/>
          <w:color w:val="000000"/>
          <w:sz w:val="18"/>
        </w:rPr>
        <w:t>Atakpa v. Perimeter OB-GYN Assocs</w:t>
      </w:r>
      <w:r>
        <w:rPr>
          <w:rFonts w:ascii="Arial" w:eastAsia="Arial" w:hAnsi="Arial" w:cs="Arial"/>
          <w:color w:val="000000"/>
          <w:sz w:val="18"/>
        </w:rPr>
        <w:t>., 912 F. Supp. 1566, 1573-74 (N.D. Ga. 1994) (concluding plaintiff lacked standing where she challenged discriminatory prenatal HIV testing and failed to demonstrate that she would ever seek services from the health provider in the future).</w:t>
      </w:r>
    </w:p>
  </w:footnote>
  <w:footnote w:id="245">
    <w:p w14:paraId="2A7D2D78"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7 </w:t>
      </w:r>
      <w:bookmarkStart w:id="5135" w:name="Bookmark_fnpara_7_13"/>
      <w:bookmarkEnd w:id="5135"/>
      <w:r>
        <w:rPr>
          <w:rFonts w:ascii="Arial" w:eastAsia="Arial" w:hAnsi="Arial" w:cs="Arial"/>
          <w:color w:val="000000"/>
          <w:sz w:val="18"/>
        </w:rPr>
        <w:t xml:space="preserve">Though </w:t>
      </w:r>
      <w:r>
        <w:rPr>
          <w:rFonts w:ascii="Arial" w:eastAsia="Arial" w:hAnsi="Arial" w:cs="Arial"/>
          <w:i/>
          <w:color w:val="000000"/>
          <w:sz w:val="18"/>
        </w:rPr>
        <w:t>Doran</w:t>
      </w:r>
      <w:r>
        <w:rPr>
          <w:rFonts w:ascii="Arial" w:eastAsia="Arial" w:hAnsi="Arial" w:cs="Arial"/>
          <w:color w:val="000000"/>
          <w:sz w:val="18"/>
        </w:rPr>
        <w:t xml:space="preserve"> involved the deterrent effect doctrine, the </w:t>
      </w:r>
      <w:r>
        <w:rPr>
          <w:rFonts w:ascii="Arial" w:eastAsia="Arial" w:hAnsi="Arial" w:cs="Arial"/>
          <w:i/>
          <w:color w:val="000000"/>
          <w:sz w:val="18"/>
        </w:rPr>
        <w:t>Doran</w:t>
      </w:r>
      <w:r>
        <w:rPr>
          <w:rFonts w:ascii="Arial" w:eastAsia="Arial" w:hAnsi="Arial" w:cs="Arial"/>
          <w:color w:val="000000"/>
          <w:sz w:val="18"/>
        </w:rPr>
        <w:t xml:space="preserve"> court did not limit the applicability of this rule to cases where standing is predicated upon deterrence as opposed to imminently threatened injury. </w:t>
      </w:r>
      <w:r>
        <w:rPr>
          <w:rFonts w:ascii="Arial" w:eastAsia="Arial" w:hAnsi="Arial" w:cs="Arial"/>
          <w:i/>
          <w:color w:val="000000"/>
          <w:sz w:val="18"/>
        </w:rPr>
        <w:t xml:space="preserve">See </w:t>
      </w:r>
      <w:bookmarkStart w:id="5136" w:name="Bookmark_I522R2KC0TVR4H0050000400"/>
      <w:bookmarkEnd w:id="5136"/>
      <w:r>
        <w:rPr>
          <w:rFonts w:ascii="Arial" w:eastAsia="Arial" w:hAnsi="Arial" w:cs="Arial"/>
          <w:i/>
          <w:color w:val="000000"/>
          <w:sz w:val="18"/>
        </w:rPr>
        <w:t>Doran</w:t>
      </w:r>
      <w:r>
        <w:rPr>
          <w:rFonts w:ascii="Arial" w:eastAsia="Arial" w:hAnsi="Arial" w:cs="Arial"/>
          <w:color w:val="000000"/>
          <w:sz w:val="18"/>
        </w:rPr>
        <w:t>, 524 F.3d at 1042  [**25] (</w:t>
      </w:r>
      <w:bookmarkStart w:id="5137" w:name="Bookmark_LNHNREFclscc26_0"/>
      <w:bookmarkEnd w:id="5137"/>
      <w:r>
        <w:rPr>
          <w:rFonts w:ascii="Arial" w:eastAsia="Arial" w:hAnsi="Arial" w:cs="Arial"/>
          <w:color w:val="000000"/>
          <w:sz w:val="18"/>
        </w:rPr>
        <w:t>"[I]t is not an essential prerequisite of an ADA plaintiff's standing that he prove that deterrence caused by previously encountered violations was the reason that a particular violation was not discovered and hence alleged in his complaint.").</w:t>
      </w:r>
    </w:p>
  </w:footnote>
  <w:footnote w:id="246">
    <w:p w14:paraId="1F4624B2" w14:textId="77777777" w:rsidR="00D041A2" w:rsidRDefault="00000000">
      <w:pPr>
        <w:pStyle w:val="Normal37"/>
        <w:widowControl w:val="0"/>
        <w:spacing w:before="120" w:line="240" w:lineRule="atLeast"/>
        <w:jc w:val="both"/>
      </w:pPr>
      <w:r>
        <w:rPr>
          <w:rFonts w:ascii="Arial" w:eastAsia="Arial" w:hAnsi="Arial" w:cs="Arial"/>
          <w:color w:val="000000"/>
          <w:sz w:val="18"/>
          <w:vertAlign w:val="superscript"/>
        </w:rPr>
        <w:t>8 </w:t>
      </w:r>
      <w:bookmarkStart w:id="5244" w:name="Bookmark_fnpara_8_12"/>
      <w:bookmarkEnd w:id="5244"/>
      <w:r>
        <w:rPr>
          <w:rFonts w:ascii="Arial" w:eastAsia="Arial" w:hAnsi="Arial" w:cs="Arial"/>
          <w:color w:val="000000"/>
          <w:sz w:val="18"/>
        </w:rPr>
        <w:t xml:space="preserve">It bears noting that some of the listings in the Accessibility Survey, such as signage above the panic bar, do not even allege violations of the ADAAG; instead, they </w:t>
      </w:r>
      <w:bookmarkStart w:id="5245" w:name="Bookmark_LNHNREFclscc39"/>
      <w:bookmarkEnd w:id="5245"/>
      <w:r>
        <w:rPr>
          <w:rFonts w:ascii="Arial" w:eastAsia="Arial" w:hAnsi="Arial" w:cs="Arial"/>
          <w:color w:val="000000"/>
          <w:sz w:val="18"/>
        </w:rPr>
        <w:t>merely recite portions of the ADAAG's requirements. This is insufficient to allege discrimination under the ADA.</w:t>
      </w:r>
    </w:p>
  </w:footnote>
  <w:footnote w:id="247">
    <w:p w14:paraId="60FA7ACF"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9 </w:t>
      </w:r>
      <w:bookmarkStart w:id="5246" w:name="Bookmark_fnpara_9_11"/>
      <w:bookmarkStart w:id="5247" w:name="Bookmark_I7M82NTP3VH0000426D0000F"/>
      <w:bookmarkStart w:id="5248" w:name="Bookmark_I522R2KM0TVRB60050000400"/>
      <w:bookmarkStart w:id="5249" w:name="Bookmark_I522R2KM0TVRBJ0020000400"/>
      <w:bookmarkEnd w:id="5246"/>
      <w:bookmarkEnd w:id="5247"/>
      <w:bookmarkEnd w:id="5248"/>
      <w:bookmarkEnd w:id="5249"/>
      <w:r>
        <w:rPr>
          <w:rFonts w:ascii="Arial" w:eastAsia="Arial" w:hAnsi="Arial" w:cs="Arial"/>
          <w:color w:val="000000"/>
          <w:sz w:val="18"/>
        </w:rPr>
        <w:t xml:space="preserve">The Supreme Court's recent decision in </w:t>
      </w:r>
      <w:bookmarkStart w:id="5250" w:name="Bookmark_I522R2KM0TVRB60040000400"/>
      <w:bookmarkEnd w:id="5250"/>
      <w:r>
        <w:rPr>
          <w:rFonts w:ascii="Arial" w:eastAsia="Arial" w:hAnsi="Arial" w:cs="Arial"/>
          <w:i/>
          <w:color w:val="000000"/>
          <w:sz w:val="18"/>
        </w:rPr>
        <w:t>Ashcroft v. Iqbal</w:t>
      </w:r>
      <w:r>
        <w:rPr>
          <w:rFonts w:ascii="Arial" w:eastAsia="Arial" w:hAnsi="Arial" w:cs="Arial"/>
          <w:color w:val="000000"/>
          <w:sz w:val="18"/>
        </w:rPr>
        <w:t xml:space="preserve">, 556 U.S. 662, 129 S. Ct. 1937, 173 L. Ed. 2d 868 (2009), supports this conclusion. Chapman's allegation that the barriers at the Store "denied him full and equal enjoyment" is precisely the "formulaic recitation" of the elements of a claim that the Supreme Court has deemed insufficient under Rule 8. </w:t>
      </w:r>
      <w:bookmarkStart w:id="5251" w:name="Bookmark_I522R2KM0TVRBJ0010000400"/>
      <w:bookmarkEnd w:id="5251"/>
      <w:r>
        <w:rPr>
          <w:rFonts w:ascii="Arial" w:eastAsia="Arial" w:hAnsi="Arial" w:cs="Arial"/>
          <w:i/>
          <w:color w:val="000000"/>
          <w:sz w:val="18"/>
        </w:rPr>
        <w:t>Id</w:t>
      </w:r>
      <w:r>
        <w:rPr>
          <w:rFonts w:ascii="Arial" w:eastAsia="Arial" w:hAnsi="Arial" w:cs="Arial"/>
          <w:color w:val="000000"/>
          <w:sz w:val="18"/>
        </w:rPr>
        <w:t xml:space="preserve">. at 1949. </w:t>
      </w:r>
      <w:bookmarkStart w:id="5252" w:name="Bookmark_LNHNREFclscc40"/>
      <w:bookmarkEnd w:id="5252"/>
      <w:r>
        <w:rPr>
          <w:rFonts w:ascii="Arial" w:eastAsia="Arial" w:hAnsi="Arial" w:cs="Arial"/>
          <w:color w:val="000000"/>
          <w:sz w:val="18"/>
        </w:rPr>
        <w:t xml:space="preserve">To sufficiently allege standing, Chapman must do more than offer "labels and conclusions" that parrot the language of the ADA. </w:t>
      </w:r>
      <w:r>
        <w:rPr>
          <w:rFonts w:ascii="Arial" w:eastAsia="Arial" w:hAnsi="Arial" w:cs="Arial"/>
          <w:i/>
          <w:color w:val="000000"/>
          <w:sz w:val="18"/>
        </w:rPr>
        <w:t>Id</w:t>
      </w:r>
      <w:r>
        <w:rPr>
          <w:rFonts w:ascii="Arial" w:eastAsia="Arial" w:hAnsi="Arial" w:cs="Arial"/>
          <w:color w:val="000000"/>
          <w:sz w:val="18"/>
        </w:rPr>
        <w:t>.</w:t>
      </w:r>
    </w:p>
  </w:footnote>
  <w:footnote w:id="248">
    <w:p w14:paraId="04462F3E" w14:textId="77777777" w:rsidR="00D041A2" w:rsidRDefault="00000000">
      <w:pPr>
        <w:pStyle w:val="Normal37"/>
        <w:widowControl w:val="0"/>
        <w:spacing w:before="120" w:line="240" w:lineRule="atLeast"/>
        <w:jc w:val="both"/>
      </w:pPr>
      <w:r>
        <w:rPr>
          <w:rFonts w:ascii="Arial" w:eastAsia="Arial" w:hAnsi="Arial" w:cs="Arial"/>
          <w:color w:val="000000"/>
          <w:sz w:val="18"/>
          <w:vertAlign w:val="superscript"/>
        </w:rPr>
        <w:t>10 </w:t>
      </w:r>
      <w:bookmarkStart w:id="5259" w:name="Bookmark_fnpara_10_10"/>
      <w:bookmarkEnd w:id="5259"/>
      <w:r>
        <w:rPr>
          <w:rFonts w:ascii="Arial" w:eastAsia="Arial" w:hAnsi="Arial" w:cs="Arial"/>
          <w:color w:val="000000"/>
          <w:sz w:val="18"/>
        </w:rPr>
        <w:t>It is for the same reason that the Card Report does not supply the "injury-in-fact" element, even if it had been properly filed as part of an amended complaint. It, too, does nothing more than to list additional CBC and ADAAG provisions that the Store allegedly violated.</w:t>
      </w:r>
    </w:p>
  </w:footnote>
  <w:footnote w:id="249">
    <w:p w14:paraId="138F2169" w14:textId="77777777" w:rsidR="00D041A2" w:rsidRDefault="00000000">
      <w:pPr>
        <w:pStyle w:val="Normal37"/>
        <w:widowControl w:val="0"/>
        <w:spacing w:before="120" w:line="240" w:lineRule="atLeast"/>
        <w:jc w:val="both"/>
      </w:pPr>
      <w:r>
        <w:rPr>
          <w:rFonts w:ascii="Arial" w:eastAsia="Arial" w:hAnsi="Arial" w:cs="Arial"/>
          <w:color w:val="000000"/>
          <w:sz w:val="18"/>
          <w:vertAlign w:val="superscript"/>
        </w:rPr>
        <w:t>11 </w:t>
      </w:r>
      <w:bookmarkStart w:id="5263" w:name="Bookmark_fnpara_11_10"/>
      <w:bookmarkEnd w:id="5263"/>
      <w:r>
        <w:rPr>
          <w:rFonts w:ascii="Arial" w:eastAsia="Arial" w:hAnsi="Arial" w:cs="Arial"/>
          <w:color w:val="000000"/>
          <w:sz w:val="18"/>
        </w:rPr>
        <w:t>Because we reverse the district court's Article III standing determination, we need not address the remaining issues on appeal.</w:t>
      </w:r>
    </w:p>
  </w:footnote>
  <w:footnote w:id="250">
    <w:p w14:paraId="75018259"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11 </w:t>
      </w:r>
      <w:bookmarkStart w:id="5349" w:name="Bookmark_fnpara_12_6"/>
      <w:bookmarkEnd w:id="5349"/>
      <w:r>
        <w:rPr>
          <w:rFonts w:ascii="Arial" w:eastAsia="Arial" w:hAnsi="Arial" w:cs="Arial"/>
          <w:color w:val="000000"/>
          <w:sz w:val="18"/>
        </w:rPr>
        <w:t xml:space="preserve">Physical or economic injuries, of course, have long been recognized as generally sufficient to maintain injury in fact. </w:t>
      </w:r>
      <w:r>
        <w:rPr>
          <w:rFonts w:ascii="Arial" w:eastAsia="Arial" w:hAnsi="Arial" w:cs="Arial"/>
          <w:i/>
          <w:color w:val="000000"/>
          <w:sz w:val="18"/>
        </w:rPr>
        <w:t xml:space="preserve">See </w:t>
      </w:r>
      <w:bookmarkStart w:id="5350" w:name="Bookmark_I522R2KV0TVRH50040000400"/>
      <w:bookmarkEnd w:id="5350"/>
      <w:r>
        <w:rPr>
          <w:rFonts w:ascii="Arial" w:eastAsia="Arial" w:hAnsi="Arial" w:cs="Arial"/>
          <w:i/>
          <w:color w:val="000000"/>
          <w:sz w:val="18"/>
        </w:rPr>
        <w:t>Ass'n of Data Processing Serv. Orgs., Inc. v. Camp</w:t>
      </w:r>
      <w:r>
        <w:rPr>
          <w:rFonts w:ascii="Arial" w:eastAsia="Arial" w:hAnsi="Arial" w:cs="Arial"/>
          <w:color w:val="000000"/>
          <w:sz w:val="18"/>
        </w:rPr>
        <w:t>, 397 U.S. 150, 90 S. Ct. 827, 25 L. Ed. 2d 184 (1970).</w:t>
      </w:r>
    </w:p>
  </w:footnote>
  <w:footnote w:id="251">
    <w:p w14:paraId="55F27BEE"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12 </w:t>
      </w:r>
      <w:bookmarkStart w:id="5359" w:name="Bookmark_fnpara_13_6"/>
      <w:bookmarkStart w:id="5360" w:name="Bookmark_I7M82NTTTSD0000426D0001S"/>
      <w:bookmarkStart w:id="5361" w:name="Bookmark_I522R2KV0TVRHD0040000400"/>
      <w:bookmarkEnd w:id="5359"/>
      <w:bookmarkEnd w:id="5360"/>
      <w:bookmarkEnd w:id="5361"/>
      <w:r>
        <w:rPr>
          <w:rFonts w:ascii="Arial" w:eastAsia="Arial" w:hAnsi="Arial" w:cs="Arial"/>
          <w:color w:val="000000"/>
          <w:sz w:val="18"/>
        </w:rPr>
        <w:t xml:space="preserve">In addition, the majority attempts to fault the concurrence for articulating a different standard than  [**46] that recognized by the three-judge panel, on which he sat. Confined by the holding of another three-judge panel in </w:t>
      </w:r>
      <w:r>
        <w:rPr>
          <w:rFonts w:ascii="Arial" w:eastAsia="Arial" w:hAnsi="Arial" w:cs="Arial"/>
          <w:i/>
          <w:color w:val="000000"/>
          <w:sz w:val="18"/>
        </w:rPr>
        <w:t>Doran</w:t>
      </w:r>
      <w:r>
        <w:rPr>
          <w:rFonts w:ascii="Arial" w:eastAsia="Arial" w:hAnsi="Arial" w:cs="Arial"/>
          <w:color w:val="000000"/>
          <w:sz w:val="18"/>
        </w:rPr>
        <w:t xml:space="preserve">, the original panel also held that it was "clear" Chapman had standing to challenge the ADA barriers that he "claimed to have encountered" without analyzing whether he claimed that he was harmed by the barriers. </w:t>
      </w:r>
      <w:bookmarkStart w:id="5362" w:name="Bookmark_I7M82NTTX990000426D0001T"/>
      <w:bookmarkStart w:id="5363" w:name="Bookmark_I522R2KW0TVRHW0010000400"/>
      <w:bookmarkEnd w:id="5362"/>
      <w:bookmarkEnd w:id="5363"/>
      <w:r>
        <w:rPr>
          <w:rFonts w:ascii="Arial" w:eastAsia="Arial" w:hAnsi="Arial" w:cs="Arial"/>
          <w:i/>
          <w:color w:val="000000"/>
          <w:sz w:val="18"/>
        </w:rPr>
        <w:t xml:space="preserve">See </w:t>
      </w:r>
      <w:bookmarkStart w:id="5364" w:name="Bookmark_I522R2KV0TVRHD0030000400"/>
      <w:bookmarkEnd w:id="5364"/>
      <w:r>
        <w:rPr>
          <w:rFonts w:ascii="Arial" w:eastAsia="Arial" w:hAnsi="Arial" w:cs="Arial"/>
          <w:i/>
          <w:color w:val="000000"/>
          <w:sz w:val="18"/>
        </w:rPr>
        <w:t>Chapman v. Pier 1 Imports, Inc</w:t>
      </w:r>
      <w:r>
        <w:rPr>
          <w:rFonts w:ascii="Arial" w:eastAsia="Arial" w:hAnsi="Arial" w:cs="Arial"/>
          <w:color w:val="000000"/>
          <w:sz w:val="18"/>
        </w:rPr>
        <w:t xml:space="preserve">., 571 F.3d 853, 857 (9th Cir. 2009). While the original panel was confined by </w:t>
      </w:r>
      <w:r>
        <w:rPr>
          <w:rFonts w:ascii="Arial" w:eastAsia="Arial" w:hAnsi="Arial" w:cs="Arial"/>
          <w:i/>
          <w:color w:val="000000"/>
          <w:sz w:val="18"/>
        </w:rPr>
        <w:t>Doran</w:t>
      </w:r>
      <w:r>
        <w:rPr>
          <w:rFonts w:ascii="Arial" w:eastAsia="Arial" w:hAnsi="Arial" w:cs="Arial"/>
          <w:color w:val="000000"/>
          <w:sz w:val="18"/>
        </w:rPr>
        <w:t xml:space="preserve">, an </w:t>
      </w:r>
      <w:r>
        <w:rPr>
          <w:rFonts w:ascii="Arial" w:eastAsia="Arial" w:hAnsi="Arial" w:cs="Arial"/>
          <w:i/>
          <w:color w:val="000000"/>
          <w:sz w:val="18"/>
        </w:rPr>
        <w:t>en banc</w:t>
      </w:r>
      <w:r>
        <w:rPr>
          <w:rFonts w:ascii="Arial" w:eastAsia="Arial" w:hAnsi="Arial" w:cs="Arial"/>
          <w:color w:val="000000"/>
          <w:sz w:val="18"/>
        </w:rPr>
        <w:t xml:space="preserve"> panel need not be constrained by such precedent. </w:t>
      </w:r>
      <w:bookmarkStart w:id="5365" w:name="Bookmark_I522R2KW0TVRHW0010000400_2"/>
      <w:bookmarkEnd w:id="5365"/>
      <w:r>
        <w:rPr>
          <w:rFonts w:ascii="Arial" w:eastAsia="Arial" w:hAnsi="Arial" w:cs="Arial"/>
          <w:i/>
          <w:color w:val="000000"/>
          <w:sz w:val="18"/>
        </w:rPr>
        <w:t xml:space="preserve">See </w:t>
      </w:r>
      <w:bookmarkStart w:id="5366" w:name="Bookmark_I522R2KV0TVRHD0050000400"/>
      <w:bookmarkEnd w:id="5366"/>
      <w:r>
        <w:rPr>
          <w:rFonts w:ascii="Arial" w:eastAsia="Arial" w:hAnsi="Arial" w:cs="Arial"/>
          <w:i/>
          <w:color w:val="000000"/>
          <w:sz w:val="18"/>
        </w:rPr>
        <w:t>Upton v. C.I.R</w:t>
      </w:r>
      <w:r>
        <w:rPr>
          <w:rFonts w:ascii="Arial" w:eastAsia="Arial" w:hAnsi="Arial" w:cs="Arial"/>
          <w:color w:val="000000"/>
          <w:sz w:val="18"/>
        </w:rPr>
        <w:t>., 283 F.2d 716, 723 (9th Cir. 1960). Regardless of whether Chapman encountered barriers, the court should be required to analyze whether Chapman has alleged or shown that the barriers actually adversely affected him.</w:t>
      </w:r>
    </w:p>
  </w:footnote>
  <w:footnote w:id="252">
    <w:p w14:paraId="52892D01" w14:textId="77777777" w:rsidR="00D041A2" w:rsidRDefault="00000000">
      <w:pPr>
        <w:pStyle w:val="Normal37"/>
        <w:widowControl w:val="0"/>
        <w:spacing w:before="200" w:line="240" w:lineRule="atLeast"/>
        <w:jc w:val="both"/>
      </w:pPr>
      <w:r>
        <w:rPr>
          <w:rFonts w:ascii="Arial" w:eastAsia="Arial" w:hAnsi="Arial" w:cs="Arial"/>
          <w:color w:val="000000"/>
          <w:sz w:val="18"/>
          <w:vertAlign w:val="superscript"/>
        </w:rPr>
        <w:t>13 </w:t>
      </w:r>
      <w:bookmarkStart w:id="5373" w:name="Bookmark_fnpara_14_6"/>
      <w:bookmarkEnd w:id="5373"/>
      <w:r>
        <w:rPr>
          <w:rFonts w:ascii="Arial" w:eastAsia="Arial" w:hAnsi="Arial" w:cs="Arial"/>
          <w:color w:val="000000"/>
          <w:sz w:val="18"/>
        </w:rPr>
        <w:t xml:space="preserve">It is true that the vast majority of plaintiffs will believe that they have been adversely affected by a barrier that is noncompliant with the ADA. When a plaintiff, however, encounters a barrier, yet believes it has no actual effect on his ability to participate in or benefit from a place of accommodation, then the plaintiff is, in reality, suing on behalf of others and does not have standing. </w:t>
      </w:r>
      <w:r>
        <w:rPr>
          <w:rFonts w:ascii="Arial" w:eastAsia="Arial" w:hAnsi="Arial" w:cs="Arial"/>
          <w:i/>
          <w:color w:val="000000"/>
          <w:sz w:val="18"/>
        </w:rPr>
        <w:t xml:space="preserve">See </w:t>
      </w:r>
      <w:bookmarkStart w:id="5374" w:name="Bookmark_I522R2KW0TVRHW0020000400"/>
      <w:bookmarkEnd w:id="5374"/>
      <w:r>
        <w:rPr>
          <w:rFonts w:ascii="Arial" w:eastAsia="Arial" w:hAnsi="Arial" w:cs="Arial"/>
          <w:i/>
          <w:color w:val="000000"/>
          <w:sz w:val="18"/>
        </w:rPr>
        <w:t>Valley Forge Christian College v. Am. United for Separation of Church and State, Inc</w:t>
      </w:r>
      <w:r>
        <w:rPr>
          <w:rFonts w:ascii="Arial" w:eastAsia="Arial" w:hAnsi="Arial" w:cs="Arial"/>
          <w:color w:val="000000"/>
          <w:sz w:val="18"/>
        </w:rPr>
        <w:t>., 454 U.S. 464, 473, 102 S. Ct. 752, 70 L. Ed. 2d 700 (1982)  [**47] ("The federal courts have abjured appeals to their authority which would convert the judicial process into no more than a vehicle for the vindication of the value interests of concerned bystanders." (internal quotations and citation omitted)).</w:t>
      </w:r>
    </w:p>
  </w:footnote>
  <w:footnote w:id="253">
    <w:p w14:paraId="73906D81" w14:textId="77777777" w:rsidR="00D041A2" w:rsidRDefault="00000000">
      <w:pPr>
        <w:pStyle w:val="Normal38"/>
        <w:widowControl w:val="0"/>
        <w:spacing w:before="120" w:line="240" w:lineRule="atLeast"/>
        <w:jc w:val="both"/>
      </w:pPr>
      <w:r>
        <w:rPr>
          <w:rFonts w:ascii="Arial" w:eastAsia="Arial" w:hAnsi="Arial" w:cs="Arial"/>
          <w:color w:val="000000"/>
          <w:sz w:val="18"/>
          <w:vertAlign w:val="superscript"/>
        </w:rPr>
        <w:t>* </w:t>
      </w:r>
      <w:bookmarkStart w:id="5442" w:name="Bookmark_fnpara_1_32"/>
      <w:bookmarkEnd w:id="5442"/>
      <w:r>
        <w:rPr>
          <w:rFonts w:ascii="Arial" w:eastAsia="Arial" w:hAnsi="Arial" w:cs="Arial"/>
          <w:color w:val="000000"/>
          <w:sz w:val="18"/>
        </w:rPr>
        <w:t>The Hon. David H. Souter, Associate Justice (Ret.) of the Supreme Court of the United States, sitting by designation.</w:t>
      </w:r>
    </w:p>
  </w:footnote>
  <w:footnote w:id="254">
    <w:p w14:paraId="06C5EE85" w14:textId="77777777" w:rsidR="00D041A2" w:rsidRDefault="00000000">
      <w:pPr>
        <w:pStyle w:val="Normal38"/>
        <w:widowControl w:val="0"/>
        <w:spacing w:before="120" w:line="240" w:lineRule="atLeast"/>
        <w:jc w:val="both"/>
      </w:pPr>
      <w:r>
        <w:rPr>
          <w:rFonts w:ascii="Arial" w:eastAsia="Arial" w:hAnsi="Arial" w:cs="Arial"/>
          <w:color w:val="000000"/>
          <w:sz w:val="18"/>
          <w:vertAlign w:val="superscript"/>
        </w:rPr>
        <w:t>1 </w:t>
      </w:r>
      <w:bookmarkStart w:id="5449" w:name="Bookmark_fnpara_2_29"/>
      <w:bookmarkEnd w:id="5449"/>
      <w:r>
        <w:rPr>
          <w:rFonts w:ascii="Arial" w:eastAsia="Arial" w:hAnsi="Arial" w:cs="Arial"/>
          <w:color w:val="000000"/>
          <w:sz w:val="18"/>
        </w:rPr>
        <w:t>The state of the complaint is such that the details of factual allegations are often difficult to make out. For the purposes of this appeal, the key accommodation appears to be the reduced class size.</w:t>
      </w:r>
    </w:p>
  </w:footnote>
  <w:footnote w:id="255">
    <w:p w14:paraId="725C1325" w14:textId="77777777" w:rsidR="00D041A2" w:rsidRDefault="00000000">
      <w:pPr>
        <w:pStyle w:val="Normal38"/>
        <w:widowControl w:val="0"/>
        <w:spacing w:before="120" w:line="240" w:lineRule="atLeast"/>
        <w:jc w:val="both"/>
      </w:pPr>
      <w:r>
        <w:rPr>
          <w:rFonts w:ascii="Arial" w:eastAsia="Arial" w:hAnsi="Arial" w:cs="Arial"/>
          <w:color w:val="000000"/>
          <w:sz w:val="18"/>
          <w:vertAlign w:val="superscript"/>
        </w:rPr>
        <w:t>2 </w:t>
      </w:r>
      <w:bookmarkStart w:id="5452" w:name="Bookmark_fnpara_3_25"/>
      <w:bookmarkEnd w:id="5452"/>
      <w:r>
        <w:rPr>
          <w:rFonts w:ascii="Arial" w:eastAsia="Arial" w:hAnsi="Arial" w:cs="Arial"/>
          <w:color w:val="000000"/>
          <w:sz w:val="18"/>
        </w:rPr>
        <w:t>The district court read the complaint to assert claims under the ADA and Title VII against Oliveras in his official and personal capacities. The complaint, however, states that Oliveras "is sued in his individual capacity under Puerto Rico law."</w:t>
      </w:r>
    </w:p>
  </w:footnote>
  <w:footnote w:id="256">
    <w:p w14:paraId="5157606F" w14:textId="77777777" w:rsidR="00D041A2" w:rsidRDefault="00000000">
      <w:pPr>
        <w:pStyle w:val="Normal38"/>
        <w:widowControl w:val="0"/>
        <w:spacing w:before="120" w:line="240" w:lineRule="atLeast"/>
        <w:jc w:val="both"/>
      </w:pPr>
      <w:r>
        <w:rPr>
          <w:rFonts w:ascii="Arial" w:eastAsia="Arial" w:hAnsi="Arial" w:cs="Arial"/>
          <w:color w:val="000000"/>
          <w:sz w:val="18"/>
          <w:vertAlign w:val="superscript"/>
        </w:rPr>
        <w:t>3 </w:t>
      </w:r>
      <w:bookmarkStart w:id="5454" w:name="Bookmark_fnpara_4_20"/>
      <w:bookmarkEnd w:id="5454"/>
      <w:r>
        <w:rPr>
          <w:rFonts w:ascii="Arial" w:eastAsia="Arial" w:hAnsi="Arial" w:cs="Arial"/>
          <w:color w:val="000000"/>
          <w:sz w:val="18"/>
        </w:rPr>
        <w:t>Velázquez was denied accommodations the first year she requested them.</w:t>
      </w:r>
    </w:p>
  </w:footnote>
  <w:footnote w:id="257">
    <w:p w14:paraId="201B750B" w14:textId="77777777" w:rsidR="00D041A2" w:rsidRDefault="00000000">
      <w:pPr>
        <w:pStyle w:val="Normal38"/>
        <w:widowControl w:val="0"/>
        <w:spacing w:before="200" w:line="240" w:lineRule="atLeast"/>
        <w:jc w:val="both"/>
      </w:pPr>
      <w:r>
        <w:rPr>
          <w:rFonts w:ascii="Arial" w:eastAsia="Arial" w:hAnsi="Arial" w:cs="Arial"/>
          <w:color w:val="000000"/>
          <w:sz w:val="18"/>
          <w:vertAlign w:val="superscript"/>
        </w:rPr>
        <w:t>4 </w:t>
      </w:r>
      <w:bookmarkStart w:id="5462" w:name="Bookmark_fnpara_5_19"/>
      <w:bookmarkEnd w:id="5462"/>
      <w:r>
        <w:rPr>
          <w:rFonts w:ascii="Arial" w:eastAsia="Arial" w:hAnsi="Arial" w:cs="Arial"/>
          <w:color w:val="000000"/>
          <w:sz w:val="18"/>
        </w:rPr>
        <w:t xml:space="preserve">This dispositive focus on the third element was apparently a </w:t>
      </w:r>
      <w:r>
        <w:rPr>
          <w:rFonts w:ascii="Arial" w:eastAsia="Arial" w:hAnsi="Arial" w:cs="Arial"/>
          <w:color w:val="000000"/>
          <w:sz w:val="18"/>
          <w:u w:val="single"/>
        </w:rPr>
        <w:t>sua sponte</w:t>
      </w:r>
      <w:r>
        <w:rPr>
          <w:rFonts w:ascii="Arial" w:eastAsia="Arial" w:hAnsi="Arial" w:cs="Arial"/>
          <w:color w:val="000000"/>
          <w:sz w:val="18"/>
        </w:rPr>
        <w:t xml:space="preserve"> choice of the district court; neither motion to dismiss mentioned it.</w:t>
      </w:r>
    </w:p>
  </w:footnote>
  <w:footnote w:id="258">
    <w:p w14:paraId="5865DDFE" w14:textId="77777777" w:rsidR="00D041A2" w:rsidRDefault="00000000">
      <w:pPr>
        <w:pStyle w:val="Normal38"/>
        <w:widowControl w:val="0"/>
        <w:spacing w:before="120" w:line="240" w:lineRule="atLeast"/>
        <w:jc w:val="both"/>
      </w:pPr>
      <w:r>
        <w:rPr>
          <w:rFonts w:ascii="Arial" w:eastAsia="Arial" w:hAnsi="Arial" w:cs="Arial"/>
          <w:color w:val="000000"/>
          <w:sz w:val="18"/>
          <w:vertAlign w:val="superscript"/>
        </w:rPr>
        <w:t>5 </w:t>
      </w:r>
      <w:bookmarkStart w:id="5476" w:name="Bookmark_fnpara_6_17"/>
      <w:bookmarkEnd w:id="5476"/>
      <w:r>
        <w:rPr>
          <w:rFonts w:ascii="Arial" w:eastAsia="Arial" w:hAnsi="Arial" w:cs="Arial"/>
          <w:color w:val="000000"/>
          <w:sz w:val="18"/>
        </w:rPr>
        <w:t>The precise location of the base-line is difficult to pin down as the number of students in each appellant's class varied somewhat during the good years (from 15 to 20 for Sepúlveda; from "a maximum of 20" to "a minimum of 20" for Velázquez).</w:t>
      </w:r>
    </w:p>
  </w:footnote>
  <w:footnote w:id="259">
    <w:p w14:paraId="57023F8D" w14:textId="77777777" w:rsidR="00D041A2" w:rsidRDefault="00000000">
      <w:pPr>
        <w:pStyle w:val="Normal38"/>
        <w:widowControl w:val="0"/>
        <w:spacing w:before="200" w:line="240" w:lineRule="atLeast"/>
        <w:jc w:val="both"/>
      </w:pPr>
      <w:r>
        <w:rPr>
          <w:rFonts w:ascii="Arial" w:eastAsia="Arial" w:hAnsi="Arial" w:cs="Arial"/>
          <w:color w:val="000000"/>
          <w:sz w:val="18"/>
          <w:vertAlign w:val="superscript"/>
        </w:rPr>
        <w:t>6 </w:t>
      </w:r>
      <w:bookmarkStart w:id="5478" w:name="Bookmark_fnpara_7_14"/>
      <w:bookmarkEnd w:id="5478"/>
      <w:r>
        <w:rPr>
          <w:rFonts w:ascii="Arial" w:eastAsia="Arial" w:hAnsi="Arial" w:cs="Arial"/>
          <w:color w:val="000000"/>
          <w:sz w:val="18"/>
        </w:rPr>
        <w:t>In fact, Velázquez specifically alleges that "[t]his failure to accommodate her has aggravated her physical disability condition by the increase[d] use of her voice with the larger amount of students causing her pain, mental anguish, having to go . . . for treatment and continued absences from her job." Construed in the light most favorable to her, this allegation seems to provide  [**11] the explanation the district court was looking for: "why a difference of ten students would impact Plaintiff's ability to perform her job functions." The counterintuitive placement of this allegation (about "[t]his failure to accommodate") at the end of a paragraph otherwise describing only a year in which Velázquez received full accommodation may explain why the district court missed it.</w:t>
      </w:r>
    </w:p>
  </w:footnote>
  <w:footnote w:id="260">
    <w:p w14:paraId="0C4CDBBE" w14:textId="77777777" w:rsidR="00D041A2" w:rsidRDefault="00000000">
      <w:pPr>
        <w:pStyle w:val="Normal39"/>
        <w:widowControl w:val="0"/>
        <w:spacing w:before="120" w:line="240" w:lineRule="atLeast"/>
        <w:jc w:val="both"/>
      </w:pPr>
      <w:r>
        <w:rPr>
          <w:rFonts w:ascii="Arial" w:eastAsia="Arial" w:hAnsi="Arial" w:cs="Arial"/>
          <w:color w:val="000000"/>
          <w:sz w:val="18"/>
          <w:vertAlign w:val="superscript"/>
        </w:rPr>
        <w:t>** </w:t>
      </w:r>
      <w:bookmarkStart w:id="5490" w:name="Bookmark_fnpara_1_33"/>
      <w:bookmarkEnd w:id="5490"/>
      <w:r>
        <w:rPr>
          <w:rFonts w:ascii="Arial" w:eastAsia="Arial" w:hAnsi="Arial" w:cs="Arial"/>
          <w:color w:val="000000"/>
          <w:sz w:val="18"/>
        </w:rPr>
        <w:t>The panel unanimously concludes this case is suitable for decision without oral argument. See Fed. R. App. P. 34(a)(2).</w:t>
      </w:r>
    </w:p>
  </w:footnote>
  <w:footnote w:id="261">
    <w:p w14:paraId="7B96C17D" w14:textId="77777777" w:rsidR="00D041A2" w:rsidRDefault="00000000">
      <w:pPr>
        <w:pStyle w:val="Normal39"/>
        <w:widowControl w:val="0"/>
        <w:spacing w:before="120" w:line="240" w:lineRule="atLeast"/>
        <w:jc w:val="both"/>
      </w:pPr>
      <w:r>
        <w:rPr>
          <w:rFonts w:ascii="Arial" w:eastAsia="Arial" w:hAnsi="Arial" w:cs="Arial"/>
          <w:color w:val="000000"/>
          <w:sz w:val="18"/>
          <w:vertAlign w:val="superscript"/>
        </w:rPr>
        <w:t>* </w:t>
      </w:r>
      <w:bookmarkStart w:id="5503" w:name="Bookmark_fnpara_2_30"/>
      <w:bookmarkEnd w:id="5503"/>
      <w:r>
        <w:rPr>
          <w:rFonts w:ascii="Arial" w:eastAsia="Arial" w:hAnsi="Arial" w:cs="Arial"/>
          <w:color w:val="000000"/>
          <w:sz w:val="18"/>
        </w:rPr>
        <w:t>This disposition is not appropriate for publication and is not precedent except as provided by 9th Cir. R. 36-3.</w:t>
      </w:r>
    </w:p>
  </w:footnote>
  <w:footnote w:id="262">
    <w:p w14:paraId="6189E4D3" w14:textId="77777777" w:rsidR="00D041A2" w:rsidRDefault="00000000">
      <w:pPr>
        <w:pStyle w:val="Normal40"/>
        <w:widowControl w:val="0"/>
        <w:spacing w:before="120" w:line="240" w:lineRule="atLeast"/>
        <w:jc w:val="both"/>
      </w:pPr>
      <w:r>
        <w:rPr>
          <w:rFonts w:ascii="Arial" w:eastAsia="Arial" w:hAnsi="Arial" w:cs="Arial"/>
          <w:color w:val="000000"/>
          <w:sz w:val="18"/>
          <w:vertAlign w:val="superscript"/>
        </w:rPr>
        <w:t>** </w:t>
      </w:r>
      <w:bookmarkStart w:id="5532" w:name="Bookmark_fnpara_1_34"/>
      <w:bookmarkEnd w:id="5532"/>
      <w:r>
        <w:rPr>
          <w:rFonts w:ascii="Arial" w:eastAsia="Arial" w:hAnsi="Arial" w:cs="Arial"/>
          <w:color w:val="000000"/>
          <w:sz w:val="18"/>
        </w:rPr>
        <w:t>The Honorable James Maxwell Moody, Senior United States District Judge for the Eastern District of Arkansas, sitting by designation.</w:t>
      </w:r>
    </w:p>
  </w:footnote>
  <w:footnote w:id="263">
    <w:p w14:paraId="021C5BC8" w14:textId="77777777" w:rsidR="00D041A2" w:rsidRDefault="00000000">
      <w:pPr>
        <w:pStyle w:val="Normal40"/>
        <w:widowControl w:val="0"/>
        <w:spacing w:before="120" w:line="240" w:lineRule="atLeast"/>
        <w:jc w:val="both"/>
      </w:pPr>
      <w:r>
        <w:rPr>
          <w:rFonts w:ascii="Arial" w:eastAsia="Arial" w:hAnsi="Arial" w:cs="Arial"/>
          <w:color w:val="000000"/>
          <w:sz w:val="18"/>
          <w:vertAlign w:val="superscript"/>
        </w:rPr>
        <w:t>* </w:t>
      </w:r>
      <w:bookmarkStart w:id="5534" w:name="Bookmark_fnpara_2_31"/>
      <w:bookmarkEnd w:id="5534"/>
      <w:r>
        <w:rPr>
          <w:rFonts w:ascii="Arial" w:eastAsia="Arial" w:hAnsi="Arial" w:cs="Arial"/>
          <w:color w:val="000000"/>
          <w:sz w:val="18"/>
        </w:rPr>
        <w:t>This disposition is not appropriate for publication and is not precedent except as provided by 9th Cir. R. 36-3.</w:t>
      </w:r>
    </w:p>
  </w:footnote>
  <w:footnote w:id="264">
    <w:p w14:paraId="14F9B511" w14:textId="77777777" w:rsidR="00D041A2" w:rsidRDefault="00000000">
      <w:pPr>
        <w:pStyle w:val="Normal41"/>
        <w:widowControl w:val="0"/>
        <w:spacing w:before="200" w:line="240" w:lineRule="atLeast"/>
        <w:jc w:val="both"/>
      </w:pPr>
      <w:r>
        <w:rPr>
          <w:rFonts w:ascii="Arial" w:eastAsia="Arial" w:hAnsi="Arial" w:cs="Arial"/>
          <w:color w:val="000000"/>
          <w:sz w:val="18"/>
          <w:vertAlign w:val="superscript"/>
        </w:rPr>
        <w:t>1 </w:t>
      </w:r>
      <w:bookmarkStart w:id="5570" w:name="Bookmark_fnpara_1_35"/>
      <w:bookmarkEnd w:id="5570"/>
      <w:r>
        <w:rPr>
          <w:rFonts w:ascii="Arial" w:eastAsia="Arial" w:hAnsi="Arial" w:cs="Arial"/>
          <w:color w:val="000000"/>
          <w:sz w:val="18"/>
        </w:rPr>
        <w:t xml:space="preserve">Type 1 diabetes mellitus, unlike Type 2, is characterized by the loss of insulin-producing beta cells in the pancreas, which leads to insulin deficiency. Type 1 diabetes generally develops in childhood or adolescence, and is treated with diet, exercise, and drugs that reduce glucose levels, including insulin. Later complications of Type 1 diabetes include vascular disease, peripheral neuropathy, and predisposition to infection. No treatments definitely prevent the onset or progression of type 1 diabetes. </w:t>
      </w:r>
      <w:r>
        <w:rPr>
          <w:rFonts w:ascii="Arial" w:eastAsia="Arial" w:hAnsi="Arial" w:cs="Arial"/>
          <w:color w:val="000000"/>
          <w:sz w:val="18"/>
          <w:u w:val="single"/>
        </w:rPr>
        <w:t>The Merck Manual of Diagnosis and Therapy</w:t>
      </w:r>
      <w:r>
        <w:rPr>
          <w:rFonts w:ascii="Arial" w:eastAsia="Arial" w:hAnsi="Arial" w:cs="Arial"/>
          <w:color w:val="000000"/>
          <w:sz w:val="18"/>
        </w:rPr>
        <w:t xml:space="preserve"> § 12.158 (Mark H. Beers et  [**3] al. eds., 18th ed. 2006).</w:t>
      </w:r>
    </w:p>
  </w:footnote>
  <w:footnote w:id="265">
    <w:p w14:paraId="4AA40380" w14:textId="77777777" w:rsidR="00D041A2" w:rsidRDefault="00000000">
      <w:pPr>
        <w:pStyle w:val="Normal41"/>
        <w:widowControl w:val="0"/>
        <w:spacing w:before="200" w:line="240" w:lineRule="atLeast"/>
        <w:jc w:val="both"/>
      </w:pPr>
      <w:r>
        <w:rPr>
          <w:rFonts w:ascii="Arial" w:eastAsia="Arial" w:hAnsi="Arial" w:cs="Arial"/>
          <w:color w:val="000000"/>
          <w:sz w:val="18"/>
          <w:vertAlign w:val="superscript"/>
        </w:rPr>
        <w:t>2 </w:t>
      </w:r>
      <w:bookmarkStart w:id="5573" w:name="Bookmark_fnpara_2_32"/>
      <w:bookmarkEnd w:id="5573"/>
      <w:r>
        <w:rPr>
          <w:rFonts w:ascii="Arial" w:eastAsia="Arial" w:hAnsi="Arial" w:cs="Arial"/>
          <w:color w:val="000000"/>
          <w:sz w:val="18"/>
        </w:rPr>
        <w:t xml:space="preserve">Hypoglycemia is the most common complication of insulin treatment, and occurs when the blood glucose levels drop below normal levels. Symptoms of mild hypoglycemia include headaches, light-headedness, blurred vision, and confusion. Symptoms of severe hypoglycemia include seizures and loss of consciousness. Type 1 diabetics who have suffered from the disease for a long period may be unaware of hypoglycemic episodes because they no longer experience autonomic symptoms. </w:t>
      </w:r>
      <w:r>
        <w:rPr>
          <w:rFonts w:ascii="Arial" w:eastAsia="Arial" w:hAnsi="Arial" w:cs="Arial"/>
          <w:color w:val="000000"/>
          <w:sz w:val="18"/>
          <w:u w:val="single"/>
        </w:rPr>
        <w:t>The Merck Manual of Diagnosis and Therapy,</w:t>
      </w:r>
      <w:r>
        <w:rPr>
          <w:rFonts w:ascii="Arial" w:eastAsia="Arial" w:hAnsi="Arial" w:cs="Arial"/>
          <w:color w:val="000000"/>
          <w:sz w:val="18"/>
        </w:rPr>
        <w:t xml:space="preserve"> § 12.158.</w:t>
      </w:r>
    </w:p>
  </w:footnote>
  <w:footnote w:id="266">
    <w:p w14:paraId="11272A6E" w14:textId="77777777" w:rsidR="00D041A2" w:rsidRDefault="00000000">
      <w:pPr>
        <w:pStyle w:val="Normal41"/>
        <w:widowControl w:val="0"/>
        <w:spacing w:before="200" w:line="240" w:lineRule="atLeast"/>
        <w:jc w:val="both"/>
      </w:pPr>
      <w:r>
        <w:rPr>
          <w:rFonts w:ascii="Arial" w:eastAsia="Arial" w:hAnsi="Arial" w:cs="Arial"/>
          <w:color w:val="000000"/>
          <w:sz w:val="18"/>
          <w:vertAlign w:val="superscript"/>
        </w:rPr>
        <w:t>3 </w:t>
      </w:r>
      <w:bookmarkStart w:id="5591" w:name="Bookmark_fnpara_3_26"/>
      <w:bookmarkEnd w:id="5591"/>
      <w:r>
        <w:rPr>
          <w:rFonts w:ascii="Arial" w:eastAsia="Arial" w:hAnsi="Arial" w:cs="Arial"/>
          <w:color w:val="000000"/>
          <w:sz w:val="18"/>
        </w:rPr>
        <w:t xml:space="preserve">The ADA was amended effective January 1, 2009, after this suit was filed. </w:t>
      </w:r>
      <w:bookmarkStart w:id="5592" w:name="Bookmark_I50TB8NR0K1MNJ2DG0000400"/>
      <w:bookmarkEnd w:id="5592"/>
      <w:r>
        <w:rPr>
          <w:rFonts w:ascii="Arial" w:eastAsia="Arial" w:hAnsi="Arial" w:cs="Arial"/>
          <w:color w:val="000000"/>
          <w:sz w:val="18"/>
          <w:u w:val="single"/>
        </w:rPr>
        <w:t>See</w:t>
      </w:r>
      <w:r>
        <w:rPr>
          <w:rFonts w:ascii="Arial" w:eastAsia="Arial" w:hAnsi="Arial" w:cs="Arial"/>
          <w:color w:val="000000"/>
          <w:sz w:val="18"/>
        </w:rPr>
        <w:t xml:space="preserve"> ADA Amendments Act of 2008, Pub. L. No. 110-325, 122 Stat. 3553. Congress did not expressly intend for these changes to apply retroactively, and so we must decide this appeal based on the law in place prior to  [**11] the amendments. </w:t>
      </w:r>
      <w:bookmarkStart w:id="5593" w:name="Bookmark_I50TB8NR0K1MNJ2CX0000400"/>
      <w:bookmarkEnd w:id="5593"/>
      <w:r>
        <w:rPr>
          <w:rFonts w:ascii="Arial" w:eastAsia="Arial" w:hAnsi="Arial" w:cs="Arial"/>
          <w:color w:val="000000"/>
          <w:sz w:val="18"/>
          <w:u w:val="single"/>
        </w:rPr>
        <w:t>Landgraf v. USI Film Prods.,</w:t>
      </w:r>
      <w:r>
        <w:rPr>
          <w:rFonts w:ascii="Arial" w:eastAsia="Arial" w:hAnsi="Arial" w:cs="Arial"/>
          <w:color w:val="000000"/>
          <w:sz w:val="18"/>
        </w:rPr>
        <w:t xml:space="preserve"> 511 U.S. 244, 270-71, 114 S. Ct. 1483, 128 L. Ed. 2d 229 (1994); </w:t>
      </w:r>
      <w:bookmarkStart w:id="5594" w:name="Bookmark_I50TB8NR0K1MNJ2DH0000400"/>
      <w:bookmarkEnd w:id="5594"/>
      <w:r>
        <w:rPr>
          <w:rFonts w:ascii="Arial" w:eastAsia="Arial" w:hAnsi="Arial" w:cs="Arial"/>
          <w:color w:val="000000"/>
          <w:sz w:val="18"/>
          <w:u w:val="single"/>
        </w:rPr>
        <w:t>Shin v. University of Maryland Medical System Corp.,</w:t>
      </w:r>
      <w:r>
        <w:rPr>
          <w:rFonts w:ascii="Arial" w:eastAsia="Arial" w:hAnsi="Arial" w:cs="Arial"/>
          <w:color w:val="000000"/>
          <w:sz w:val="18"/>
        </w:rPr>
        <w:t xml:space="preserve"> No. 09-1126, 369 Fed. Appx. 472, 2010 U.S. App. LEXIS 5177, 2010 WL 850176 at *5 n. 14 (4th Cir. Mar. 11, 2010) (unpublished) ("Our sister circuits have found that the 2008 ADA amendments are not retroactive . . . and we see no reason to disagree with their conclusion").</w:t>
      </w:r>
    </w:p>
  </w:footnote>
  <w:footnote w:id="267">
    <w:p w14:paraId="26938B24" w14:textId="77777777" w:rsidR="00D041A2" w:rsidRDefault="00000000">
      <w:pPr>
        <w:pStyle w:val="Normal41"/>
        <w:widowControl w:val="0"/>
        <w:spacing w:before="120" w:line="240" w:lineRule="atLeast"/>
        <w:jc w:val="both"/>
      </w:pPr>
      <w:r>
        <w:rPr>
          <w:rFonts w:ascii="Arial" w:eastAsia="Arial" w:hAnsi="Arial" w:cs="Arial"/>
          <w:color w:val="000000"/>
          <w:sz w:val="18"/>
          <w:vertAlign w:val="superscript"/>
        </w:rPr>
        <w:t>4 </w:t>
      </w:r>
      <w:bookmarkStart w:id="5612" w:name="Bookmark_fnpara_4_21"/>
      <w:bookmarkEnd w:id="5612"/>
      <w:r>
        <w:rPr>
          <w:rFonts w:ascii="Arial" w:eastAsia="Arial" w:hAnsi="Arial" w:cs="Arial"/>
          <w:color w:val="000000"/>
          <w:sz w:val="18"/>
        </w:rPr>
        <w:t>Whether "driving" is an essential function of Schneider's former position is disputed. Giant contends that driving is an essential function of the job as a pharmacy supervisor, and therefore, Schneider was unable to perform an essential function for the six months his driving privileges were suspended. Schneider contends driving is not an essential function of the job. The record shows that the job posting for pharmacy supervisor does not include "driving" as one of the job duties/functions, nor is it listed under the preferred qualifications. Although under "Physical Demand Analysis," the description states "many hours in a car (approximately 30,000 miles yearly)," the description does not specifically state "driving." In the view we take of the case, we need not further address this issue.</w:t>
      </w:r>
    </w:p>
  </w:footnote>
  <w:footnote w:id="268">
    <w:p w14:paraId="054D9B01" w14:textId="77777777" w:rsidR="00D041A2" w:rsidRDefault="00000000">
      <w:pPr>
        <w:pStyle w:val="Normal42"/>
        <w:widowControl w:val="0"/>
        <w:spacing w:before="200" w:line="240" w:lineRule="atLeast"/>
        <w:jc w:val="both"/>
      </w:pPr>
      <w:r>
        <w:rPr>
          <w:rFonts w:ascii="Arial" w:eastAsia="Arial" w:hAnsi="Arial" w:cs="Arial"/>
          <w:color w:val="000000"/>
          <w:sz w:val="18"/>
          <w:vertAlign w:val="superscript"/>
        </w:rPr>
        <w:t>1 </w:t>
      </w:r>
      <w:bookmarkStart w:id="5703" w:name="Bookmark_fnpara_1_36"/>
      <w:bookmarkEnd w:id="5703"/>
      <w:r>
        <w:rPr>
          <w:rFonts w:ascii="Arial" w:eastAsia="Arial" w:hAnsi="Arial" w:cs="Arial"/>
          <w:color w:val="000000"/>
          <w:sz w:val="18"/>
        </w:rPr>
        <w:t>The charges were processed through "Ginger Dayle Productions, Philadelphia, Pennsylvania" (App. at 67); however, Peoples acknowledged the services as prostitution in his deposition in October 2008: "I paid her and she had sex with me and there was an understanding that it was a payment for sex." (App. at 36.) Peoples did not inform DFS that these were prostitution services  [**3] when he disputed the charges. The complaint studiously avoided any reference to the exact nature of the services. It describes Dayle as a "service provider, providing personal, private sessions with clients for a predetermined per-session fee. She is not a doctor, nurse or licensed medical practitioner. She advertises herself at [sic] an expert at providing personal, hands-on service to individual customers in private sessions at a set rate." (App. at 17.) Peoples also failed to admit in his response to admissions and interrogatories that he was purchasing prostitution services. It was not until his deposition that he acknowledged he was buying sex.</w:t>
      </w:r>
    </w:p>
  </w:footnote>
  <w:footnote w:id="269">
    <w:p w14:paraId="0D402E50" w14:textId="77777777" w:rsidR="00D041A2" w:rsidRDefault="00000000">
      <w:pPr>
        <w:pStyle w:val="Normal42"/>
        <w:widowControl w:val="0"/>
        <w:spacing w:before="120" w:line="240" w:lineRule="atLeast"/>
        <w:jc w:val="both"/>
      </w:pPr>
      <w:r>
        <w:rPr>
          <w:rFonts w:ascii="Arial" w:eastAsia="Arial" w:hAnsi="Arial" w:cs="Arial"/>
          <w:color w:val="000000"/>
          <w:sz w:val="18"/>
          <w:vertAlign w:val="superscript"/>
        </w:rPr>
        <w:t>2 </w:t>
      </w:r>
      <w:bookmarkStart w:id="5705" w:name="Bookmark_fnpara_2_33"/>
      <w:bookmarkEnd w:id="5705"/>
      <w:r>
        <w:rPr>
          <w:rFonts w:ascii="Arial" w:eastAsia="Arial" w:hAnsi="Arial" w:cs="Arial"/>
          <w:color w:val="000000"/>
          <w:sz w:val="18"/>
        </w:rPr>
        <w:t>For simplicity, references herein to the Appellant's Amended Opening Brief are noted as "Appellant's Op. Br.".</w:t>
      </w:r>
    </w:p>
  </w:footnote>
  <w:footnote w:id="270">
    <w:p w14:paraId="723D6855" w14:textId="77777777" w:rsidR="00D041A2" w:rsidRDefault="00000000">
      <w:pPr>
        <w:pStyle w:val="Normal42"/>
        <w:widowControl w:val="0"/>
        <w:spacing w:before="120" w:line="240" w:lineRule="atLeast"/>
        <w:jc w:val="both"/>
      </w:pPr>
      <w:r>
        <w:rPr>
          <w:rFonts w:ascii="Arial" w:eastAsia="Arial" w:hAnsi="Arial" w:cs="Arial"/>
          <w:color w:val="000000"/>
          <w:sz w:val="18"/>
          <w:vertAlign w:val="superscript"/>
        </w:rPr>
        <w:t>3 </w:t>
      </w:r>
      <w:bookmarkStart w:id="5706" w:name="Bookmark_fnpara_3_27"/>
      <w:bookmarkEnd w:id="5706"/>
      <w:r>
        <w:rPr>
          <w:rFonts w:ascii="Arial" w:eastAsia="Arial" w:hAnsi="Arial" w:cs="Arial"/>
          <w:color w:val="000000"/>
          <w:sz w:val="18"/>
        </w:rPr>
        <w:t>In that same period, Peoples also made payments of $375 once and $750 eighteen times.</w:t>
      </w:r>
    </w:p>
  </w:footnote>
  <w:footnote w:id="271">
    <w:p w14:paraId="38D88AB4" w14:textId="77777777" w:rsidR="00D041A2" w:rsidRDefault="00000000">
      <w:pPr>
        <w:pStyle w:val="Normal42"/>
        <w:widowControl w:val="0"/>
        <w:spacing w:before="200" w:line="240" w:lineRule="atLeast"/>
        <w:jc w:val="both"/>
      </w:pPr>
      <w:r>
        <w:rPr>
          <w:rFonts w:ascii="Arial" w:eastAsia="Arial" w:hAnsi="Arial" w:cs="Arial"/>
          <w:color w:val="000000"/>
          <w:sz w:val="18"/>
          <w:vertAlign w:val="superscript"/>
        </w:rPr>
        <w:t>4 </w:t>
      </w:r>
      <w:bookmarkStart w:id="5707" w:name="Bookmark_fnpara_4_22"/>
      <w:bookmarkEnd w:id="5707"/>
      <w:r>
        <w:rPr>
          <w:rFonts w:ascii="Arial" w:eastAsia="Arial" w:hAnsi="Arial" w:cs="Arial"/>
          <w:color w:val="000000"/>
          <w:sz w:val="18"/>
        </w:rPr>
        <w:t>Of course, given that he is vague about what the agreed-upon amounts were, his concession is not entirely helpful. The record does not reveal how one would know whether the events of any individual session with Ms. Dayle were worth $375 or $750. Peoples is definite about one thing though: "[he] is not claiming in this lawsuit that merchant Dayle breached a contract by failing to perform sexual services up to snuff ... . [And he] is not claiming that Dayle's sexual technique did not justify her price."  [**5] (Appellant's Op. Br. at 9-10.)</w:t>
      </w:r>
    </w:p>
  </w:footnote>
  <w:footnote w:id="272">
    <w:p w14:paraId="664DDEC0" w14:textId="77777777" w:rsidR="00D041A2" w:rsidRDefault="00000000">
      <w:pPr>
        <w:pStyle w:val="Normal42"/>
        <w:widowControl w:val="0"/>
        <w:spacing w:before="200" w:line="240" w:lineRule="atLeast"/>
        <w:jc w:val="both"/>
      </w:pPr>
      <w:r>
        <w:rPr>
          <w:rFonts w:ascii="Arial" w:eastAsia="Arial" w:hAnsi="Arial" w:cs="Arial"/>
          <w:color w:val="000000"/>
          <w:sz w:val="18"/>
          <w:vertAlign w:val="superscript"/>
        </w:rPr>
        <w:t>5 </w:t>
      </w:r>
      <w:bookmarkStart w:id="5709" w:name="Bookmark_fnpara_5_20"/>
      <w:bookmarkEnd w:id="5709"/>
      <w:r>
        <w:rPr>
          <w:rFonts w:ascii="Arial" w:eastAsia="Arial" w:hAnsi="Arial" w:cs="Arial"/>
          <w:color w:val="000000"/>
          <w:sz w:val="18"/>
        </w:rPr>
        <w:t>As more fully discussed herein, DFS contacted Dayle to verify the disputed charges and she produced signed sales receipts which, along with a written contract she had with Peoples for yoga and pilates services, and the history of the account, evidently prompted DFS to conclude that Peoples's complaints  [**6] reflected a customer service dispute between him and Dayle, rather than fraud.</w:t>
      </w:r>
    </w:p>
  </w:footnote>
  <w:footnote w:id="273">
    <w:p w14:paraId="546750E7" w14:textId="77777777" w:rsidR="00D041A2" w:rsidRDefault="00000000">
      <w:pPr>
        <w:pStyle w:val="Normal42"/>
        <w:widowControl w:val="0"/>
        <w:spacing w:before="200" w:line="240" w:lineRule="atLeast"/>
        <w:jc w:val="both"/>
      </w:pPr>
      <w:r>
        <w:rPr>
          <w:rFonts w:ascii="Arial" w:eastAsia="Arial" w:hAnsi="Arial" w:cs="Arial"/>
          <w:color w:val="000000"/>
          <w:sz w:val="18"/>
          <w:vertAlign w:val="superscript"/>
        </w:rPr>
        <w:t>6 </w:t>
      </w:r>
      <w:bookmarkStart w:id="5711" w:name="Bookmark_fnpara_6_18"/>
      <w:bookmarkStart w:id="5712" w:name="Bookmark_I50RD9JT0K1MNJ3DB0000400"/>
      <w:bookmarkEnd w:id="5711"/>
      <w:bookmarkEnd w:id="5712"/>
      <w:r>
        <w:rPr>
          <w:rFonts w:ascii="Arial" w:eastAsia="Arial" w:hAnsi="Arial" w:cs="Arial"/>
          <w:color w:val="000000"/>
          <w:sz w:val="18"/>
        </w:rPr>
        <w:t>Peoples also brought a claim under the Pennsylvania Human Relations Act, 43 P</w:t>
      </w:r>
      <w:r>
        <w:rPr>
          <w:rFonts w:ascii="Arial" w:eastAsia="Arial" w:hAnsi="Arial" w:cs="Arial"/>
          <w:smallCaps/>
          <w:color w:val="000000"/>
          <w:sz w:val="18"/>
        </w:rPr>
        <w:t>A</w:t>
      </w:r>
      <w:r>
        <w:rPr>
          <w:rFonts w:ascii="Arial" w:eastAsia="Arial" w:hAnsi="Arial" w:cs="Arial"/>
          <w:color w:val="000000"/>
          <w:sz w:val="18"/>
        </w:rPr>
        <w:t>. S</w:t>
      </w:r>
      <w:r>
        <w:rPr>
          <w:rFonts w:ascii="Arial" w:eastAsia="Arial" w:hAnsi="Arial" w:cs="Arial"/>
          <w:smallCaps/>
          <w:color w:val="000000"/>
          <w:sz w:val="18"/>
        </w:rPr>
        <w:t>TAT</w:t>
      </w:r>
      <w:r>
        <w:rPr>
          <w:rFonts w:ascii="Arial" w:eastAsia="Arial" w:hAnsi="Arial" w:cs="Arial"/>
          <w:color w:val="000000"/>
          <w:sz w:val="18"/>
        </w:rPr>
        <w:t>. A</w:t>
      </w:r>
      <w:r>
        <w:rPr>
          <w:rFonts w:ascii="Arial" w:eastAsia="Arial" w:hAnsi="Arial" w:cs="Arial"/>
          <w:smallCaps/>
          <w:color w:val="000000"/>
          <w:sz w:val="18"/>
        </w:rPr>
        <w:t>NN</w:t>
      </w:r>
      <w:r>
        <w:rPr>
          <w:rFonts w:ascii="Arial" w:eastAsia="Arial" w:hAnsi="Arial" w:cs="Arial"/>
          <w:color w:val="000000"/>
          <w:sz w:val="18"/>
        </w:rPr>
        <w:t xml:space="preserve">. § 951 ("PHRA"). The District Court granted summary judgment against him on that claim, but he has waived any appeal in that regard by failing to discuss the PHRA claim in his opening brief. </w:t>
      </w:r>
      <w:r>
        <w:rPr>
          <w:rFonts w:ascii="Arial" w:eastAsia="Arial" w:hAnsi="Arial" w:cs="Arial"/>
          <w:i/>
          <w:color w:val="000000"/>
          <w:sz w:val="18"/>
        </w:rPr>
        <w:t xml:space="preserve">See </w:t>
      </w:r>
      <w:bookmarkStart w:id="5713" w:name="Bookmark_I50RD9JT0K1MNJ3D90000400"/>
      <w:bookmarkEnd w:id="5713"/>
      <w:r>
        <w:rPr>
          <w:rFonts w:ascii="Arial" w:eastAsia="Arial" w:hAnsi="Arial" w:cs="Arial"/>
          <w:i/>
          <w:color w:val="000000"/>
          <w:sz w:val="18"/>
        </w:rPr>
        <w:t>Laborers' Int'l Union of N. Am., AFL-CIO v. Foster Wheeler Energey Corp.,</w:t>
      </w:r>
      <w:r>
        <w:rPr>
          <w:rFonts w:ascii="Arial" w:eastAsia="Arial" w:hAnsi="Arial" w:cs="Arial"/>
          <w:color w:val="000000"/>
          <w:sz w:val="18"/>
        </w:rPr>
        <w:t xml:space="preserve"> 26 F.3d 375, 398 (3d Cir. 1994) (</w:t>
      </w:r>
      <w:bookmarkStart w:id="5714" w:name="Bookmark_LNHNREFclscc1_31"/>
      <w:bookmarkEnd w:id="5714"/>
      <w:r>
        <w:rPr>
          <w:rFonts w:ascii="Arial" w:eastAsia="Arial" w:hAnsi="Arial" w:cs="Arial"/>
          <w:color w:val="000000"/>
          <w:sz w:val="18"/>
        </w:rPr>
        <w:t>"An issue is waived unless a party raises it in its opening brief, and for those purposes a passing reference to an issue ... will not suffice to bring that issue before this court.") (citation omitted).</w:t>
      </w:r>
    </w:p>
  </w:footnote>
  <w:footnote w:id="274">
    <w:p w14:paraId="1A979000" w14:textId="77777777" w:rsidR="00D041A2" w:rsidRDefault="00000000">
      <w:pPr>
        <w:pStyle w:val="Normal42"/>
        <w:widowControl w:val="0"/>
        <w:spacing w:before="120" w:line="240" w:lineRule="atLeast"/>
        <w:jc w:val="both"/>
      </w:pPr>
      <w:r>
        <w:rPr>
          <w:rFonts w:ascii="Arial" w:eastAsia="Arial" w:hAnsi="Arial" w:cs="Arial"/>
          <w:color w:val="000000"/>
          <w:sz w:val="18"/>
          <w:vertAlign w:val="superscript"/>
        </w:rPr>
        <w:t>7 </w:t>
      </w:r>
      <w:bookmarkStart w:id="5715" w:name="Bookmark_fnpara_7_15"/>
      <w:bookmarkEnd w:id="5715"/>
      <w:r>
        <w:rPr>
          <w:rFonts w:ascii="Arial" w:eastAsia="Arial" w:hAnsi="Arial" w:cs="Arial"/>
          <w:color w:val="000000"/>
          <w:sz w:val="18"/>
        </w:rPr>
        <w:t>The District Court had jurisdiction pursuant to 28 U.S.C. §§ 1331 and 1367. We have appellate jurisdiction under 28 U.S.C. § 1291.</w:t>
      </w:r>
    </w:p>
  </w:footnote>
  <w:footnote w:id="275">
    <w:p w14:paraId="437C20EC" w14:textId="77777777" w:rsidR="00D041A2" w:rsidRDefault="00000000">
      <w:pPr>
        <w:pStyle w:val="Normal42"/>
        <w:widowControl w:val="0"/>
        <w:spacing w:before="200" w:line="240" w:lineRule="atLeast"/>
        <w:jc w:val="both"/>
      </w:pPr>
      <w:r>
        <w:rPr>
          <w:rFonts w:ascii="Arial" w:eastAsia="Arial" w:hAnsi="Arial" w:cs="Arial"/>
          <w:color w:val="000000"/>
          <w:sz w:val="18"/>
          <w:vertAlign w:val="superscript"/>
        </w:rPr>
        <w:t>8 </w:t>
      </w:r>
      <w:bookmarkStart w:id="5750" w:name="Bookmark_fnpara_8_13"/>
      <w:bookmarkEnd w:id="5750"/>
      <w:r>
        <w:rPr>
          <w:rFonts w:ascii="Arial" w:eastAsia="Arial" w:hAnsi="Arial" w:cs="Arial"/>
          <w:color w:val="000000"/>
          <w:sz w:val="18"/>
        </w:rPr>
        <w:t xml:space="preserve">As a practical point, we note again that DFS did provide a telephone number available 24-hours a day, seven days a week, allowing those with vision impairments to check on charges to their accounts. </w:t>
      </w:r>
      <w:r>
        <w:rPr>
          <w:rFonts w:ascii="Arial" w:eastAsia="Arial" w:hAnsi="Arial" w:cs="Arial"/>
          <w:i/>
          <w:color w:val="000000"/>
          <w:sz w:val="18"/>
        </w:rPr>
        <w:t>See supra</w:t>
      </w:r>
      <w:r>
        <w:rPr>
          <w:rFonts w:ascii="Arial" w:eastAsia="Arial" w:hAnsi="Arial" w:cs="Arial"/>
          <w:color w:val="000000"/>
          <w:sz w:val="18"/>
        </w:rPr>
        <w:t xml:space="preserve"> page 4.</w:t>
      </w:r>
    </w:p>
  </w:footnote>
  <w:footnote w:id="276">
    <w:p w14:paraId="0C07DE2C" w14:textId="77777777" w:rsidR="00D041A2" w:rsidRDefault="00000000">
      <w:pPr>
        <w:pStyle w:val="Normal42"/>
        <w:widowControl w:val="0"/>
        <w:spacing w:before="200" w:line="240" w:lineRule="atLeast"/>
        <w:jc w:val="both"/>
      </w:pPr>
      <w:r>
        <w:rPr>
          <w:rFonts w:ascii="Arial" w:eastAsia="Arial" w:hAnsi="Arial" w:cs="Arial"/>
          <w:color w:val="000000"/>
          <w:sz w:val="18"/>
          <w:vertAlign w:val="superscript"/>
        </w:rPr>
        <w:t>9 </w:t>
      </w:r>
      <w:bookmarkStart w:id="5756" w:name="Bookmark_fnpara_9_12"/>
      <w:bookmarkEnd w:id="5756"/>
      <w:r>
        <w:rPr>
          <w:rFonts w:ascii="Arial" w:eastAsia="Arial" w:hAnsi="Arial" w:cs="Arial"/>
          <w:color w:val="000000"/>
          <w:sz w:val="18"/>
        </w:rPr>
        <w:t>Peoples uses the term "Discover Card" in his brief, presumably referring to DFS. (Appellant's Op. Br. at 28.) However, as noted by DFS, "Discover Card" is not an "entity but rather  [**12] a credit card serviced by DFS[.]" (App. at 24.)</w:t>
      </w:r>
    </w:p>
  </w:footnote>
  <w:footnote w:id="277">
    <w:p w14:paraId="24E2E8B2" w14:textId="77777777" w:rsidR="00D041A2" w:rsidRDefault="00000000">
      <w:pPr>
        <w:pStyle w:val="Normal42"/>
        <w:widowControl w:val="0"/>
        <w:spacing w:before="120" w:line="240" w:lineRule="atLeast"/>
        <w:jc w:val="both"/>
      </w:pPr>
      <w:r>
        <w:rPr>
          <w:rFonts w:ascii="Arial" w:eastAsia="Arial" w:hAnsi="Arial" w:cs="Arial"/>
          <w:color w:val="000000"/>
          <w:sz w:val="18"/>
          <w:vertAlign w:val="superscript"/>
        </w:rPr>
        <w:t>10 </w:t>
      </w:r>
      <w:bookmarkStart w:id="5767" w:name="Bookmark_fnpara_10_11"/>
      <w:bookmarkEnd w:id="5767"/>
      <w:r>
        <w:rPr>
          <w:rFonts w:ascii="Arial" w:eastAsia="Arial" w:hAnsi="Arial" w:cs="Arial"/>
          <w:color w:val="000000"/>
          <w:sz w:val="18"/>
        </w:rPr>
        <w:t>Peoples says, "[w]hether it is explicitly stated in written cardmember agreement [sic] or not, there is no question that [DFS] regularly conducted fraud investigations for customers and that that was a normal part of the customer-credit card company contractual relationship." (Appellant's Op. Br. at 9.)</w:t>
      </w:r>
    </w:p>
  </w:footnote>
  <w:footnote w:id="278">
    <w:p w14:paraId="3005BCAC" w14:textId="77777777" w:rsidR="00D041A2" w:rsidRDefault="00000000">
      <w:pPr>
        <w:pStyle w:val="Normal42"/>
        <w:widowControl w:val="0"/>
        <w:spacing w:before="120" w:line="240" w:lineRule="atLeast"/>
        <w:jc w:val="both"/>
      </w:pPr>
      <w:r>
        <w:rPr>
          <w:rFonts w:ascii="Arial" w:eastAsia="Arial" w:hAnsi="Arial" w:cs="Arial"/>
          <w:color w:val="000000"/>
          <w:sz w:val="18"/>
          <w:vertAlign w:val="superscript"/>
        </w:rPr>
        <w:t>11 </w:t>
      </w:r>
      <w:bookmarkStart w:id="5768" w:name="Bookmark_fnpara_11_11"/>
      <w:bookmarkEnd w:id="5768"/>
      <w:r>
        <w:rPr>
          <w:rFonts w:ascii="Arial" w:eastAsia="Arial" w:hAnsi="Arial" w:cs="Arial"/>
          <w:color w:val="000000"/>
          <w:sz w:val="18"/>
        </w:rPr>
        <w:t>It is likely that the "signed receipt" rule that Peoples refers to is DFS's policy of contacting the merchant in question and requesting that the merchant provide receipts documenting the charges in dispute.</w:t>
      </w:r>
    </w:p>
  </w:footnote>
  <w:footnote w:id="279">
    <w:p w14:paraId="6723DB50" w14:textId="77777777" w:rsidR="00D041A2" w:rsidRDefault="00000000">
      <w:pPr>
        <w:pStyle w:val="Normal42"/>
        <w:widowControl w:val="0"/>
        <w:spacing w:before="200" w:line="240" w:lineRule="atLeast"/>
        <w:jc w:val="both"/>
      </w:pPr>
      <w:r>
        <w:rPr>
          <w:rFonts w:ascii="Arial" w:eastAsia="Arial" w:hAnsi="Arial" w:cs="Arial"/>
          <w:color w:val="000000"/>
          <w:sz w:val="18"/>
          <w:vertAlign w:val="superscript"/>
        </w:rPr>
        <w:t>12 </w:t>
      </w:r>
      <w:bookmarkStart w:id="5776" w:name="Bookmark_fnpara_12_7"/>
      <w:bookmarkEnd w:id="5776"/>
      <w:r>
        <w:rPr>
          <w:rFonts w:ascii="Arial" w:eastAsia="Arial" w:hAnsi="Arial" w:cs="Arial"/>
          <w:color w:val="000000"/>
          <w:sz w:val="18"/>
        </w:rPr>
        <w:t xml:space="preserve">Peoples evidently decided that he can seek redress from Dayle directly. He has filed a suit against her in the Civil Trial Division of the Court  [**16] of Common Pleas of Philadelphia County, Pennsylvania, captioned </w:t>
      </w:r>
      <w:r>
        <w:rPr>
          <w:rFonts w:ascii="Arial" w:eastAsia="Arial" w:hAnsi="Arial" w:cs="Arial"/>
          <w:i/>
          <w:color w:val="000000"/>
          <w:sz w:val="18"/>
        </w:rPr>
        <w:t>Peoples v. Dayle,</w:t>
      </w:r>
      <w:r>
        <w:rPr>
          <w:rFonts w:ascii="Arial" w:eastAsia="Arial" w:hAnsi="Arial" w:cs="Arial"/>
          <w:color w:val="000000"/>
          <w:sz w:val="18"/>
        </w:rPr>
        <w:t xml:space="preserve"> Docket No. 09-10-03340.</w:t>
      </w:r>
    </w:p>
  </w:footnote>
  <w:footnote w:id="280">
    <w:p w14:paraId="65A17B2E" w14:textId="77777777" w:rsidR="00D041A2" w:rsidRDefault="00000000">
      <w:pPr>
        <w:pStyle w:val="Normal43"/>
        <w:widowControl w:val="0"/>
        <w:spacing w:before="120" w:line="240" w:lineRule="atLeast"/>
        <w:jc w:val="both"/>
      </w:pPr>
      <w:r>
        <w:rPr>
          <w:rFonts w:ascii="Arial" w:eastAsia="Arial" w:hAnsi="Arial" w:cs="Arial"/>
          <w:color w:val="000000"/>
          <w:sz w:val="18"/>
          <w:vertAlign w:val="superscript"/>
        </w:rPr>
        <w:t>1 </w:t>
      </w:r>
      <w:bookmarkStart w:id="5782" w:name="Bookmark_fnpara_1_37"/>
      <w:bookmarkEnd w:id="5782"/>
      <w:r>
        <w:rPr>
          <w:rFonts w:ascii="Arial" w:eastAsia="Arial" w:hAnsi="Arial" w:cs="Arial"/>
          <w:color w:val="000000"/>
          <w:sz w:val="18"/>
        </w:rPr>
        <w:t>Pursuant to Fed. R. App. P. 43(c), we have substituted Eric K. Shinseki as the Defendant-Appellee in this action.</w:t>
      </w:r>
    </w:p>
  </w:footnote>
  <w:footnote w:id="281">
    <w:p w14:paraId="7EFF7BDC" w14:textId="77777777" w:rsidR="00D041A2" w:rsidRDefault="00000000">
      <w:pPr>
        <w:pStyle w:val="Normal43"/>
        <w:widowControl w:val="0"/>
        <w:spacing w:before="120" w:line="240" w:lineRule="atLeast"/>
        <w:jc w:val="both"/>
      </w:pPr>
      <w:r>
        <w:rPr>
          <w:rFonts w:ascii="Arial" w:eastAsia="Arial" w:hAnsi="Arial" w:cs="Arial"/>
          <w:color w:val="000000"/>
          <w:sz w:val="18"/>
          <w:vertAlign w:val="superscript"/>
        </w:rPr>
        <w:t>2 </w:t>
      </w:r>
      <w:bookmarkStart w:id="5854" w:name="Bookmark_fnpara_2_34"/>
      <w:bookmarkEnd w:id="5854"/>
      <w:r>
        <w:rPr>
          <w:rFonts w:ascii="Arial" w:eastAsia="Arial" w:hAnsi="Arial" w:cs="Arial"/>
          <w:color w:val="000000"/>
          <w:sz w:val="18"/>
        </w:rPr>
        <w:t>In addition, we may consider whether the employee would represent a "direct threat" to himself or others if the employment continued. 42 U.S.C. § 12113(b). Because we hold that he is not otherwise qualified, we need not reach this question.</w:t>
      </w:r>
    </w:p>
  </w:footnote>
  <w:footnote w:id="282">
    <w:p w14:paraId="2A3F9332" w14:textId="77777777" w:rsidR="00D041A2" w:rsidRDefault="00000000">
      <w:pPr>
        <w:pStyle w:val="Normal43"/>
        <w:widowControl w:val="0"/>
        <w:spacing w:before="120" w:line="240" w:lineRule="atLeast"/>
        <w:jc w:val="both"/>
      </w:pPr>
      <w:r>
        <w:rPr>
          <w:rFonts w:ascii="Arial" w:eastAsia="Arial" w:hAnsi="Arial" w:cs="Arial"/>
          <w:color w:val="000000"/>
          <w:sz w:val="18"/>
          <w:vertAlign w:val="superscript"/>
        </w:rPr>
        <w:t>3 </w:t>
      </w:r>
      <w:bookmarkStart w:id="5888" w:name="Bookmark_fnpara_3_28"/>
      <w:bookmarkEnd w:id="5888"/>
      <w:r>
        <w:rPr>
          <w:rFonts w:ascii="Arial" w:eastAsia="Arial" w:hAnsi="Arial" w:cs="Arial"/>
          <w:color w:val="000000"/>
          <w:sz w:val="18"/>
        </w:rPr>
        <w:t>Mr. Wilkerson does not argue that he should have been transferred to a different vacant position in the VA.</w:t>
      </w:r>
    </w:p>
  </w:footnote>
  <w:footnote w:id="283">
    <w:p w14:paraId="63FEAAC5" w14:textId="77777777" w:rsidR="00D041A2" w:rsidRDefault="00000000">
      <w:pPr>
        <w:pStyle w:val="Normal43"/>
        <w:widowControl w:val="0"/>
        <w:spacing w:before="200" w:line="240" w:lineRule="atLeast"/>
        <w:jc w:val="both"/>
      </w:pPr>
      <w:r>
        <w:rPr>
          <w:rFonts w:ascii="Arial" w:eastAsia="Arial" w:hAnsi="Arial" w:cs="Arial"/>
          <w:color w:val="000000"/>
          <w:sz w:val="18"/>
          <w:vertAlign w:val="superscript"/>
        </w:rPr>
        <w:t>4 </w:t>
      </w:r>
      <w:bookmarkStart w:id="5929" w:name="Bookmark_fnpara_4_23"/>
      <w:bookmarkStart w:id="5930" w:name="Bookmark_I50CCPPK0K1MNJ32K0000400"/>
      <w:bookmarkEnd w:id="5929"/>
      <w:bookmarkEnd w:id="5930"/>
      <w:r>
        <w:rPr>
          <w:rFonts w:ascii="Arial" w:eastAsia="Arial" w:hAnsi="Arial" w:cs="Arial"/>
          <w:color w:val="000000"/>
          <w:sz w:val="18"/>
        </w:rPr>
        <w:t xml:space="preserve">Mr. Wilkerson also attempts to allege a violation of the Health Insurance Portability and Accountability Act. Aplt's Br. at 40 ("The VA is undisputedly governed by the Privacy Act and the so-called 'Privacy Rule' of the [HIPAA]."). Any HIPAA claim fails as HIPAA does not create a private right of action for alleged disclosures of confidential medical information. </w:t>
      </w:r>
      <w:r>
        <w:rPr>
          <w:rFonts w:ascii="Arial" w:eastAsia="Arial" w:hAnsi="Arial" w:cs="Arial"/>
          <w:i/>
          <w:color w:val="000000"/>
          <w:sz w:val="18"/>
        </w:rPr>
        <w:t xml:space="preserve">See </w:t>
      </w:r>
      <w:bookmarkStart w:id="5931" w:name="Bookmark_I50CCPPK0K1MNJ32J0000400"/>
      <w:bookmarkEnd w:id="5931"/>
      <w:r>
        <w:rPr>
          <w:rFonts w:ascii="Arial" w:eastAsia="Arial" w:hAnsi="Arial" w:cs="Arial"/>
          <w:i/>
          <w:color w:val="000000"/>
          <w:sz w:val="18"/>
        </w:rPr>
        <w:t>Acara v. Banks</w:t>
      </w:r>
      <w:r>
        <w:rPr>
          <w:rFonts w:ascii="Arial" w:eastAsia="Arial" w:hAnsi="Arial" w:cs="Arial"/>
          <w:color w:val="000000"/>
          <w:sz w:val="18"/>
        </w:rPr>
        <w:t>, 470 F.3d 569, 571 (5th Cir. 2006) ("We hold there is no private cause of action under HIPAA.").</w:t>
      </w:r>
    </w:p>
  </w:footnote>
  <w:footnote w:id="284">
    <w:p w14:paraId="3BEA3DF4" w14:textId="77777777" w:rsidR="00D041A2" w:rsidRDefault="00000000">
      <w:pPr>
        <w:pStyle w:val="Normal44"/>
        <w:widowControl w:val="0"/>
        <w:spacing w:before="200" w:line="240" w:lineRule="atLeast"/>
        <w:jc w:val="both"/>
      </w:pPr>
      <w:r>
        <w:rPr>
          <w:rFonts w:ascii="Arial" w:eastAsia="Arial" w:hAnsi="Arial" w:cs="Arial"/>
          <w:color w:val="000000"/>
          <w:sz w:val="18"/>
          <w:vertAlign w:val="superscript"/>
        </w:rPr>
        <w:t>1 </w:t>
      </w:r>
      <w:bookmarkStart w:id="6051" w:name="Bookmark_fnpara_1_38"/>
      <w:bookmarkEnd w:id="6051"/>
      <w:r>
        <w:rPr>
          <w:rFonts w:ascii="Arial" w:eastAsia="Arial" w:hAnsi="Arial" w:cs="Arial"/>
          <w:color w:val="000000"/>
          <w:sz w:val="18"/>
        </w:rPr>
        <w:t xml:space="preserve">The district court may have overlooked that </w:t>
      </w:r>
      <w:r>
        <w:rPr>
          <w:rFonts w:ascii="Arial" w:eastAsia="Arial" w:hAnsi="Arial" w:cs="Arial"/>
          <w:i/>
          <w:color w:val="000000"/>
          <w:sz w:val="18"/>
        </w:rPr>
        <w:t>McNeil</w:t>
      </w:r>
      <w:r>
        <w:rPr>
          <w:rFonts w:ascii="Arial" w:eastAsia="Arial" w:hAnsi="Arial" w:cs="Arial"/>
          <w:color w:val="000000"/>
          <w:sz w:val="18"/>
        </w:rPr>
        <w:t xml:space="preserve"> referenced §§ 12182(b)(1)(A)(i)-(iii) and not § 12182(b)(2)(A)(iii). </w:t>
      </w:r>
      <w:r>
        <w:rPr>
          <w:rFonts w:ascii="Arial" w:eastAsia="Arial" w:hAnsi="Arial" w:cs="Arial"/>
          <w:i/>
          <w:color w:val="000000"/>
          <w:sz w:val="18"/>
        </w:rPr>
        <w:t xml:space="preserve">See </w:t>
      </w:r>
      <w:bookmarkStart w:id="6052" w:name="Bookmark_I5051SBW0K1MNJ3R10000400"/>
      <w:bookmarkEnd w:id="6052"/>
      <w:r>
        <w:rPr>
          <w:rFonts w:ascii="Arial" w:eastAsia="Arial" w:hAnsi="Arial" w:cs="Arial"/>
          <w:i/>
          <w:color w:val="000000"/>
          <w:sz w:val="18"/>
        </w:rPr>
        <w:t>Harkins</w:t>
      </w:r>
      <w:r>
        <w:rPr>
          <w:rFonts w:ascii="Arial" w:eastAsia="Arial" w:hAnsi="Arial" w:cs="Arial"/>
          <w:color w:val="000000"/>
          <w:sz w:val="18"/>
        </w:rPr>
        <w:t>, 548 F. Supp. 2d at 728.</w:t>
      </w:r>
    </w:p>
  </w:footnote>
  <w:footnote w:id="285">
    <w:p w14:paraId="2457932F" w14:textId="77777777" w:rsidR="00D041A2" w:rsidRDefault="00000000">
      <w:pPr>
        <w:pStyle w:val="Normal44"/>
        <w:widowControl w:val="0"/>
        <w:spacing w:before="200" w:line="240" w:lineRule="atLeast"/>
        <w:jc w:val="both"/>
      </w:pPr>
      <w:r>
        <w:rPr>
          <w:rFonts w:ascii="Arial" w:eastAsia="Arial" w:hAnsi="Arial" w:cs="Arial"/>
          <w:color w:val="000000"/>
          <w:sz w:val="18"/>
          <w:vertAlign w:val="superscript"/>
        </w:rPr>
        <w:t>2 </w:t>
      </w:r>
      <w:bookmarkStart w:id="6068" w:name="Bookmark_fnpara_2_35"/>
      <w:bookmarkStart w:id="6069" w:name="Bookmark_I5051SBW0K1MNJ3TB0000400"/>
      <w:bookmarkEnd w:id="6068"/>
      <w:bookmarkEnd w:id="6069"/>
      <w:r>
        <w:rPr>
          <w:rFonts w:ascii="Arial" w:eastAsia="Arial" w:hAnsi="Arial" w:cs="Arial"/>
          <w:color w:val="000000"/>
          <w:sz w:val="18"/>
        </w:rPr>
        <w:t xml:space="preserve">Although the DOJ's interpretation appears to conflict with the 28 C.F.R. § 36.303(b)(1)'s inclusion of open captioning as an example of "auxiliary aids and services," the commentary is nonetheless entitled to deference in this case. As stated by the Supreme Court in </w:t>
      </w:r>
      <w:r>
        <w:rPr>
          <w:rFonts w:ascii="Arial" w:eastAsia="Arial" w:hAnsi="Arial" w:cs="Arial"/>
          <w:i/>
          <w:color w:val="000000"/>
          <w:sz w:val="18"/>
        </w:rPr>
        <w:t>Thomas Jefferson University v. Shalala</w:t>
      </w:r>
      <w:r>
        <w:rPr>
          <w:rFonts w:ascii="Arial" w:eastAsia="Arial" w:hAnsi="Arial" w:cs="Arial"/>
          <w:color w:val="000000"/>
          <w:sz w:val="18"/>
        </w:rPr>
        <w:t xml:space="preserve">, </w:t>
      </w:r>
      <w:bookmarkStart w:id="6070" w:name="Bookmark_LNHNREFclscc12_21"/>
      <w:bookmarkEnd w:id="6070"/>
      <w:r>
        <w:rPr>
          <w:rFonts w:ascii="Arial" w:eastAsia="Arial" w:hAnsi="Arial" w:cs="Arial"/>
          <w:color w:val="000000"/>
          <w:sz w:val="18"/>
        </w:rPr>
        <w:t xml:space="preserve">we must defer to an agency's interpretation of its own regulation unless an "alternative reading is compelled by the regulation's plain language or by other indications of [the agency's] intent at the time of the regulation's promulgation." </w:t>
      </w:r>
      <w:bookmarkStart w:id="6071" w:name="Bookmark_I5051SBW0K1MNJ3T90000400"/>
      <w:bookmarkEnd w:id="6071"/>
      <w:r>
        <w:rPr>
          <w:rFonts w:ascii="Arial" w:eastAsia="Arial" w:hAnsi="Arial" w:cs="Arial"/>
          <w:color w:val="000000"/>
          <w:sz w:val="18"/>
        </w:rPr>
        <w:t xml:space="preserve">512 U.S. 504, 512, 114 S. Ct. 2381, 129 L. Ed. 2d 405 (1994). </w:t>
      </w:r>
      <w:bookmarkStart w:id="6072" w:name="Bookmark_LNHNREFclscc13_20"/>
      <w:bookmarkEnd w:id="6072"/>
      <w:r>
        <w:rPr>
          <w:rFonts w:ascii="Arial" w:eastAsia="Arial" w:hAnsi="Arial" w:cs="Arial"/>
          <w:color w:val="000000"/>
          <w:sz w:val="18"/>
        </w:rPr>
        <w:t>Although 28 C.F.R. § 36.303(b)(1) lists open captioning as an example of auxiliary aids and services, not every auxiliary aid and service is mandated by the ADA. Establishments can avoid providing  [**19] auxiliary aids and services by showing that they fundamentally alter its service or impose an undue burden. 28 C.F.R. § 36.303(a). In the context of open captioning, the DOJ could have reasonably concluded that open captioning would constitute a fundamental alteration of the movie screening.</w:t>
      </w:r>
    </w:p>
  </w:footnote>
  <w:footnote w:id="286">
    <w:p w14:paraId="4EB627DF" w14:textId="77777777" w:rsidR="00D041A2" w:rsidRDefault="00000000">
      <w:pPr>
        <w:pStyle w:val="Normal44"/>
        <w:widowControl w:val="0"/>
        <w:spacing w:before="200" w:line="240" w:lineRule="atLeast"/>
        <w:jc w:val="both"/>
      </w:pPr>
      <w:r>
        <w:rPr>
          <w:rFonts w:ascii="Arial" w:eastAsia="Arial" w:hAnsi="Arial" w:cs="Arial"/>
          <w:color w:val="000000"/>
          <w:sz w:val="18"/>
          <w:vertAlign w:val="superscript"/>
        </w:rPr>
        <w:t>3 </w:t>
      </w:r>
      <w:bookmarkStart w:id="6080" w:name="Bookmark_fnpara_3_29"/>
      <w:bookmarkEnd w:id="6080"/>
      <w:r>
        <w:rPr>
          <w:rFonts w:ascii="Arial" w:eastAsia="Arial" w:hAnsi="Arial" w:cs="Arial"/>
          <w:color w:val="000000"/>
          <w:sz w:val="18"/>
        </w:rPr>
        <w:t xml:space="preserve">The DOJ's website states that the DOJ withdrew its draft final rules to amend the implementing regulations to Title III of the ADA while the rules are reviewed by officials appointed by President Obama. </w:t>
      </w:r>
      <w:r>
        <w:rPr>
          <w:rFonts w:ascii="Arial" w:eastAsia="Arial" w:hAnsi="Arial" w:cs="Arial"/>
          <w:i/>
          <w:color w:val="000000"/>
          <w:sz w:val="18"/>
        </w:rPr>
        <w:t>See</w:t>
      </w:r>
      <w:r>
        <w:rPr>
          <w:rFonts w:ascii="Arial" w:eastAsia="Arial" w:hAnsi="Arial" w:cs="Arial"/>
          <w:color w:val="000000"/>
          <w:sz w:val="18"/>
        </w:rPr>
        <w:t xml:space="preserve"> Proposed ADA Regulations Withdrawn from OMB Review, http://www.ada.gov/ADAregswithdraw09.htm (last visited Apr. 21, 2010).</w:t>
      </w:r>
    </w:p>
  </w:footnote>
  <w:footnote w:id="287">
    <w:p w14:paraId="3D247FE3" w14:textId="77777777" w:rsidR="00D041A2" w:rsidRDefault="00000000">
      <w:pPr>
        <w:pStyle w:val="Normal44"/>
        <w:widowControl w:val="0"/>
        <w:spacing w:before="200" w:line="240" w:lineRule="atLeast"/>
        <w:jc w:val="both"/>
      </w:pPr>
      <w:r>
        <w:rPr>
          <w:rFonts w:ascii="Arial" w:eastAsia="Arial" w:hAnsi="Arial" w:cs="Arial"/>
          <w:color w:val="000000"/>
          <w:sz w:val="18"/>
          <w:vertAlign w:val="superscript"/>
        </w:rPr>
        <w:t>4 </w:t>
      </w:r>
      <w:bookmarkStart w:id="6086" w:name="Bookmark_fnpara_4_24"/>
      <w:bookmarkEnd w:id="6086"/>
      <w:r>
        <w:rPr>
          <w:rFonts w:ascii="Arial" w:eastAsia="Arial" w:hAnsi="Arial" w:cs="Arial"/>
          <w:color w:val="000000"/>
          <w:sz w:val="18"/>
        </w:rPr>
        <w:t xml:space="preserve">Amicus National Association of Theatre Owners, Inc.'s reliance on a May 2, 2001, Access Board press release is similarly misplaced, as the DOJ has not adopted the Access Board's position as its own. </w:t>
      </w:r>
      <w:r>
        <w:rPr>
          <w:rFonts w:ascii="Arial" w:eastAsia="Arial" w:hAnsi="Arial" w:cs="Arial"/>
          <w:i/>
          <w:color w:val="000000"/>
          <w:sz w:val="18"/>
        </w:rPr>
        <w:t xml:space="preserve">Cf. </w:t>
      </w:r>
      <w:bookmarkStart w:id="6087" w:name="Bookmark_I5051SBW0K1MNJ3WF0000400"/>
      <w:bookmarkEnd w:id="6087"/>
      <w:r>
        <w:rPr>
          <w:rFonts w:ascii="Arial" w:eastAsia="Arial" w:hAnsi="Arial" w:cs="Arial"/>
          <w:i/>
          <w:color w:val="000000"/>
          <w:sz w:val="18"/>
        </w:rPr>
        <w:t>Miller</w:t>
      </w:r>
      <w:r>
        <w:rPr>
          <w:rFonts w:ascii="Arial" w:eastAsia="Arial" w:hAnsi="Arial" w:cs="Arial"/>
          <w:color w:val="000000"/>
          <w:sz w:val="18"/>
        </w:rPr>
        <w:t>, 536 F.3d at 1031.</w:t>
      </w:r>
    </w:p>
  </w:footnote>
  <w:footnote w:id="288">
    <w:p w14:paraId="3C4AF431" w14:textId="77777777" w:rsidR="00D041A2" w:rsidRDefault="00000000">
      <w:pPr>
        <w:pStyle w:val="Normal45"/>
        <w:widowControl w:val="0"/>
        <w:spacing w:before="120" w:line="240" w:lineRule="atLeast"/>
        <w:jc w:val="both"/>
      </w:pPr>
      <w:r>
        <w:rPr>
          <w:rFonts w:ascii="Arial" w:eastAsia="Arial" w:hAnsi="Arial" w:cs="Arial"/>
          <w:color w:val="000000"/>
          <w:sz w:val="18"/>
          <w:vertAlign w:val="superscript"/>
        </w:rPr>
        <w:t>* </w:t>
      </w:r>
      <w:bookmarkStart w:id="6111" w:name="Bookmark_fnpara_1_39"/>
      <w:bookmarkEnd w:id="6111"/>
      <w:r>
        <w:rPr>
          <w:rFonts w:ascii="Arial" w:eastAsia="Arial" w:hAnsi="Arial" w:cs="Arial"/>
          <w:color w:val="000000"/>
          <w:sz w:val="18"/>
        </w:rPr>
        <w:t>The Clerk of the Court shall revise the official caption of this case to conform to the caption of this summary order.</w:t>
      </w:r>
    </w:p>
  </w:footnote>
  <w:footnote w:id="289">
    <w:p w14:paraId="2286D5A4" w14:textId="77777777" w:rsidR="00D041A2" w:rsidRDefault="00000000">
      <w:pPr>
        <w:pStyle w:val="Normal45"/>
        <w:widowControl w:val="0"/>
        <w:spacing w:before="120" w:line="240" w:lineRule="atLeast"/>
        <w:jc w:val="both"/>
      </w:pPr>
      <w:r>
        <w:rPr>
          <w:rFonts w:ascii="Arial" w:eastAsia="Arial" w:hAnsi="Arial" w:cs="Arial"/>
          <w:color w:val="000000"/>
          <w:sz w:val="18"/>
          <w:vertAlign w:val="superscript"/>
        </w:rPr>
        <w:t>1 </w:t>
      </w:r>
      <w:bookmarkStart w:id="6140" w:name="Bookmark_fnpara_2_36"/>
      <w:bookmarkEnd w:id="6140"/>
      <w:r>
        <w:rPr>
          <w:rFonts w:ascii="Arial" w:eastAsia="Arial" w:hAnsi="Arial" w:cs="Arial"/>
          <w:color w:val="000000"/>
          <w:sz w:val="18"/>
        </w:rPr>
        <w:t>The jury found that there were three areas of the school that had the effect of denying Celeste access to the programs offered there: (1) the walkway between the gym and athletic fields, (2) the gates between the gym and athletic fields, and (3) the athletic [and/or] physical education programs on the athletic fields.</w:t>
      </w:r>
    </w:p>
  </w:footnote>
  <w:footnote w:id="290">
    <w:p w14:paraId="29BEC640"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 </w:t>
      </w:r>
      <w:bookmarkStart w:id="6184" w:name="Bookmark_fnpara_1_40"/>
      <w:bookmarkEnd w:id="6184"/>
      <w:r>
        <w:rPr>
          <w:rFonts w:ascii="Arial" w:eastAsia="Arial" w:hAnsi="Arial" w:cs="Arial"/>
          <w:color w:val="000000"/>
          <w:sz w:val="18"/>
        </w:rPr>
        <w:t>The Honorable Milton I. Shadur, Senior United States District Judge for the Northern District of Illinois, sitting by designation.</w:t>
      </w:r>
    </w:p>
  </w:footnote>
  <w:footnote w:id="291">
    <w:p w14:paraId="16C85EA4"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1 </w:t>
      </w:r>
      <w:bookmarkStart w:id="6191" w:name="Bookmark_fnpara_2_37"/>
      <w:bookmarkEnd w:id="6191"/>
      <w:r>
        <w:rPr>
          <w:rFonts w:ascii="Arial" w:eastAsia="Arial" w:hAnsi="Arial" w:cs="Arial"/>
          <w:color w:val="000000"/>
          <w:sz w:val="18"/>
        </w:rPr>
        <w:t>Nancy Chiang, an additional plaintiff named in the complaint, was on a leave of absence from UCD when the complaint was filed. She dismissed her claims in June 2007. Mansourian, Ng, and Mancuso graduated from UCD during the course of the litigation.</w:t>
      </w:r>
    </w:p>
  </w:footnote>
  <w:footnote w:id="292">
    <w:p w14:paraId="1FE387CE"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2 </w:t>
      </w:r>
      <w:bookmarkStart w:id="6192" w:name="Bookmark_fnpara_3_30"/>
      <w:bookmarkEnd w:id="6192"/>
      <w:r>
        <w:rPr>
          <w:rFonts w:ascii="Arial" w:eastAsia="Arial" w:hAnsi="Arial" w:cs="Arial"/>
          <w:color w:val="000000"/>
          <w:sz w:val="18"/>
        </w:rPr>
        <w:t>UCD disputes the very existence of a women's varsity wrestling program, insisting that the plaintiffs were merely "permitted to practice with the wrestling team." UCD acknowledges, however, that the plaintiffs "participated in wrestling" and that Mansourian, at least, was "on the wrestling team roster" and received varsity-associated benefits. Moreover, UCD listed four female varsity wrestlers in its 1999-2000 athletics report pursuant to the Equity in Athletics Disclosure Act, 20 U.S.C. § 1092(g). Viewing the facts in favor of the plaintiffs on UCD's motion for summary judgment, we conclude that the plaintiffs were varsity wrestlers for purposes of Title IX.</w:t>
      </w:r>
    </w:p>
  </w:footnote>
  <w:footnote w:id="293">
    <w:p w14:paraId="76DDB596"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3 </w:t>
      </w:r>
      <w:bookmarkStart w:id="6194" w:name="Bookmark_fnpara_4_25"/>
      <w:bookmarkEnd w:id="6194"/>
      <w:r>
        <w:rPr>
          <w:rFonts w:ascii="Arial" w:eastAsia="Arial" w:hAnsi="Arial" w:cs="Arial"/>
          <w:color w:val="000000"/>
          <w:sz w:val="18"/>
        </w:rPr>
        <w:t>OCR is the division of the United States Department of Education charged with enforcing Title IX.</w:t>
      </w:r>
    </w:p>
  </w:footnote>
  <w:footnote w:id="294">
    <w:p w14:paraId="328C2DD5"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4 </w:t>
      </w:r>
      <w:bookmarkStart w:id="6196" w:name="Bookmark_fnpara_5_21"/>
      <w:bookmarkEnd w:id="6196"/>
      <w:r>
        <w:rPr>
          <w:rFonts w:ascii="Arial" w:eastAsia="Arial" w:hAnsi="Arial" w:cs="Arial"/>
          <w:color w:val="000000"/>
          <w:sz w:val="18"/>
        </w:rPr>
        <w:t>The Title IX claims are asserted only against the university. The individual defendants are Larry Vanderhoef, University Chancellor; Greg Warzecka, Athletic Director; Pam Gill-Fisher and Lawrence Swanson, Associate Athletic Directors; and Robert Franks, Associate Vice Chancellor for Student Affairs. We refer to the individual defendants and the University collectively as "UCD."</w:t>
      </w:r>
    </w:p>
  </w:footnote>
  <w:footnote w:id="295">
    <w:p w14:paraId="46C72569"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5 </w:t>
      </w:r>
      <w:bookmarkStart w:id="6227" w:name="Bookmark_fnpara_6_19"/>
      <w:bookmarkEnd w:id="6227"/>
      <w:r>
        <w:rPr>
          <w:rFonts w:ascii="Arial" w:eastAsia="Arial" w:hAnsi="Arial" w:cs="Arial"/>
          <w:color w:val="000000"/>
          <w:sz w:val="18"/>
        </w:rPr>
        <w:t>The parties did not inform this court before oral argument that (1) the putative additional plaintiffs had also all graduated and (2) those plaintiffs had settled their separate lawsuit for class injunctive relief and were awaiting approval of that settlement by the district court. We as judges take our responsibilities seriously, preparing carefully before argument on all issues presented in the briefs. Where, as here, the complexion of the case has entirely changed while the appeal is pending, counsel for both parties have an obligation to so inform the court. That is so even if a party believes it has a basis for arguing that the issue should still  [**10] be decided.</w:t>
      </w:r>
    </w:p>
    <w:p w14:paraId="60F30F99" w14:textId="77777777" w:rsidR="00D041A2" w:rsidRDefault="00000000">
      <w:pPr>
        <w:pStyle w:val="Normal46"/>
        <w:widowControl w:val="0"/>
        <w:spacing w:before="200" w:line="240" w:lineRule="atLeast"/>
        <w:jc w:val="both"/>
      </w:pPr>
      <w:bookmarkStart w:id="6228" w:name="Bookmark_fnpara_7_16"/>
      <w:bookmarkEnd w:id="6228"/>
      <w:r>
        <w:rPr>
          <w:rFonts w:ascii="Arial" w:eastAsia="Arial" w:hAnsi="Arial" w:cs="Arial"/>
          <w:color w:val="000000"/>
          <w:sz w:val="18"/>
        </w:rPr>
        <w:t xml:space="preserve">No such notice of changed circumstances was given here. Instead, the panel learned only at argument that Brust, Ludwig, and Bulala had graduated, and learned only after independent post-argument research that there was a motion pending, to be heard in a matter of days, for approval of a settlement for broad-ranging injunctive relief in the </w:t>
      </w:r>
      <w:r>
        <w:rPr>
          <w:rFonts w:ascii="Arial" w:eastAsia="Arial" w:hAnsi="Arial" w:cs="Arial"/>
          <w:i/>
          <w:color w:val="000000"/>
          <w:sz w:val="18"/>
        </w:rPr>
        <w:t>Brust</w:t>
      </w:r>
      <w:r>
        <w:rPr>
          <w:rFonts w:ascii="Arial" w:eastAsia="Arial" w:hAnsi="Arial" w:cs="Arial"/>
          <w:color w:val="000000"/>
          <w:sz w:val="18"/>
        </w:rPr>
        <w:t xml:space="preserve"> litigation.</w:t>
      </w:r>
    </w:p>
  </w:footnote>
  <w:footnote w:id="296">
    <w:p w14:paraId="67AA5458"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6 </w:t>
      </w:r>
      <w:bookmarkStart w:id="6237" w:name="Bookmark_fnpara_8_14"/>
      <w:bookmarkEnd w:id="6237"/>
      <w:r>
        <w:rPr>
          <w:rFonts w:ascii="Arial" w:eastAsia="Arial" w:hAnsi="Arial" w:cs="Arial"/>
          <w:color w:val="000000"/>
          <w:sz w:val="18"/>
        </w:rPr>
        <w:t xml:space="preserve">The existence of a private right of action to enforce Title IX is well-established and not at issue in this case. </w:t>
      </w:r>
      <w:r>
        <w:rPr>
          <w:rFonts w:ascii="Arial" w:eastAsia="Arial" w:hAnsi="Arial" w:cs="Arial"/>
          <w:i/>
          <w:color w:val="000000"/>
          <w:sz w:val="18"/>
        </w:rPr>
        <w:t xml:space="preserve">See </w:t>
      </w:r>
      <w:bookmarkStart w:id="6238" w:name="Bookmark_I502VRD70K1MNJ0040000400"/>
      <w:bookmarkEnd w:id="6238"/>
      <w:r>
        <w:rPr>
          <w:rFonts w:ascii="Arial" w:eastAsia="Arial" w:hAnsi="Arial" w:cs="Arial"/>
          <w:i/>
          <w:color w:val="000000"/>
          <w:sz w:val="18"/>
        </w:rPr>
        <w:t>Cannon v. Univ. of Chicago</w:t>
      </w:r>
      <w:r>
        <w:rPr>
          <w:rFonts w:ascii="Arial" w:eastAsia="Arial" w:hAnsi="Arial" w:cs="Arial"/>
          <w:color w:val="000000"/>
          <w:sz w:val="18"/>
        </w:rPr>
        <w:t>, 441 U.S. 677, 99 S. Ct. 1946, 60 L. Ed. 2d 560 (1979).</w:t>
      </w:r>
    </w:p>
  </w:footnote>
  <w:footnote w:id="297">
    <w:p w14:paraId="0C72A62A"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7 </w:t>
      </w:r>
      <w:bookmarkStart w:id="6242" w:name="Bookmark_fnpara_9_13"/>
      <w:bookmarkStart w:id="6243" w:name="Bookmark_LNHNREFclscc7_31"/>
      <w:bookmarkEnd w:id="6242"/>
      <w:bookmarkEnd w:id="6243"/>
      <w:r>
        <w:rPr>
          <w:rFonts w:ascii="Arial" w:eastAsia="Arial" w:hAnsi="Arial" w:cs="Arial"/>
          <w:color w:val="000000"/>
          <w:sz w:val="18"/>
        </w:rPr>
        <w:t>"Effective accommodation" as a doctrine within Title IX jurisprudence is analytically distinct from similarly titled doctrines under other statutes -- for example, the obligation to "mak[e] reasonable accommodations to the known physical or mental limitations of an otherwise qualified individual with a disability" under the Americans with Disabilities  [**13] Act, 42 U.S.C. § 12112(b)(5).</w:t>
      </w:r>
    </w:p>
  </w:footnote>
  <w:footnote w:id="298">
    <w:p w14:paraId="255D45D8"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8 </w:t>
      </w:r>
      <w:bookmarkStart w:id="6244" w:name="Bookmark_fnpara_10_12"/>
      <w:bookmarkStart w:id="6245" w:name="Bookmark_LNHNREFclscc8_31"/>
      <w:bookmarkEnd w:id="6244"/>
      <w:bookmarkEnd w:id="6245"/>
      <w:r>
        <w:rPr>
          <w:rFonts w:ascii="Arial" w:eastAsia="Arial" w:hAnsi="Arial" w:cs="Arial"/>
          <w:color w:val="000000"/>
          <w:sz w:val="18"/>
        </w:rPr>
        <w:t>The regulation requires OCR to consider, in assessing whether equal opportunities are available to students of both sexes:</w:t>
      </w:r>
    </w:p>
    <w:p w14:paraId="064D25DF" w14:textId="77777777" w:rsidR="00D041A2" w:rsidRDefault="00000000">
      <w:pPr>
        <w:pStyle w:val="Normal46"/>
        <w:widowControl w:val="0"/>
        <w:spacing w:before="120" w:line="240" w:lineRule="atLeast"/>
        <w:ind w:left="400"/>
        <w:jc w:val="both"/>
      </w:pPr>
      <w:bookmarkStart w:id="6246" w:name="Bookmark_para_18_27"/>
      <w:bookmarkEnd w:id="6246"/>
      <w:r>
        <w:rPr>
          <w:rFonts w:ascii="Arial" w:eastAsia="Arial" w:hAnsi="Arial" w:cs="Arial"/>
          <w:color w:val="000000"/>
          <w:sz w:val="18"/>
        </w:rPr>
        <w:t>The provision of equipment and supplies; [s]cheduling of games and practice time; [t]ravel and per diem allowance; (opportunity to receive coaching and academic tutoring; [a]ssignment and compensation of coaches and tutors; [p]rovision of locker rooms, practice and competitive facilities; [p]rovision of medical and training facilities and services; [p]rovision of housing and dining facilities and services; [p]ubiicity.</w:t>
      </w:r>
    </w:p>
    <w:p w14:paraId="58B28A8A" w14:textId="77777777" w:rsidR="00D041A2" w:rsidRDefault="00000000">
      <w:pPr>
        <w:pStyle w:val="Normal46"/>
        <w:widowControl w:val="0"/>
        <w:spacing w:before="120" w:line="240" w:lineRule="atLeast"/>
        <w:jc w:val="both"/>
      </w:pPr>
      <w:r>
        <w:rPr>
          <w:rFonts w:ascii="Arial" w:eastAsia="Arial" w:hAnsi="Arial" w:cs="Arial"/>
          <w:color w:val="000000"/>
          <w:sz w:val="18"/>
        </w:rPr>
        <w:t>34 C.F.R. § 106.41(c).</w:t>
      </w:r>
    </w:p>
  </w:footnote>
  <w:footnote w:id="299">
    <w:p w14:paraId="5479C89E"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9 </w:t>
      </w:r>
      <w:bookmarkStart w:id="6262" w:name="Bookmark_fnpara_11_12"/>
      <w:bookmarkEnd w:id="6262"/>
      <w:r>
        <w:rPr>
          <w:rFonts w:ascii="Arial" w:eastAsia="Arial" w:hAnsi="Arial" w:cs="Arial"/>
          <w:color w:val="000000"/>
          <w:sz w:val="18"/>
        </w:rPr>
        <w:t xml:space="preserve">We and other circuits have held that both the Policy Interpretation and the Clarification are entitled to deference under </w:t>
      </w:r>
      <w:bookmarkStart w:id="6263" w:name="Bookmark_I502VRD70K1MNJ07F0000400"/>
      <w:bookmarkEnd w:id="6263"/>
      <w:r>
        <w:rPr>
          <w:rFonts w:ascii="Arial" w:eastAsia="Arial" w:hAnsi="Arial" w:cs="Arial"/>
          <w:i/>
          <w:color w:val="000000"/>
          <w:sz w:val="18"/>
        </w:rPr>
        <w:t>Chevron U.S.A. v. Natural Res. Def. Council</w:t>
      </w:r>
      <w:r>
        <w:rPr>
          <w:rFonts w:ascii="Arial" w:eastAsia="Arial" w:hAnsi="Arial" w:cs="Arial"/>
          <w:color w:val="000000"/>
          <w:sz w:val="18"/>
        </w:rPr>
        <w:t xml:space="preserve">, 467 U.S. 837, 843-44, 104 S. Ct. 2778, 81 L. Ed. 2d 694 (1984), and </w:t>
      </w:r>
      <w:bookmarkStart w:id="6264" w:name="Bookmark_I502VRD70K1MNJ07H0000400"/>
      <w:bookmarkEnd w:id="6264"/>
      <w:r>
        <w:rPr>
          <w:rFonts w:ascii="Arial" w:eastAsia="Arial" w:hAnsi="Arial" w:cs="Arial"/>
          <w:i/>
          <w:color w:val="000000"/>
          <w:sz w:val="18"/>
        </w:rPr>
        <w:t>Martin v. Occupational Safety &amp; Health Review Comm'n</w:t>
      </w:r>
      <w:r>
        <w:rPr>
          <w:rFonts w:ascii="Arial" w:eastAsia="Arial" w:hAnsi="Arial" w:cs="Arial"/>
          <w:color w:val="000000"/>
          <w:sz w:val="18"/>
        </w:rPr>
        <w:t xml:space="preserve">, 499 U.S. 144, 150, 111 S. Ct. 1171, 113 L. Ed. 2d 117 (1991). </w:t>
      </w:r>
      <w:r>
        <w:rPr>
          <w:rFonts w:ascii="Arial" w:eastAsia="Arial" w:hAnsi="Arial" w:cs="Arial"/>
          <w:i/>
          <w:color w:val="000000"/>
          <w:sz w:val="18"/>
        </w:rPr>
        <w:t xml:space="preserve">See </w:t>
      </w:r>
      <w:bookmarkStart w:id="6265" w:name="Bookmark_I502VRD70K1MNJ0GN0000400"/>
      <w:bookmarkEnd w:id="6265"/>
      <w:r>
        <w:rPr>
          <w:rFonts w:ascii="Arial" w:eastAsia="Arial" w:hAnsi="Arial" w:cs="Arial"/>
          <w:i/>
          <w:color w:val="000000"/>
          <w:sz w:val="18"/>
        </w:rPr>
        <w:t>Neal v. Bd. of Trs</w:t>
      </w:r>
      <w:r>
        <w:rPr>
          <w:rFonts w:ascii="Arial" w:eastAsia="Arial" w:hAnsi="Arial" w:cs="Arial"/>
          <w:color w:val="000000"/>
          <w:sz w:val="18"/>
        </w:rPr>
        <w:t xml:space="preserve">., 198 F.3d 763, 770, 771 (9th Cir. 1999); </w:t>
      </w:r>
      <w:r>
        <w:rPr>
          <w:rFonts w:ascii="Arial" w:eastAsia="Arial" w:hAnsi="Arial" w:cs="Arial"/>
          <w:i/>
          <w:color w:val="000000"/>
          <w:sz w:val="18"/>
        </w:rPr>
        <w:t xml:space="preserve">accord </w:t>
      </w:r>
      <w:bookmarkStart w:id="6266" w:name="Bookmark_I502VRD70K1MNJ0GR0000400"/>
      <w:bookmarkEnd w:id="6266"/>
      <w:r>
        <w:rPr>
          <w:rFonts w:ascii="Arial" w:eastAsia="Arial" w:hAnsi="Arial" w:cs="Arial"/>
          <w:i/>
          <w:color w:val="000000"/>
          <w:sz w:val="18"/>
        </w:rPr>
        <w:t>Chalenor v. Univ. of N.D</w:t>
      </w:r>
      <w:r>
        <w:rPr>
          <w:rFonts w:ascii="Arial" w:eastAsia="Arial" w:hAnsi="Arial" w:cs="Arial"/>
          <w:color w:val="000000"/>
          <w:sz w:val="18"/>
        </w:rPr>
        <w:t xml:space="preserve">., 291 F.3d 1042, 1047 (8th Cir. 2002); </w:t>
      </w:r>
      <w:bookmarkStart w:id="6267" w:name="Bookmark_I502VRD70K1MNJ0H00000400"/>
      <w:bookmarkEnd w:id="6267"/>
      <w:r>
        <w:rPr>
          <w:rFonts w:ascii="Arial" w:eastAsia="Arial" w:hAnsi="Arial" w:cs="Arial"/>
          <w:i/>
          <w:color w:val="000000"/>
          <w:sz w:val="18"/>
        </w:rPr>
        <w:t>Kelley</w:t>
      </w:r>
      <w:r>
        <w:rPr>
          <w:rFonts w:ascii="Arial" w:eastAsia="Arial" w:hAnsi="Arial" w:cs="Arial"/>
          <w:color w:val="000000"/>
          <w:sz w:val="18"/>
        </w:rPr>
        <w:t xml:space="preserve">, 35 F.3d at 270-71; </w:t>
      </w:r>
      <w:bookmarkStart w:id="6268" w:name="Bookmark_I502VRD70K1MNJ0H20000400"/>
      <w:bookmarkEnd w:id="6268"/>
      <w:r>
        <w:rPr>
          <w:rFonts w:ascii="Arial" w:eastAsia="Arial" w:hAnsi="Arial" w:cs="Arial"/>
          <w:i/>
          <w:color w:val="000000"/>
          <w:sz w:val="18"/>
        </w:rPr>
        <w:t>Cohen</w:t>
      </w:r>
      <w:r>
        <w:rPr>
          <w:rFonts w:ascii="Arial" w:eastAsia="Arial" w:hAnsi="Arial" w:cs="Arial"/>
          <w:color w:val="000000"/>
          <w:sz w:val="18"/>
        </w:rPr>
        <w:t>, 991 F.2d at 896-97.</w:t>
      </w:r>
    </w:p>
  </w:footnote>
  <w:footnote w:id="300">
    <w:p w14:paraId="5F12323C"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10 </w:t>
      </w:r>
      <w:bookmarkStart w:id="6269" w:name="Bookmark_fnpara_12_8"/>
      <w:bookmarkEnd w:id="6269"/>
      <w:r>
        <w:rPr>
          <w:rFonts w:ascii="Arial" w:eastAsia="Arial" w:hAnsi="Arial" w:cs="Arial"/>
          <w:color w:val="000000"/>
          <w:sz w:val="18"/>
        </w:rPr>
        <w:t xml:space="preserve">"Intercollegiate" refers to varsity and junior varsity teams, as opposed to club or intramural teams, which do not receive coaching or athletic scholarships and other benefits listed in the regulations. </w:t>
      </w:r>
      <w:r>
        <w:rPr>
          <w:rFonts w:ascii="Arial" w:eastAsia="Arial" w:hAnsi="Arial" w:cs="Arial"/>
          <w:i/>
          <w:color w:val="000000"/>
          <w:sz w:val="18"/>
        </w:rPr>
        <w:t>See supra</w:t>
      </w:r>
      <w:r>
        <w:rPr>
          <w:rFonts w:ascii="Arial" w:eastAsia="Arial" w:hAnsi="Arial" w:cs="Arial"/>
          <w:color w:val="000000"/>
          <w:sz w:val="18"/>
        </w:rPr>
        <w:t xml:space="preserve"> note 8.</w:t>
      </w:r>
    </w:p>
  </w:footnote>
  <w:footnote w:id="301">
    <w:p w14:paraId="581E03A8"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11 </w:t>
      </w:r>
      <w:bookmarkStart w:id="6273" w:name="Bookmark_fnpara_13_7"/>
      <w:bookmarkEnd w:id="6273"/>
      <w:r>
        <w:rPr>
          <w:rFonts w:ascii="Arial" w:eastAsia="Arial" w:hAnsi="Arial" w:cs="Arial"/>
          <w:color w:val="000000"/>
          <w:sz w:val="18"/>
        </w:rPr>
        <w:t>The record does not demonstrate that UCD has complied with either Option One or Option Three, and UCD does not contend that it has.</w:t>
      </w:r>
    </w:p>
  </w:footnote>
  <w:footnote w:id="302">
    <w:p w14:paraId="127F3866"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12 </w:t>
      </w:r>
      <w:bookmarkStart w:id="6274" w:name="Bookmark_fnpara_14_7"/>
      <w:bookmarkEnd w:id="6274"/>
      <w:r>
        <w:rPr>
          <w:rFonts w:ascii="Arial" w:eastAsia="Arial" w:hAnsi="Arial" w:cs="Arial"/>
          <w:color w:val="000000"/>
          <w:sz w:val="18"/>
        </w:rPr>
        <w:t xml:space="preserve">Some language in the Clarification suggests that the unduplicated count of female athletes is relevant in assessing Title IX compliance. For example, hypothetical Institution C and Institution E comply with Option Two because their "addition of teams resulted in an increased percentage of </w:t>
      </w:r>
      <w:r>
        <w:rPr>
          <w:rFonts w:ascii="Arial" w:eastAsia="Arial" w:hAnsi="Arial" w:cs="Arial"/>
          <w:i/>
          <w:color w:val="000000"/>
          <w:sz w:val="18"/>
        </w:rPr>
        <w:t>women participating in varsity athletics</w:t>
      </w:r>
      <w:r>
        <w:rPr>
          <w:rFonts w:ascii="Arial" w:eastAsia="Arial" w:hAnsi="Arial" w:cs="Arial"/>
          <w:color w:val="000000"/>
          <w:sz w:val="18"/>
        </w:rPr>
        <w:t>." But the Clarification elsewhere states that participation opportunities are the relevant metric, and that a student who plays two varsity sports represents  [**16] two participation opportunities, so we assume that the sentence quoted means to refer to female participation opportunities, not individual women. Similarly, although this opinion sometimes for brevity refers to the number of "female athletes" at UCD for the purposes of Option Two compliance, we are always referring to participation opportunities, a number in which some female athletes count twice. We also count participation opportunities, not individuals, when comparing the number of "athletes" to overall student enrollment.</w:t>
      </w:r>
    </w:p>
  </w:footnote>
  <w:footnote w:id="303">
    <w:p w14:paraId="35A357E7"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13 </w:t>
      </w:r>
      <w:bookmarkStart w:id="6314" w:name="Bookmark_fnpara_15_5"/>
      <w:bookmarkEnd w:id="6314"/>
      <w:r>
        <w:rPr>
          <w:rFonts w:ascii="Arial" w:eastAsia="Arial" w:hAnsi="Arial" w:cs="Arial"/>
          <w:color w:val="000000"/>
          <w:sz w:val="18"/>
        </w:rPr>
        <w:t xml:space="preserve">The harassment itself may be actionable under state law or 42 U.S.C. § 1983. </w:t>
      </w:r>
      <w:bookmarkStart w:id="6315" w:name="Bookmark_I502VRD70K1MNJ13D0000400"/>
      <w:bookmarkEnd w:id="6315"/>
      <w:r>
        <w:rPr>
          <w:rFonts w:ascii="Arial" w:eastAsia="Arial" w:hAnsi="Arial" w:cs="Arial"/>
          <w:i/>
          <w:color w:val="000000"/>
          <w:sz w:val="18"/>
        </w:rPr>
        <w:t>Gebser</w:t>
      </w:r>
      <w:r>
        <w:rPr>
          <w:rFonts w:ascii="Arial" w:eastAsia="Arial" w:hAnsi="Arial" w:cs="Arial"/>
          <w:color w:val="000000"/>
          <w:sz w:val="18"/>
        </w:rPr>
        <w:t>, 524 U.S. at 292.</w:t>
      </w:r>
    </w:p>
  </w:footnote>
  <w:footnote w:id="304">
    <w:p w14:paraId="56701142"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14 </w:t>
      </w:r>
      <w:bookmarkStart w:id="6319" w:name="Bookmark_fnpara_16_4"/>
      <w:bookmarkStart w:id="6320" w:name="Bookmark_I502VRD70K1MNJ1J80000400"/>
      <w:bookmarkEnd w:id="6319"/>
      <w:bookmarkEnd w:id="6320"/>
      <w:r>
        <w:rPr>
          <w:rFonts w:ascii="Arial" w:eastAsia="Arial" w:hAnsi="Arial" w:cs="Arial"/>
          <w:i/>
          <w:color w:val="000000"/>
          <w:sz w:val="18"/>
        </w:rPr>
        <w:t>Simpson</w:t>
      </w:r>
      <w:r>
        <w:rPr>
          <w:rFonts w:ascii="Arial" w:eastAsia="Arial" w:hAnsi="Arial" w:cs="Arial"/>
          <w:color w:val="000000"/>
          <w:sz w:val="18"/>
        </w:rPr>
        <w:t xml:space="preserve"> concerned two female University of Colorado (CU) students sexually assaulted by football players and high school football recruits. The Tenth Circuit held that </w:t>
      </w:r>
      <w:r>
        <w:rPr>
          <w:rFonts w:ascii="Arial" w:eastAsia="Arial" w:hAnsi="Arial" w:cs="Arial"/>
          <w:i/>
          <w:color w:val="000000"/>
          <w:sz w:val="18"/>
        </w:rPr>
        <w:t>Gebser's</w:t>
      </w:r>
      <w:r>
        <w:rPr>
          <w:rFonts w:ascii="Arial" w:eastAsia="Arial" w:hAnsi="Arial" w:cs="Arial"/>
          <w:color w:val="000000"/>
          <w:sz w:val="18"/>
        </w:rPr>
        <w:t xml:space="preserve"> notice standard did not apply. The record supported the finding that the head football coach was aware of "the serious risk of sexual . . . assault during college-football recruiting efforts [and] that such assaults had indeed occurred during CU recruiting visits," </w:t>
      </w:r>
      <w:bookmarkStart w:id="6321" w:name="Bookmark_I502VRD70K1MNJ1J70000400"/>
      <w:bookmarkEnd w:id="6321"/>
      <w:r>
        <w:rPr>
          <w:rFonts w:ascii="Arial" w:eastAsia="Arial" w:hAnsi="Arial" w:cs="Arial"/>
          <w:i/>
          <w:color w:val="000000"/>
          <w:sz w:val="18"/>
        </w:rPr>
        <w:t>Simpson</w:t>
      </w:r>
      <w:r>
        <w:rPr>
          <w:rFonts w:ascii="Arial" w:eastAsia="Arial" w:hAnsi="Arial" w:cs="Arial"/>
          <w:color w:val="000000"/>
          <w:sz w:val="18"/>
        </w:rPr>
        <w:t xml:space="preserve">, 500 F.3d at 1184, and that, although the Boulder District Attorney's office had recommended a policy to curb such assaults after a previous incident involving recruits, the policy was not followed and CU continued to sponsor an "unsupervised player-host program to show highschool recruits 'a good time.'" </w:t>
      </w:r>
      <w:r>
        <w:rPr>
          <w:rFonts w:ascii="Arial" w:eastAsia="Arial" w:hAnsi="Arial" w:cs="Arial"/>
          <w:i/>
          <w:color w:val="000000"/>
          <w:sz w:val="18"/>
        </w:rPr>
        <w:t>Id</w:t>
      </w:r>
      <w:r>
        <w:rPr>
          <w:rFonts w:ascii="Arial" w:eastAsia="Arial" w:hAnsi="Arial" w:cs="Arial"/>
          <w:color w:val="000000"/>
          <w:sz w:val="18"/>
        </w:rPr>
        <w:t xml:space="preserve">. The court held this sequence of events satisfied the "official policy" element of </w:t>
      </w:r>
      <w:r>
        <w:rPr>
          <w:rFonts w:ascii="Arial" w:eastAsia="Arial" w:hAnsi="Arial" w:cs="Arial"/>
          <w:i/>
          <w:color w:val="000000"/>
          <w:sz w:val="18"/>
        </w:rPr>
        <w:t>Gebser</w:t>
      </w:r>
      <w:r>
        <w:rPr>
          <w:rFonts w:ascii="Arial" w:eastAsia="Arial" w:hAnsi="Arial" w:cs="Arial"/>
          <w:color w:val="000000"/>
          <w:sz w:val="18"/>
        </w:rPr>
        <w:t xml:space="preserve"> and that a woman assaulted thereafter need provide no separate notice and opportunity to cure before filing suit.</w:t>
      </w:r>
    </w:p>
  </w:footnote>
  <w:footnote w:id="305">
    <w:p w14:paraId="2452F0BD"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15 </w:t>
      </w:r>
      <w:bookmarkStart w:id="6375" w:name="Bookmark_fnpara_17_2"/>
      <w:bookmarkEnd w:id="6375"/>
      <w:r>
        <w:rPr>
          <w:rFonts w:ascii="Arial" w:eastAsia="Arial" w:hAnsi="Arial" w:cs="Arial"/>
          <w:color w:val="000000"/>
          <w:sz w:val="18"/>
        </w:rPr>
        <w:t>UCD does not dispute that it eliminated  [**28] field hockey but denies that it eliminated a women's golf team, asserting that UCD "attempted" to start a women's golf team in the 1970s that "never got off the ground." Drawing all reasonable inferences in favor of the plaintiffs, as we must, we credit UCD's internal report as accurately describing the elimination of a women's golf team.</w:t>
      </w:r>
    </w:p>
  </w:footnote>
  <w:footnote w:id="306">
    <w:p w14:paraId="1CEA3B62"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16 </w:t>
      </w:r>
      <w:bookmarkStart w:id="6376" w:name="Bookmark_fnpara_18_1"/>
      <w:bookmarkEnd w:id="6376"/>
      <w:r>
        <w:rPr>
          <w:rFonts w:ascii="Arial" w:eastAsia="Arial" w:hAnsi="Arial" w:cs="Arial"/>
          <w:color w:val="000000"/>
          <w:sz w:val="18"/>
        </w:rPr>
        <w:t>ln 1992 an associate athletic director warned of a "backward slide in compliance," and in 1993 UCD's acting athletic director noted that "the ratio of women participating has decreased slightly in recent years."</w:t>
      </w:r>
    </w:p>
  </w:footnote>
  <w:footnote w:id="307">
    <w:p w14:paraId="60F4E555"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17 </w:t>
      </w:r>
      <w:bookmarkStart w:id="6378" w:name="Bookmark_fnpara_19_1"/>
      <w:bookmarkEnd w:id="6378"/>
      <w:r>
        <w:rPr>
          <w:rFonts w:ascii="Arial" w:eastAsia="Arial" w:hAnsi="Arial" w:cs="Arial"/>
          <w:color w:val="000000"/>
          <w:sz w:val="18"/>
        </w:rPr>
        <w:t>Again, "the number of female athletes" may include athletes who are counted more than once by virtue of participating in more than one sport.</w:t>
      </w:r>
    </w:p>
  </w:footnote>
  <w:footnote w:id="308">
    <w:p w14:paraId="2E0ED9B4"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18 </w:t>
      </w:r>
      <w:bookmarkStart w:id="6382" w:name="Bookmark_fnpara_20_1"/>
      <w:bookmarkEnd w:id="6382"/>
      <w:r>
        <w:rPr>
          <w:rFonts w:ascii="Arial" w:eastAsia="Arial" w:hAnsi="Arial" w:cs="Arial"/>
          <w:color w:val="000000"/>
          <w:sz w:val="18"/>
        </w:rPr>
        <w:t xml:space="preserve">As noted, </w:t>
      </w:r>
      <w:r>
        <w:rPr>
          <w:rFonts w:ascii="Arial" w:eastAsia="Arial" w:hAnsi="Arial" w:cs="Arial"/>
          <w:i/>
          <w:color w:val="000000"/>
          <w:sz w:val="18"/>
        </w:rPr>
        <w:t>supra</w:t>
      </w:r>
      <w:r>
        <w:rPr>
          <w:rFonts w:ascii="Arial" w:eastAsia="Arial" w:hAnsi="Arial" w:cs="Arial"/>
          <w:color w:val="000000"/>
          <w:sz w:val="18"/>
        </w:rPr>
        <w:t xml:space="preserve"> note 2, the plaintiffs have submitted sufficient facts showing the existence of female varsity wrestling opportunities to survive summary judgment. UCD's subsequent decision to permit women to compete against men for a slot on the team does not affect our analysis. By requiring women to prevail against men, the university changed the conditions under which women could participate in varsity wrestling in a manner that foreseeably precluded their future participation.</w:t>
      </w:r>
    </w:p>
    <w:p w14:paraId="0AC2907B" w14:textId="77777777" w:rsidR="00D041A2" w:rsidRDefault="00000000">
      <w:pPr>
        <w:pStyle w:val="Normal46"/>
        <w:widowControl w:val="0"/>
        <w:spacing w:before="200" w:line="240" w:lineRule="atLeast"/>
        <w:jc w:val="both"/>
      </w:pPr>
      <w:bookmarkStart w:id="6383" w:name="Bookmark_fnpara_21_1"/>
      <w:bookmarkEnd w:id="6383"/>
      <w:r>
        <w:rPr>
          <w:rFonts w:ascii="Arial" w:eastAsia="Arial" w:hAnsi="Arial" w:cs="Arial"/>
          <w:color w:val="000000"/>
          <w:sz w:val="18"/>
        </w:rPr>
        <w:t xml:space="preserve">UCD's contention that it *'ha[d] not declared wrestling to be a contact sport" does not advance its position. </w:t>
      </w:r>
      <w:bookmarkStart w:id="6384" w:name="Bookmark_I502VRD70K1MNJ28T0000400"/>
      <w:bookmarkEnd w:id="6384"/>
      <w:r>
        <w:rPr>
          <w:rFonts w:ascii="Arial" w:eastAsia="Arial" w:hAnsi="Arial" w:cs="Arial"/>
          <w:color w:val="000000"/>
          <w:sz w:val="18"/>
        </w:rPr>
        <w:t xml:space="preserve">First, </w:t>
      </w:r>
      <w:bookmarkStart w:id="6385" w:name="Bookmark_LNHNREFclscc25_1"/>
      <w:bookmarkEnd w:id="6385"/>
      <w:r>
        <w:rPr>
          <w:rFonts w:ascii="Arial" w:eastAsia="Arial" w:hAnsi="Arial" w:cs="Arial"/>
          <w:color w:val="000000"/>
          <w:sz w:val="18"/>
        </w:rPr>
        <w:t xml:space="preserve">wrestling </w:t>
      </w:r>
      <w:r>
        <w:rPr>
          <w:rFonts w:ascii="Arial" w:eastAsia="Arial" w:hAnsi="Arial" w:cs="Arial"/>
          <w:i/>
          <w:color w:val="000000"/>
          <w:sz w:val="18"/>
        </w:rPr>
        <w:t>is</w:t>
      </w:r>
      <w:r>
        <w:rPr>
          <w:rFonts w:ascii="Arial" w:eastAsia="Arial" w:hAnsi="Arial" w:cs="Arial"/>
          <w:color w:val="000000"/>
          <w:sz w:val="18"/>
        </w:rPr>
        <w:t xml:space="preserve"> a contact sport under OCR regulations. 34 C.F.R. § 106.41(b). While women must be permitted to try out for all-male teams if there is no women's team in that sport, this requirement is waived for contact sports. </w:t>
      </w:r>
      <w:r>
        <w:rPr>
          <w:rFonts w:ascii="Arial" w:eastAsia="Arial" w:hAnsi="Arial" w:cs="Arial"/>
          <w:i/>
          <w:color w:val="000000"/>
          <w:sz w:val="18"/>
        </w:rPr>
        <w:t>Id</w:t>
      </w:r>
      <w:r>
        <w:rPr>
          <w:rFonts w:ascii="Arial" w:eastAsia="Arial" w:hAnsi="Arial" w:cs="Arial"/>
          <w:color w:val="000000"/>
          <w:sz w:val="18"/>
        </w:rPr>
        <w:t xml:space="preserve">. But the contact-sport "exemption did not give [UCD] license to discriminate against [the plaintiffs] because of their sex once [UCD] decided to allow [them] to  [**32] join the team." </w:t>
      </w:r>
      <w:bookmarkStart w:id="6386" w:name="Bookmark_I502VRD70K1MNJ28S0000400"/>
      <w:bookmarkEnd w:id="6386"/>
      <w:r>
        <w:rPr>
          <w:rFonts w:ascii="Arial" w:eastAsia="Arial" w:hAnsi="Arial" w:cs="Arial"/>
          <w:i/>
          <w:color w:val="000000"/>
          <w:sz w:val="18"/>
        </w:rPr>
        <w:t>Mercer v. Duke Univ</w:t>
      </w:r>
      <w:r>
        <w:rPr>
          <w:rFonts w:ascii="Arial" w:eastAsia="Arial" w:hAnsi="Arial" w:cs="Arial"/>
          <w:color w:val="000000"/>
          <w:sz w:val="18"/>
        </w:rPr>
        <w:t>., 401 F.3d 199, 202 (4th Cir. 2005) (citation omitted).</w:t>
      </w:r>
    </w:p>
  </w:footnote>
  <w:footnote w:id="309">
    <w:p w14:paraId="652D7A1A"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19 </w:t>
      </w:r>
      <w:bookmarkStart w:id="6395" w:name="Bookmark_fnpara_22_0"/>
      <w:bookmarkEnd w:id="6395"/>
      <w:r>
        <w:rPr>
          <w:rFonts w:ascii="Arial" w:eastAsia="Arial" w:hAnsi="Arial" w:cs="Arial"/>
          <w:color w:val="000000"/>
          <w:sz w:val="18"/>
        </w:rPr>
        <w:t>UCD points to its Title IX Compliance Officer and grievance procedure as evidence of a practice of program expansion. As both are required by OCR regulations, 34 C.F.R. § 106.8, and neither affects the number of female athletes or teams, they do not indicate program expansion for purposes of Option Two.</w:t>
      </w:r>
    </w:p>
  </w:footnote>
  <w:footnote w:id="310">
    <w:p w14:paraId="1CB212DC"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20 </w:t>
      </w:r>
      <w:bookmarkStart w:id="6402" w:name="Bookmark_fnpara_23_0"/>
      <w:bookmarkEnd w:id="6402"/>
      <w:r>
        <w:rPr>
          <w:rFonts w:ascii="Arial" w:eastAsia="Arial" w:hAnsi="Arial" w:cs="Arial"/>
          <w:color w:val="000000"/>
          <w:sz w:val="18"/>
        </w:rPr>
        <w:t>Defendant Warzecka chose to create a varsity golf team in part because the Big West Conference requires participating schools to add conference-sponsored sports, of which golf is one, before adding other sports, and because golf could be added at minimal expense, thanks to a local country club's willingness to provide a course for UCD athletes to practice and compete. While athletic conference rules and cost are, of course, legitimate factors in sport selection, neither takes precedence over the requirements of Title IX.</w:t>
      </w:r>
    </w:p>
  </w:footnote>
  <w:footnote w:id="311">
    <w:p w14:paraId="768A4C79"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21 </w:t>
      </w:r>
      <w:bookmarkStart w:id="6404" w:name="Bookmark_fnpara_24"/>
      <w:bookmarkEnd w:id="6404"/>
      <w:r>
        <w:rPr>
          <w:rFonts w:ascii="Arial" w:eastAsia="Arial" w:hAnsi="Arial" w:cs="Arial"/>
          <w:color w:val="000000"/>
          <w:sz w:val="18"/>
        </w:rPr>
        <w:t>UCD's review committee estimated that field hockey would add 22 female athletes; horse polo, 35; rugby, 30 to 40. Bowling would have added 12 to 15.</w:t>
      </w:r>
    </w:p>
  </w:footnote>
  <w:footnote w:id="312">
    <w:p w14:paraId="32A4B3E5" w14:textId="77777777" w:rsidR="00D041A2" w:rsidRDefault="00000000">
      <w:pPr>
        <w:pStyle w:val="Normal46"/>
        <w:widowControl w:val="0"/>
        <w:spacing w:before="200" w:line="240" w:lineRule="atLeast"/>
        <w:jc w:val="both"/>
      </w:pPr>
      <w:r>
        <w:rPr>
          <w:rFonts w:ascii="Arial" w:eastAsia="Arial" w:hAnsi="Arial" w:cs="Arial"/>
          <w:color w:val="000000"/>
          <w:sz w:val="18"/>
          <w:vertAlign w:val="superscript"/>
        </w:rPr>
        <w:t>22 </w:t>
      </w:r>
      <w:bookmarkStart w:id="6442" w:name="Bookmark_fnpara_25"/>
      <w:bookmarkStart w:id="6443" w:name="Bookmark_I502VRD70K1MNJ31F0000400"/>
      <w:bookmarkEnd w:id="6442"/>
      <w:bookmarkEnd w:id="6443"/>
      <w:r>
        <w:rPr>
          <w:rFonts w:ascii="Arial" w:eastAsia="Arial" w:hAnsi="Arial" w:cs="Arial"/>
          <w:i/>
          <w:color w:val="000000"/>
          <w:sz w:val="18"/>
        </w:rPr>
        <w:t>Nat'l R.R. Passenger Corp. v. Morgan</w:t>
      </w:r>
      <w:r>
        <w:rPr>
          <w:rFonts w:ascii="Arial" w:eastAsia="Arial" w:hAnsi="Arial" w:cs="Arial"/>
          <w:color w:val="000000"/>
          <w:sz w:val="18"/>
        </w:rPr>
        <w:t xml:space="preserve">, 536 U.S. 101, 114, 122 S. Ct. 2061, 153 L. Ed. 2d 106 (2002), held that </w:t>
      </w:r>
      <w:bookmarkStart w:id="6444" w:name="Bookmark_LNHNREFclscc33_0"/>
      <w:bookmarkEnd w:id="6444"/>
      <w:r>
        <w:rPr>
          <w:rFonts w:ascii="Arial" w:eastAsia="Arial" w:hAnsi="Arial" w:cs="Arial"/>
          <w:color w:val="000000"/>
          <w:sz w:val="18"/>
        </w:rPr>
        <w:t xml:space="preserve">each "[d]iscrete act[ ] such as termination,  [**41] failure to promote, denial of transfer or refusal to hire . . . constitutes a separate actionable 'unlawful . . . practice'" for the purposes of triggering the statute of limitations period in a Title VII case. </w:t>
      </w:r>
      <w:r>
        <w:rPr>
          <w:rFonts w:ascii="Arial" w:eastAsia="Arial" w:hAnsi="Arial" w:cs="Arial"/>
          <w:i/>
          <w:color w:val="000000"/>
          <w:sz w:val="18"/>
        </w:rPr>
        <w:t>Morgan</w:t>
      </w:r>
      <w:r>
        <w:rPr>
          <w:rFonts w:ascii="Arial" w:eastAsia="Arial" w:hAnsi="Arial" w:cs="Arial"/>
          <w:color w:val="000000"/>
          <w:sz w:val="18"/>
        </w:rPr>
        <w:t xml:space="preserve"> left undisturbed our case law governing continuing systemic violations.</w:t>
      </w:r>
    </w:p>
  </w:footnote>
  <w:footnote w:id="313">
    <w:p w14:paraId="73962E6E" w14:textId="77777777" w:rsidR="00D041A2" w:rsidRDefault="00000000">
      <w:pPr>
        <w:pStyle w:val="Normal46"/>
        <w:widowControl w:val="0"/>
        <w:spacing w:before="120" w:line="240" w:lineRule="atLeast"/>
        <w:jc w:val="both"/>
      </w:pPr>
      <w:r>
        <w:rPr>
          <w:rFonts w:ascii="Arial" w:eastAsia="Arial" w:hAnsi="Arial" w:cs="Arial"/>
          <w:color w:val="000000"/>
          <w:sz w:val="18"/>
          <w:vertAlign w:val="superscript"/>
        </w:rPr>
        <w:t>23 </w:t>
      </w:r>
      <w:bookmarkStart w:id="6447" w:name="Bookmark_fnpara_26"/>
      <w:bookmarkEnd w:id="6447"/>
      <w:r>
        <w:rPr>
          <w:rFonts w:ascii="Arial" w:eastAsia="Arial" w:hAnsi="Arial" w:cs="Arial"/>
          <w:color w:val="000000"/>
          <w:sz w:val="18"/>
        </w:rPr>
        <w:t>UCD raised a qualified immunity defense in its answer to the students' complaint but never litigated it thereafter.</w:t>
      </w:r>
    </w:p>
  </w:footnote>
  <w:footnote w:id="314">
    <w:p w14:paraId="638034C9" w14:textId="77777777" w:rsidR="00D041A2" w:rsidRDefault="00000000">
      <w:pPr>
        <w:pStyle w:val="Normal47"/>
        <w:widowControl w:val="0"/>
        <w:spacing w:before="120" w:line="240" w:lineRule="atLeast"/>
        <w:jc w:val="both"/>
      </w:pPr>
      <w:r>
        <w:rPr>
          <w:rFonts w:ascii="Arial" w:eastAsia="Arial" w:hAnsi="Arial" w:cs="Arial"/>
          <w:color w:val="000000"/>
          <w:sz w:val="18"/>
          <w:vertAlign w:val="superscript"/>
        </w:rPr>
        <w:t>* </w:t>
      </w:r>
      <w:bookmarkStart w:id="6460" w:name="Bookmark_fnpara_1_41"/>
      <w:bookmarkEnd w:id="6460"/>
      <w:r>
        <w:rPr>
          <w:rFonts w:ascii="Arial" w:eastAsia="Arial" w:hAnsi="Arial" w:cs="Arial"/>
          <w:color w:val="000000"/>
          <w:sz w:val="18"/>
        </w:rPr>
        <w:t>David G. Trager, Senior Judge of the United States District Court for the Eastern District of New York, sitting by designation.</w:t>
      </w:r>
    </w:p>
  </w:footnote>
  <w:footnote w:id="315">
    <w:p w14:paraId="4875E28E" w14:textId="77777777" w:rsidR="00D041A2" w:rsidRDefault="00000000">
      <w:pPr>
        <w:pStyle w:val="Normal48"/>
        <w:widowControl w:val="0"/>
        <w:spacing w:before="200" w:line="240" w:lineRule="atLeast"/>
        <w:jc w:val="both"/>
      </w:pPr>
      <w:r>
        <w:rPr>
          <w:rFonts w:ascii="Arial" w:eastAsia="Arial" w:hAnsi="Arial" w:cs="Arial"/>
          <w:color w:val="000000"/>
          <w:sz w:val="18"/>
          <w:vertAlign w:val="superscript"/>
        </w:rPr>
        <w:t>** </w:t>
      </w:r>
      <w:bookmarkStart w:id="6482" w:name="Bookmark_fnpara_1_42"/>
      <w:bookmarkEnd w:id="6482"/>
      <w:r>
        <w:rPr>
          <w:rFonts w:ascii="Arial" w:eastAsia="Arial" w:hAnsi="Arial" w:cs="Arial"/>
          <w:color w:val="000000"/>
          <w:sz w:val="18"/>
        </w:rPr>
        <w:t xml:space="preserve">The panel unanimously concludes this case is suitable for decision without oral argument. </w:t>
      </w:r>
      <w:r>
        <w:rPr>
          <w:rFonts w:ascii="Arial" w:eastAsia="Arial" w:hAnsi="Arial" w:cs="Arial"/>
          <w:i/>
          <w:color w:val="000000"/>
          <w:sz w:val="18"/>
        </w:rPr>
        <w:t>See</w:t>
      </w:r>
      <w:r>
        <w:rPr>
          <w:rFonts w:ascii="Arial" w:eastAsia="Arial" w:hAnsi="Arial" w:cs="Arial"/>
          <w:color w:val="000000"/>
          <w:sz w:val="18"/>
        </w:rPr>
        <w:t xml:space="preserve"> Fed. R. App. P. 34(a)(2).</w:t>
      </w:r>
    </w:p>
  </w:footnote>
  <w:footnote w:id="316">
    <w:p w14:paraId="6D812BC3" w14:textId="77777777" w:rsidR="00D041A2" w:rsidRDefault="00000000">
      <w:pPr>
        <w:pStyle w:val="Normal48"/>
        <w:widowControl w:val="0"/>
        <w:spacing w:before="120" w:line="240" w:lineRule="atLeast"/>
        <w:jc w:val="both"/>
      </w:pPr>
      <w:r>
        <w:rPr>
          <w:rFonts w:ascii="Arial" w:eastAsia="Arial" w:hAnsi="Arial" w:cs="Arial"/>
          <w:color w:val="000000"/>
          <w:sz w:val="18"/>
          <w:vertAlign w:val="superscript"/>
        </w:rPr>
        <w:t>* </w:t>
      </w:r>
      <w:bookmarkStart w:id="6493" w:name="Bookmark_fnpara_2_38"/>
      <w:bookmarkEnd w:id="6493"/>
      <w:r>
        <w:rPr>
          <w:rFonts w:ascii="Arial" w:eastAsia="Arial" w:hAnsi="Arial" w:cs="Arial"/>
          <w:color w:val="000000"/>
          <w:sz w:val="18"/>
        </w:rPr>
        <w:t>This disposition is not appropriate for publication and is not precedent except as provided by 9th Cir. R. 36-3.</w:t>
      </w:r>
    </w:p>
  </w:footnote>
  <w:footnote w:id="317">
    <w:p w14:paraId="0F78D14D" w14:textId="77777777" w:rsidR="00D041A2" w:rsidRDefault="00000000">
      <w:pPr>
        <w:pStyle w:val="Normal48"/>
        <w:widowControl w:val="0"/>
        <w:spacing w:before="120" w:line="240" w:lineRule="atLeast"/>
        <w:jc w:val="both"/>
      </w:pPr>
      <w:r>
        <w:rPr>
          <w:rFonts w:ascii="Arial" w:eastAsia="Arial" w:hAnsi="Arial" w:cs="Arial"/>
          <w:color w:val="000000"/>
          <w:sz w:val="18"/>
          <w:vertAlign w:val="superscript"/>
        </w:rPr>
        <w:t>1 </w:t>
      </w:r>
      <w:bookmarkStart w:id="6498" w:name="Bookmark_fnpara_3_31"/>
      <w:bookmarkEnd w:id="6498"/>
      <w:r>
        <w:rPr>
          <w:rFonts w:ascii="Arial" w:eastAsia="Arial" w:hAnsi="Arial" w:cs="Arial"/>
          <w:color w:val="000000"/>
          <w:sz w:val="18"/>
        </w:rPr>
        <w:t>Because the parties are familiar with the facts and procedural history, we do not restate them here except as necessary to explain our decision.</w:t>
      </w:r>
    </w:p>
  </w:footnote>
  <w:footnote w:id="318">
    <w:p w14:paraId="29023B62" w14:textId="77777777" w:rsidR="00D041A2" w:rsidRDefault="00000000">
      <w:pPr>
        <w:pStyle w:val="Normal49"/>
        <w:widowControl w:val="0"/>
        <w:spacing w:before="200" w:line="240" w:lineRule="atLeast"/>
        <w:jc w:val="both"/>
      </w:pPr>
      <w:r>
        <w:rPr>
          <w:rFonts w:ascii="Arial" w:eastAsia="Arial" w:hAnsi="Arial" w:cs="Arial"/>
          <w:color w:val="000000"/>
          <w:sz w:val="18"/>
          <w:vertAlign w:val="superscript"/>
        </w:rPr>
        <w:t>1 </w:t>
      </w:r>
      <w:bookmarkStart w:id="6609" w:name="Bookmark_fnpara_1_43"/>
      <w:bookmarkEnd w:id="6609"/>
      <w:r>
        <w:rPr>
          <w:rFonts w:ascii="Arial" w:eastAsia="Arial" w:hAnsi="Arial" w:cs="Arial"/>
          <w:color w:val="000000"/>
          <w:sz w:val="18"/>
        </w:rPr>
        <w:t>This Court has not yet determined which party bears the burden in proving whether the accommodation is reasonable. However, we need not reach that issue  [**11] in this appeal.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9ACC7" w14:textId="77777777" w:rsidR="00D041A2" w:rsidRDefault="00D041A2">
    <w:pPr>
      <w:pStyle w:val="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720B427" w14:textId="77777777">
      <w:trPr>
        <w:jc w:val="center"/>
      </w:trPr>
      <w:tc>
        <w:tcPr>
          <w:tcW w:w="10080" w:type="dxa"/>
          <w:vAlign w:val="center"/>
        </w:tcPr>
        <w:p w14:paraId="7A8C658C" w14:textId="77777777" w:rsidR="00D041A2" w:rsidRDefault="00D041A2">
          <w:pPr>
            <w:pStyle w:val="Normal0"/>
          </w:pPr>
        </w:p>
      </w:tc>
    </w:tr>
    <w:tr w:rsidR="00D041A2" w14:paraId="332B0193" w14:textId="77777777">
      <w:trPr>
        <w:jc w:val="center"/>
      </w:trPr>
      <w:tc>
        <w:tcPr>
          <w:tcW w:w="10080" w:type="dxa"/>
        </w:tcPr>
        <w:p w14:paraId="3CAC2598" w14:textId="77777777" w:rsidR="00D041A2" w:rsidRDefault="00000000">
          <w:pPr>
            <w:pStyle w:val="Normal0"/>
            <w:spacing w:before="60" w:after="200"/>
            <w:jc w:val="center"/>
          </w:pPr>
          <w:r>
            <w:rPr>
              <w:rFonts w:ascii="Arial" w:eastAsia="Arial" w:hAnsi="Arial" w:cs="Arial"/>
              <w:sz w:val="20"/>
            </w:rPr>
            <w:t>E.R.K. v. State Dep't of Educ., 728 F.3d 982</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0556A" w14:textId="77777777" w:rsidR="00D041A2" w:rsidRDefault="00D041A2">
    <w:pPr>
      <w:pStyle w:val="Norm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B42C3" w14:textId="77777777" w:rsidR="00D041A2" w:rsidRDefault="00D041A2">
    <w:pPr>
      <w:pStyle w:val="Norm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5554DDE5" w14:textId="77777777">
      <w:trPr>
        <w:jc w:val="center"/>
      </w:trPr>
      <w:tc>
        <w:tcPr>
          <w:tcW w:w="10080" w:type="dxa"/>
          <w:vAlign w:val="center"/>
        </w:tcPr>
        <w:p w14:paraId="730D03BA" w14:textId="77777777" w:rsidR="00D041A2" w:rsidRDefault="00D041A2">
          <w:pPr>
            <w:pStyle w:val="Normal1"/>
          </w:pPr>
        </w:p>
      </w:tc>
    </w:tr>
    <w:tr w:rsidR="00D041A2" w14:paraId="08260882" w14:textId="77777777">
      <w:trPr>
        <w:jc w:val="center"/>
      </w:trPr>
      <w:tc>
        <w:tcPr>
          <w:tcW w:w="10080" w:type="dxa"/>
        </w:tcPr>
        <w:p w14:paraId="33D1869D" w14:textId="77777777" w:rsidR="00D041A2" w:rsidRDefault="00000000">
          <w:pPr>
            <w:pStyle w:val="Normal1"/>
            <w:spacing w:before="60" w:after="200"/>
            <w:jc w:val="center"/>
          </w:pPr>
          <w:r>
            <w:rPr>
              <w:rFonts w:ascii="Arial" w:eastAsia="Arial" w:hAnsi="Arial" w:cs="Arial"/>
              <w:sz w:val="20"/>
            </w:rPr>
            <w:t>Huck v. Kone, Inc., 539 Fed. Appx. 754</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DB3A5" w14:textId="77777777" w:rsidR="00D041A2" w:rsidRDefault="00D041A2">
    <w:pPr>
      <w:pStyle w:val="Norm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0B131" w14:textId="77777777" w:rsidR="00D041A2" w:rsidRDefault="00D041A2">
    <w:pPr>
      <w:pStyle w:val="Normal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28F51C69" w14:textId="77777777">
      <w:trPr>
        <w:jc w:val="center"/>
      </w:trPr>
      <w:tc>
        <w:tcPr>
          <w:tcW w:w="10080" w:type="dxa"/>
          <w:vAlign w:val="center"/>
        </w:tcPr>
        <w:p w14:paraId="1DC4FB9B" w14:textId="77777777" w:rsidR="00D041A2" w:rsidRDefault="00D041A2">
          <w:pPr>
            <w:pStyle w:val="Normal2"/>
          </w:pPr>
        </w:p>
      </w:tc>
    </w:tr>
    <w:tr w:rsidR="00D041A2" w14:paraId="341F7A3D" w14:textId="77777777">
      <w:trPr>
        <w:jc w:val="center"/>
      </w:trPr>
      <w:tc>
        <w:tcPr>
          <w:tcW w:w="10080" w:type="dxa"/>
        </w:tcPr>
        <w:p w14:paraId="5E4FBD56" w14:textId="77777777" w:rsidR="00D041A2" w:rsidRDefault="00000000">
          <w:pPr>
            <w:pStyle w:val="Normal2"/>
            <w:spacing w:before="60" w:after="200"/>
            <w:jc w:val="center"/>
          </w:pPr>
          <w:r>
            <w:rPr>
              <w:rFonts w:ascii="Arial" w:eastAsia="Arial" w:hAnsi="Arial" w:cs="Arial"/>
              <w:sz w:val="20"/>
            </w:rPr>
            <w:t>Cunningham v. Univ. of N.M. Bd. of Regents, 531 Fed. Appx. 909</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95498" w14:textId="77777777" w:rsidR="00D041A2" w:rsidRDefault="00D041A2">
    <w:pPr>
      <w:pStyle w:val="Normal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44478" w14:textId="77777777" w:rsidR="00D041A2" w:rsidRDefault="00D041A2">
    <w:pPr>
      <w:pStyle w:val="Normal3"/>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0331CD3D" w14:textId="77777777">
      <w:trPr>
        <w:jc w:val="center"/>
      </w:trPr>
      <w:tc>
        <w:tcPr>
          <w:tcW w:w="10080" w:type="dxa"/>
          <w:vAlign w:val="center"/>
        </w:tcPr>
        <w:p w14:paraId="71AC89DD" w14:textId="77777777" w:rsidR="00D041A2" w:rsidRDefault="00D041A2">
          <w:pPr>
            <w:pStyle w:val="Normal3"/>
          </w:pPr>
        </w:p>
      </w:tc>
    </w:tr>
    <w:tr w:rsidR="00D041A2" w14:paraId="688B593C" w14:textId="77777777">
      <w:trPr>
        <w:jc w:val="center"/>
      </w:trPr>
      <w:tc>
        <w:tcPr>
          <w:tcW w:w="10080" w:type="dxa"/>
        </w:tcPr>
        <w:p w14:paraId="289B4AA5" w14:textId="77777777" w:rsidR="00D041A2" w:rsidRDefault="00000000">
          <w:pPr>
            <w:pStyle w:val="Normal3"/>
            <w:spacing w:before="60" w:after="200"/>
            <w:jc w:val="center"/>
          </w:pPr>
          <w:r>
            <w:rPr>
              <w:rFonts w:ascii="Arial" w:eastAsia="Arial" w:hAnsi="Arial" w:cs="Arial"/>
              <w:sz w:val="20"/>
            </w:rPr>
            <w:t>Solomon v. Sch. Dist., 532 Fed. Appx. 154</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5DA22" w14:textId="77777777" w:rsidR="00D041A2" w:rsidRDefault="00D041A2">
    <w:pPr>
      <w:pStyle w:val="Normal3"/>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099D1" w14:textId="77777777" w:rsidR="00D041A2" w:rsidRDefault="00D041A2">
    <w:pPr>
      <w:pStyle w:val="Normal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67DC7A5C" w14:textId="77777777">
      <w:trPr>
        <w:jc w:val="center"/>
      </w:trPr>
      <w:tc>
        <w:tcPr>
          <w:tcW w:w="10080" w:type="dxa"/>
          <w:vAlign w:val="center"/>
        </w:tcPr>
        <w:p w14:paraId="45584F06" w14:textId="77777777" w:rsidR="00D041A2" w:rsidRDefault="00D041A2">
          <w:pPr>
            <w:pStyle w:val="Normal4"/>
          </w:pPr>
        </w:p>
      </w:tc>
    </w:tr>
    <w:tr w:rsidR="00D041A2" w14:paraId="43851616" w14:textId="77777777">
      <w:trPr>
        <w:jc w:val="center"/>
      </w:trPr>
      <w:tc>
        <w:tcPr>
          <w:tcW w:w="10080" w:type="dxa"/>
        </w:tcPr>
        <w:p w14:paraId="104F0BD1" w14:textId="77777777" w:rsidR="00D041A2" w:rsidRDefault="00000000">
          <w:pPr>
            <w:pStyle w:val="Normal4"/>
            <w:spacing w:before="60" w:after="200"/>
            <w:jc w:val="center"/>
          </w:pPr>
          <w:r>
            <w:rPr>
              <w:rFonts w:ascii="Arial" w:eastAsia="Arial" w:hAnsi="Arial" w:cs="Arial"/>
              <w:sz w:val="20"/>
            </w:rPr>
            <w:t>Ellis v. Ethicon, Inc., 529 Fed. Appx. 310</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E6973" w14:textId="77777777" w:rsidR="00D041A2" w:rsidRDefault="00D041A2">
    <w:pPr>
      <w:pStyle w:val="Normal4"/>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12DCB" w14:textId="77777777" w:rsidR="00D041A2" w:rsidRDefault="00D041A2">
    <w:pPr>
      <w:pStyle w:val="Normal5"/>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13B6BAE9" w14:textId="77777777">
      <w:trPr>
        <w:jc w:val="center"/>
      </w:trPr>
      <w:tc>
        <w:tcPr>
          <w:tcW w:w="10080" w:type="dxa"/>
          <w:vAlign w:val="center"/>
        </w:tcPr>
        <w:p w14:paraId="193EA7C4" w14:textId="77777777" w:rsidR="00D041A2" w:rsidRDefault="00D041A2">
          <w:pPr>
            <w:pStyle w:val="Normal5"/>
          </w:pPr>
        </w:p>
      </w:tc>
    </w:tr>
    <w:tr w:rsidR="00D041A2" w14:paraId="34FDA28A" w14:textId="77777777">
      <w:trPr>
        <w:jc w:val="center"/>
      </w:trPr>
      <w:tc>
        <w:tcPr>
          <w:tcW w:w="10080" w:type="dxa"/>
        </w:tcPr>
        <w:p w14:paraId="642D32AA" w14:textId="77777777" w:rsidR="00D041A2" w:rsidRDefault="00000000">
          <w:pPr>
            <w:pStyle w:val="Normal5"/>
            <w:spacing w:before="60" w:after="200"/>
            <w:jc w:val="center"/>
          </w:pPr>
          <w:r>
            <w:rPr>
              <w:rFonts w:ascii="Arial" w:eastAsia="Arial" w:hAnsi="Arial" w:cs="Arial"/>
              <w:sz w:val="20"/>
            </w:rPr>
            <w:t>Stebbins v. Legal Aid of Ark., 512 Fed. Appx. 662</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20C9" w14:textId="77777777" w:rsidR="00D041A2" w:rsidRDefault="00D041A2">
    <w:pPr>
      <w:pStyle w:val="Normal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F10B" w14:textId="77777777" w:rsidR="00D041A2" w:rsidRDefault="00D041A2">
    <w:pPr>
      <w:pStyle w:val="Normal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6688C8E1" w14:textId="77777777">
      <w:trPr>
        <w:jc w:val="center"/>
      </w:trPr>
      <w:tc>
        <w:tcPr>
          <w:tcW w:w="10080" w:type="dxa"/>
          <w:vAlign w:val="center"/>
        </w:tcPr>
        <w:p w14:paraId="28127114" w14:textId="77777777" w:rsidR="00D041A2" w:rsidRDefault="00D041A2">
          <w:pPr>
            <w:pStyle w:val="Normal6"/>
          </w:pPr>
        </w:p>
      </w:tc>
    </w:tr>
    <w:tr w:rsidR="00D041A2" w14:paraId="1F12D5B7" w14:textId="77777777">
      <w:trPr>
        <w:jc w:val="center"/>
      </w:trPr>
      <w:tc>
        <w:tcPr>
          <w:tcW w:w="10080" w:type="dxa"/>
        </w:tcPr>
        <w:p w14:paraId="288F5DEB" w14:textId="77777777" w:rsidR="00D041A2" w:rsidRDefault="00000000">
          <w:pPr>
            <w:pStyle w:val="Normal6"/>
            <w:spacing w:before="60" w:after="200"/>
            <w:jc w:val="center"/>
          </w:pPr>
          <w:r>
            <w:rPr>
              <w:rFonts w:ascii="Arial" w:eastAsia="Arial" w:hAnsi="Arial" w:cs="Arial"/>
              <w:sz w:val="20"/>
            </w:rPr>
            <w:t>Koessel v. Sublette County Sheriff's Dep't, 717 F.3d 736</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A4ED" w14:textId="77777777" w:rsidR="00D041A2" w:rsidRDefault="00D041A2">
    <w:pPr>
      <w:pStyle w:val="Normal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FC300" w14:textId="77777777" w:rsidR="00D041A2" w:rsidRDefault="00D041A2">
    <w:pPr>
      <w:pStyle w:val="Normal7"/>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689E623F" w14:textId="77777777">
      <w:trPr>
        <w:jc w:val="center"/>
      </w:trPr>
      <w:tc>
        <w:tcPr>
          <w:tcW w:w="10080" w:type="dxa"/>
          <w:vAlign w:val="center"/>
        </w:tcPr>
        <w:p w14:paraId="621F5F78" w14:textId="77777777" w:rsidR="00D041A2" w:rsidRDefault="00D041A2">
          <w:pPr>
            <w:pStyle w:val="Normal7"/>
          </w:pPr>
        </w:p>
      </w:tc>
    </w:tr>
    <w:tr w:rsidR="00D041A2" w14:paraId="754B1EB3" w14:textId="77777777">
      <w:trPr>
        <w:jc w:val="center"/>
      </w:trPr>
      <w:tc>
        <w:tcPr>
          <w:tcW w:w="10080" w:type="dxa"/>
        </w:tcPr>
        <w:p w14:paraId="1F2BFB0F" w14:textId="77777777" w:rsidR="00D041A2" w:rsidRDefault="00000000">
          <w:pPr>
            <w:pStyle w:val="Normal7"/>
            <w:spacing w:before="60" w:after="200"/>
            <w:jc w:val="center"/>
          </w:pPr>
          <w:r>
            <w:rPr>
              <w:rFonts w:ascii="Arial" w:eastAsia="Arial" w:hAnsi="Arial" w:cs="Arial"/>
              <w:sz w:val="20"/>
            </w:rPr>
            <w:t>Defreitas v. Montgomery County Corr. Facility, 525 Fed. Appx. 170</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608E3" w14:textId="77777777" w:rsidR="00D041A2" w:rsidRDefault="00D041A2">
    <w:pPr>
      <w:pStyle w:val="Normal7"/>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4D72F" w14:textId="77777777" w:rsidR="00D041A2" w:rsidRDefault="00D041A2">
    <w:pPr>
      <w:pStyle w:val="Normal8"/>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1B691BB4" w14:textId="77777777">
      <w:trPr>
        <w:jc w:val="center"/>
      </w:trPr>
      <w:tc>
        <w:tcPr>
          <w:tcW w:w="10080" w:type="dxa"/>
          <w:vAlign w:val="center"/>
        </w:tcPr>
        <w:p w14:paraId="3E42955E" w14:textId="77777777" w:rsidR="00D041A2" w:rsidRDefault="00D041A2">
          <w:pPr>
            <w:pStyle w:val="Normal8"/>
          </w:pPr>
        </w:p>
      </w:tc>
    </w:tr>
    <w:tr w:rsidR="00D041A2" w14:paraId="23F5D2E3" w14:textId="77777777">
      <w:trPr>
        <w:jc w:val="center"/>
      </w:trPr>
      <w:tc>
        <w:tcPr>
          <w:tcW w:w="10080" w:type="dxa"/>
        </w:tcPr>
        <w:p w14:paraId="2A589917" w14:textId="77777777" w:rsidR="00D041A2" w:rsidRDefault="00000000">
          <w:pPr>
            <w:pStyle w:val="Normal8"/>
            <w:spacing w:before="60" w:after="200"/>
            <w:jc w:val="center"/>
          </w:pPr>
          <w:r>
            <w:rPr>
              <w:rFonts w:ascii="Arial" w:eastAsia="Arial" w:hAnsi="Arial" w:cs="Arial"/>
              <w:sz w:val="20"/>
            </w:rPr>
            <w:t>Smith v. Sturgill, 516 Fed. Appx. 775</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B1EF1" w14:textId="77777777" w:rsidR="00D041A2" w:rsidRDefault="00D041A2">
    <w:pPr>
      <w:pStyle w:val="Normal8"/>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8C048" w14:textId="77777777" w:rsidR="00D041A2" w:rsidRDefault="00D041A2">
    <w:pPr>
      <w:pStyle w:val="Normal9"/>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05C50B44" w14:textId="77777777">
      <w:trPr>
        <w:jc w:val="center"/>
      </w:trPr>
      <w:tc>
        <w:tcPr>
          <w:tcW w:w="10080" w:type="dxa"/>
          <w:vAlign w:val="center"/>
        </w:tcPr>
        <w:p w14:paraId="132B78C6" w14:textId="77777777" w:rsidR="00D041A2" w:rsidRDefault="00D041A2">
          <w:pPr>
            <w:pStyle w:val="Normal9"/>
          </w:pPr>
        </w:p>
      </w:tc>
    </w:tr>
    <w:tr w:rsidR="00D041A2" w14:paraId="0D9E328F" w14:textId="77777777">
      <w:trPr>
        <w:jc w:val="center"/>
      </w:trPr>
      <w:tc>
        <w:tcPr>
          <w:tcW w:w="10080" w:type="dxa"/>
        </w:tcPr>
        <w:p w14:paraId="734DE02E" w14:textId="77777777" w:rsidR="00D041A2" w:rsidRDefault="00000000">
          <w:pPr>
            <w:pStyle w:val="Normal9"/>
            <w:spacing w:before="60" w:after="200"/>
            <w:jc w:val="center"/>
          </w:pPr>
          <w:r>
            <w:rPr>
              <w:rFonts w:ascii="Arial" w:eastAsia="Arial" w:hAnsi="Arial" w:cs="Arial"/>
              <w:sz w:val="20"/>
            </w:rPr>
            <w:t>Cloe v. City of Indianapolis, 712 F.3d 1171</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E060D" w14:textId="77777777" w:rsidR="00D041A2" w:rsidRDefault="00D041A2">
    <w:pPr>
      <w:pStyle w:val="Normal9"/>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D71DB" w14:textId="77777777" w:rsidR="00D041A2" w:rsidRDefault="00D041A2">
    <w:pPr>
      <w:pStyle w:val="Normal1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0558EB2C" w14:textId="77777777">
      <w:trPr>
        <w:jc w:val="center"/>
      </w:trPr>
      <w:tc>
        <w:tcPr>
          <w:tcW w:w="10080" w:type="dxa"/>
          <w:vAlign w:val="center"/>
        </w:tcPr>
        <w:p w14:paraId="555A5417" w14:textId="77777777" w:rsidR="00D041A2" w:rsidRDefault="00D041A2">
          <w:pPr>
            <w:pStyle w:val="Normal10"/>
          </w:pPr>
        </w:p>
      </w:tc>
    </w:tr>
    <w:tr w:rsidR="00D041A2" w14:paraId="7C97D6C4" w14:textId="77777777">
      <w:trPr>
        <w:jc w:val="center"/>
      </w:trPr>
      <w:tc>
        <w:tcPr>
          <w:tcW w:w="10080" w:type="dxa"/>
        </w:tcPr>
        <w:p w14:paraId="3F42B147" w14:textId="77777777" w:rsidR="00D041A2" w:rsidRDefault="00000000">
          <w:pPr>
            <w:pStyle w:val="Normal10"/>
            <w:spacing w:before="60" w:after="200"/>
            <w:jc w:val="center"/>
          </w:pPr>
          <w:r>
            <w:rPr>
              <w:rFonts w:ascii="Arial" w:eastAsia="Arial" w:hAnsi="Arial" w:cs="Arial"/>
              <w:sz w:val="20"/>
            </w:rPr>
            <w:t>McElwee v. County of Orange, 700 F.3d 635</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F9A8A" w14:textId="77777777" w:rsidR="00D041A2" w:rsidRDefault="00D041A2">
    <w:pPr>
      <w:pStyle w:val="Normal1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69EDD" w14:textId="77777777" w:rsidR="00D041A2" w:rsidRDefault="00D041A2">
    <w:pPr>
      <w:pStyle w:val="Normal1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6B0A7368" w14:textId="77777777">
      <w:trPr>
        <w:jc w:val="center"/>
      </w:trPr>
      <w:tc>
        <w:tcPr>
          <w:tcW w:w="10080" w:type="dxa"/>
          <w:vAlign w:val="center"/>
        </w:tcPr>
        <w:p w14:paraId="7D957DDD" w14:textId="77777777" w:rsidR="00D041A2" w:rsidRDefault="00D041A2">
          <w:pPr>
            <w:pStyle w:val="Normal11"/>
          </w:pPr>
        </w:p>
      </w:tc>
    </w:tr>
    <w:tr w:rsidR="00D041A2" w14:paraId="3CAF3C44" w14:textId="77777777">
      <w:trPr>
        <w:jc w:val="center"/>
      </w:trPr>
      <w:tc>
        <w:tcPr>
          <w:tcW w:w="10080" w:type="dxa"/>
        </w:tcPr>
        <w:p w14:paraId="0AFA3AD2" w14:textId="77777777" w:rsidR="00D041A2" w:rsidRDefault="00000000">
          <w:pPr>
            <w:pStyle w:val="Normal11"/>
            <w:spacing w:before="60" w:after="200"/>
            <w:jc w:val="center"/>
          </w:pPr>
          <w:r>
            <w:rPr>
              <w:rFonts w:ascii="Arial" w:eastAsia="Arial" w:hAnsi="Arial" w:cs="Arial"/>
              <w:sz w:val="20"/>
            </w:rPr>
            <w:t>Burnett v. Holder, 485 Fed. Appx. 882</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BE3DF" w14:textId="77777777" w:rsidR="00D041A2" w:rsidRDefault="00D041A2">
    <w:pPr>
      <w:pStyle w:val="Normal1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8CB9" w14:textId="77777777" w:rsidR="00D041A2" w:rsidRDefault="00D041A2">
    <w:pPr>
      <w:pStyle w:val="Normal12"/>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3753F8D0" w14:textId="77777777">
      <w:trPr>
        <w:jc w:val="center"/>
      </w:trPr>
      <w:tc>
        <w:tcPr>
          <w:tcW w:w="10080" w:type="dxa"/>
          <w:vAlign w:val="center"/>
        </w:tcPr>
        <w:p w14:paraId="0F9DE482" w14:textId="77777777" w:rsidR="00D041A2" w:rsidRDefault="00D041A2">
          <w:pPr>
            <w:pStyle w:val="Normal12"/>
          </w:pPr>
        </w:p>
      </w:tc>
    </w:tr>
    <w:tr w:rsidR="00D041A2" w14:paraId="78C6F6A2" w14:textId="77777777">
      <w:trPr>
        <w:jc w:val="center"/>
      </w:trPr>
      <w:tc>
        <w:tcPr>
          <w:tcW w:w="10080" w:type="dxa"/>
        </w:tcPr>
        <w:p w14:paraId="2B7D1623" w14:textId="77777777" w:rsidR="00D041A2" w:rsidRDefault="00000000">
          <w:pPr>
            <w:pStyle w:val="Normal12"/>
            <w:spacing w:before="60" w:after="200"/>
            <w:jc w:val="center"/>
          </w:pPr>
          <w:r>
            <w:rPr>
              <w:rFonts w:ascii="Arial" w:eastAsia="Arial" w:hAnsi="Arial" w:cs="Arial"/>
              <w:sz w:val="20"/>
            </w:rPr>
            <w:t>Bahl v. County of Ramsey, 695 F.3d 778</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13CDB" w14:textId="77777777" w:rsidR="00D041A2" w:rsidRDefault="00D041A2">
    <w:pPr>
      <w:pStyle w:val="Normal12"/>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DB7C" w14:textId="77777777" w:rsidR="00D041A2" w:rsidRDefault="00D041A2">
    <w:pPr>
      <w:pStyle w:val="Normal13"/>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1201B98B" w14:textId="77777777">
      <w:trPr>
        <w:jc w:val="center"/>
      </w:trPr>
      <w:tc>
        <w:tcPr>
          <w:tcW w:w="10080" w:type="dxa"/>
          <w:vAlign w:val="center"/>
        </w:tcPr>
        <w:p w14:paraId="791E1467" w14:textId="77777777" w:rsidR="00D041A2" w:rsidRDefault="00D041A2">
          <w:pPr>
            <w:pStyle w:val="Normal13"/>
          </w:pPr>
        </w:p>
      </w:tc>
    </w:tr>
    <w:tr w:rsidR="00D041A2" w14:paraId="612864D1" w14:textId="77777777">
      <w:trPr>
        <w:jc w:val="center"/>
      </w:trPr>
      <w:tc>
        <w:tcPr>
          <w:tcW w:w="10080" w:type="dxa"/>
        </w:tcPr>
        <w:p w14:paraId="6737C25D" w14:textId="77777777" w:rsidR="00D041A2" w:rsidRDefault="00000000">
          <w:pPr>
            <w:pStyle w:val="Normal13"/>
            <w:spacing w:before="60" w:after="200"/>
            <w:jc w:val="center"/>
          </w:pPr>
          <w:r>
            <w:rPr>
              <w:rFonts w:ascii="Arial" w:eastAsia="Arial" w:hAnsi="Arial" w:cs="Arial"/>
              <w:sz w:val="20"/>
            </w:rPr>
            <w:t>Hunt v. Ga. Dep't of Cmty. Affairs, 490 Fed. Appx. 196</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C1047" w14:textId="77777777" w:rsidR="00D041A2" w:rsidRDefault="00D041A2">
    <w:pPr>
      <w:pStyle w:val="Normal13"/>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7C963" w14:textId="77777777" w:rsidR="00D041A2" w:rsidRDefault="00D041A2">
    <w:pPr>
      <w:pStyle w:val="Normal14"/>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5C71E078" w14:textId="77777777">
      <w:trPr>
        <w:jc w:val="center"/>
      </w:trPr>
      <w:tc>
        <w:tcPr>
          <w:tcW w:w="10080" w:type="dxa"/>
          <w:vAlign w:val="center"/>
        </w:tcPr>
        <w:p w14:paraId="1E63243C" w14:textId="77777777" w:rsidR="00D041A2" w:rsidRDefault="00D041A2">
          <w:pPr>
            <w:pStyle w:val="Normal14"/>
          </w:pPr>
        </w:p>
      </w:tc>
    </w:tr>
    <w:tr w:rsidR="00D041A2" w14:paraId="54DF4525" w14:textId="77777777">
      <w:trPr>
        <w:jc w:val="center"/>
      </w:trPr>
      <w:tc>
        <w:tcPr>
          <w:tcW w:w="10080" w:type="dxa"/>
        </w:tcPr>
        <w:p w14:paraId="17BD5129" w14:textId="77777777" w:rsidR="00D041A2" w:rsidRDefault="00000000">
          <w:pPr>
            <w:pStyle w:val="Normal14"/>
            <w:spacing w:before="60" w:after="200"/>
            <w:jc w:val="center"/>
          </w:pPr>
          <w:r>
            <w:rPr>
              <w:rFonts w:ascii="Arial" w:eastAsia="Arial" w:hAnsi="Arial" w:cs="Arial"/>
              <w:sz w:val="20"/>
            </w:rPr>
            <w:t>hip (Heightened Independence &amp; Progress), Inc. v. Port Auth., 693 F.3d 345</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86D6" w14:textId="77777777" w:rsidR="00D041A2" w:rsidRDefault="00D041A2">
    <w:pPr>
      <w:pStyle w:val="Normal14"/>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7E021" w14:textId="77777777" w:rsidR="00D041A2" w:rsidRDefault="00D041A2">
    <w:pPr>
      <w:pStyle w:val="Normal15"/>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49DA99B9" w14:textId="77777777">
      <w:trPr>
        <w:jc w:val="center"/>
      </w:trPr>
      <w:tc>
        <w:tcPr>
          <w:tcW w:w="10080" w:type="dxa"/>
          <w:vAlign w:val="center"/>
        </w:tcPr>
        <w:p w14:paraId="4E3B0924" w14:textId="77777777" w:rsidR="00D041A2" w:rsidRDefault="00D041A2">
          <w:pPr>
            <w:pStyle w:val="Normal15"/>
          </w:pPr>
        </w:p>
      </w:tc>
    </w:tr>
    <w:tr w:rsidR="00D041A2" w14:paraId="0329FD93" w14:textId="77777777">
      <w:trPr>
        <w:jc w:val="center"/>
      </w:trPr>
      <w:tc>
        <w:tcPr>
          <w:tcW w:w="10080" w:type="dxa"/>
        </w:tcPr>
        <w:p w14:paraId="62481A68" w14:textId="77777777" w:rsidR="00D041A2" w:rsidRDefault="00000000">
          <w:pPr>
            <w:pStyle w:val="Normal15"/>
            <w:spacing w:before="60" w:after="200"/>
            <w:jc w:val="center"/>
          </w:pPr>
          <w:r>
            <w:rPr>
              <w:rFonts w:ascii="Arial" w:eastAsia="Arial" w:hAnsi="Arial" w:cs="Arial"/>
              <w:sz w:val="20"/>
            </w:rPr>
            <w:t>Southwell v. Summit View of Farragut, LLC, 494 Fed. Appx. 508</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1D7FF" w14:textId="77777777" w:rsidR="00D041A2" w:rsidRDefault="00D041A2">
    <w:pPr>
      <w:pStyle w:val="Normal15"/>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308E" w14:textId="77777777" w:rsidR="00D041A2" w:rsidRDefault="00D041A2">
    <w:pPr>
      <w:pStyle w:val="Normal16"/>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4112E2E2" w14:textId="77777777">
      <w:trPr>
        <w:jc w:val="center"/>
      </w:trPr>
      <w:tc>
        <w:tcPr>
          <w:tcW w:w="10080" w:type="dxa"/>
          <w:vAlign w:val="center"/>
        </w:tcPr>
        <w:p w14:paraId="2FB154E7" w14:textId="77777777" w:rsidR="00D041A2" w:rsidRDefault="00D041A2">
          <w:pPr>
            <w:pStyle w:val="Normal16"/>
          </w:pPr>
        </w:p>
      </w:tc>
    </w:tr>
    <w:tr w:rsidR="00D041A2" w14:paraId="0E071E7F" w14:textId="77777777">
      <w:trPr>
        <w:jc w:val="center"/>
      </w:trPr>
      <w:tc>
        <w:tcPr>
          <w:tcW w:w="10080" w:type="dxa"/>
        </w:tcPr>
        <w:p w14:paraId="0C96BE17" w14:textId="77777777" w:rsidR="00D041A2" w:rsidRDefault="00000000">
          <w:pPr>
            <w:pStyle w:val="Normal16"/>
            <w:spacing w:before="60" w:after="200"/>
            <w:jc w:val="center"/>
          </w:pPr>
          <w:r>
            <w:rPr>
              <w:rFonts w:ascii="Arial" w:eastAsia="Arial" w:hAnsi="Arial" w:cs="Arial"/>
              <w:sz w:val="20"/>
            </w:rPr>
            <w:t>Taylor v. Harbour Pointe Homeowners Ass'n, 690 F.3d 44</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8070F" w14:textId="77777777" w:rsidR="00D041A2" w:rsidRDefault="00D041A2">
    <w:pPr>
      <w:pStyle w:val="Normal16"/>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CCCE2" w14:textId="77777777" w:rsidR="00D041A2" w:rsidRDefault="00D041A2">
    <w:pPr>
      <w:pStyle w:val="Normal17"/>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1B9A8E74" w14:textId="77777777">
      <w:trPr>
        <w:jc w:val="center"/>
      </w:trPr>
      <w:tc>
        <w:tcPr>
          <w:tcW w:w="10080" w:type="dxa"/>
          <w:vAlign w:val="center"/>
        </w:tcPr>
        <w:p w14:paraId="3738DD9D" w14:textId="77777777" w:rsidR="00D041A2" w:rsidRDefault="00D041A2">
          <w:pPr>
            <w:pStyle w:val="Normal17"/>
          </w:pPr>
        </w:p>
      </w:tc>
    </w:tr>
    <w:tr w:rsidR="00D041A2" w14:paraId="2722E9C5" w14:textId="77777777">
      <w:trPr>
        <w:jc w:val="center"/>
      </w:trPr>
      <w:tc>
        <w:tcPr>
          <w:tcW w:w="10080" w:type="dxa"/>
        </w:tcPr>
        <w:p w14:paraId="1357B762" w14:textId="77777777" w:rsidR="00D041A2" w:rsidRDefault="00000000">
          <w:pPr>
            <w:pStyle w:val="Normal17"/>
            <w:spacing w:before="60" w:after="200"/>
            <w:jc w:val="center"/>
          </w:pPr>
          <w:r>
            <w:rPr>
              <w:rFonts w:ascii="Arial" w:eastAsia="Arial" w:hAnsi="Arial" w:cs="Arial"/>
              <w:sz w:val="20"/>
            </w:rPr>
            <w:t>EEOC v. Picture People, Inc., 684 F.3d 981</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C86E" w14:textId="77777777" w:rsidR="00D041A2" w:rsidRDefault="00D041A2">
    <w:pPr>
      <w:pStyle w:val="Normal17"/>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DBD0" w14:textId="77777777" w:rsidR="00D041A2" w:rsidRDefault="00D041A2">
    <w:pPr>
      <w:pStyle w:val="Normal18"/>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4433CB55" w14:textId="77777777">
      <w:trPr>
        <w:jc w:val="center"/>
      </w:trPr>
      <w:tc>
        <w:tcPr>
          <w:tcW w:w="10080" w:type="dxa"/>
          <w:vAlign w:val="center"/>
        </w:tcPr>
        <w:p w14:paraId="2F755B14" w14:textId="77777777" w:rsidR="00D041A2" w:rsidRDefault="00D041A2">
          <w:pPr>
            <w:pStyle w:val="Normal18"/>
          </w:pPr>
        </w:p>
      </w:tc>
    </w:tr>
    <w:tr w:rsidR="00D041A2" w14:paraId="7E77E30E" w14:textId="77777777">
      <w:trPr>
        <w:jc w:val="center"/>
      </w:trPr>
      <w:tc>
        <w:tcPr>
          <w:tcW w:w="10080" w:type="dxa"/>
        </w:tcPr>
        <w:p w14:paraId="120C5725" w14:textId="77777777" w:rsidR="00D041A2" w:rsidRDefault="00000000">
          <w:pPr>
            <w:pStyle w:val="Normal18"/>
            <w:spacing w:before="60" w:after="200"/>
            <w:jc w:val="center"/>
          </w:pPr>
          <w:r>
            <w:rPr>
              <w:rFonts w:ascii="Arial" w:eastAsia="Arial" w:hAnsi="Arial" w:cs="Arial"/>
              <w:sz w:val="20"/>
            </w:rPr>
            <w:t>United States v. WHPC-DWR, LLC, 491 Fed. Appx. 733</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FB66C" w14:textId="77777777" w:rsidR="00D041A2" w:rsidRDefault="00D041A2">
    <w:pPr>
      <w:pStyle w:val="Normal18"/>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F9968" w14:textId="77777777" w:rsidR="00D041A2" w:rsidRDefault="00D041A2">
    <w:pPr>
      <w:pStyle w:val="Normal19"/>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4FA44B1B" w14:textId="77777777">
      <w:trPr>
        <w:jc w:val="center"/>
      </w:trPr>
      <w:tc>
        <w:tcPr>
          <w:tcW w:w="10080" w:type="dxa"/>
          <w:vAlign w:val="center"/>
        </w:tcPr>
        <w:p w14:paraId="38953879" w14:textId="77777777" w:rsidR="00D041A2" w:rsidRDefault="00D041A2">
          <w:pPr>
            <w:pStyle w:val="Normal19"/>
          </w:pPr>
        </w:p>
      </w:tc>
    </w:tr>
    <w:tr w:rsidR="00D041A2" w14:paraId="3903F8BB" w14:textId="77777777">
      <w:trPr>
        <w:jc w:val="center"/>
      </w:trPr>
      <w:tc>
        <w:tcPr>
          <w:tcW w:w="10080" w:type="dxa"/>
        </w:tcPr>
        <w:p w14:paraId="6CE219C8" w14:textId="77777777" w:rsidR="00D041A2" w:rsidRDefault="00000000">
          <w:pPr>
            <w:pStyle w:val="Normal19"/>
            <w:spacing w:before="60" w:after="200"/>
            <w:jc w:val="center"/>
          </w:pPr>
          <w:r>
            <w:rPr>
              <w:rFonts w:ascii="Arial" w:eastAsia="Arial" w:hAnsi="Arial" w:cs="Arial"/>
              <w:sz w:val="20"/>
            </w:rPr>
            <w:t>Greer v. Richardson Indep. Sch. Dist., 472 Fed. Appx. 287</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560D4" w14:textId="77777777" w:rsidR="00D041A2" w:rsidRDefault="00D041A2">
    <w:pPr>
      <w:pStyle w:val="Normal19"/>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A8938" w14:textId="77777777" w:rsidR="00D041A2" w:rsidRDefault="00D041A2">
    <w:pPr>
      <w:pStyle w:val="Normal2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113B46D5" w14:textId="77777777">
      <w:trPr>
        <w:jc w:val="center"/>
      </w:trPr>
      <w:tc>
        <w:tcPr>
          <w:tcW w:w="10080" w:type="dxa"/>
          <w:vAlign w:val="center"/>
        </w:tcPr>
        <w:p w14:paraId="1D59987A" w14:textId="77777777" w:rsidR="00D041A2" w:rsidRDefault="00D041A2">
          <w:pPr>
            <w:pStyle w:val="Normal20"/>
          </w:pPr>
        </w:p>
      </w:tc>
    </w:tr>
    <w:tr w:rsidR="00D041A2" w14:paraId="1D9EE447" w14:textId="77777777">
      <w:trPr>
        <w:jc w:val="center"/>
      </w:trPr>
      <w:tc>
        <w:tcPr>
          <w:tcW w:w="10080" w:type="dxa"/>
        </w:tcPr>
        <w:p w14:paraId="2A1909EF" w14:textId="77777777" w:rsidR="00D041A2" w:rsidRDefault="00000000">
          <w:pPr>
            <w:pStyle w:val="Normal20"/>
            <w:spacing w:before="60" w:after="200"/>
            <w:jc w:val="center"/>
          </w:pPr>
          <w:r>
            <w:rPr>
              <w:rFonts w:ascii="Arial" w:eastAsia="Arial" w:hAnsi="Arial" w:cs="Arial"/>
              <w:sz w:val="20"/>
            </w:rPr>
            <w:t>Seremeth v. Bd. of County Comm'rs Frederick County, 673 F.3d 333</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A1AE0" w14:textId="77777777" w:rsidR="00D041A2" w:rsidRDefault="00D041A2">
    <w:pPr>
      <w:pStyle w:val="Normal2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966E5" w14:textId="77777777" w:rsidR="00D041A2" w:rsidRDefault="00D041A2">
    <w:pPr>
      <w:pStyle w:val="Normal21"/>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3620F2F0" w14:textId="77777777">
      <w:trPr>
        <w:jc w:val="center"/>
      </w:trPr>
      <w:tc>
        <w:tcPr>
          <w:tcW w:w="10080" w:type="dxa"/>
          <w:vAlign w:val="center"/>
        </w:tcPr>
        <w:p w14:paraId="3F5189D1" w14:textId="77777777" w:rsidR="00D041A2" w:rsidRDefault="00D041A2">
          <w:pPr>
            <w:pStyle w:val="Normal21"/>
          </w:pPr>
        </w:p>
      </w:tc>
    </w:tr>
    <w:tr w:rsidR="00D041A2" w14:paraId="1BA84999" w14:textId="77777777">
      <w:trPr>
        <w:jc w:val="center"/>
      </w:trPr>
      <w:tc>
        <w:tcPr>
          <w:tcW w:w="10080" w:type="dxa"/>
        </w:tcPr>
        <w:p w14:paraId="2914BD20" w14:textId="77777777" w:rsidR="00D041A2" w:rsidRDefault="00000000">
          <w:pPr>
            <w:pStyle w:val="Normal21"/>
            <w:spacing w:before="60" w:after="200"/>
            <w:jc w:val="center"/>
          </w:pPr>
          <w:r>
            <w:rPr>
              <w:rFonts w:ascii="Arial" w:eastAsia="Arial" w:hAnsi="Arial" w:cs="Arial"/>
              <w:sz w:val="20"/>
            </w:rPr>
            <w:t>EEOC v. United Airlines, Inc., 673 F.3d 543</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DB215" w14:textId="77777777" w:rsidR="00D041A2" w:rsidRDefault="00D041A2">
    <w:pPr>
      <w:pStyle w:val="Normal21"/>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C7377" w14:textId="77777777" w:rsidR="00D041A2" w:rsidRDefault="00D041A2">
    <w:pPr>
      <w:pStyle w:val="Normal22"/>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5319B73" w14:textId="77777777">
      <w:trPr>
        <w:jc w:val="center"/>
      </w:trPr>
      <w:tc>
        <w:tcPr>
          <w:tcW w:w="10080" w:type="dxa"/>
          <w:vAlign w:val="center"/>
        </w:tcPr>
        <w:p w14:paraId="4944F32B" w14:textId="77777777" w:rsidR="00D041A2" w:rsidRDefault="00D041A2">
          <w:pPr>
            <w:pStyle w:val="Normal22"/>
          </w:pPr>
        </w:p>
      </w:tc>
    </w:tr>
    <w:tr w:rsidR="00D041A2" w14:paraId="37ED4C8D" w14:textId="77777777">
      <w:trPr>
        <w:jc w:val="center"/>
      </w:trPr>
      <w:tc>
        <w:tcPr>
          <w:tcW w:w="10080" w:type="dxa"/>
        </w:tcPr>
        <w:p w14:paraId="0B257B06" w14:textId="77777777" w:rsidR="00D041A2" w:rsidRDefault="00000000">
          <w:pPr>
            <w:pStyle w:val="Normal22"/>
            <w:spacing w:before="60" w:after="200"/>
            <w:jc w:val="center"/>
          </w:pPr>
          <w:r>
            <w:rPr>
              <w:rFonts w:ascii="Arial" w:eastAsia="Arial" w:hAnsi="Arial" w:cs="Arial"/>
              <w:sz w:val="20"/>
            </w:rPr>
            <w:t>Aubrey v. City of Bethlehem, 466 Fed. Appx. 88</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C176E" w14:textId="77777777" w:rsidR="00D041A2" w:rsidRDefault="00D041A2">
    <w:pPr>
      <w:pStyle w:val="Normal22"/>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19522" w14:textId="77777777" w:rsidR="00D041A2" w:rsidRDefault="00D041A2">
    <w:pPr>
      <w:pStyle w:val="Normal23"/>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6BE74201" w14:textId="77777777">
      <w:trPr>
        <w:jc w:val="center"/>
      </w:trPr>
      <w:tc>
        <w:tcPr>
          <w:tcW w:w="10080" w:type="dxa"/>
          <w:vAlign w:val="center"/>
        </w:tcPr>
        <w:p w14:paraId="1042C0B3" w14:textId="77777777" w:rsidR="00D041A2" w:rsidRDefault="00D041A2">
          <w:pPr>
            <w:pStyle w:val="Normal23"/>
          </w:pPr>
        </w:p>
      </w:tc>
    </w:tr>
    <w:tr w:rsidR="00D041A2" w14:paraId="143653DF" w14:textId="77777777">
      <w:trPr>
        <w:jc w:val="center"/>
      </w:trPr>
      <w:tc>
        <w:tcPr>
          <w:tcW w:w="10080" w:type="dxa"/>
        </w:tcPr>
        <w:p w14:paraId="21DC1C4C" w14:textId="77777777" w:rsidR="00D041A2" w:rsidRDefault="00000000">
          <w:pPr>
            <w:pStyle w:val="Normal23"/>
            <w:spacing w:before="60" w:after="200"/>
            <w:jc w:val="center"/>
          </w:pPr>
          <w:r>
            <w:rPr>
              <w:rFonts w:ascii="Arial" w:eastAsia="Arial" w:hAnsi="Arial" w:cs="Arial"/>
              <w:sz w:val="20"/>
            </w:rPr>
            <w:t>Wells v. Thaler, 460 Fed. Appx. 303</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94D57" w14:textId="77777777" w:rsidR="00D041A2" w:rsidRDefault="00D041A2">
    <w:pPr>
      <w:pStyle w:val="Normal23"/>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80A1" w14:textId="77777777" w:rsidR="00D041A2" w:rsidRDefault="00D041A2">
    <w:pPr>
      <w:pStyle w:val="Normal24"/>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27B4379F" w14:textId="77777777">
      <w:trPr>
        <w:jc w:val="center"/>
      </w:trPr>
      <w:tc>
        <w:tcPr>
          <w:tcW w:w="10080" w:type="dxa"/>
          <w:vAlign w:val="center"/>
        </w:tcPr>
        <w:p w14:paraId="046B6953" w14:textId="77777777" w:rsidR="00D041A2" w:rsidRDefault="00D041A2">
          <w:pPr>
            <w:pStyle w:val="Normal24"/>
          </w:pPr>
        </w:p>
      </w:tc>
    </w:tr>
    <w:tr w:rsidR="00D041A2" w14:paraId="28AF8B1B" w14:textId="77777777">
      <w:trPr>
        <w:jc w:val="center"/>
      </w:trPr>
      <w:tc>
        <w:tcPr>
          <w:tcW w:w="10080" w:type="dxa"/>
        </w:tcPr>
        <w:p w14:paraId="47C69784" w14:textId="77777777" w:rsidR="00D041A2" w:rsidRDefault="00000000">
          <w:pPr>
            <w:pStyle w:val="Normal24"/>
            <w:spacing w:before="60" w:after="200"/>
            <w:jc w:val="center"/>
          </w:pPr>
          <w:r>
            <w:rPr>
              <w:rFonts w:ascii="Arial" w:eastAsia="Arial" w:hAnsi="Arial" w:cs="Arial"/>
              <w:sz w:val="20"/>
            </w:rPr>
            <w:t>Forbes v. St. Thomas Univ., Inc., 456 Fed. Appx. 809</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9AACE" w14:textId="77777777" w:rsidR="00D041A2" w:rsidRDefault="00D041A2">
    <w:pPr>
      <w:pStyle w:val="Normal24"/>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4BD97" w14:textId="77777777" w:rsidR="00D041A2" w:rsidRDefault="00D041A2">
    <w:pPr>
      <w:pStyle w:val="Normal25"/>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11AC5DD" w14:textId="77777777">
      <w:trPr>
        <w:jc w:val="center"/>
      </w:trPr>
      <w:tc>
        <w:tcPr>
          <w:tcW w:w="10080" w:type="dxa"/>
          <w:vAlign w:val="center"/>
        </w:tcPr>
        <w:p w14:paraId="57C664ED" w14:textId="77777777" w:rsidR="00D041A2" w:rsidRDefault="00D041A2">
          <w:pPr>
            <w:pStyle w:val="Normal25"/>
          </w:pPr>
        </w:p>
      </w:tc>
    </w:tr>
    <w:tr w:rsidR="00D041A2" w14:paraId="6062793A" w14:textId="77777777">
      <w:trPr>
        <w:jc w:val="center"/>
      </w:trPr>
      <w:tc>
        <w:tcPr>
          <w:tcW w:w="10080" w:type="dxa"/>
        </w:tcPr>
        <w:p w14:paraId="2B25B376" w14:textId="77777777" w:rsidR="00D041A2" w:rsidRDefault="00000000">
          <w:pPr>
            <w:pStyle w:val="Normal25"/>
            <w:spacing w:before="60" w:after="200"/>
            <w:jc w:val="center"/>
          </w:pPr>
          <w:r>
            <w:rPr>
              <w:rFonts w:ascii="Arial" w:eastAsia="Arial" w:hAnsi="Arial" w:cs="Arial"/>
              <w:sz w:val="20"/>
            </w:rPr>
            <w:t>Cottrell v. Good Wheels, 458 Fed. Appx. 98</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DF9D7" w14:textId="77777777" w:rsidR="00D041A2" w:rsidRDefault="00D041A2">
    <w:pPr>
      <w:pStyle w:val="Normal25"/>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2555" w14:textId="77777777" w:rsidR="00D041A2" w:rsidRDefault="00D041A2">
    <w:pPr>
      <w:pStyle w:val="Normal26"/>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47A69E6C" w14:textId="77777777">
      <w:trPr>
        <w:jc w:val="center"/>
      </w:trPr>
      <w:tc>
        <w:tcPr>
          <w:tcW w:w="10080" w:type="dxa"/>
          <w:vAlign w:val="center"/>
        </w:tcPr>
        <w:p w14:paraId="442E84BA" w14:textId="77777777" w:rsidR="00D041A2" w:rsidRDefault="00D041A2">
          <w:pPr>
            <w:pStyle w:val="Normal26"/>
          </w:pPr>
        </w:p>
      </w:tc>
    </w:tr>
    <w:tr w:rsidR="00D041A2" w14:paraId="6D0D7F2E" w14:textId="77777777">
      <w:trPr>
        <w:jc w:val="center"/>
      </w:trPr>
      <w:tc>
        <w:tcPr>
          <w:tcW w:w="10080" w:type="dxa"/>
        </w:tcPr>
        <w:p w14:paraId="5E1880AE" w14:textId="77777777" w:rsidR="00D041A2" w:rsidRDefault="00000000">
          <w:pPr>
            <w:pStyle w:val="Normal26"/>
            <w:spacing w:before="60" w:after="200"/>
            <w:jc w:val="center"/>
          </w:pPr>
          <w:r>
            <w:rPr>
              <w:rFonts w:ascii="Arial" w:eastAsia="Arial" w:hAnsi="Arial" w:cs="Arial"/>
              <w:sz w:val="20"/>
            </w:rPr>
            <w:t>Shaw v. New York Dep't of Corr. Servs., 451 Fed. Appx. 18</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29713" w14:textId="77777777" w:rsidR="00D041A2" w:rsidRDefault="00D041A2">
    <w:pPr>
      <w:pStyle w:val="Normal26"/>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5917" w14:textId="77777777" w:rsidR="00D041A2" w:rsidRDefault="00D041A2">
    <w:pPr>
      <w:pStyle w:val="Normal27"/>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2EF2A5B2" w14:textId="77777777">
      <w:trPr>
        <w:jc w:val="center"/>
      </w:trPr>
      <w:tc>
        <w:tcPr>
          <w:tcW w:w="10080" w:type="dxa"/>
          <w:vAlign w:val="center"/>
        </w:tcPr>
        <w:p w14:paraId="7F13A01E" w14:textId="77777777" w:rsidR="00D041A2" w:rsidRDefault="00D041A2">
          <w:pPr>
            <w:pStyle w:val="Normal27"/>
          </w:pPr>
        </w:p>
      </w:tc>
    </w:tr>
    <w:tr w:rsidR="00D041A2" w14:paraId="7066F089" w14:textId="77777777">
      <w:trPr>
        <w:jc w:val="center"/>
      </w:trPr>
      <w:tc>
        <w:tcPr>
          <w:tcW w:w="10080" w:type="dxa"/>
        </w:tcPr>
        <w:p w14:paraId="2DCB6ED0" w14:textId="77777777" w:rsidR="00D041A2" w:rsidRDefault="00000000">
          <w:pPr>
            <w:pStyle w:val="Normal27"/>
            <w:spacing w:before="60" w:after="200"/>
            <w:jc w:val="center"/>
          </w:pPr>
          <w:r>
            <w:rPr>
              <w:rFonts w:ascii="Arial" w:eastAsia="Arial" w:hAnsi="Arial" w:cs="Arial"/>
              <w:sz w:val="20"/>
            </w:rPr>
            <w:t>Norkunas v. Seahorse NB, LLC, 444 Fed. Appx. 412</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A19F4" w14:textId="77777777" w:rsidR="00D041A2" w:rsidRDefault="00D041A2">
    <w:pPr>
      <w:pStyle w:val="Normal27"/>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EE23B" w14:textId="77777777" w:rsidR="00D041A2" w:rsidRDefault="00D041A2">
    <w:pPr>
      <w:pStyle w:val="Normal28"/>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3ACEB1FC" w14:textId="77777777">
      <w:trPr>
        <w:jc w:val="center"/>
      </w:trPr>
      <w:tc>
        <w:tcPr>
          <w:tcW w:w="10080" w:type="dxa"/>
          <w:vAlign w:val="center"/>
        </w:tcPr>
        <w:p w14:paraId="1372EBD9" w14:textId="77777777" w:rsidR="00D041A2" w:rsidRDefault="00D041A2">
          <w:pPr>
            <w:pStyle w:val="Normal28"/>
          </w:pPr>
        </w:p>
      </w:tc>
    </w:tr>
    <w:tr w:rsidR="00D041A2" w14:paraId="509AEDFA" w14:textId="77777777">
      <w:trPr>
        <w:jc w:val="center"/>
      </w:trPr>
      <w:tc>
        <w:tcPr>
          <w:tcW w:w="10080" w:type="dxa"/>
        </w:tcPr>
        <w:p w14:paraId="268ED555" w14:textId="77777777" w:rsidR="00D041A2" w:rsidRDefault="00000000">
          <w:pPr>
            <w:pStyle w:val="Normal28"/>
            <w:spacing w:before="60" w:after="200"/>
            <w:jc w:val="center"/>
          </w:pPr>
          <w:r>
            <w:rPr>
              <w:rFonts w:ascii="Arial" w:eastAsia="Arial" w:hAnsi="Arial" w:cs="Arial"/>
              <w:sz w:val="20"/>
            </w:rPr>
            <w:t>Goos v. Shell Oil Co., 451 Fed. Appx. 700</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DD9EF" w14:textId="77777777" w:rsidR="00D041A2" w:rsidRDefault="00D041A2">
    <w:pPr>
      <w:pStyle w:val="Normal28"/>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9E4B0" w14:textId="77777777" w:rsidR="00D041A2" w:rsidRDefault="00D041A2">
    <w:pPr>
      <w:pStyle w:val="Normal29"/>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6E941A8F" w14:textId="77777777">
      <w:trPr>
        <w:jc w:val="center"/>
      </w:trPr>
      <w:tc>
        <w:tcPr>
          <w:tcW w:w="10080" w:type="dxa"/>
          <w:vAlign w:val="center"/>
        </w:tcPr>
        <w:p w14:paraId="20A4D535" w14:textId="77777777" w:rsidR="00D041A2" w:rsidRDefault="00D041A2">
          <w:pPr>
            <w:pStyle w:val="Normal29"/>
          </w:pPr>
        </w:p>
      </w:tc>
    </w:tr>
    <w:tr w:rsidR="00D041A2" w14:paraId="1E44194E" w14:textId="77777777">
      <w:trPr>
        <w:jc w:val="center"/>
      </w:trPr>
      <w:tc>
        <w:tcPr>
          <w:tcW w:w="10080" w:type="dxa"/>
        </w:tcPr>
        <w:p w14:paraId="42CBC4A7" w14:textId="77777777" w:rsidR="00D041A2" w:rsidRDefault="00000000">
          <w:pPr>
            <w:pStyle w:val="Normal29"/>
            <w:spacing w:before="60" w:after="200"/>
            <w:jc w:val="center"/>
          </w:pPr>
          <w:r>
            <w:rPr>
              <w:rFonts w:ascii="Arial" w:eastAsia="Arial" w:hAnsi="Arial" w:cs="Arial"/>
              <w:sz w:val="20"/>
            </w:rPr>
            <w:t>Oliver v. Ralphs Grocery Co., 654 F.3d 903</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33199" w14:textId="77777777" w:rsidR="00D041A2" w:rsidRDefault="00D041A2">
    <w:pPr>
      <w:pStyle w:val="Normal29"/>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1BFEA" w14:textId="77777777" w:rsidR="00D041A2" w:rsidRDefault="00D041A2">
    <w:pPr>
      <w:pStyle w:val="Normal30"/>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5EE7318C" w14:textId="77777777">
      <w:trPr>
        <w:jc w:val="center"/>
      </w:trPr>
      <w:tc>
        <w:tcPr>
          <w:tcW w:w="10080" w:type="dxa"/>
          <w:vAlign w:val="center"/>
        </w:tcPr>
        <w:p w14:paraId="48E6F238" w14:textId="77777777" w:rsidR="00D041A2" w:rsidRDefault="00D041A2">
          <w:pPr>
            <w:pStyle w:val="Normal30"/>
          </w:pPr>
        </w:p>
      </w:tc>
    </w:tr>
    <w:tr w:rsidR="00D041A2" w14:paraId="4070811C" w14:textId="77777777">
      <w:trPr>
        <w:jc w:val="center"/>
      </w:trPr>
      <w:tc>
        <w:tcPr>
          <w:tcW w:w="10080" w:type="dxa"/>
        </w:tcPr>
        <w:p w14:paraId="6664B494" w14:textId="77777777" w:rsidR="00D041A2" w:rsidRDefault="00000000">
          <w:pPr>
            <w:pStyle w:val="Normal30"/>
            <w:spacing w:before="60" w:after="200"/>
            <w:jc w:val="center"/>
          </w:pPr>
          <w:r>
            <w:rPr>
              <w:rFonts w:ascii="Arial" w:eastAsia="Arial" w:hAnsi="Arial" w:cs="Arial"/>
              <w:sz w:val="20"/>
            </w:rPr>
            <w:t>Pinero v. 4800 W. Flagler L.L.C., 430 Fed. Appx. 866</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A23CD" w14:textId="77777777" w:rsidR="00D041A2" w:rsidRDefault="00D041A2">
    <w:pPr>
      <w:pStyle w:val="Normal3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71FAD" w14:textId="77777777" w:rsidR="00D041A2" w:rsidRDefault="00D041A2">
    <w:pPr>
      <w:pStyle w:val="Normal31"/>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00160DA3" w14:textId="77777777">
      <w:trPr>
        <w:jc w:val="center"/>
      </w:trPr>
      <w:tc>
        <w:tcPr>
          <w:tcW w:w="10080" w:type="dxa"/>
          <w:vAlign w:val="center"/>
        </w:tcPr>
        <w:p w14:paraId="6088EDC2" w14:textId="77777777" w:rsidR="00D041A2" w:rsidRDefault="00D041A2">
          <w:pPr>
            <w:pStyle w:val="Normal31"/>
          </w:pPr>
        </w:p>
      </w:tc>
    </w:tr>
    <w:tr w:rsidR="00D041A2" w14:paraId="06027057" w14:textId="77777777">
      <w:trPr>
        <w:jc w:val="center"/>
      </w:trPr>
      <w:tc>
        <w:tcPr>
          <w:tcW w:w="10080" w:type="dxa"/>
        </w:tcPr>
        <w:p w14:paraId="6915D7BE" w14:textId="77777777" w:rsidR="00D041A2" w:rsidRDefault="00000000">
          <w:pPr>
            <w:pStyle w:val="Normal31"/>
            <w:spacing w:before="60" w:after="200"/>
            <w:jc w:val="center"/>
          </w:pPr>
          <w:r>
            <w:rPr>
              <w:rFonts w:ascii="Arial" w:eastAsia="Arial" w:hAnsi="Arial" w:cs="Arial"/>
              <w:sz w:val="20"/>
            </w:rPr>
            <w:t>EEOC v. C.R. Eng., Inc., 2011 U.S. App. LEXIS 8971</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8EC7A" w14:textId="77777777" w:rsidR="00D041A2" w:rsidRDefault="00D041A2">
    <w:pPr>
      <w:pStyle w:val="Normal31"/>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DB399" w14:textId="77777777" w:rsidR="00D041A2" w:rsidRDefault="00D041A2">
    <w:pPr>
      <w:pStyle w:val="Normal32"/>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0C5E0203" w14:textId="77777777">
      <w:trPr>
        <w:jc w:val="center"/>
      </w:trPr>
      <w:tc>
        <w:tcPr>
          <w:tcW w:w="10080" w:type="dxa"/>
          <w:vAlign w:val="center"/>
        </w:tcPr>
        <w:p w14:paraId="0A161631" w14:textId="77777777" w:rsidR="00D041A2" w:rsidRDefault="00D041A2">
          <w:pPr>
            <w:pStyle w:val="Normal32"/>
          </w:pPr>
        </w:p>
      </w:tc>
    </w:tr>
    <w:tr w:rsidR="00D041A2" w14:paraId="7ECE2139" w14:textId="77777777">
      <w:trPr>
        <w:jc w:val="center"/>
      </w:trPr>
      <w:tc>
        <w:tcPr>
          <w:tcW w:w="10080" w:type="dxa"/>
        </w:tcPr>
        <w:p w14:paraId="0D7FE703" w14:textId="77777777" w:rsidR="00D041A2" w:rsidRDefault="00000000">
          <w:pPr>
            <w:pStyle w:val="Normal32"/>
            <w:spacing w:before="60" w:after="200"/>
            <w:jc w:val="center"/>
          </w:pPr>
          <w:r>
            <w:rPr>
              <w:rFonts w:ascii="Arial" w:eastAsia="Arial" w:hAnsi="Arial" w:cs="Arial"/>
              <w:sz w:val="20"/>
            </w:rPr>
            <w:t>Feldman v. Pro Football, Inc., 419 Fed. Appx. 381</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F8D80" w14:textId="77777777" w:rsidR="00D041A2" w:rsidRDefault="00D041A2">
    <w:pPr>
      <w:pStyle w:val="Normal32"/>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C7CF5" w14:textId="77777777" w:rsidR="00D041A2" w:rsidRDefault="00D041A2">
    <w:pPr>
      <w:pStyle w:val="Normal33"/>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3C48EAA" w14:textId="77777777">
      <w:trPr>
        <w:jc w:val="center"/>
      </w:trPr>
      <w:tc>
        <w:tcPr>
          <w:tcW w:w="10080" w:type="dxa"/>
          <w:vAlign w:val="center"/>
        </w:tcPr>
        <w:p w14:paraId="78125E9C" w14:textId="77777777" w:rsidR="00D041A2" w:rsidRDefault="00D041A2">
          <w:pPr>
            <w:pStyle w:val="Normal33"/>
          </w:pPr>
        </w:p>
      </w:tc>
    </w:tr>
    <w:tr w:rsidR="00D041A2" w14:paraId="2073B753" w14:textId="77777777">
      <w:trPr>
        <w:jc w:val="center"/>
      </w:trPr>
      <w:tc>
        <w:tcPr>
          <w:tcW w:w="10080" w:type="dxa"/>
        </w:tcPr>
        <w:p w14:paraId="56A203AC" w14:textId="77777777" w:rsidR="00D041A2" w:rsidRDefault="00000000">
          <w:pPr>
            <w:pStyle w:val="Normal33"/>
            <w:spacing w:before="60" w:after="200"/>
            <w:jc w:val="center"/>
          </w:pPr>
          <w:r>
            <w:rPr>
              <w:rFonts w:ascii="Arial" w:eastAsia="Arial" w:hAnsi="Arial" w:cs="Arial"/>
              <w:sz w:val="20"/>
            </w:rPr>
            <w:t>Theilig v. United Tech Corp., 415 Fed. Appx. 331</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92035" w14:textId="77777777" w:rsidR="00D041A2" w:rsidRDefault="00D041A2">
    <w:pPr>
      <w:pStyle w:val="Normal33"/>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4BA8" w14:textId="77777777" w:rsidR="00D041A2" w:rsidRDefault="00D041A2">
    <w:pPr>
      <w:pStyle w:val="Normal34"/>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5DF2ED0" w14:textId="77777777">
      <w:trPr>
        <w:jc w:val="center"/>
      </w:trPr>
      <w:tc>
        <w:tcPr>
          <w:tcW w:w="10080" w:type="dxa"/>
          <w:vAlign w:val="center"/>
        </w:tcPr>
        <w:p w14:paraId="397C6FF0" w14:textId="77777777" w:rsidR="00D041A2" w:rsidRDefault="00D041A2">
          <w:pPr>
            <w:pStyle w:val="Normal34"/>
          </w:pPr>
        </w:p>
      </w:tc>
    </w:tr>
    <w:tr w:rsidR="00D041A2" w14:paraId="2B7591C7" w14:textId="77777777">
      <w:trPr>
        <w:jc w:val="center"/>
      </w:trPr>
      <w:tc>
        <w:tcPr>
          <w:tcW w:w="10080" w:type="dxa"/>
        </w:tcPr>
        <w:p w14:paraId="0E13DF98" w14:textId="77777777" w:rsidR="00D041A2" w:rsidRDefault="00000000">
          <w:pPr>
            <w:pStyle w:val="Normal34"/>
            <w:spacing w:before="60" w:after="200"/>
            <w:jc w:val="center"/>
          </w:pPr>
          <w:r>
            <w:rPr>
              <w:rFonts w:ascii="Arial" w:eastAsia="Arial" w:hAnsi="Arial" w:cs="Arial"/>
              <w:sz w:val="20"/>
            </w:rPr>
            <w:t>Disabled in Action of Pa. v. SEPTA, 635 F.3d 87</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7401" w14:textId="77777777" w:rsidR="00D041A2" w:rsidRDefault="00D041A2">
    <w:pPr>
      <w:pStyle w:val="Normal34"/>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6C14C" w14:textId="77777777" w:rsidR="00D041A2" w:rsidRDefault="00D041A2">
    <w:pPr>
      <w:pStyle w:val="Normal35"/>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0D73376C" w14:textId="77777777">
      <w:trPr>
        <w:jc w:val="center"/>
      </w:trPr>
      <w:tc>
        <w:tcPr>
          <w:tcW w:w="10080" w:type="dxa"/>
          <w:vAlign w:val="center"/>
        </w:tcPr>
        <w:p w14:paraId="46E9ABDE" w14:textId="77777777" w:rsidR="00D041A2" w:rsidRDefault="00D041A2">
          <w:pPr>
            <w:pStyle w:val="Normal35"/>
          </w:pPr>
        </w:p>
      </w:tc>
    </w:tr>
    <w:tr w:rsidR="00D041A2" w14:paraId="66B09BDF" w14:textId="77777777">
      <w:trPr>
        <w:jc w:val="center"/>
      </w:trPr>
      <w:tc>
        <w:tcPr>
          <w:tcW w:w="10080" w:type="dxa"/>
        </w:tcPr>
        <w:p w14:paraId="1821E08F" w14:textId="77777777" w:rsidR="00D041A2" w:rsidRDefault="00000000">
          <w:pPr>
            <w:pStyle w:val="Normal35"/>
            <w:spacing w:before="60" w:after="200"/>
            <w:jc w:val="center"/>
          </w:pPr>
          <w:r>
            <w:rPr>
              <w:rFonts w:ascii="Arial" w:eastAsia="Arial" w:hAnsi="Arial" w:cs="Arial"/>
              <w:sz w:val="20"/>
            </w:rPr>
            <w:t>Everson v. Leis, 412 Fed. Appx. 771</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1296" w14:textId="77777777" w:rsidR="00D041A2" w:rsidRDefault="00D041A2">
    <w:pPr>
      <w:pStyle w:val="Normal35"/>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DF712" w14:textId="77777777" w:rsidR="00D041A2" w:rsidRDefault="00D041A2">
    <w:pPr>
      <w:pStyle w:val="Normal36"/>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51DA4FDA" w14:textId="77777777">
      <w:trPr>
        <w:jc w:val="center"/>
      </w:trPr>
      <w:tc>
        <w:tcPr>
          <w:tcW w:w="10080" w:type="dxa"/>
          <w:vAlign w:val="center"/>
        </w:tcPr>
        <w:p w14:paraId="464EA344" w14:textId="77777777" w:rsidR="00D041A2" w:rsidRDefault="00D041A2">
          <w:pPr>
            <w:pStyle w:val="Normal36"/>
          </w:pPr>
        </w:p>
      </w:tc>
    </w:tr>
    <w:tr w:rsidR="00D041A2" w14:paraId="20D3A321" w14:textId="77777777">
      <w:trPr>
        <w:jc w:val="center"/>
      </w:trPr>
      <w:tc>
        <w:tcPr>
          <w:tcW w:w="10080" w:type="dxa"/>
        </w:tcPr>
        <w:p w14:paraId="3F364A78" w14:textId="77777777" w:rsidR="00D041A2" w:rsidRDefault="00000000">
          <w:pPr>
            <w:pStyle w:val="Normal36"/>
            <w:spacing w:before="60" w:after="200"/>
            <w:jc w:val="center"/>
          </w:pPr>
          <w:r>
            <w:rPr>
              <w:rFonts w:ascii="Arial" w:eastAsia="Arial" w:hAnsi="Arial" w:cs="Arial"/>
              <w:sz w:val="20"/>
            </w:rPr>
            <w:t>Steward v. New Chrysler, 415 Fed. Appx. 632</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9D980" w14:textId="77777777" w:rsidR="00D041A2" w:rsidRDefault="00D041A2">
    <w:pPr>
      <w:pStyle w:val="Normal36"/>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EF537" w14:textId="77777777" w:rsidR="00D041A2" w:rsidRDefault="00D041A2">
    <w:pPr>
      <w:pStyle w:val="Normal37"/>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2654CE0E" w14:textId="77777777">
      <w:trPr>
        <w:jc w:val="center"/>
      </w:trPr>
      <w:tc>
        <w:tcPr>
          <w:tcW w:w="10080" w:type="dxa"/>
          <w:vAlign w:val="center"/>
        </w:tcPr>
        <w:p w14:paraId="7434BD73" w14:textId="77777777" w:rsidR="00D041A2" w:rsidRDefault="00D041A2">
          <w:pPr>
            <w:pStyle w:val="Normal37"/>
          </w:pPr>
        </w:p>
      </w:tc>
    </w:tr>
    <w:tr w:rsidR="00D041A2" w14:paraId="09A6F248" w14:textId="77777777">
      <w:trPr>
        <w:jc w:val="center"/>
      </w:trPr>
      <w:tc>
        <w:tcPr>
          <w:tcW w:w="10080" w:type="dxa"/>
        </w:tcPr>
        <w:p w14:paraId="1E71AA82" w14:textId="77777777" w:rsidR="00D041A2" w:rsidRDefault="00000000">
          <w:pPr>
            <w:pStyle w:val="Normal37"/>
            <w:spacing w:before="60" w:after="200"/>
            <w:jc w:val="center"/>
          </w:pPr>
          <w:r>
            <w:rPr>
              <w:rFonts w:ascii="Arial" w:eastAsia="Arial" w:hAnsi="Arial" w:cs="Arial"/>
              <w:sz w:val="20"/>
            </w:rPr>
            <w:t>Chapman v. Pier 1 Imps. (U.S.), Inc., 631 F.3d 939</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0828C" w14:textId="77777777" w:rsidR="00D041A2" w:rsidRDefault="00D041A2">
    <w:pPr>
      <w:pStyle w:val="Normal37"/>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9613E" w14:textId="77777777" w:rsidR="00D041A2" w:rsidRDefault="00D041A2">
    <w:pPr>
      <w:pStyle w:val="Normal38"/>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4C4D67E6" w14:textId="77777777">
      <w:trPr>
        <w:jc w:val="center"/>
      </w:trPr>
      <w:tc>
        <w:tcPr>
          <w:tcW w:w="10080" w:type="dxa"/>
          <w:vAlign w:val="center"/>
        </w:tcPr>
        <w:p w14:paraId="40CE7AE5" w14:textId="77777777" w:rsidR="00D041A2" w:rsidRDefault="00D041A2">
          <w:pPr>
            <w:pStyle w:val="Normal38"/>
          </w:pPr>
        </w:p>
      </w:tc>
    </w:tr>
    <w:tr w:rsidR="00D041A2" w14:paraId="6B61FAFC" w14:textId="77777777">
      <w:trPr>
        <w:jc w:val="center"/>
      </w:trPr>
      <w:tc>
        <w:tcPr>
          <w:tcW w:w="10080" w:type="dxa"/>
        </w:tcPr>
        <w:p w14:paraId="5097D20C" w14:textId="77777777" w:rsidR="00D041A2" w:rsidRDefault="00000000">
          <w:pPr>
            <w:pStyle w:val="Normal38"/>
            <w:spacing w:before="60" w:after="200"/>
            <w:jc w:val="center"/>
          </w:pPr>
          <w:r>
            <w:rPr>
              <w:rFonts w:ascii="Arial" w:eastAsia="Arial" w:hAnsi="Arial" w:cs="Arial"/>
              <w:sz w:val="20"/>
            </w:rPr>
            <w:t>Sepúlveda-Villarini v. Dep't of Educ. of P.R., 628 F.3d 25</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803B3" w14:textId="77777777" w:rsidR="00D041A2" w:rsidRDefault="00D041A2">
    <w:pPr>
      <w:pStyle w:val="Normal38"/>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FCCCC" w14:textId="77777777" w:rsidR="00D041A2" w:rsidRDefault="00D041A2">
    <w:pPr>
      <w:pStyle w:val="Normal39"/>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CA1E3B4" w14:textId="77777777">
      <w:trPr>
        <w:jc w:val="center"/>
      </w:trPr>
      <w:tc>
        <w:tcPr>
          <w:tcW w:w="10080" w:type="dxa"/>
          <w:vAlign w:val="center"/>
        </w:tcPr>
        <w:p w14:paraId="6756810E" w14:textId="77777777" w:rsidR="00D041A2" w:rsidRDefault="00D041A2">
          <w:pPr>
            <w:pStyle w:val="Normal39"/>
          </w:pPr>
        </w:p>
      </w:tc>
    </w:tr>
    <w:tr w:rsidR="00D041A2" w14:paraId="22D2FA3E" w14:textId="77777777">
      <w:trPr>
        <w:jc w:val="center"/>
      </w:trPr>
      <w:tc>
        <w:tcPr>
          <w:tcW w:w="10080" w:type="dxa"/>
        </w:tcPr>
        <w:p w14:paraId="69A966A0" w14:textId="77777777" w:rsidR="00D041A2" w:rsidRDefault="00000000">
          <w:pPr>
            <w:pStyle w:val="Normal39"/>
            <w:spacing w:before="60" w:after="200"/>
            <w:jc w:val="center"/>
          </w:pPr>
          <w:r>
            <w:rPr>
              <w:rFonts w:ascii="Arial" w:eastAsia="Arial" w:hAnsi="Arial" w:cs="Arial"/>
              <w:sz w:val="20"/>
            </w:rPr>
            <w:t>Link v. California, 395 Fed. Appx. 383</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D1C50" w14:textId="77777777" w:rsidR="00D041A2" w:rsidRDefault="00D041A2">
    <w:pPr>
      <w:pStyle w:val="Normal39"/>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3AA3" w14:textId="77777777" w:rsidR="00D041A2" w:rsidRDefault="00D041A2">
    <w:pPr>
      <w:pStyle w:val="Normal40"/>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0275146" w14:textId="77777777">
      <w:trPr>
        <w:jc w:val="center"/>
      </w:trPr>
      <w:tc>
        <w:tcPr>
          <w:tcW w:w="10080" w:type="dxa"/>
          <w:vAlign w:val="center"/>
        </w:tcPr>
        <w:p w14:paraId="22FA1C95" w14:textId="77777777" w:rsidR="00D041A2" w:rsidRDefault="00D041A2">
          <w:pPr>
            <w:pStyle w:val="Normal40"/>
          </w:pPr>
        </w:p>
      </w:tc>
    </w:tr>
    <w:tr w:rsidR="00D041A2" w14:paraId="72464D6C" w14:textId="77777777">
      <w:trPr>
        <w:jc w:val="center"/>
      </w:trPr>
      <w:tc>
        <w:tcPr>
          <w:tcW w:w="10080" w:type="dxa"/>
        </w:tcPr>
        <w:p w14:paraId="2F65DFC5" w14:textId="77777777" w:rsidR="00D041A2" w:rsidRDefault="00000000">
          <w:pPr>
            <w:pStyle w:val="Normal40"/>
            <w:spacing w:before="60" w:after="200"/>
            <w:jc w:val="center"/>
          </w:pPr>
          <w:r>
            <w:rPr>
              <w:rFonts w:ascii="Arial" w:eastAsia="Arial" w:hAnsi="Arial" w:cs="Arial"/>
              <w:sz w:val="20"/>
            </w:rPr>
            <w:t>Smith v. Noah Webster Basic Sch., 389 Fed. Appx. 698</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D8D6D" w14:textId="77777777" w:rsidR="00D041A2" w:rsidRDefault="00D041A2">
    <w:pPr>
      <w:pStyle w:val="Normal40"/>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CA096" w14:textId="77777777" w:rsidR="00D041A2" w:rsidRDefault="00D041A2">
    <w:pPr>
      <w:pStyle w:val="Normal41"/>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35F8E7FA" w14:textId="77777777">
      <w:trPr>
        <w:jc w:val="center"/>
      </w:trPr>
      <w:tc>
        <w:tcPr>
          <w:tcW w:w="10080" w:type="dxa"/>
          <w:vAlign w:val="center"/>
        </w:tcPr>
        <w:p w14:paraId="1F41AF90" w14:textId="77777777" w:rsidR="00D041A2" w:rsidRDefault="00D041A2">
          <w:pPr>
            <w:pStyle w:val="Normal41"/>
          </w:pPr>
        </w:p>
      </w:tc>
    </w:tr>
    <w:tr w:rsidR="00D041A2" w14:paraId="6EDE443B" w14:textId="77777777">
      <w:trPr>
        <w:jc w:val="center"/>
      </w:trPr>
      <w:tc>
        <w:tcPr>
          <w:tcW w:w="10080" w:type="dxa"/>
        </w:tcPr>
        <w:p w14:paraId="28E8324C" w14:textId="77777777" w:rsidR="00D041A2" w:rsidRDefault="00000000">
          <w:pPr>
            <w:pStyle w:val="Normal41"/>
            <w:spacing w:before="60" w:after="200"/>
            <w:jc w:val="center"/>
          </w:pPr>
          <w:r>
            <w:rPr>
              <w:rFonts w:ascii="Arial" w:eastAsia="Arial" w:hAnsi="Arial" w:cs="Arial"/>
              <w:sz w:val="20"/>
            </w:rPr>
            <w:t>Schneider v. Giant of Md., LLC, 389 Fed. Appx. 263</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12247" w14:textId="77777777" w:rsidR="00D041A2" w:rsidRDefault="00D041A2">
    <w:pPr>
      <w:pStyle w:val="Normal41"/>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67B3D" w14:textId="77777777" w:rsidR="00D041A2" w:rsidRDefault="00D041A2">
    <w:pPr>
      <w:pStyle w:val="Normal42"/>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3467ED80" w14:textId="77777777">
      <w:trPr>
        <w:jc w:val="center"/>
      </w:trPr>
      <w:tc>
        <w:tcPr>
          <w:tcW w:w="10080" w:type="dxa"/>
          <w:vAlign w:val="center"/>
        </w:tcPr>
        <w:p w14:paraId="1DE6A580" w14:textId="77777777" w:rsidR="00D041A2" w:rsidRDefault="00D041A2">
          <w:pPr>
            <w:pStyle w:val="Normal42"/>
          </w:pPr>
        </w:p>
      </w:tc>
    </w:tr>
    <w:tr w:rsidR="00D041A2" w14:paraId="6A003275" w14:textId="77777777">
      <w:trPr>
        <w:jc w:val="center"/>
      </w:trPr>
      <w:tc>
        <w:tcPr>
          <w:tcW w:w="10080" w:type="dxa"/>
        </w:tcPr>
        <w:p w14:paraId="120F24B7" w14:textId="77777777" w:rsidR="00D041A2" w:rsidRDefault="00000000">
          <w:pPr>
            <w:pStyle w:val="Normal42"/>
            <w:spacing w:before="60" w:after="200"/>
            <w:jc w:val="center"/>
          </w:pPr>
          <w:r>
            <w:rPr>
              <w:rFonts w:ascii="Arial" w:eastAsia="Arial" w:hAnsi="Arial" w:cs="Arial"/>
              <w:sz w:val="20"/>
            </w:rPr>
            <w:t>Peoples v. Discover Fin. Servs., 387 Fed. Appx. 179</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EAA3F" w14:textId="77777777" w:rsidR="00D041A2" w:rsidRDefault="00D041A2">
    <w:pPr>
      <w:pStyle w:val="Normal42"/>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C713A" w14:textId="77777777" w:rsidR="00D041A2" w:rsidRDefault="00D041A2">
    <w:pPr>
      <w:pStyle w:val="Normal43"/>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683D6E08" w14:textId="77777777">
      <w:trPr>
        <w:jc w:val="center"/>
      </w:trPr>
      <w:tc>
        <w:tcPr>
          <w:tcW w:w="10080" w:type="dxa"/>
          <w:vAlign w:val="center"/>
        </w:tcPr>
        <w:p w14:paraId="631CF059" w14:textId="77777777" w:rsidR="00D041A2" w:rsidRDefault="00D041A2">
          <w:pPr>
            <w:pStyle w:val="Normal43"/>
          </w:pPr>
        </w:p>
      </w:tc>
    </w:tr>
    <w:tr w:rsidR="00D041A2" w14:paraId="4BBC1131" w14:textId="77777777">
      <w:trPr>
        <w:jc w:val="center"/>
      </w:trPr>
      <w:tc>
        <w:tcPr>
          <w:tcW w:w="10080" w:type="dxa"/>
        </w:tcPr>
        <w:p w14:paraId="17B311BC" w14:textId="77777777" w:rsidR="00D041A2" w:rsidRDefault="00000000">
          <w:pPr>
            <w:pStyle w:val="Normal43"/>
            <w:spacing w:before="60" w:after="200"/>
            <w:jc w:val="center"/>
          </w:pPr>
          <w:r>
            <w:rPr>
              <w:rFonts w:ascii="Arial" w:eastAsia="Arial" w:hAnsi="Arial" w:cs="Arial"/>
              <w:sz w:val="20"/>
            </w:rPr>
            <w:t>Wilkerson v. Shinseki, 606 F.3d 1256</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8451" w14:textId="77777777" w:rsidR="00D041A2" w:rsidRDefault="00D041A2">
    <w:pPr>
      <w:pStyle w:val="Normal43"/>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D50A" w14:textId="77777777" w:rsidR="00D041A2" w:rsidRDefault="00D041A2">
    <w:pPr>
      <w:pStyle w:val="Normal44"/>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42F284C2" w14:textId="77777777">
      <w:trPr>
        <w:jc w:val="center"/>
      </w:trPr>
      <w:tc>
        <w:tcPr>
          <w:tcW w:w="10080" w:type="dxa"/>
          <w:vAlign w:val="center"/>
        </w:tcPr>
        <w:p w14:paraId="2024E85A" w14:textId="77777777" w:rsidR="00D041A2" w:rsidRDefault="00D041A2">
          <w:pPr>
            <w:pStyle w:val="Normal44"/>
          </w:pPr>
        </w:p>
      </w:tc>
    </w:tr>
    <w:tr w:rsidR="00D041A2" w14:paraId="4BF6E10D" w14:textId="77777777">
      <w:trPr>
        <w:jc w:val="center"/>
      </w:trPr>
      <w:tc>
        <w:tcPr>
          <w:tcW w:w="10080" w:type="dxa"/>
        </w:tcPr>
        <w:p w14:paraId="6CDBEBED" w14:textId="77777777" w:rsidR="00D041A2" w:rsidRDefault="00000000">
          <w:pPr>
            <w:pStyle w:val="Normal44"/>
            <w:spacing w:before="60" w:after="200"/>
            <w:jc w:val="center"/>
          </w:pPr>
          <w:r>
            <w:rPr>
              <w:rFonts w:ascii="Arial" w:eastAsia="Arial" w:hAnsi="Arial" w:cs="Arial"/>
              <w:sz w:val="20"/>
            </w:rPr>
            <w:t>Ariz. ex rel. Goddard v. Harkins Amusement Enters., 603 F.3d 666</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F9BEF" w14:textId="77777777" w:rsidR="00D041A2" w:rsidRDefault="00D041A2">
    <w:pPr>
      <w:pStyle w:val="Normal44"/>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39005" w14:textId="77777777" w:rsidR="00D041A2" w:rsidRDefault="00D041A2">
    <w:pPr>
      <w:pStyle w:val="Normal45"/>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7399906" w14:textId="77777777">
      <w:trPr>
        <w:jc w:val="center"/>
      </w:trPr>
      <w:tc>
        <w:tcPr>
          <w:tcW w:w="10080" w:type="dxa"/>
          <w:vAlign w:val="center"/>
        </w:tcPr>
        <w:p w14:paraId="4B00C2AF" w14:textId="77777777" w:rsidR="00D041A2" w:rsidRDefault="00D041A2">
          <w:pPr>
            <w:pStyle w:val="Normal45"/>
          </w:pPr>
        </w:p>
      </w:tc>
    </w:tr>
    <w:tr w:rsidR="00D041A2" w14:paraId="4823F43A" w14:textId="77777777">
      <w:trPr>
        <w:jc w:val="center"/>
      </w:trPr>
      <w:tc>
        <w:tcPr>
          <w:tcW w:w="10080" w:type="dxa"/>
        </w:tcPr>
        <w:p w14:paraId="77B07922" w14:textId="77777777" w:rsidR="00D041A2" w:rsidRDefault="00000000">
          <w:pPr>
            <w:pStyle w:val="Normal45"/>
            <w:spacing w:before="60" w:after="200"/>
            <w:jc w:val="center"/>
          </w:pPr>
          <w:r>
            <w:rPr>
              <w:rFonts w:ascii="Arial" w:eastAsia="Arial" w:hAnsi="Arial" w:cs="Arial"/>
              <w:sz w:val="20"/>
            </w:rPr>
            <w:t>Celeste v. E. Meadow Union Free Sch. Dist., 373 Fed. Appx. 85</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B0FFD" w14:textId="77777777" w:rsidR="00D041A2" w:rsidRDefault="00D041A2">
    <w:pPr>
      <w:pStyle w:val="Normal45"/>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BECCE" w14:textId="77777777" w:rsidR="00D041A2" w:rsidRDefault="00D041A2">
    <w:pPr>
      <w:pStyle w:val="Normal46"/>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583E24D3" w14:textId="77777777">
      <w:trPr>
        <w:jc w:val="center"/>
      </w:trPr>
      <w:tc>
        <w:tcPr>
          <w:tcW w:w="10080" w:type="dxa"/>
          <w:vAlign w:val="center"/>
        </w:tcPr>
        <w:p w14:paraId="7893C6CA" w14:textId="77777777" w:rsidR="00D041A2" w:rsidRDefault="00D041A2">
          <w:pPr>
            <w:pStyle w:val="Normal46"/>
          </w:pPr>
        </w:p>
      </w:tc>
    </w:tr>
    <w:tr w:rsidR="00D041A2" w14:paraId="19810EEE" w14:textId="77777777">
      <w:trPr>
        <w:jc w:val="center"/>
      </w:trPr>
      <w:tc>
        <w:tcPr>
          <w:tcW w:w="10080" w:type="dxa"/>
        </w:tcPr>
        <w:p w14:paraId="63178CCA" w14:textId="77777777" w:rsidR="00D041A2" w:rsidRDefault="00000000">
          <w:pPr>
            <w:pStyle w:val="Normal46"/>
            <w:spacing w:before="60" w:after="200"/>
            <w:jc w:val="center"/>
          </w:pPr>
          <w:r>
            <w:rPr>
              <w:rFonts w:ascii="Arial" w:eastAsia="Arial" w:hAnsi="Arial" w:cs="Arial"/>
              <w:sz w:val="20"/>
            </w:rPr>
            <w:t>Mansourian v. Regents of the Univ. of Cal., 602 F.3d 957</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C27E1" w14:textId="77777777" w:rsidR="00D041A2" w:rsidRDefault="00D041A2">
    <w:pPr>
      <w:pStyle w:val="Normal46"/>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48CFA" w14:textId="77777777" w:rsidR="00D041A2" w:rsidRDefault="00D041A2">
    <w:pPr>
      <w:pStyle w:val="Normal47"/>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5112993C" w14:textId="77777777">
      <w:trPr>
        <w:jc w:val="center"/>
      </w:trPr>
      <w:tc>
        <w:tcPr>
          <w:tcW w:w="10080" w:type="dxa"/>
          <w:vAlign w:val="center"/>
        </w:tcPr>
        <w:p w14:paraId="6DE04DB9" w14:textId="77777777" w:rsidR="00D041A2" w:rsidRDefault="00D041A2">
          <w:pPr>
            <w:pStyle w:val="Normal47"/>
          </w:pPr>
        </w:p>
      </w:tc>
    </w:tr>
    <w:tr w:rsidR="00D041A2" w14:paraId="38290AED" w14:textId="77777777">
      <w:trPr>
        <w:jc w:val="center"/>
      </w:trPr>
      <w:tc>
        <w:tcPr>
          <w:tcW w:w="10080" w:type="dxa"/>
        </w:tcPr>
        <w:p w14:paraId="518D6358" w14:textId="77777777" w:rsidR="00D041A2" w:rsidRDefault="00000000">
          <w:pPr>
            <w:pStyle w:val="Normal47"/>
            <w:spacing w:before="60" w:after="200"/>
            <w:jc w:val="center"/>
          </w:pPr>
          <w:r>
            <w:rPr>
              <w:rFonts w:ascii="Arial" w:eastAsia="Arial" w:hAnsi="Arial" w:cs="Arial"/>
              <w:sz w:val="20"/>
            </w:rPr>
            <w:t>Cusack v. News Am. Mktg. In-Store, Inc., LLC, 371 Fed. Appx. 157</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8DAFC" w14:textId="77777777" w:rsidR="00D041A2" w:rsidRDefault="00D041A2">
    <w:pPr>
      <w:pStyle w:val="Normal47"/>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F709" w14:textId="77777777" w:rsidR="00D041A2" w:rsidRDefault="00D041A2">
    <w:pPr>
      <w:pStyle w:val="Normal48"/>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73C587B0" w14:textId="77777777">
      <w:trPr>
        <w:jc w:val="center"/>
      </w:trPr>
      <w:tc>
        <w:tcPr>
          <w:tcW w:w="10080" w:type="dxa"/>
          <w:vAlign w:val="center"/>
        </w:tcPr>
        <w:p w14:paraId="4E88DE50" w14:textId="77777777" w:rsidR="00D041A2" w:rsidRDefault="00D041A2">
          <w:pPr>
            <w:pStyle w:val="Normal48"/>
          </w:pPr>
        </w:p>
      </w:tc>
    </w:tr>
    <w:tr w:rsidR="00D041A2" w14:paraId="440EB9A6" w14:textId="77777777">
      <w:trPr>
        <w:jc w:val="center"/>
      </w:trPr>
      <w:tc>
        <w:tcPr>
          <w:tcW w:w="10080" w:type="dxa"/>
        </w:tcPr>
        <w:p w14:paraId="7BF368F7" w14:textId="77777777" w:rsidR="00D041A2" w:rsidRDefault="00000000">
          <w:pPr>
            <w:pStyle w:val="Normal48"/>
            <w:spacing w:before="60" w:after="200"/>
            <w:jc w:val="center"/>
          </w:pPr>
          <w:r>
            <w:rPr>
              <w:rFonts w:ascii="Arial" w:eastAsia="Arial" w:hAnsi="Arial" w:cs="Arial"/>
              <w:sz w:val="20"/>
            </w:rPr>
            <w:t>Wong v. Pape Mach., Inc., 370 Fed. Appx. 871</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D22D" w14:textId="77777777" w:rsidR="00D041A2" w:rsidRDefault="00D041A2">
    <w:pPr>
      <w:pStyle w:val="Normal48"/>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3446B" w14:textId="77777777" w:rsidR="00D041A2" w:rsidRDefault="00D041A2">
    <w:pPr>
      <w:pStyle w:val="Normal49"/>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D041A2" w14:paraId="296F2061" w14:textId="77777777">
      <w:trPr>
        <w:jc w:val="center"/>
      </w:trPr>
      <w:tc>
        <w:tcPr>
          <w:tcW w:w="10080" w:type="dxa"/>
          <w:vAlign w:val="center"/>
        </w:tcPr>
        <w:p w14:paraId="3C1FC256" w14:textId="77777777" w:rsidR="00D041A2" w:rsidRDefault="00D041A2">
          <w:pPr>
            <w:pStyle w:val="Normal49"/>
          </w:pPr>
        </w:p>
      </w:tc>
    </w:tr>
    <w:tr w:rsidR="00D041A2" w14:paraId="7624F87D" w14:textId="77777777">
      <w:trPr>
        <w:jc w:val="center"/>
      </w:trPr>
      <w:tc>
        <w:tcPr>
          <w:tcW w:w="10080" w:type="dxa"/>
        </w:tcPr>
        <w:p w14:paraId="2739F97D" w14:textId="77777777" w:rsidR="00D041A2" w:rsidRDefault="00000000">
          <w:pPr>
            <w:pStyle w:val="Normal49"/>
            <w:spacing w:before="60" w:after="200"/>
            <w:jc w:val="center"/>
          </w:pPr>
          <w:r>
            <w:rPr>
              <w:rFonts w:ascii="Arial" w:eastAsia="Arial" w:hAnsi="Arial" w:cs="Arial"/>
              <w:sz w:val="20"/>
            </w:rPr>
            <w:t>Quad Enters. Co., LLC v. Town of Southold, 369 Fed. Appx. 202</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E8D8B" w14:textId="77777777" w:rsidR="00D041A2" w:rsidRDefault="00D041A2">
    <w:pPr>
      <w:pStyle w:val="Normal4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4D4403"/>
    <w:rsid w:val="00A77B3E"/>
    <w:rsid w:val="00C46C6B"/>
    <w:rsid w:val="00CA2A55"/>
    <w:rsid w:val="00D04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9B5AC"/>
  <w15:docId w15:val="{AF04EA5E-3253-4D95-B939-A83FD6205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rPr>
  </w:style>
  <w:style w:type="paragraph" w:customStyle="1" w:styleId="Normal2">
    <w:name w:val="Normal_2"/>
    <w:qFormat/>
    <w:rPr>
      <w:sz w:val="24"/>
      <w:szCs w:val="24"/>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rPr>
  </w:style>
  <w:style w:type="paragraph" w:customStyle="1" w:styleId="Normal3">
    <w:name w:val="Normal_3"/>
    <w:qFormat/>
    <w:rPr>
      <w:sz w:val="24"/>
      <w:szCs w:val="24"/>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rPr>
  </w:style>
  <w:style w:type="paragraph" w:customStyle="1" w:styleId="Normal4">
    <w:name w:val="Normal_4"/>
    <w:qFormat/>
    <w:rPr>
      <w:sz w:val="24"/>
      <w:szCs w:val="24"/>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rPr>
  </w:style>
  <w:style w:type="paragraph" w:customStyle="1" w:styleId="Normal5">
    <w:name w:val="Normal_5"/>
    <w:qFormat/>
    <w:rPr>
      <w:sz w:val="24"/>
      <w:szCs w:val="24"/>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rPr>
  </w:style>
  <w:style w:type="paragraph" w:customStyle="1" w:styleId="Normal6">
    <w:name w:val="Normal_6"/>
    <w:qFormat/>
    <w:rPr>
      <w:sz w:val="24"/>
      <w:szCs w:val="24"/>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rPr>
  </w:style>
  <w:style w:type="paragraph" w:customStyle="1" w:styleId="Normal7">
    <w:name w:val="Normal_7"/>
    <w:qFormat/>
    <w:rPr>
      <w:sz w:val="24"/>
      <w:szCs w:val="24"/>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rPr>
  </w:style>
  <w:style w:type="paragraph" w:customStyle="1" w:styleId="Normal8">
    <w:name w:val="Normal_8"/>
    <w:qFormat/>
    <w:rPr>
      <w:sz w:val="24"/>
      <w:szCs w:val="24"/>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rPr>
  </w:style>
  <w:style w:type="paragraph" w:customStyle="1" w:styleId="Normal9">
    <w:name w:val="Normal_9"/>
    <w:qFormat/>
    <w:rPr>
      <w:sz w:val="24"/>
      <w:szCs w:val="24"/>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rPr>
  </w:style>
  <w:style w:type="paragraph" w:customStyle="1" w:styleId="Normal10">
    <w:name w:val="Normal_10"/>
    <w:qFormat/>
    <w:rPr>
      <w:sz w:val="24"/>
      <w:szCs w:val="24"/>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rPr>
  </w:style>
  <w:style w:type="paragraph" w:customStyle="1" w:styleId="Normal11">
    <w:name w:val="Normal_11"/>
    <w:qFormat/>
    <w:rPr>
      <w:sz w:val="24"/>
      <w:szCs w:val="24"/>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rPr>
  </w:style>
  <w:style w:type="paragraph" w:customStyle="1" w:styleId="Normal12">
    <w:name w:val="Normal_12"/>
    <w:qFormat/>
    <w:rPr>
      <w:sz w:val="24"/>
      <w:szCs w:val="24"/>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rPr>
  </w:style>
  <w:style w:type="paragraph" w:customStyle="1" w:styleId="Normal13">
    <w:name w:val="Normal_13"/>
    <w:qFormat/>
    <w:rPr>
      <w:sz w:val="24"/>
      <w:szCs w:val="24"/>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rPr>
  </w:style>
  <w:style w:type="paragraph" w:customStyle="1" w:styleId="Normal14">
    <w:name w:val="Normal_14"/>
    <w:qFormat/>
    <w:rPr>
      <w:sz w:val="24"/>
      <w:szCs w:val="24"/>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rPr>
  </w:style>
  <w:style w:type="paragraph" w:customStyle="1" w:styleId="Normal15">
    <w:name w:val="Normal_15"/>
    <w:qFormat/>
    <w:rPr>
      <w:sz w:val="24"/>
      <w:szCs w:val="24"/>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rPr>
  </w:style>
  <w:style w:type="paragraph" w:customStyle="1" w:styleId="Normal16">
    <w:name w:val="Normal_16"/>
    <w:qFormat/>
    <w:rPr>
      <w:sz w:val="24"/>
      <w:szCs w:val="24"/>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rPr>
  </w:style>
  <w:style w:type="paragraph" w:customStyle="1" w:styleId="Normal17">
    <w:name w:val="Normal_17"/>
    <w:qFormat/>
    <w:rPr>
      <w:sz w:val="24"/>
      <w:szCs w:val="24"/>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rPr>
  </w:style>
  <w:style w:type="paragraph" w:customStyle="1" w:styleId="Normal18">
    <w:name w:val="Normal_18"/>
    <w:qFormat/>
    <w:rPr>
      <w:sz w:val="24"/>
      <w:szCs w:val="24"/>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rPr>
  </w:style>
  <w:style w:type="paragraph" w:customStyle="1" w:styleId="Normal19">
    <w:name w:val="Normal_19"/>
    <w:qFormat/>
    <w:rPr>
      <w:sz w:val="24"/>
      <w:szCs w:val="24"/>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rPr>
  </w:style>
  <w:style w:type="paragraph" w:customStyle="1" w:styleId="Normal20">
    <w:name w:val="Normal_20"/>
    <w:qFormat/>
    <w:rPr>
      <w:sz w:val="24"/>
      <w:szCs w:val="24"/>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rPr>
  </w:style>
  <w:style w:type="paragraph" w:customStyle="1" w:styleId="Normal21">
    <w:name w:val="Normal_21"/>
    <w:qFormat/>
    <w:rPr>
      <w:sz w:val="24"/>
      <w:szCs w:val="24"/>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rPr>
  </w:style>
  <w:style w:type="paragraph" w:customStyle="1" w:styleId="Normal22">
    <w:name w:val="Normal_22"/>
    <w:qFormat/>
    <w:rPr>
      <w:sz w:val="24"/>
      <w:szCs w:val="24"/>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rPr>
  </w:style>
  <w:style w:type="paragraph" w:customStyle="1" w:styleId="Normal23">
    <w:name w:val="Normal_23"/>
    <w:qFormat/>
    <w:rPr>
      <w:sz w:val="24"/>
      <w:szCs w:val="24"/>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rPr>
  </w:style>
  <w:style w:type="paragraph" w:customStyle="1" w:styleId="Normal24">
    <w:name w:val="Normal_24"/>
    <w:qFormat/>
    <w:rPr>
      <w:sz w:val="24"/>
      <w:szCs w:val="24"/>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rPr>
  </w:style>
  <w:style w:type="paragraph" w:customStyle="1" w:styleId="Normal25">
    <w:name w:val="Normal_25"/>
    <w:qFormat/>
    <w:rPr>
      <w:sz w:val="24"/>
      <w:szCs w:val="24"/>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rPr>
  </w:style>
  <w:style w:type="paragraph" w:customStyle="1" w:styleId="Normal26">
    <w:name w:val="Normal_26"/>
    <w:qFormat/>
    <w:rPr>
      <w:sz w:val="24"/>
      <w:szCs w:val="24"/>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rPr>
  </w:style>
  <w:style w:type="paragraph" w:customStyle="1" w:styleId="Normal27">
    <w:name w:val="Normal_27"/>
    <w:qFormat/>
    <w:rPr>
      <w:sz w:val="24"/>
      <w:szCs w:val="24"/>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rPr>
  </w:style>
  <w:style w:type="paragraph" w:customStyle="1" w:styleId="Normal28">
    <w:name w:val="Normal_28"/>
    <w:qFormat/>
    <w:rPr>
      <w:sz w:val="24"/>
      <w:szCs w:val="24"/>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rPr>
  </w:style>
  <w:style w:type="paragraph" w:customStyle="1" w:styleId="Normal29">
    <w:name w:val="Normal_29"/>
    <w:qFormat/>
    <w:rPr>
      <w:sz w:val="24"/>
      <w:szCs w:val="24"/>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rPr>
  </w:style>
  <w:style w:type="paragraph" w:customStyle="1" w:styleId="Normal30">
    <w:name w:val="Normal_30"/>
    <w:qFormat/>
    <w:rPr>
      <w:sz w:val="24"/>
      <w:szCs w:val="24"/>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rPr>
  </w:style>
  <w:style w:type="paragraph" w:customStyle="1" w:styleId="Normal31">
    <w:name w:val="Normal_31"/>
    <w:qFormat/>
    <w:rPr>
      <w:sz w:val="24"/>
      <w:szCs w:val="24"/>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rPr>
  </w:style>
  <w:style w:type="paragraph" w:customStyle="1" w:styleId="Normal32">
    <w:name w:val="Normal_32"/>
    <w:qFormat/>
    <w:rPr>
      <w:sz w:val="24"/>
      <w:szCs w:val="24"/>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rPr>
  </w:style>
  <w:style w:type="paragraph" w:customStyle="1" w:styleId="Normal33">
    <w:name w:val="Normal_33"/>
    <w:qFormat/>
    <w:rPr>
      <w:sz w:val="24"/>
      <w:szCs w:val="24"/>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rPr>
  </w:style>
  <w:style w:type="paragraph" w:customStyle="1" w:styleId="Normal34">
    <w:name w:val="Normal_34"/>
    <w:qFormat/>
    <w:rPr>
      <w:sz w:val="24"/>
      <w:szCs w:val="24"/>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rPr>
  </w:style>
  <w:style w:type="paragraph" w:customStyle="1" w:styleId="Normal35">
    <w:name w:val="Normal_35"/>
    <w:qFormat/>
    <w:rPr>
      <w:sz w:val="24"/>
      <w:szCs w:val="24"/>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rPr>
  </w:style>
  <w:style w:type="paragraph" w:customStyle="1" w:styleId="Normal36">
    <w:name w:val="Normal_36"/>
    <w:qFormat/>
    <w:rPr>
      <w:sz w:val="24"/>
      <w:szCs w:val="24"/>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rPr>
  </w:style>
  <w:style w:type="paragraph" w:customStyle="1" w:styleId="Normal37">
    <w:name w:val="Normal_37"/>
    <w:qFormat/>
    <w:rPr>
      <w:sz w:val="24"/>
      <w:szCs w:val="24"/>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rPr>
  </w:style>
  <w:style w:type="paragraph" w:customStyle="1" w:styleId="Normal38">
    <w:name w:val="Normal_38"/>
    <w:qFormat/>
    <w:rPr>
      <w:sz w:val="24"/>
      <w:szCs w:val="24"/>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rPr>
  </w:style>
  <w:style w:type="paragraph" w:customStyle="1" w:styleId="Normal39">
    <w:name w:val="Normal_39"/>
    <w:qFormat/>
    <w:rPr>
      <w:sz w:val="24"/>
      <w:szCs w:val="24"/>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rPr>
  </w:style>
  <w:style w:type="paragraph" w:customStyle="1" w:styleId="Normal40">
    <w:name w:val="Normal_40"/>
    <w:qFormat/>
    <w:rPr>
      <w:sz w:val="24"/>
      <w:szCs w:val="24"/>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rPr>
  </w:style>
  <w:style w:type="paragraph" w:customStyle="1" w:styleId="Normal41">
    <w:name w:val="Normal_41"/>
    <w:qFormat/>
    <w:rPr>
      <w:sz w:val="24"/>
      <w:szCs w:val="24"/>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rPr>
  </w:style>
  <w:style w:type="paragraph" w:customStyle="1" w:styleId="Normal42">
    <w:name w:val="Normal_42"/>
    <w:qFormat/>
    <w:rPr>
      <w:sz w:val="24"/>
      <w:szCs w:val="24"/>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rPr>
  </w:style>
  <w:style w:type="paragraph" w:customStyle="1" w:styleId="Normal43">
    <w:name w:val="Normal_43"/>
    <w:qFormat/>
    <w:rPr>
      <w:sz w:val="24"/>
      <w:szCs w:val="24"/>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rPr>
  </w:style>
  <w:style w:type="paragraph" w:customStyle="1" w:styleId="Normal44">
    <w:name w:val="Normal_44"/>
    <w:qFormat/>
    <w:rPr>
      <w:sz w:val="24"/>
      <w:szCs w:val="24"/>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rPr>
  </w:style>
  <w:style w:type="paragraph" w:customStyle="1" w:styleId="Normal45">
    <w:name w:val="Normal_45"/>
    <w:qFormat/>
    <w:rPr>
      <w:sz w:val="24"/>
      <w:szCs w:val="24"/>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rPr>
  </w:style>
  <w:style w:type="paragraph" w:customStyle="1" w:styleId="Normal46">
    <w:name w:val="Normal_46"/>
    <w:qFormat/>
    <w:rPr>
      <w:sz w:val="24"/>
      <w:szCs w:val="24"/>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rPr>
  </w:style>
  <w:style w:type="paragraph" w:customStyle="1" w:styleId="Normal47">
    <w:name w:val="Normal_47"/>
    <w:qFormat/>
    <w:rPr>
      <w:sz w:val="24"/>
      <w:szCs w:val="24"/>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rPr>
  </w:style>
  <w:style w:type="paragraph" w:customStyle="1" w:styleId="Normal48">
    <w:name w:val="Normal_48"/>
    <w:qFormat/>
    <w:rPr>
      <w:sz w:val="24"/>
      <w:szCs w:val="24"/>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rPr>
  </w:style>
  <w:style w:type="paragraph" w:customStyle="1" w:styleId="Normal49">
    <w:name w:val="Normal_49"/>
    <w:qFormat/>
    <w:rPr>
      <w:sz w:val="24"/>
      <w:szCs w:val="24"/>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56.xml"/><Relationship Id="rId299" Type="http://schemas.openxmlformats.org/officeDocument/2006/relationships/header" Target="header147.xml"/><Relationship Id="rId21" Type="http://schemas.openxmlformats.org/officeDocument/2006/relationships/footer" Target="footer8.xml"/><Relationship Id="rId63" Type="http://schemas.openxmlformats.org/officeDocument/2006/relationships/footer" Target="footer29.xml"/><Relationship Id="rId159" Type="http://schemas.openxmlformats.org/officeDocument/2006/relationships/footer" Target="footer77.xml"/><Relationship Id="rId170" Type="http://schemas.openxmlformats.org/officeDocument/2006/relationships/footer" Target="footer82.xml"/><Relationship Id="rId226" Type="http://schemas.openxmlformats.org/officeDocument/2006/relationships/header" Target="header111.xml"/><Relationship Id="rId268" Type="http://schemas.openxmlformats.org/officeDocument/2006/relationships/footer" Target="footer131.xml"/><Relationship Id="rId32" Type="http://schemas.openxmlformats.org/officeDocument/2006/relationships/footer" Target="footer13.xml"/><Relationship Id="rId74" Type="http://schemas.openxmlformats.org/officeDocument/2006/relationships/footer" Target="footer34.xml"/><Relationship Id="rId128" Type="http://schemas.openxmlformats.org/officeDocument/2006/relationships/footer" Target="footer61.xml"/><Relationship Id="rId5" Type="http://schemas.openxmlformats.org/officeDocument/2006/relationships/endnotes" Target="endnotes.xml"/><Relationship Id="rId181" Type="http://schemas.openxmlformats.org/officeDocument/2006/relationships/header" Target="header89.xml"/><Relationship Id="rId237" Type="http://schemas.openxmlformats.org/officeDocument/2006/relationships/footer" Target="footer115.xml"/><Relationship Id="rId279" Type="http://schemas.openxmlformats.org/officeDocument/2006/relationships/footer" Target="footer136.xml"/><Relationship Id="rId43" Type="http://schemas.openxmlformats.org/officeDocument/2006/relationships/header" Target="header20.xml"/><Relationship Id="rId139" Type="http://schemas.openxmlformats.org/officeDocument/2006/relationships/header" Target="header68.xml"/><Relationship Id="rId290" Type="http://schemas.openxmlformats.org/officeDocument/2006/relationships/header" Target="header143.xml"/><Relationship Id="rId304" Type="http://schemas.openxmlformats.org/officeDocument/2006/relationships/footer" Target="footer149.xml"/><Relationship Id="rId85" Type="http://schemas.openxmlformats.org/officeDocument/2006/relationships/header" Target="header41.xml"/><Relationship Id="rId150" Type="http://schemas.openxmlformats.org/officeDocument/2006/relationships/header" Target="header73.xml"/><Relationship Id="rId192" Type="http://schemas.openxmlformats.org/officeDocument/2006/relationships/header" Target="header94.xml"/><Relationship Id="rId206" Type="http://schemas.openxmlformats.org/officeDocument/2006/relationships/footer" Target="footer100.xml"/><Relationship Id="rId248" Type="http://schemas.openxmlformats.org/officeDocument/2006/relationships/header" Target="header122.xml"/><Relationship Id="rId12" Type="http://schemas.openxmlformats.org/officeDocument/2006/relationships/header" Target="header4.xml"/><Relationship Id="rId108" Type="http://schemas.openxmlformats.org/officeDocument/2006/relationships/header" Target="header52.xml"/><Relationship Id="rId54" Type="http://schemas.openxmlformats.org/officeDocument/2006/relationships/header" Target="header25.xml"/><Relationship Id="rId96" Type="http://schemas.openxmlformats.org/officeDocument/2006/relationships/header" Target="header46.xml"/><Relationship Id="rId161" Type="http://schemas.openxmlformats.org/officeDocument/2006/relationships/footer" Target="footer78.xml"/><Relationship Id="rId217" Type="http://schemas.openxmlformats.org/officeDocument/2006/relationships/header" Target="header107.xml"/><Relationship Id="rId259" Type="http://schemas.openxmlformats.org/officeDocument/2006/relationships/header" Target="header127.xml"/><Relationship Id="rId23" Type="http://schemas.openxmlformats.org/officeDocument/2006/relationships/footer" Target="footer9.xml"/><Relationship Id="rId119" Type="http://schemas.openxmlformats.org/officeDocument/2006/relationships/footer" Target="footer57.xml"/><Relationship Id="rId270" Type="http://schemas.openxmlformats.org/officeDocument/2006/relationships/footer" Target="footer132.xml"/><Relationship Id="rId291" Type="http://schemas.openxmlformats.org/officeDocument/2006/relationships/footer" Target="footer142.xml"/><Relationship Id="rId305" Type="http://schemas.openxmlformats.org/officeDocument/2006/relationships/header" Target="header150.xml"/><Relationship Id="rId44" Type="http://schemas.openxmlformats.org/officeDocument/2006/relationships/footer" Target="footer19.xml"/><Relationship Id="rId65" Type="http://schemas.openxmlformats.org/officeDocument/2006/relationships/footer" Target="footer30.xml"/><Relationship Id="rId86" Type="http://schemas.openxmlformats.org/officeDocument/2006/relationships/footer" Target="footer40.xml"/><Relationship Id="rId130" Type="http://schemas.openxmlformats.org/officeDocument/2006/relationships/header" Target="header63.xml"/><Relationship Id="rId151" Type="http://schemas.openxmlformats.org/officeDocument/2006/relationships/header" Target="header74.xml"/><Relationship Id="rId172" Type="http://schemas.openxmlformats.org/officeDocument/2006/relationships/header" Target="header84.xml"/><Relationship Id="rId193" Type="http://schemas.openxmlformats.org/officeDocument/2006/relationships/header" Target="header95.xml"/><Relationship Id="rId207" Type="http://schemas.openxmlformats.org/officeDocument/2006/relationships/footer" Target="footer101.xml"/><Relationship Id="rId228" Type="http://schemas.openxmlformats.org/officeDocument/2006/relationships/header" Target="header112.xml"/><Relationship Id="rId249" Type="http://schemas.openxmlformats.org/officeDocument/2006/relationships/footer" Target="footer121.xml"/><Relationship Id="rId13" Type="http://schemas.openxmlformats.org/officeDocument/2006/relationships/header" Target="header5.xml"/><Relationship Id="rId109" Type="http://schemas.openxmlformats.org/officeDocument/2006/relationships/header" Target="header53.xml"/><Relationship Id="rId260" Type="http://schemas.openxmlformats.org/officeDocument/2006/relationships/header" Target="header128.xml"/><Relationship Id="rId281" Type="http://schemas.openxmlformats.org/officeDocument/2006/relationships/header" Target="header138.xml"/><Relationship Id="rId34" Type="http://schemas.openxmlformats.org/officeDocument/2006/relationships/header" Target="header15.xml"/><Relationship Id="rId55" Type="http://schemas.openxmlformats.org/officeDocument/2006/relationships/header" Target="header26.xml"/><Relationship Id="rId76" Type="http://schemas.openxmlformats.org/officeDocument/2006/relationships/header" Target="header36.xml"/><Relationship Id="rId97" Type="http://schemas.openxmlformats.org/officeDocument/2006/relationships/header" Target="header47.xml"/><Relationship Id="rId120" Type="http://schemas.openxmlformats.org/officeDocument/2006/relationships/header" Target="header58.xml"/><Relationship Id="rId141" Type="http://schemas.openxmlformats.org/officeDocument/2006/relationships/footer" Target="footer68.xml"/><Relationship Id="rId7" Type="http://schemas.openxmlformats.org/officeDocument/2006/relationships/header" Target="header2.xml"/><Relationship Id="rId162" Type="http://schemas.openxmlformats.org/officeDocument/2006/relationships/header" Target="header79.xml"/><Relationship Id="rId183" Type="http://schemas.openxmlformats.org/officeDocument/2006/relationships/footer" Target="footer89.xml"/><Relationship Id="rId218" Type="http://schemas.openxmlformats.org/officeDocument/2006/relationships/footer" Target="footer106.xml"/><Relationship Id="rId239" Type="http://schemas.openxmlformats.org/officeDocument/2006/relationships/header" Target="header117.xml"/><Relationship Id="rId250" Type="http://schemas.openxmlformats.org/officeDocument/2006/relationships/footer" Target="footer122.xml"/><Relationship Id="rId271" Type="http://schemas.openxmlformats.org/officeDocument/2006/relationships/header" Target="header133.xml"/><Relationship Id="rId292" Type="http://schemas.openxmlformats.org/officeDocument/2006/relationships/footer" Target="footer143.xml"/><Relationship Id="rId306" Type="http://schemas.openxmlformats.org/officeDocument/2006/relationships/footer" Target="footer150.xml"/><Relationship Id="rId24" Type="http://schemas.openxmlformats.org/officeDocument/2006/relationships/header" Target="header10.xml"/><Relationship Id="rId45" Type="http://schemas.openxmlformats.org/officeDocument/2006/relationships/footer" Target="footer20.xml"/><Relationship Id="rId66" Type="http://schemas.openxmlformats.org/officeDocument/2006/relationships/header" Target="header31.xml"/><Relationship Id="rId87" Type="http://schemas.openxmlformats.org/officeDocument/2006/relationships/footer" Target="footer41.xml"/><Relationship Id="rId110" Type="http://schemas.openxmlformats.org/officeDocument/2006/relationships/footer" Target="footer52.xml"/><Relationship Id="rId131" Type="http://schemas.openxmlformats.org/officeDocument/2006/relationships/footer" Target="footer63.xml"/><Relationship Id="rId152" Type="http://schemas.openxmlformats.org/officeDocument/2006/relationships/footer" Target="footer73.xml"/><Relationship Id="rId173" Type="http://schemas.openxmlformats.org/officeDocument/2006/relationships/footer" Target="footer84.xml"/><Relationship Id="rId194" Type="http://schemas.openxmlformats.org/officeDocument/2006/relationships/footer" Target="footer94.xml"/><Relationship Id="rId208" Type="http://schemas.openxmlformats.org/officeDocument/2006/relationships/header" Target="header102.xml"/><Relationship Id="rId229" Type="http://schemas.openxmlformats.org/officeDocument/2006/relationships/header" Target="header113.xml"/><Relationship Id="rId240" Type="http://schemas.openxmlformats.org/officeDocument/2006/relationships/footer" Target="footer117.xml"/><Relationship Id="rId261" Type="http://schemas.openxmlformats.org/officeDocument/2006/relationships/footer" Target="footer127.xml"/><Relationship Id="rId14" Type="http://schemas.openxmlformats.org/officeDocument/2006/relationships/footer" Target="footer4.xml"/><Relationship Id="rId35" Type="http://schemas.openxmlformats.org/officeDocument/2006/relationships/footer" Target="footer15.xml"/><Relationship Id="rId56" Type="http://schemas.openxmlformats.org/officeDocument/2006/relationships/footer" Target="footer25.xml"/><Relationship Id="rId77" Type="http://schemas.openxmlformats.org/officeDocument/2006/relationships/footer" Target="footer36.xml"/><Relationship Id="rId100" Type="http://schemas.openxmlformats.org/officeDocument/2006/relationships/header" Target="header48.xml"/><Relationship Id="rId282" Type="http://schemas.openxmlformats.org/officeDocument/2006/relationships/footer" Target="footer138.xml"/><Relationship Id="rId8" Type="http://schemas.openxmlformats.org/officeDocument/2006/relationships/footer" Target="footer1.xml"/><Relationship Id="rId98" Type="http://schemas.openxmlformats.org/officeDocument/2006/relationships/footer" Target="footer46.xml"/><Relationship Id="rId121" Type="http://schemas.openxmlformats.org/officeDocument/2006/relationships/header" Target="header59.xml"/><Relationship Id="rId142" Type="http://schemas.openxmlformats.org/officeDocument/2006/relationships/header" Target="header69.xml"/><Relationship Id="rId163" Type="http://schemas.openxmlformats.org/officeDocument/2006/relationships/header" Target="header80.xml"/><Relationship Id="rId184" Type="http://schemas.openxmlformats.org/officeDocument/2006/relationships/header" Target="header90.xml"/><Relationship Id="rId219" Type="http://schemas.openxmlformats.org/officeDocument/2006/relationships/footer" Target="footer107.xml"/><Relationship Id="rId230" Type="http://schemas.openxmlformats.org/officeDocument/2006/relationships/footer" Target="footer112.xml"/><Relationship Id="rId251" Type="http://schemas.openxmlformats.org/officeDocument/2006/relationships/header" Target="header123.xml"/><Relationship Id="rId25" Type="http://schemas.openxmlformats.org/officeDocument/2006/relationships/header" Target="header11.xml"/><Relationship Id="rId46" Type="http://schemas.openxmlformats.org/officeDocument/2006/relationships/header" Target="header21.xml"/><Relationship Id="rId67" Type="http://schemas.openxmlformats.org/officeDocument/2006/relationships/header" Target="header32.xml"/><Relationship Id="rId272" Type="http://schemas.openxmlformats.org/officeDocument/2006/relationships/header" Target="header134.xml"/><Relationship Id="rId293" Type="http://schemas.openxmlformats.org/officeDocument/2006/relationships/header" Target="header144.xml"/><Relationship Id="rId307" Type="http://schemas.openxmlformats.org/officeDocument/2006/relationships/fontTable" Target="fontTable.xml"/><Relationship Id="rId88" Type="http://schemas.openxmlformats.org/officeDocument/2006/relationships/header" Target="header42.xml"/><Relationship Id="rId111" Type="http://schemas.openxmlformats.org/officeDocument/2006/relationships/footer" Target="footer53.xml"/><Relationship Id="rId132" Type="http://schemas.openxmlformats.org/officeDocument/2006/relationships/header" Target="header64.xml"/><Relationship Id="rId153" Type="http://schemas.openxmlformats.org/officeDocument/2006/relationships/footer" Target="footer74.xml"/><Relationship Id="rId174" Type="http://schemas.openxmlformats.org/officeDocument/2006/relationships/header" Target="header85.xml"/><Relationship Id="rId195" Type="http://schemas.openxmlformats.org/officeDocument/2006/relationships/footer" Target="footer95.xml"/><Relationship Id="rId209" Type="http://schemas.openxmlformats.org/officeDocument/2006/relationships/footer" Target="footer102.xml"/><Relationship Id="rId220" Type="http://schemas.openxmlformats.org/officeDocument/2006/relationships/header" Target="header108.xml"/><Relationship Id="rId241" Type="http://schemas.openxmlformats.org/officeDocument/2006/relationships/header" Target="header118.xml"/><Relationship Id="rId15" Type="http://schemas.openxmlformats.org/officeDocument/2006/relationships/footer" Target="footer5.xml"/><Relationship Id="rId36" Type="http://schemas.openxmlformats.org/officeDocument/2006/relationships/header" Target="header16.xml"/><Relationship Id="rId57" Type="http://schemas.openxmlformats.org/officeDocument/2006/relationships/footer" Target="footer26.xml"/><Relationship Id="rId262" Type="http://schemas.openxmlformats.org/officeDocument/2006/relationships/footer" Target="footer128.xml"/><Relationship Id="rId283" Type="http://schemas.openxmlformats.org/officeDocument/2006/relationships/header" Target="header139.xml"/><Relationship Id="rId78" Type="http://schemas.openxmlformats.org/officeDocument/2006/relationships/header" Target="header37.xml"/><Relationship Id="rId99" Type="http://schemas.openxmlformats.org/officeDocument/2006/relationships/footer" Target="footer47.xml"/><Relationship Id="rId101" Type="http://schemas.openxmlformats.org/officeDocument/2006/relationships/footer" Target="footer48.xml"/><Relationship Id="rId122" Type="http://schemas.openxmlformats.org/officeDocument/2006/relationships/footer" Target="footer58.xml"/><Relationship Id="rId143" Type="http://schemas.openxmlformats.org/officeDocument/2006/relationships/footer" Target="footer69.xml"/><Relationship Id="rId164" Type="http://schemas.openxmlformats.org/officeDocument/2006/relationships/footer" Target="footer79.xml"/><Relationship Id="rId185" Type="http://schemas.openxmlformats.org/officeDocument/2006/relationships/footer" Target="footer90.xml"/><Relationship Id="rId9" Type="http://schemas.openxmlformats.org/officeDocument/2006/relationships/footer" Target="footer2.xml"/><Relationship Id="rId210" Type="http://schemas.openxmlformats.org/officeDocument/2006/relationships/header" Target="header103.xml"/><Relationship Id="rId26" Type="http://schemas.openxmlformats.org/officeDocument/2006/relationships/footer" Target="footer10.xml"/><Relationship Id="rId231" Type="http://schemas.openxmlformats.org/officeDocument/2006/relationships/footer" Target="footer113.xml"/><Relationship Id="rId252" Type="http://schemas.openxmlformats.org/officeDocument/2006/relationships/footer" Target="footer123.xml"/><Relationship Id="rId273" Type="http://schemas.openxmlformats.org/officeDocument/2006/relationships/footer" Target="footer133.xml"/><Relationship Id="rId294" Type="http://schemas.openxmlformats.org/officeDocument/2006/relationships/footer" Target="footer144.xml"/><Relationship Id="rId308" Type="http://schemas.openxmlformats.org/officeDocument/2006/relationships/theme" Target="theme/theme1.xml"/><Relationship Id="rId47" Type="http://schemas.openxmlformats.org/officeDocument/2006/relationships/footer" Target="footer21.xml"/><Relationship Id="rId68" Type="http://schemas.openxmlformats.org/officeDocument/2006/relationships/footer" Target="footer31.xml"/><Relationship Id="rId89" Type="http://schemas.openxmlformats.org/officeDocument/2006/relationships/footer" Target="footer42.xml"/><Relationship Id="rId112" Type="http://schemas.openxmlformats.org/officeDocument/2006/relationships/header" Target="header54.xml"/><Relationship Id="rId133" Type="http://schemas.openxmlformats.org/officeDocument/2006/relationships/header" Target="header65.xml"/><Relationship Id="rId154" Type="http://schemas.openxmlformats.org/officeDocument/2006/relationships/header" Target="header75.xml"/><Relationship Id="rId175" Type="http://schemas.openxmlformats.org/officeDocument/2006/relationships/header" Target="header86.xml"/><Relationship Id="rId196" Type="http://schemas.openxmlformats.org/officeDocument/2006/relationships/header" Target="header96.xml"/><Relationship Id="rId200" Type="http://schemas.openxmlformats.org/officeDocument/2006/relationships/footer" Target="footer97.xml"/><Relationship Id="rId16" Type="http://schemas.openxmlformats.org/officeDocument/2006/relationships/header" Target="header6.xml"/><Relationship Id="rId221" Type="http://schemas.openxmlformats.org/officeDocument/2006/relationships/footer" Target="footer108.xml"/><Relationship Id="rId242" Type="http://schemas.openxmlformats.org/officeDocument/2006/relationships/header" Target="header119.xml"/><Relationship Id="rId263" Type="http://schemas.openxmlformats.org/officeDocument/2006/relationships/header" Target="header129.xml"/><Relationship Id="rId284" Type="http://schemas.openxmlformats.org/officeDocument/2006/relationships/header" Target="header140.xml"/><Relationship Id="rId37" Type="http://schemas.openxmlformats.org/officeDocument/2006/relationships/header" Target="header17.xml"/><Relationship Id="rId58" Type="http://schemas.openxmlformats.org/officeDocument/2006/relationships/header" Target="header27.xml"/><Relationship Id="rId79" Type="http://schemas.openxmlformats.org/officeDocument/2006/relationships/header" Target="header38.xml"/><Relationship Id="rId102" Type="http://schemas.openxmlformats.org/officeDocument/2006/relationships/header" Target="header49.xml"/><Relationship Id="rId123" Type="http://schemas.openxmlformats.org/officeDocument/2006/relationships/footer" Target="footer59.xml"/><Relationship Id="rId144" Type="http://schemas.openxmlformats.org/officeDocument/2006/relationships/header" Target="header70.xml"/><Relationship Id="rId90" Type="http://schemas.openxmlformats.org/officeDocument/2006/relationships/header" Target="header43.xml"/><Relationship Id="rId165" Type="http://schemas.openxmlformats.org/officeDocument/2006/relationships/footer" Target="footer80.xml"/><Relationship Id="rId186" Type="http://schemas.openxmlformats.org/officeDocument/2006/relationships/header" Target="header91.xml"/><Relationship Id="rId211" Type="http://schemas.openxmlformats.org/officeDocument/2006/relationships/header" Target="header104.xml"/><Relationship Id="rId232" Type="http://schemas.openxmlformats.org/officeDocument/2006/relationships/header" Target="header114.xml"/><Relationship Id="rId253" Type="http://schemas.openxmlformats.org/officeDocument/2006/relationships/header" Target="header124.xml"/><Relationship Id="rId274" Type="http://schemas.openxmlformats.org/officeDocument/2006/relationships/footer" Target="footer134.xml"/><Relationship Id="rId295" Type="http://schemas.openxmlformats.org/officeDocument/2006/relationships/header" Target="header145.xml"/><Relationship Id="rId27" Type="http://schemas.openxmlformats.org/officeDocument/2006/relationships/footer" Target="footer11.xml"/><Relationship Id="rId48" Type="http://schemas.openxmlformats.org/officeDocument/2006/relationships/header" Target="header22.xml"/><Relationship Id="rId69" Type="http://schemas.openxmlformats.org/officeDocument/2006/relationships/footer" Target="footer32.xml"/><Relationship Id="rId113" Type="http://schemas.openxmlformats.org/officeDocument/2006/relationships/footer" Target="footer54.xml"/><Relationship Id="rId134" Type="http://schemas.openxmlformats.org/officeDocument/2006/relationships/footer" Target="footer64.xml"/><Relationship Id="rId80" Type="http://schemas.openxmlformats.org/officeDocument/2006/relationships/footer" Target="footer37.xml"/><Relationship Id="rId155" Type="http://schemas.openxmlformats.org/officeDocument/2006/relationships/footer" Target="footer75.xml"/><Relationship Id="rId176" Type="http://schemas.openxmlformats.org/officeDocument/2006/relationships/footer" Target="footer85.xml"/><Relationship Id="rId197" Type="http://schemas.openxmlformats.org/officeDocument/2006/relationships/footer" Target="footer96.xml"/><Relationship Id="rId201" Type="http://schemas.openxmlformats.org/officeDocument/2006/relationships/footer" Target="footer98.xml"/><Relationship Id="rId222" Type="http://schemas.openxmlformats.org/officeDocument/2006/relationships/header" Target="header109.xml"/><Relationship Id="rId243" Type="http://schemas.openxmlformats.org/officeDocument/2006/relationships/footer" Target="footer118.xml"/><Relationship Id="rId264" Type="http://schemas.openxmlformats.org/officeDocument/2006/relationships/footer" Target="footer129.xml"/><Relationship Id="rId285" Type="http://schemas.openxmlformats.org/officeDocument/2006/relationships/footer" Target="footer139.xml"/><Relationship Id="rId17" Type="http://schemas.openxmlformats.org/officeDocument/2006/relationships/footer" Target="footer6.xml"/><Relationship Id="rId38" Type="http://schemas.openxmlformats.org/officeDocument/2006/relationships/footer" Target="footer16.xml"/><Relationship Id="rId59" Type="http://schemas.openxmlformats.org/officeDocument/2006/relationships/footer" Target="footer27.xml"/><Relationship Id="rId103" Type="http://schemas.openxmlformats.org/officeDocument/2006/relationships/header" Target="header50.xml"/><Relationship Id="rId124" Type="http://schemas.openxmlformats.org/officeDocument/2006/relationships/header" Target="header60.xml"/><Relationship Id="rId70" Type="http://schemas.openxmlformats.org/officeDocument/2006/relationships/header" Target="header33.xml"/><Relationship Id="rId91" Type="http://schemas.openxmlformats.org/officeDocument/2006/relationships/header" Target="header44.xml"/><Relationship Id="rId145" Type="http://schemas.openxmlformats.org/officeDocument/2006/relationships/header" Target="header71.xml"/><Relationship Id="rId166" Type="http://schemas.openxmlformats.org/officeDocument/2006/relationships/header" Target="header81.xml"/><Relationship Id="rId187" Type="http://schemas.openxmlformats.org/officeDocument/2006/relationships/header" Target="header92.xml"/><Relationship Id="rId1" Type="http://schemas.openxmlformats.org/officeDocument/2006/relationships/styles" Target="styles.xml"/><Relationship Id="rId212" Type="http://schemas.openxmlformats.org/officeDocument/2006/relationships/footer" Target="footer103.xml"/><Relationship Id="rId233" Type="http://schemas.openxmlformats.org/officeDocument/2006/relationships/footer" Target="footer114.xml"/><Relationship Id="rId254" Type="http://schemas.openxmlformats.org/officeDocument/2006/relationships/header" Target="header125.xml"/><Relationship Id="rId28" Type="http://schemas.openxmlformats.org/officeDocument/2006/relationships/header" Target="header12.xml"/><Relationship Id="rId49" Type="http://schemas.openxmlformats.org/officeDocument/2006/relationships/header" Target="header23.xml"/><Relationship Id="rId114" Type="http://schemas.openxmlformats.org/officeDocument/2006/relationships/header" Target="header55.xml"/><Relationship Id="rId275" Type="http://schemas.openxmlformats.org/officeDocument/2006/relationships/header" Target="header135.xml"/><Relationship Id="rId296" Type="http://schemas.openxmlformats.org/officeDocument/2006/relationships/header" Target="header146.xml"/><Relationship Id="rId300" Type="http://schemas.openxmlformats.org/officeDocument/2006/relationships/footer" Target="footer147.xml"/><Relationship Id="rId60" Type="http://schemas.openxmlformats.org/officeDocument/2006/relationships/header" Target="header28.xml"/><Relationship Id="rId81" Type="http://schemas.openxmlformats.org/officeDocument/2006/relationships/footer" Target="footer38.xml"/><Relationship Id="rId135" Type="http://schemas.openxmlformats.org/officeDocument/2006/relationships/footer" Target="footer65.xml"/><Relationship Id="rId156" Type="http://schemas.openxmlformats.org/officeDocument/2006/relationships/header" Target="header76.xml"/><Relationship Id="rId177" Type="http://schemas.openxmlformats.org/officeDocument/2006/relationships/footer" Target="footer86.xml"/><Relationship Id="rId198" Type="http://schemas.openxmlformats.org/officeDocument/2006/relationships/header" Target="header97.xml"/><Relationship Id="rId202" Type="http://schemas.openxmlformats.org/officeDocument/2006/relationships/header" Target="header99.xml"/><Relationship Id="rId223" Type="http://schemas.openxmlformats.org/officeDocument/2006/relationships/header" Target="header110.xml"/><Relationship Id="rId244" Type="http://schemas.openxmlformats.org/officeDocument/2006/relationships/footer" Target="footer119.xml"/><Relationship Id="rId18" Type="http://schemas.openxmlformats.org/officeDocument/2006/relationships/header" Target="header7.xml"/><Relationship Id="rId39" Type="http://schemas.openxmlformats.org/officeDocument/2006/relationships/footer" Target="footer17.xml"/><Relationship Id="rId265" Type="http://schemas.openxmlformats.org/officeDocument/2006/relationships/header" Target="header130.xml"/><Relationship Id="rId286" Type="http://schemas.openxmlformats.org/officeDocument/2006/relationships/footer" Target="footer140.xml"/><Relationship Id="rId50" Type="http://schemas.openxmlformats.org/officeDocument/2006/relationships/footer" Target="footer22.xml"/><Relationship Id="rId104" Type="http://schemas.openxmlformats.org/officeDocument/2006/relationships/footer" Target="footer49.xml"/><Relationship Id="rId125" Type="http://schemas.openxmlformats.org/officeDocument/2006/relationships/footer" Target="footer60.xml"/><Relationship Id="rId146" Type="http://schemas.openxmlformats.org/officeDocument/2006/relationships/footer" Target="footer70.xml"/><Relationship Id="rId167" Type="http://schemas.openxmlformats.org/officeDocument/2006/relationships/footer" Target="footer81.xml"/><Relationship Id="rId188" Type="http://schemas.openxmlformats.org/officeDocument/2006/relationships/footer" Target="footer91.xml"/><Relationship Id="rId71" Type="http://schemas.openxmlformats.org/officeDocument/2006/relationships/footer" Target="footer33.xml"/><Relationship Id="rId92" Type="http://schemas.openxmlformats.org/officeDocument/2006/relationships/footer" Target="footer43.xml"/><Relationship Id="rId213" Type="http://schemas.openxmlformats.org/officeDocument/2006/relationships/footer" Target="footer104.xml"/><Relationship Id="rId234" Type="http://schemas.openxmlformats.org/officeDocument/2006/relationships/image" Target="media/image1.png"/><Relationship Id="rId2" Type="http://schemas.openxmlformats.org/officeDocument/2006/relationships/settings" Target="settings.xml"/><Relationship Id="rId29" Type="http://schemas.openxmlformats.org/officeDocument/2006/relationships/footer" Target="footer12.xml"/><Relationship Id="rId255" Type="http://schemas.openxmlformats.org/officeDocument/2006/relationships/footer" Target="footer124.xml"/><Relationship Id="rId276" Type="http://schemas.openxmlformats.org/officeDocument/2006/relationships/footer" Target="footer135.xml"/><Relationship Id="rId297" Type="http://schemas.openxmlformats.org/officeDocument/2006/relationships/footer" Target="footer145.xml"/><Relationship Id="rId40" Type="http://schemas.openxmlformats.org/officeDocument/2006/relationships/header" Target="header18.xml"/><Relationship Id="rId115" Type="http://schemas.openxmlformats.org/officeDocument/2006/relationships/header" Target="header56.xml"/><Relationship Id="rId136" Type="http://schemas.openxmlformats.org/officeDocument/2006/relationships/header" Target="header66.xml"/><Relationship Id="rId157" Type="http://schemas.openxmlformats.org/officeDocument/2006/relationships/header" Target="header77.xml"/><Relationship Id="rId178" Type="http://schemas.openxmlformats.org/officeDocument/2006/relationships/header" Target="header87.xml"/><Relationship Id="rId301" Type="http://schemas.openxmlformats.org/officeDocument/2006/relationships/header" Target="header148.xml"/><Relationship Id="rId61" Type="http://schemas.openxmlformats.org/officeDocument/2006/relationships/header" Target="header29.xml"/><Relationship Id="rId82" Type="http://schemas.openxmlformats.org/officeDocument/2006/relationships/header" Target="header39.xml"/><Relationship Id="rId199" Type="http://schemas.openxmlformats.org/officeDocument/2006/relationships/header" Target="header98.xml"/><Relationship Id="rId203" Type="http://schemas.openxmlformats.org/officeDocument/2006/relationships/footer" Target="footer99.xml"/><Relationship Id="rId19" Type="http://schemas.openxmlformats.org/officeDocument/2006/relationships/header" Target="header8.xml"/><Relationship Id="rId224" Type="http://schemas.openxmlformats.org/officeDocument/2006/relationships/footer" Target="footer109.xml"/><Relationship Id="rId245" Type="http://schemas.openxmlformats.org/officeDocument/2006/relationships/header" Target="header120.xml"/><Relationship Id="rId266" Type="http://schemas.openxmlformats.org/officeDocument/2006/relationships/header" Target="header131.xml"/><Relationship Id="rId287" Type="http://schemas.openxmlformats.org/officeDocument/2006/relationships/header" Target="header141.xml"/><Relationship Id="rId30" Type="http://schemas.openxmlformats.org/officeDocument/2006/relationships/header" Target="header13.xml"/><Relationship Id="rId105" Type="http://schemas.openxmlformats.org/officeDocument/2006/relationships/footer" Target="footer50.xml"/><Relationship Id="rId126" Type="http://schemas.openxmlformats.org/officeDocument/2006/relationships/header" Target="header61.xml"/><Relationship Id="rId147" Type="http://schemas.openxmlformats.org/officeDocument/2006/relationships/footer" Target="footer71.xml"/><Relationship Id="rId168" Type="http://schemas.openxmlformats.org/officeDocument/2006/relationships/header" Target="header82.xml"/><Relationship Id="rId51" Type="http://schemas.openxmlformats.org/officeDocument/2006/relationships/footer" Target="footer23.xml"/><Relationship Id="rId72" Type="http://schemas.openxmlformats.org/officeDocument/2006/relationships/header" Target="header34.xml"/><Relationship Id="rId93" Type="http://schemas.openxmlformats.org/officeDocument/2006/relationships/footer" Target="footer44.xml"/><Relationship Id="rId189" Type="http://schemas.openxmlformats.org/officeDocument/2006/relationships/footer" Target="footer92.xml"/><Relationship Id="rId3" Type="http://schemas.openxmlformats.org/officeDocument/2006/relationships/webSettings" Target="webSettings.xml"/><Relationship Id="rId214" Type="http://schemas.openxmlformats.org/officeDocument/2006/relationships/header" Target="header105.xml"/><Relationship Id="rId235" Type="http://schemas.openxmlformats.org/officeDocument/2006/relationships/header" Target="header115.xml"/><Relationship Id="rId256" Type="http://schemas.openxmlformats.org/officeDocument/2006/relationships/footer" Target="footer125.xml"/><Relationship Id="rId277" Type="http://schemas.openxmlformats.org/officeDocument/2006/relationships/header" Target="header136.xml"/><Relationship Id="rId298" Type="http://schemas.openxmlformats.org/officeDocument/2006/relationships/footer" Target="footer146.xml"/><Relationship Id="rId116" Type="http://schemas.openxmlformats.org/officeDocument/2006/relationships/footer" Target="footer55.xml"/><Relationship Id="rId137" Type="http://schemas.openxmlformats.org/officeDocument/2006/relationships/footer" Target="footer66.xml"/><Relationship Id="rId158" Type="http://schemas.openxmlformats.org/officeDocument/2006/relationships/footer" Target="footer76.xml"/><Relationship Id="rId302" Type="http://schemas.openxmlformats.org/officeDocument/2006/relationships/header" Target="header149.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footer" Target="footer28.xml"/><Relationship Id="rId83" Type="http://schemas.openxmlformats.org/officeDocument/2006/relationships/footer" Target="footer39.xml"/><Relationship Id="rId179" Type="http://schemas.openxmlformats.org/officeDocument/2006/relationships/footer" Target="footer87.xml"/><Relationship Id="rId190" Type="http://schemas.openxmlformats.org/officeDocument/2006/relationships/header" Target="header93.xml"/><Relationship Id="rId204" Type="http://schemas.openxmlformats.org/officeDocument/2006/relationships/header" Target="header100.xml"/><Relationship Id="rId225" Type="http://schemas.openxmlformats.org/officeDocument/2006/relationships/footer" Target="footer110.xml"/><Relationship Id="rId246" Type="http://schemas.openxmlformats.org/officeDocument/2006/relationships/footer" Target="footer120.xml"/><Relationship Id="rId267" Type="http://schemas.openxmlformats.org/officeDocument/2006/relationships/footer" Target="footer130.xml"/><Relationship Id="rId288" Type="http://schemas.openxmlformats.org/officeDocument/2006/relationships/footer" Target="footer141.xml"/><Relationship Id="rId106" Type="http://schemas.openxmlformats.org/officeDocument/2006/relationships/header" Target="header51.xml"/><Relationship Id="rId127" Type="http://schemas.openxmlformats.org/officeDocument/2006/relationships/header" Target="header62.xml"/><Relationship Id="rId10" Type="http://schemas.openxmlformats.org/officeDocument/2006/relationships/header" Target="header3.xml"/><Relationship Id="rId31" Type="http://schemas.openxmlformats.org/officeDocument/2006/relationships/header" Target="header14.xml"/><Relationship Id="rId52" Type="http://schemas.openxmlformats.org/officeDocument/2006/relationships/header" Target="header24.xml"/><Relationship Id="rId73" Type="http://schemas.openxmlformats.org/officeDocument/2006/relationships/header" Target="header35.xml"/><Relationship Id="rId94" Type="http://schemas.openxmlformats.org/officeDocument/2006/relationships/header" Target="header45.xml"/><Relationship Id="rId148" Type="http://schemas.openxmlformats.org/officeDocument/2006/relationships/header" Target="header72.xml"/><Relationship Id="rId169" Type="http://schemas.openxmlformats.org/officeDocument/2006/relationships/header" Target="header83.xml"/><Relationship Id="rId4" Type="http://schemas.openxmlformats.org/officeDocument/2006/relationships/footnotes" Target="footnotes.xml"/><Relationship Id="rId180" Type="http://schemas.openxmlformats.org/officeDocument/2006/relationships/header" Target="header88.xml"/><Relationship Id="rId215" Type="http://schemas.openxmlformats.org/officeDocument/2006/relationships/footer" Target="footer105.xml"/><Relationship Id="rId236" Type="http://schemas.openxmlformats.org/officeDocument/2006/relationships/header" Target="header116.xml"/><Relationship Id="rId257" Type="http://schemas.openxmlformats.org/officeDocument/2006/relationships/header" Target="header126.xml"/><Relationship Id="rId278" Type="http://schemas.openxmlformats.org/officeDocument/2006/relationships/header" Target="header137.xml"/><Relationship Id="rId303" Type="http://schemas.openxmlformats.org/officeDocument/2006/relationships/footer" Target="footer148.xml"/><Relationship Id="rId42" Type="http://schemas.openxmlformats.org/officeDocument/2006/relationships/header" Target="header19.xml"/><Relationship Id="rId84" Type="http://schemas.openxmlformats.org/officeDocument/2006/relationships/header" Target="header40.xml"/><Relationship Id="rId138" Type="http://schemas.openxmlformats.org/officeDocument/2006/relationships/header" Target="header67.xml"/><Relationship Id="rId191" Type="http://schemas.openxmlformats.org/officeDocument/2006/relationships/footer" Target="footer93.xml"/><Relationship Id="rId205" Type="http://schemas.openxmlformats.org/officeDocument/2006/relationships/header" Target="header101.xml"/><Relationship Id="rId247" Type="http://schemas.openxmlformats.org/officeDocument/2006/relationships/header" Target="header121.xml"/><Relationship Id="rId107" Type="http://schemas.openxmlformats.org/officeDocument/2006/relationships/footer" Target="footer51.xml"/><Relationship Id="rId289" Type="http://schemas.openxmlformats.org/officeDocument/2006/relationships/header" Target="header142.xml"/><Relationship Id="rId11" Type="http://schemas.openxmlformats.org/officeDocument/2006/relationships/footer" Target="footer3.xml"/><Relationship Id="rId53" Type="http://schemas.openxmlformats.org/officeDocument/2006/relationships/footer" Target="footer24.xml"/><Relationship Id="rId149" Type="http://schemas.openxmlformats.org/officeDocument/2006/relationships/footer" Target="footer72.xml"/><Relationship Id="rId95" Type="http://schemas.openxmlformats.org/officeDocument/2006/relationships/footer" Target="footer45.xml"/><Relationship Id="rId160" Type="http://schemas.openxmlformats.org/officeDocument/2006/relationships/header" Target="header78.xml"/><Relationship Id="rId216" Type="http://schemas.openxmlformats.org/officeDocument/2006/relationships/header" Target="header106.xml"/><Relationship Id="rId258" Type="http://schemas.openxmlformats.org/officeDocument/2006/relationships/footer" Target="footer126.xml"/><Relationship Id="rId22" Type="http://schemas.openxmlformats.org/officeDocument/2006/relationships/header" Target="header9.xml"/><Relationship Id="rId64" Type="http://schemas.openxmlformats.org/officeDocument/2006/relationships/header" Target="header30.xml"/><Relationship Id="rId118" Type="http://schemas.openxmlformats.org/officeDocument/2006/relationships/header" Target="header57.xml"/><Relationship Id="rId171" Type="http://schemas.openxmlformats.org/officeDocument/2006/relationships/footer" Target="footer83.xml"/><Relationship Id="rId227" Type="http://schemas.openxmlformats.org/officeDocument/2006/relationships/footer" Target="footer111.xml"/><Relationship Id="rId269" Type="http://schemas.openxmlformats.org/officeDocument/2006/relationships/header" Target="header132.xml"/><Relationship Id="rId33" Type="http://schemas.openxmlformats.org/officeDocument/2006/relationships/footer" Target="footer14.xml"/><Relationship Id="rId129" Type="http://schemas.openxmlformats.org/officeDocument/2006/relationships/footer" Target="footer62.xml"/><Relationship Id="rId280" Type="http://schemas.openxmlformats.org/officeDocument/2006/relationships/footer" Target="footer137.xml"/><Relationship Id="rId75" Type="http://schemas.openxmlformats.org/officeDocument/2006/relationships/footer" Target="footer35.xml"/><Relationship Id="rId140" Type="http://schemas.openxmlformats.org/officeDocument/2006/relationships/footer" Target="footer67.xml"/><Relationship Id="rId182" Type="http://schemas.openxmlformats.org/officeDocument/2006/relationships/footer" Target="footer88.xml"/><Relationship Id="rId6" Type="http://schemas.openxmlformats.org/officeDocument/2006/relationships/header" Target="header1.xml"/><Relationship Id="rId238" Type="http://schemas.openxmlformats.org/officeDocument/2006/relationships/footer" Target="footer1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175612</Words>
  <Characters>1000994</Characters>
  <Application>Microsoft Office Word</Application>
  <DocSecurity>0</DocSecurity>
  <Lines>8341</Lines>
  <Paragraphs>2348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 Enters. Co., LLC v. Town of Southold, 369 Fed. Appx. 202</dc:title>
  <dc:creator>Connor Mitchell</dc:creator>
  <cp:lastModifiedBy>Connor Mitchell</cp:lastModifiedBy>
  <cp:revision>2</cp:revision>
  <dcterms:created xsi:type="dcterms:W3CDTF">2023-08-29T16:23:00Z</dcterms:created>
  <dcterms:modified xsi:type="dcterms:W3CDTF">2023-08-29T16:23:00Z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204603139</vt:lpwstr>
  </property>
  <property fmtid="{D5CDD505-2E9C-101B-9397-08002B2CF9AE}" pid="3" name="LADocCount">
    <vt:i4>50</vt:i4>
  </property>
  <property fmtid="{D5CDD505-2E9C-101B-9397-08002B2CF9AE}" pid="4" name="LADocumentID:urn:contentItem:50YN-N201-652R-800S-00000-00">
    <vt:lpwstr>Doc::/shared/document|contextualFeaturePermID::1521360</vt:lpwstr>
  </property>
  <property fmtid="{D5CDD505-2E9C-101B-9397-08002B2CF9AE}" pid="5" name="LADocumentID:urn:contentItem:51NP-KGX1-652P-Y000-00000-00">
    <vt:lpwstr>Doc::/shared/document|contextualFeaturePermID::1521360</vt:lpwstr>
  </property>
  <property fmtid="{D5CDD505-2E9C-101B-9397-08002B2CF9AE}" pid="6" name="LADocumentID:urn:contentItem:51WN-PBT1-652R-8000-00000-00">
    <vt:lpwstr>Doc::/shared/document|contextualFeaturePermID::1521360</vt:lpwstr>
  </property>
  <property fmtid="{D5CDD505-2E9C-101B-9397-08002B2CF9AE}" pid="7" name="LADocumentID:urn:contentItem:523M-B631-652R-404Y-00000-00">
    <vt:lpwstr>Doc::/shared/document|contextualFeaturePermID::1521360</vt:lpwstr>
  </property>
  <property fmtid="{D5CDD505-2E9C-101B-9397-08002B2CF9AE}" pid="8" name="LADocumentID:urn:contentItem:524X-7K81-652R-406P-00000-00">
    <vt:lpwstr>Doc::/shared/document|contextualFeaturePermID::1521360</vt:lpwstr>
  </property>
  <property fmtid="{D5CDD505-2E9C-101B-9397-08002B2CF9AE}" pid="9" name="LADocumentID:urn:contentItem:5266-DMT1-652R-10FJ-00000-00">
    <vt:lpwstr>Doc::/shared/document|contextualFeaturePermID::1521360</vt:lpwstr>
  </property>
  <property fmtid="{D5CDD505-2E9C-101B-9397-08002B2CF9AE}" pid="10" name="LADocumentID:urn:contentItem:52FV-T5V1-652R-017J-00000-00">
    <vt:lpwstr>Doc::/shared/document|contextualFeaturePermID::1521360</vt:lpwstr>
  </property>
  <property fmtid="{D5CDD505-2E9C-101B-9397-08002B2CF9AE}" pid="11" name="LADocumentID:urn:contentItem:52G3-NM61-652R-2128-00000-00">
    <vt:lpwstr>Doc::/shared/document|contextualFeaturePermID::1521360</vt:lpwstr>
  </property>
  <property fmtid="{D5CDD505-2E9C-101B-9397-08002B2CF9AE}" pid="12" name="LADocumentID:urn:contentItem:52SD-55M1-F04K-W08W-00000-00">
    <vt:lpwstr>Doc::/shared/document|contextualFeaturePermID::1521360</vt:lpwstr>
  </property>
  <property fmtid="{D5CDD505-2E9C-101B-9397-08002B2CF9AE}" pid="13" name="LADocumentID:urn:contentItem:5340-K2N1-652R-B209-00000-00">
    <vt:lpwstr>Doc::/shared/document|contextualFeaturePermID::1521360</vt:lpwstr>
  </property>
  <property fmtid="{D5CDD505-2E9C-101B-9397-08002B2CF9AE}" pid="14" name="LADocumentID:urn:contentItem:54GK-7TV1-F04K-J06V-00000-00">
    <vt:lpwstr>Doc::/shared/document|contextualFeaturePermID::1521360</vt:lpwstr>
  </property>
  <property fmtid="{D5CDD505-2E9C-101B-9397-08002B2CF9AE}" pid="15" name="LADocumentID:urn:contentItem:54SX-GCH1-F04K-K046-00000-00">
    <vt:lpwstr>Doc::/shared/document|contextualFeaturePermID::1521360</vt:lpwstr>
  </property>
  <property fmtid="{D5CDD505-2E9C-101B-9397-08002B2CF9AE}" pid="16" name="LADocumentID:urn:contentItem:54VD-M7K1-F04K-X0D9-00000-00">
    <vt:lpwstr>Doc::/shared/document|contextualFeaturePermID::1521360</vt:lpwstr>
  </property>
  <property fmtid="{D5CDD505-2E9C-101B-9397-08002B2CF9AE}" pid="17" name="LADocumentID:urn:contentItem:54X7-8RJ1-F04K-N0KM-00000-00">
    <vt:lpwstr>Doc::/shared/document|contextualFeaturePermID::1521360</vt:lpwstr>
  </property>
  <property fmtid="{D5CDD505-2E9C-101B-9397-08002B2CF9AE}" pid="18" name="LADocumentID:urn:contentItem:5543-7CT1-F04K-K0M5-00000-00">
    <vt:lpwstr>Doc::/shared/document|contextualFeaturePermID::1521360</vt:lpwstr>
  </property>
  <property fmtid="{D5CDD505-2E9C-101B-9397-08002B2CF9AE}" pid="19" name="LADocumentID:urn:contentItem:5548-YXW1-F04K-R0JM-00000-00">
    <vt:lpwstr>Doc::/shared/document|contextualFeaturePermID::1521360</vt:lpwstr>
  </property>
  <property fmtid="{D5CDD505-2E9C-101B-9397-08002B2CF9AE}" pid="20" name="LADocumentID:urn:contentItem:555C-96W1-F04K-M0YC-00000-00">
    <vt:lpwstr>Doc::/shared/document|contextualFeaturePermID::1521360</vt:lpwstr>
  </property>
  <property fmtid="{D5CDD505-2E9C-101B-9397-08002B2CF9AE}" pid="21" name="LADocumentID:urn:contentItem:555S-XWN1-F04K-N1VC-00000-00">
    <vt:lpwstr>Doc::/shared/document|contextualFeaturePermID::1521360</vt:lpwstr>
  </property>
  <property fmtid="{D5CDD505-2E9C-101B-9397-08002B2CF9AE}" pid="22" name="LADocumentID:urn:contentItem:560M-D8D1-F04K-R0KX-00000-00">
    <vt:lpwstr>Doc::/shared/document|contextualFeaturePermID::1521360</vt:lpwstr>
  </property>
  <property fmtid="{D5CDD505-2E9C-101B-9397-08002B2CF9AE}" pid="23" name="LADocumentID:urn:contentItem:562Y-SP31-F04K-W0TK-00000-00">
    <vt:lpwstr>Doc::/shared/document|contextualFeaturePermID::1521360</vt:lpwstr>
  </property>
  <property fmtid="{D5CDD505-2E9C-101B-9397-08002B2CF9AE}" pid="24" name="LADocumentID:urn:contentItem:567W-7V31-F04K-J162-00000-00">
    <vt:lpwstr>Doc::/shared/document|contextualFeaturePermID::1521360</vt:lpwstr>
  </property>
  <property fmtid="{D5CDD505-2E9C-101B-9397-08002B2CF9AE}" pid="25" name="LADocumentID:urn:contentItem:569B-47W1-F04K-P1PW-00000-00">
    <vt:lpwstr>Doc::/shared/document|contextualFeaturePermID::1521360</vt:lpwstr>
  </property>
  <property fmtid="{D5CDD505-2E9C-101B-9397-08002B2CF9AE}" pid="26" name="LADocumentID:urn:contentItem:56JC-JHK1-F04K-K1PY-00000-00">
    <vt:lpwstr>Doc::/shared/document|contextualFeaturePermID::1521360</vt:lpwstr>
  </property>
  <property fmtid="{D5CDD505-2E9C-101B-9397-08002B2CF9AE}" pid="27" name="LADocumentID:urn:contentItem:56KV-YHT1-F04K-X3TF-00000-00">
    <vt:lpwstr>Doc::/shared/document|contextualFeaturePermID::1521360</vt:lpwstr>
  </property>
  <property fmtid="{D5CDD505-2E9C-101B-9397-08002B2CF9AE}" pid="28" name="LADocumentID:urn:contentItem:56SB-HC81-F04K-S3B3-00000-00">
    <vt:lpwstr>Doc::/shared/document|contextualFeaturePermID::1521360</vt:lpwstr>
  </property>
  <property fmtid="{D5CDD505-2E9C-101B-9397-08002B2CF9AE}" pid="29" name="LADocumentID:urn:contentItem:56TW-C4V1-F04K-V0CD-00000-00">
    <vt:lpwstr>Doc::/shared/document|contextualFeaturePermID::1521360</vt:lpwstr>
  </property>
  <property fmtid="{D5CDD505-2E9C-101B-9397-08002B2CF9AE}" pid="30" name="LADocumentID:urn:contentItem:5727-P351-F04K-J29H-00000-00">
    <vt:lpwstr>Doc::/shared/document|contextualFeaturePermID::1521360</vt:lpwstr>
  </property>
  <property fmtid="{D5CDD505-2E9C-101B-9397-08002B2CF9AE}" pid="31" name="LADocumentID:urn:contentItem:5854-W6V1-F04K-X19D-00000-00">
    <vt:lpwstr>Doc::/shared/document|contextualFeaturePermID::1521360</vt:lpwstr>
  </property>
  <property fmtid="{D5CDD505-2E9C-101B-9397-08002B2CF9AE}" pid="32" name="LADocumentID:urn:contentItem:5855-4FY1-F04K-R0XS-00000-00">
    <vt:lpwstr>Doc::/shared/document|contextualFeaturePermID::1521360</vt:lpwstr>
  </property>
  <property fmtid="{D5CDD505-2E9C-101B-9397-08002B2CF9AE}" pid="33" name="LADocumentID:urn:contentItem:58C4-M1J1-F04K-K07P-00000-00">
    <vt:lpwstr>Doc::/shared/document|contextualFeaturePermID::1521360</vt:lpwstr>
  </property>
  <property fmtid="{D5CDD505-2E9C-101B-9397-08002B2CF9AE}" pid="34" name="LADocumentID:urn:contentItem:58DM-B381-F04K-W05J-00000-00">
    <vt:lpwstr>Doc::/shared/document|contextualFeaturePermID::1521360</vt:lpwstr>
  </property>
  <property fmtid="{D5CDD505-2E9C-101B-9397-08002B2CF9AE}" pid="35" name="LADocumentID:urn:contentItem:58G4-0GH1-F04K-S00Y-00000-00">
    <vt:lpwstr>Doc::/shared/document|contextualFeaturePermID::1521360</vt:lpwstr>
  </property>
  <property fmtid="{D5CDD505-2E9C-101B-9397-08002B2CF9AE}" pid="36" name="LADocumentID:urn:contentItem:58W0-HNK1-F04K-K05N-00000-00">
    <vt:lpwstr>Doc::/shared/document|contextualFeaturePermID::1521360</vt:lpwstr>
  </property>
  <property fmtid="{D5CDD505-2E9C-101B-9397-08002B2CF9AE}" pid="37" name="LADocumentID:urn:contentItem:593V-9TD1-F04K-K034-00000-00">
    <vt:lpwstr>Doc::/shared/document|contextualFeaturePermID::1521360</vt:lpwstr>
  </property>
  <property fmtid="{D5CDD505-2E9C-101B-9397-08002B2CF9AE}" pid="38" name="LADocumentID:urn:contentItem:5965-G221-F04K-W00R-00000-00">
    <vt:lpwstr>Doc::/shared/document|contextualFeaturePermID::1521360</vt:lpwstr>
  </property>
  <property fmtid="{D5CDD505-2E9C-101B-9397-08002B2CF9AE}" pid="39" name="LADocumentID:urn:contentItem:596T-YGK1-F04K-V033-00000-00">
    <vt:lpwstr>Doc::/shared/document|contextualFeaturePermID::1521360</vt:lpwstr>
  </property>
  <property fmtid="{D5CDD505-2E9C-101B-9397-08002B2CF9AE}" pid="40" name="LADocumentID:urn:contentItem:5977-DW01-F04K-V04C-00000-00">
    <vt:lpwstr>Doc::/shared/document|contextualFeaturePermID::1521360</vt:lpwstr>
  </property>
  <property fmtid="{D5CDD505-2E9C-101B-9397-08002B2CF9AE}" pid="41" name="LADocumentID:urn:contentItem:7Y03-JGR0-YB0V-D00Y-00000-00">
    <vt:lpwstr>Doc::/shared/document|contextualFeaturePermID::1521360</vt:lpwstr>
  </property>
  <property fmtid="{D5CDD505-2E9C-101B-9397-08002B2CF9AE}" pid="42" name="LADocumentID:urn:contentItem:7Y19-2M70-YB0V-P05X-00000-00">
    <vt:lpwstr>Doc::/shared/document|contextualFeaturePermID::1521360</vt:lpwstr>
  </property>
  <property fmtid="{D5CDD505-2E9C-101B-9397-08002B2CF9AE}" pid="43" name="LADocumentID:urn:contentItem:7Y4B-BX40-YB0V-D07D-00000-00">
    <vt:lpwstr>Doc::/shared/document|contextualFeaturePermID::1521360</vt:lpwstr>
  </property>
  <property fmtid="{D5CDD505-2E9C-101B-9397-08002B2CF9AE}" pid="44" name="LADocumentID:urn:contentItem:7Y91-RHS0-YB0V-D00V-00000-00">
    <vt:lpwstr>Doc::/shared/document|contextualFeaturePermID::1521360</vt:lpwstr>
  </property>
  <property fmtid="{D5CDD505-2E9C-101B-9397-08002B2CF9AE}" pid="45" name="LADocumentID:urn:contentItem:7Y9G-F991-2R6J-232V-00000-00">
    <vt:lpwstr>Doc::/shared/document|contextualFeaturePermID::1521360</vt:lpwstr>
  </property>
  <property fmtid="{D5CDD505-2E9C-101B-9397-08002B2CF9AE}" pid="46" name="LADocumentID:urn:contentItem:7YBY-TSR0-YB0V-P03M-00000-00">
    <vt:lpwstr>Doc::/shared/document|contextualFeaturePermID::1521360</vt:lpwstr>
  </property>
  <property fmtid="{D5CDD505-2E9C-101B-9397-08002B2CF9AE}" pid="47" name="LADocumentID:urn:contentItem:7YM1-5DN1-2RHT-103G-00000-00">
    <vt:lpwstr>Doc::/shared/document|contextualFeaturePermID::1521360</vt:lpwstr>
  </property>
  <property fmtid="{D5CDD505-2E9C-101B-9397-08002B2CF9AE}" pid="48" name="LADocumentID:urn:contentItem:8001-9SH1-652R-1005-00000-00">
    <vt:lpwstr>Doc::/shared/document|contextualFeaturePermID::1521360</vt:lpwstr>
  </property>
  <property fmtid="{D5CDD505-2E9C-101B-9397-08002B2CF9AE}" pid="49" name="LADocumentID:urn:contentItem:801H-R9P0-YB0V-G003-00000-00">
    <vt:lpwstr>Doc::/shared/document|contextualFeaturePermID::1521360</vt:lpwstr>
  </property>
  <property fmtid="{D5CDD505-2E9C-101B-9397-08002B2CF9AE}" pid="50" name="LADocumentID:urn:contentItem:801Y-KS80-YB0V-P02F-00000-00">
    <vt:lpwstr>Doc::/shared/document|contextualFeaturePermID::1521360</vt:lpwstr>
  </property>
  <property fmtid="{D5CDD505-2E9C-101B-9397-08002B2CF9AE}" pid="51" name="LADocumentID:urn:contentItem:8301-TSB1-652R-826P-00000-00">
    <vt:lpwstr>Doc::/shared/document|contextualFeaturePermID::1521360</vt:lpwstr>
  </property>
  <property fmtid="{D5CDD505-2E9C-101B-9397-08002B2CF9AE}" pid="52" name="LADocumentID:urn:contentItem:83BH-0771-652R-836K-00000-00">
    <vt:lpwstr>Doc::/shared/document|contextualFeaturePermID::1521360</vt:lpwstr>
  </property>
  <property fmtid="{D5CDD505-2E9C-101B-9397-08002B2CF9AE}" pid="53" name="LADocumentID:urn:contentItem:83GR-98T1-652R-B32K-00000-00">
    <vt:lpwstr>Doc::/shared/document|contextualFeaturePermID::1521360</vt:lpwstr>
  </property>
  <property fmtid="{D5CDD505-2E9C-101B-9397-08002B2CF9AE}" pid="54" name="UserPermID">
    <vt:lpwstr>urn:user:PA191081579</vt:lpwstr>
  </property>
</Properties>
</file>