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24"/>
          <w:szCs w:val="24"/>
        </w:rPr>
        <w:t xml:space="preserve">March 15, 2024</w:t>
      </w:r>
    </w:p>
    <w:p/>
    <w:p>
      <w:r>
        <w:rPr>
          <w:b/>
          <w:bCs/>
          <w:sz w:val="24"/>
          <w:szCs w:val="24"/>
        </w:rPr>
        <w:t xml:space="preserve">Attn: Claims Department</w:t>
      </w:r>
    </w:p>
    <w:p>
      <w:r>
        <w:rPr>
          <w:sz w:val="24"/>
          <w:szCs w:val="24"/>
        </w:rPr>
        <w:t xml:space="preserve">State Farm Insurance Company</w:t>
      </w:r>
    </w:p>
    <w:p>
      <w:r>
        <w:rPr>
          <w:sz w:val="24"/>
          <w:szCs w:val="24"/>
        </w:rPr>
        <w:t xml:space="preserve">P.O. Box 2210</w:t>
      </w:r>
    </w:p>
    <w:p>
      <w:r>
        <w:rPr>
          <w:sz w:val="24"/>
          <w:szCs w:val="24"/>
        </w:rPr>
        <w:t xml:space="preserve">Bloomington, IL 61702</w:t>
      </w:r>
    </w:p>
    <w:p/>
    <w:p>
      <w:r>
        <w:rPr>
          <w:b/>
          <w:bCs/>
          <w:sz w:val="24"/>
          <w:szCs w:val="24"/>
        </w:rPr>
        <w:t xml:space="preserve">Re: Personal Injury Claim — Maria Gonzalez v. Thomas Whitfield</w:t>
      </w:r>
    </w:p>
    <w:p>
      <w:r>
        <w:rPr>
          <w:sz w:val="24"/>
          <w:szCs w:val="24"/>
        </w:rPr>
        <w:t xml:space="preserve">Claim No.: SF-2024-00847</w:t>
      </w:r>
    </w:p>
    <w:p>
      <w:r>
        <w:rPr>
          <w:sz w:val="24"/>
          <w:szCs w:val="24"/>
        </w:rPr>
        <w:t xml:space="preserve">Date of Loss: November 3, 2023</w:t>
      </w:r>
    </w:p>
    <w:p/>
    <w:p>
      <w:r>
        <w:rPr>
          <w:sz w:val="24"/>
          <w:szCs w:val="24"/>
        </w:rPr>
        <w:t xml:space="preserve">Dear Claims Adjuster:</w:t>
      </w:r>
    </w:p>
    <w:p/>
    <w:p>
      <w:r>
        <w:rPr>
          <w:sz w:val="24"/>
          <w:szCs w:val="24"/>
        </w:rPr>
        <w:t xml:space="preserve">This firm represents Maria Gonzalez in connection with the above-referenced matter. Please be advised that all future communications regarding this claim should be directed to this office.</w:t>
      </w:r>
    </w:p>
    <w:p/>
    <w:p>
      <w:pPr>
        <w:pStyle w:val="Heading2"/>
      </w:pPr>
      <w:r>
        <w:rPr>
          <w:b/>
          <w:bCs/>
          <w:sz w:val="26"/>
          <w:szCs w:val="26"/>
        </w:rPr>
        <w:t xml:space="preserve">FACTS OF THE INCIDENT</w:t>
      </w:r>
    </w:p>
    <w:p/>
    <w:p>
      <w:r>
        <w:rPr>
          <w:sz w:val="24"/>
          <w:szCs w:val="24"/>
        </w:rPr>
        <w:t xml:space="preserve">On November 3, 2023, at approximately 2:15 p.m., our client Maria Gonzalez was operating her 2019 Honda Civic and traveling southbound on Brickell Avenue at the intersection of SW 8th Street in Miami, Florida. Your insured, Thomas Whitfield, was operating a 2021 Ford F-150 and failed to yield at a red traffic signal, proceeding through the intersection and striking Ms. Gonzalez's vehicle on the driver's side door with significant force.</w:t>
      </w:r>
    </w:p>
    <w:p/>
    <w:p>
      <w:r>
        <w:rPr>
          <w:sz w:val="24"/>
          <w:szCs w:val="24"/>
        </w:rPr>
        <w:t xml:space="preserve">The Miami-Dade Police Department responded to the scene. Officer R. Martinez (Badge #4471) prepared Crash Report No. 2023-MIA-88234, which cited Mr. Whitfield for failure to obey a traffic control device in violation of Florida Statute §316.074. Two independent witnesses, James Okafor and Sandra Petrov, provided statements confirming that Mr. Whitfield ran the red light.</w:t>
      </w:r>
    </w:p>
    <w:p/>
    <w:p>
      <w:pPr>
        <w:pStyle w:val="Heading2"/>
      </w:pPr>
      <w:r>
        <w:rPr>
          <w:b/>
          <w:bCs/>
          <w:sz w:val="26"/>
          <w:szCs w:val="26"/>
        </w:rPr>
        <w:t xml:space="preserve">INJURIES AND MEDICAL TREATMENT</w:t>
      </w:r>
    </w:p>
    <w:p/>
    <w:p>
      <w:r>
        <w:rPr>
          <w:sz w:val="24"/>
          <w:szCs w:val="24"/>
        </w:rPr>
        <w:t xml:space="preserve">As a direct and proximate result of Mr. Whitfield's negligence, Ms. Gonzalez sustained the following injuries:</w:t>
      </w:r>
    </w:p>
    <w:p/>
    <w:p>
      <w:r>
        <w:rPr>
          <w:sz w:val="24"/>
          <w:szCs w:val="24"/>
        </w:rPr>
        <w:t xml:space="preserve">Ms. Gonzalez was transported by Miami-Dade Fire Rescue to Jackson Memorial Hospital, where she was treated in the emergency department for cervical strain, lumbar herniation at L4-L5, and a left shoulder contusion. She was discharged on November 4, 2023 with prescriptions for Cyclobenzaprine and Naproxen and referrals for orthopedic and physical therapy follow-up.</w:t>
      </w:r>
    </w:p>
    <w:p/>
    <w:p>
      <w:r>
        <w:rPr>
          <w:sz w:val="24"/>
          <w:szCs w:val="24"/>
        </w:rPr>
        <w:t xml:space="preserve">Ms. Gonzalez subsequently treated with Dr. Elena Ramirez, M.D., at South Florida Orthopedic Associates. Dr. Ramirez's MRI findings dated November 18, 2023 confirmed a herniated disc at L4-L5 with moderate nerve root compression. Dr. Ramirez opined that Ms. Gonzalez will require ongoing physical therapy for a minimum of six months and may require surgical intervention if conservative treatment fails.</w:t>
      </w:r>
    </w:p>
    <w:p/>
    <w:p>
      <w:r>
        <w:rPr>
          <w:sz w:val="24"/>
          <w:szCs w:val="24"/>
        </w:rPr>
        <w:t xml:space="preserve">Ms. Gonzalez completed 24 sessions of physical therapy with Advanced Rehab of Miami between November 20, 2023 and February 28, 2024. She continues to report chronic lower back pain rated 6/10, limited range of motion, and difficulty performing her duties as a registered nurse.</w:t>
      </w:r>
    </w:p>
    <w:p/>
    <w:p>
      <w:pPr>
        <w:pStyle w:val="Heading2"/>
      </w:pPr>
      <w:r>
        <w:rPr>
          <w:b/>
          <w:bCs/>
          <w:sz w:val="26"/>
          <w:szCs w:val="26"/>
        </w:rPr>
        <w:t xml:space="preserve">MEDICAL EXPENSES</w:t>
      </w:r>
    </w:p>
    <w:p/>
    <w:p>
      <w:r>
        <w:rPr>
          <w:sz w:val="24"/>
          <w:szCs w:val="24"/>
        </w:rPr>
        <w:t xml:space="preserve">Jackson Memorial Hospital Emergency — November 3-4, 2023:   $12,840.00</w:t>
      </w:r>
    </w:p>
    <w:p>
      <w:r>
        <w:rPr>
          <w:sz w:val="24"/>
          <w:szCs w:val="24"/>
        </w:rPr>
        <w:t xml:space="preserve">MRI — Open MRI of Kendall — November 18, 2023:   $2,200.00</w:t>
      </w:r>
    </w:p>
    <w:p>
      <w:r>
        <w:rPr>
          <w:sz w:val="24"/>
          <w:szCs w:val="24"/>
        </w:rPr>
        <w:t xml:space="preserve">South Florida Orthopedic Associates (4 visits):   $1,600.00</w:t>
      </w:r>
    </w:p>
    <w:p>
      <w:r>
        <w:rPr>
          <w:sz w:val="24"/>
          <w:szCs w:val="24"/>
        </w:rPr>
        <w:t xml:space="preserve">Advanced Rehab of Miami (24 sessions):   $4,800.00</w:t>
      </w:r>
    </w:p>
    <w:p>
      <w:r>
        <w:rPr>
          <w:sz w:val="24"/>
          <w:szCs w:val="24"/>
        </w:rPr>
        <w:t xml:space="preserve">Prescription medications:   $340.00</w:t>
      </w:r>
    </w:p>
    <w:p>
      <w:r>
        <w:rPr>
          <w:sz w:val="24"/>
          <w:szCs w:val="24"/>
        </w:rPr>
        <w:t xml:space="preserve">Future physical therapy (estimated 6 months):   $9,600.00</w:t>
      </w:r>
    </w:p>
    <w:p>
      <w:r>
        <w:rPr>
          <w:sz w:val="24"/>
          <w:szCs w:val="24"/>
        </w:rPr>
        <w:t xml:space="preserve">Estimated surgical intervention (if required):   $45,000.00</w:t>
      </w:r>
    </w:p>
    <w:p/>
    <w:p>
      <w:r>
        <w:rPr>
          <w:b/>
          <w:bCs/>
          <w:sz w:val="24"/>
          <w:szCs w:val="24"/>
        </w:rPr>
        <w:t xml:space="preserve">Total Medical Special Damages:   $76,380.00</w:t>
      </w:r>
    </w:p>
    <w:p/>
    <w:p>
      <w:pPr>
        <w:pStyle w:val="Heading2"/>
      </w:pPr>
      <w:r>
        <w:rPr>
          <w:b/>
          <w:bCs/>
          <w:sz w:val="26"/>
          <w:szCs w:val="26"/>
        </w:rPr>
        <w:t xml:space="preserve">LOST WAGES</w:t>
      </w:r>
    </w:p>
    <w:p/>
    <w:p>
      <w:r>
        <w:rPr>
          <w:sz w:val="24"/>
          <w:szCs w:val="24"/>
        </w:rPr>
        <w:t xml:space="preserve">Ms. Gonzalez is employed as a Registered Nurse at Baptist Health South Florida earning $38.50 per hour. She was unable to work from November 3, 2023 through December 15, 2023 — a total of 42 days — resulting in lost wages of $13,398.00. Documentation from her employer confirming her salary and absence is enclosed.</w:t>
      </w:r>
    </w:p>
    <w:p/>
    <w:p>
      <w:pPr>
        <w:pStyle w:val="Heading2"/>
      </w:pPr>
      <w:r>
        <w:rPr>
          <w:b/>
          <w:bCs/>
          <w:sz w:val="26"/>
          <w:szCs w:val="26"/>
        </w:rPr>
        <w:t xml:space="preserve">PAIN AND SUFFERING</w:t>
      </w:r>
    </w:p>
    <w:p/>
    <w:p>
      <w:r>
        <w:rPr>
          <w:sz w:val="24"/>
          <w:szCs w:val="24"/>
        </w:rPr>
        <w:t xml:space="preserve">Ms. Gonzalez, age 34, has experienced significant and ongoing pain and suffering as a result of this collision. Prior to this accident she was an active individual who regularly exercised and had no prior history of back or shoulder injuries. She is now unable to perform many of the physical demands of her nursing role, has difficulty sleeping, and can no longer engage in recreational activities she previously enjoyed.</w:t>
      </w:r>
    </w:p>
    <w:p/>
    <w:p>
      <w:pPr>
        <w:pStyle w:val="Heading2"/>
      </w:pPr>
      <w:r>
        <w:rPr>
          <w:b/>
          <w:bCs/>
          <w:sz w:val="26"/>
          <w:szCs w:val="26"/>
        </w:rPr>
        <w:t xml:space="preserve">DEMAND</w:t>
      </w:r>
    </w:p>
    <w:p/>
    <w:p>
      <w:r>
        <w:rPr>
          <w:sz w:val="24"/>
          <w:szCs w:val="24"/>
        </w:rPr>
        <w:t xml:space="preserve">Based upon the foregoing, we hereby demand the sum of $250,000.00 (Two Hundred Fifty Thousand Dollars) in full and final settlement of all claims arising out of this incident. This demand will remain open for thirty (30) days from the date of this letter.</w:t>
      </w:r>
    </w:p>
    <w:p/>
    <w:p>
      <w:r>
        <w:rPr>
          <w:sz w:val="24"/>
          <w:szCs w:val="24"/>
        </w:rPr>
        <w:t xml:space="preserve">Please contact this office within the time specified to discuss resolution of this matter. Failure to respond within this period will result in the filing of a civil action without further notice.</w:t>
      </w:r>
    </w:p>
    <w:p/>
    <w:p>
      <w:r>
        <w:rPr>
          <w:sz w:val="24"/>
          <w:szCs w:val="24"/>
        </w:rPr>
        <w:t xml:space="preserve">Sincerely,</w:t>
      </w:r>
    </w:p>
    <w:p/>
    <w:p/>
    <w:p>
      <w:r>
        <w:rPr>
          <w:b/>
          <w:bCs/>
          <w:sz w:val="24"/>
          <w:szCs w:val="24"/>
        </w:rPr>
        <w:t xml:space="preserve">David R. Castillo, Esq.</w:t>
      </w:r>
    </w:p>
    <w:p>
      <w:r>
        <w:rPr>
          <w:sz w:val="24"/>
          <w:szCs w:val="24"/>
        </w:rPr>
        <w:t xml:space="preserve">Castillo &amp; Associates, P.A.</w:t>
      </w:r>
    </w:p>
    <w:p>
      <w:r>
        <w:rPr>
          <w:sz w:val="24"/>
          <w:szCs w:val="24"/>
        </w:rPr>
        <w:t xml:space="preserve">1221 Brickell Avenue, Suite 900</w:t>
      </w:r>
    </w:p>
    <w:p>
      <w:r>
        <w:rPr>
          <w:sz w:val="24"/>
          <w:szCs w:val="24"/>
        </w:rPr>
        <w:t xml:space="preserve">Miami, FL 33131</w:t>
      </w:r>
    </w:p>
    <w:p>
      <w:r>
        <w:rPr>
          <w:sz w:val="24"/>
          <w:szCs w:val="24"/>
        </w:rPr>
        <w:t xml:space="preserve">Tel: (305) 555-0192</w:t>
      </w:r>
    </w:p>
    <w:p>
      <w:r>
        <w:rPr>
          <w:sz w:val="24"/>
          <w:szCs w:val="24"/>
        </w:rPr>
        <w:t xml:space="preserve">dcastillo@castillolegal.com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2026-04-08T17:11:23.466Z</dcterms:created>
  <dcterms:modified xsi:type="dcterms:W3CDTF">2026-04-08T17:11:23.467Z</dcterms:modified>
</cp:coreProperties>
</file>

<file path=docProps/custom.xml><?xml version="1.0" encoding="utf-8"?>
<Properties xmlns="http://schemas.openxmlformats.org/officeDocument/2006/custom-properties" xmlns:vt="http://schemas.openxmlformats.org/officeDocument/2006/docPropsVTypes"/>
</file>