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pPr>
      <w:r>
        <w:rPr>
          <w:rFonts w:ascii="Calibri" w:cs="Calibri" w:eastAsia="Calibri" w:hAnsi="Calibri"/>
          <w:b/>
          <w:bCs/>
          <w:color w:val="1E1B4B"/>
          <w:sz w:val="32"/>
          <w:szCs w:val="32"/>
        </w:rPr>
        <w:t xml:space="preserve">Trust BTP</w:t>
      </w:r>
      <w:r>
        <w:rPr>
          <w:rFonts w:ascii="Calibri" w:cs="Calibri" w:eastAsia="Calibri" w:hAnsi="Calibri"/>
          <w:b/>
          <w:bCs/>
          <w:color w:val="4D43F0"/>
          <w:sz w:val="32"/>
          <w:szCs w:val="32"/>
        </w:rPr>
        <w:t xml:space="preserve"> — Note juridique</w:t>
      </w:r>
    </w:p>
    <w:p>
      <w:pPr>
        <w:pBdr>
          <w:bottom w:val="single" w:color="4D43F0" w:sz="6" w:space="6"/>
        </w:pBdr>
        <w:spacing w:after="160" w:before="0"/>
      </w:pPr>
      <w:r>
        <w:rPr>
          <w:rFonts w:ascii="Calibri" w:cs="Calibri" w:eastAsia="Calibri" w:hAnsi="Calibri"/>
          <w:b w:val="false"/>
          <w:bCs w:val="false"/>
          <w:color w:val="333344"/>
          <w:sz w:val="18"/>
          <w:szCs w:val="18"/>
        </w:rPr>
        <w:t xml:space="preserve">dApp hybride d’escrow BTP · </w:t>
      </w:r>
      <w:r>
        <w:rPr>
          <w:rFonts w:ascii="Calibri" w:cs="Calibri" w:eastAsia="Calibri" w:hAnsi="Calibri"/>
          <w:b w:val="false"/>
          <w:bCs w:val="false"/>
          <w:color w:val="4D43F0"/>
          <w:sz w:val="18"/>
          <w:szCs w:val="18"/>
        </w:rPr>
        <w:t xml:space="preserve">Cas pratique Alyra · Avr. 2026</w:t>
      </w:r>
    </w:p>
    <w:p>
      <w:pPr>
        <w:spacing w:after="100" w:before="40" w:line="220"/>
        <w:jc w:val="left"/>
      </w:pPr>
      <w:r>
        <w:rPr>
          <w:rFonts w:ascii="Calibri" w:cs="Calibri" w:eastAsia="Calibri" w:hAnsi="Calibri"/>
          <w:b/>
          <w:bCs/>
          <w:color w:val="1E1B4B"/>
          <w:sz w:val="20"/>
          <w:szCs w:val="20"/>
        </w:rPr>
        <w:t xml:space="preserve">Contexte. </w:t>
      </w:r>
      <w:r>
        <w:rPr>
          <w:rFonts w:ascii="Calibri" w:cs="Calibri" w:eastAsia="Calibri" w:hAnsi="Calibri"/>
          <w:b w:val="false"/>
          <w:bCs w:val="false"/>
          <w:color w:val="333344"/>
          <w:sz w:val="20"/>
          <w:szCs w:val="20"/>
        </w:rPr>
        <w:t xml:space="preserve">Trust BTP est une dApp hybride qui sécurise les paiements de travaux BTP entre </w:t>
      </w:r>
      <w:r>
        <w:rPr>
          <w:rFonts w:ascii="Calibri" w:cs="Calibri" w:eastAsia="Calibri" w:hAnsi="Calibri"/>
          <w:b/>
          <w:bCs/>
          <w:color w:val="333344"/>
          <w:sz w:val="20"/>
          <w:szCs w:val="20"/>
        </w:rPr>
        <w:t xml:space="preserve">particuliers</w:t>
      </w:r>
      <w:r>
        <w:rPr>
          <w:rFonts w:ascii="Calibri" w:cs="Calibri" w:eastAsia="Calibri" w:hAnsi="Calibri"/>
          <w:b w:val="false"/>
          <w:bCs w:val="false"/>
          <w:color w:val="333344"/>
          <w:sz w:val="20"/>
          <w:szCs w:val="20"/>
        </w:rPr>
        <w:t xml:space="preserve"> et </w:t>
      </w:r>
      <w:r>
        <w:rPr>
          <w:rFonts w:ascii="Calibri" w:cs="Calibri" w:eastAsia="Calibri" w:hAnsi="Calibri"/>
          <w:b/>
          <w:bCs/>
          <w:color w:val="333344"/>
          <w:sz w:val="20"/>
          <w:szCs w:val="20"/>
        </w:rPr>
        <w:t xml:space="preserve">artisans</w:t>
      </w:r>
      <w:r>
        <w:rPr>
          <w:rFonts w:ascii="Calibri" w:cs="Calibri" w:eastAsia="Calibri" w:hAnsi="Calibri"/>
          <w:b w:val="false"/>
          <w:bCs w:val="false"/>
          <w:color w:val="333344"/>
          <w:sz w:val="20"/>
          <w:szCs w:val="20"/>
        </w:rPr>
        <w:t xml:space="preserve">. L’interface est Web2 (le </w:t>
      </w:r>
      <w:r>
        <w:rPr>
          <w:rFonts w:ascii="Calibri" w:cs="Calibri" w:eastAsia="Calibri" w:hAnsi="Calibri"/>
          <w:b/>
          <w:bCs/>
          <w:color w:val="333344"/>
          <w:sz w:val="20"/>
          <w:szCs w:val="20"/>
        </w:rPr>
        <w:t xml:space="preserve">Web3 est invisible</w:t>
      </w:r>
      <w:r>
        <w:rPr>
          <w:rFonts w:ascii="Calibri" w:cs="Calibri" w:eastAsia="Calibri" w:hAnsi="Calibri"/>
          <w:b w:val="false"/>
          <w:bCs w:val="false"/>
          <w:color w:val="333344"/>
          <w:sz w:val="20"/>
          <w:szCs w:val="20"/>
        </w:rPr>
        <w:t xml:space="preserve"> pour l’utilisateur). Le particulier dépose </w:t>
      </w:r>
      <w:r>
        <w:rPr>
          <w:rFonts w:ascii="Calibri" w:cs="Calibri" w:eastAsia="Calibri" w:hAnsi="Calibri"/>
          <w:b/>
          <w:bCs/>
          <w:color w:val="333344"/>
          <w:sz w:val="20"/>
          <w:szCs w:val="20"/>
        </w:rPr>
        <w:t xml:space="preserve">110 %</w:t>
      </w:r>
      <w:r>
        <w:rPr>
          <w:rFonts w:ascii="Calibri" w:cs="Calibri" w:eastAsia="Calibri" w:hAnsi="Calibri"/>
          <w:b w:val="false"/>
          <w:bCs w:val="false"/>
          <w:color w:val="333344"/>
          <w:sz w:val="20"/>
          <w:szCs w:val="20"/>
        </w:rPr>
        <w:t xml:space="preserve"> du montant total via un PSP agréé : 100 % coût chantier + 5 % commission dApp + 5 % provision litige (intégralement remboursée en l’absence de conflit, dont 3 % médiation + 2 % orchestration dApp si litige). Les fonds sont </w:t>
      </w:r>
      <w:r>
        <w:rPr>
          <w:rFonts w:ascii="Calibri" w:cs="Calibri" w:eastAsia="Calibri" w:hAnsi="Calibri"/>
          <w:b/>
          <w:bCs/>
          <w:color w:val="333344"/>
          <w:sz w:val="20"/>
          <w:szCs w:val="20"/>
        </w:rPr>
        <w:t xml:space="preserve">ségrégués on-chain</w:t>
      </w:r>
      <w:r>
        <w:rPr>
          <w:rFonts w:ascii="Calibri" w:cs="Calibri" w:eastAsia="Calibri" w:hAnsi="Calibri"/>
          <w:b w:val="false"/>
          <w:bCs w:val="false"/>
          <w:color w:val="333344"/>
          <w:sz w:val="20"/>
          <w:szCs w:val="20"/>
        </w:rPr>
        <w:t xml:space="preserve"> ; Trust BTP ne détient jamais les fonds. </w:t>
      </w:r>
      <w:r>
        <w:rPr>
          <w:rFonts w:ascii="Calibri" w:cs="Calibri" w:eastAsia="Calibri" w:hAnsi="Calibri"/>
          <w:b/>
          <w:bCs/>
          <w:color w:val="333344"/>
          <w:sz w:val="20"/>
          <w:szCs w:val="20"/>
        </w:rPr>
        <w:t xml:space="preserve">La validation de chaque jalon est strictement P2P</w:t>
      </w:r>
      <w:r>
        <w:rPr>
          <w:rFonts w:ascii="Calibri" w:cs="Calibri" w:eastAsia="Calibri" w:hAnsi="Calibri"/>
          <w:b w:val="false"/>
          <w:bCs w:val="false"/>
          <w:color w:val="333344"/>
          <w:sz w:val="20"/>
          <w:szCs w:val="20"/>
        </w:rPr>
        <w:t xml:space="preserve"> entre le particulier et l’artisan via les preuves horodatées et géolocalisées stockées on-chain — l’admin de la dApp </w:t>
      </w:r>
      <w:r>
        <w:rPr>
          <w:rFonts w:ascii="Calibri" w:cs="Calibri" w:eastAsia="Calibri" w:hAnsi="Calibri"/>
          <w:b/>
          <w:bCs/>
          <w:color w:val="333344"/>
          <w:sz w:val="20"/>
          <w:szCs w:val="20"/>
        </w:rPr>
        <w:t xml:space="preserve">n’intervient jamais</w:t>
      </w:r>
      <w:r>
        <w:rPr>
          <w:rFonts w:ascii="Calibri" w:cs="Calibri" w:eastAsia="Calibri" w:hAnsi="Calibri"/>
          <w:b w:val="false"/>
          <w:bCs w:val="false"/>
          <w:color w:val="333344"/>
          <w:sz w:val="20"/>
          <w:szCs w:val="20"/>
        </w:rPr>
        <w:t xml:space="preserve"> dans la vie normale du chantier.</w:t>
      </w:r>
    </w:p>
    <w:p>
      <w:pPr>
        <w:spacing w:after="100" w:before="40" w:line="220"/>
        <w:jc w:val="left"/>
      </w:pPr>
      <w:r>
        <w:rPr>
          <w:rFonts w:ascii="Calibri" w:cs="Calibri" w:eastAsia="Calibri" w:hAnsi="Calibri"/>
          <w:b/>
          <w:bCs/>
          <w:color w:val="1E1B4B"/>
          <w:sz w:val="20"/>
          <w:szCs w:val="20"/>
        </w:rPr>
        <w:t xml:space="preserve">Mécanique DeFi (opt-in facultatif). </w:t>
      </w:r>
      <w:r>
        <w:rPr>
          <w:rFonts w:ascii="Calibri" w:cs="Calibri" w:eastAsia="Calibri" w:hAnsi="Calibri"/>
          <w:b w:val="false"/>
          <w:bCs w:val="false"/>
          <w:color w:val="333344"/>
          <w:sz w:val="20"/>
          <w:szCs w:val="20"/>
        </w:rPr>
        <w:t xml:space="preserve">Lors de la signature, le particulier peut activer un opt-in : les fonds </w:t>
      </w:r>
      <w:r>
        <w:rPr>
          <w:rFonts w:ascii="Calibri" w:cs="Calibri" w:eastAsia="Calibri" w:hAnsi="Calibri"/>
          <w:b w:val="false"/>
          <w:bCs w:val="false"/>
          <w:color w:val="333344"/>
          <w:sz w:val="20"/>
          <w:szCs w:val="20"/>
        </w:rPr>
        <w:t xml:space="preserve">idle</w:t>
      </w:r>
      <w:r>
        <w:rPr>
          <w:rFonts w:ascii="Calibri" w:cs="Calibri" w:eastAsia="Calibri" w:hAnsi="Calibri"/>
          <w:b w:val="false"/>
          <w:bCs w:val="false"/>
          <w:color w:val="333344"/>
          <w:sz w:val="20"/>
          <w:szCs w:val="20"/>
        </w:rPr>
        <w:t xml:space="preserve"> sont alloués à un smart contract satellite de trésorerie et supplyiés en </w:t>
      </w:r>
      <w:r>
        <w:rPr>
          <w:rFonts w:ascii="Calibri" w:cs="Calibri" w:eastAsia="Calibri" w:hAnsi="Calibri"/>
          <w:b/>
          <w:bCs/>
          <w:color w:val="333344"/>
          <w:sz w:val="20"/>
          <w:szCs w:val="20"/>
        </w:rPr>
        <w:t xml:space="preserve">supply-only sur Aave via un partenaire CASP régulé</w:t>
      </w:r>
      <w:r>
        <w:rPr>
          <w:rFonts w:ascii="Calibri" w:cs="Calibri" w:eastAsia="Calibri" w:hAnsi="Calibri"/>
          <w:b w:val="false"/>
          <w:bCs w:val="false"/>
          <w:color w:val="333344"/>
          <w:sz w:val="20"/>
          <w:szCs w:val="20"/>
        </w:rPr>
        <w:t xml:space="preserve"> (stratégie conservative, pas de levier). Rendement réparti </w:t>
      </w:r>
      <w:r>
        <w:rPr>
          <w:rFonts w:ascii="Calibri" w:cs="Calibri" w:eastAsia="Calibri" w:hAnsi="Calibri"/>
          <w:b/>
          <w:bCs/>
          <w:color w:val="333344"/>
          <w:sz w:val="20"/>
          <w:szCs w:val="20"/>
        </w:rPr>
        <w:t xml:space="preserve">50/50 entre la plateforme et le particulier</w:t>
      </w:r>
      <w:r>
        <w:rPr>
          <w:rFonts w:ascii="Calibri" w:cs="Calibri" w:eastAsia="Calibri" w:hAnsi="Calibri"/>
          <w:b w:val="false"/>
          <w:bCs w:val="false"/>
          <w:color w:val="333344"/>
          <w:sz w:val="20"/>
          <w:szCs w:val="20"/>
        </w:rPr>
        <w:t xml:space="preserve">, la part particulier étant attribuée </w:t>
      </w:r>
      <w:r>
        <w:rPr>
          <w:rFonts w:ascii="Calibri" w:cs="Calibri" w:eastAsia="Calibri" w:hAnsi="Calibri"/>
          <w:b/>
          <w:bCs/>
          <w:color w:val="333344"/>
          <w:sz w:val="20"/>
          <w:szCs w:val="20"/>
        </w:rPr>
        <w:t xml:space="preserve">sous forme de crédits travaux</w:t>
      </w:r>
      <w:r>
        <w:rPr>
          <w:rFonts w:ascii="Calibri" w:cs="Calibri" w:eastAsia="Calibri" w:hAnsi="Calibri"/>
          <w:b w:val="false"/>
          <w:bCs w:val="false"/>
          <w:color w:val="333344"/>
          <w:sz w:val="20"/>
          <w:szCs w:val="20"/>
        </w:rPr>
        <w:t xml:space="preserve"> (avantage d’usage intra-écosystème, jamais versé en numéraire). À terme, les crédits pourront être convertis en utility token (Y2+).</w:t>
      </w:r>
    </w:p>
    <w:p>
      <w:pPr>
        <w:spacing w:after="100" w:before="40" w:line="220"/>
        <w:jc w:val="left"/>
      </w:pPr>
      <w:r>
        <w:rPr>
          <w:rFonts w:ascii="Calibri" w:cs="Calibri" w:eastAsia="Calibri" w:hAnsi="Calibri"/>
          <w:b/>
          <w:bCs/>
          <w:color w:val="1E1B4B"/>
          <w:sz w:val="20"/>
          <w:szCs w:val="20"/>
        </w:rPr>
        <w:t xml:space="preserve">Exception — workflow de médiation. </w:t>
      </w:r>
      <w:r>
        <w:rPr>
          <w:rFonts w:ascii="Calibri" w:cs="Calibri" w:eastAsia="Calibri" w:hAnsi="Calibri"/>
          <w:b w:val="false"/>
          <w:bCs w:val="false"/>
          <w:color w:val="333344"/>
          <w:sz w:val="20"/>
          <w:szCs w:val="20"/>
        </w:rPr>
        <w:t xml:space="preserve">En cas de litige déclaré par l’une des deux parties, les fonds du jalon sont bloqués on-chain. L’admin Trust BTP intervient </w:t>
      </w:r>
      <w:r>
        <w:rPr>
          <w:rFonts w:ascii="Calibri" w:cs="Calibri" w:eastAsia="Calibri" w:hAnsi="Calibri"/>
          <w:b/>
          <w:bCs/>
          <w:color w:val="333344"/>
          <w:sz w:val="20"/>
          <w:szCs w:val="20"/>
        </w:rPr>
        <w:t xml:space="preserve">uniquement pour déclencher la requête auprès d’un médiateur tiers</w:t>
      </w:r>
      <w:r>
        <w:rPr>
          <w:rFonts w:ascii="Calibri" w:cs="Calibri" w:eastAsia="Calibri" w:hAnsi="Calibri"/>
          <w:b w:val="false"/>
          <w:bCs w:val="false"/>
          <w:color w:val="333344"/>
          <w:sz w:val="20"/>
          <w:szCs w:val="20"/>
        </w:rPr>
        <w:t xml:space="preserve"> (prestataire de médiation agréé CECMC). Ce dernier arbitre seul la répartition du paiement (poursuite, arrêt, répartition partielle) et conclut la phase. Un </w:t>
      </w:r>
      <w:r>
        <w:rPr>
          <w:rFonts w:ascii="Calibri" w:cs="Calibri" w:eastAsia="Calibri" w:hAnsi="Calibri"/>
          <w:b/>
          <w:bCs/>
          <w:color w:val="333344"/>
          <w:sz w:val="20"/>
          <w:szCs w:val="20"/>
        </w:rPr>
        <w:t xml:space="preserve">dossier horodaté</w:t>
      </w:r>
      <w:r>
        <w:rPr>
          <w:rFonts w:ascii="Calibri" w:cs="Calibri" w:eastAsia="Calibri" w:hAnsi="Calibri"/>
          <w:b w:val="false"/>
          <w:bCs w:val="false"/>
          <w:color w:val="333344"/>
          <w:sz w:val="20"/>
          <w:szCs w:val="20"/>
        </w:rPr>
        <w:t xml:space="preserve"> est ensuite transmis automatiquement aux deux parties (particulier + artisan) pour d’éventuelles contestations légales supplémentaires.</w:t>
      </w:r>
    </w:p>
    <w:p>
      <w:pPr>
        <w:spacing w:after="140" w:before="40" w:line="220"/>
        <w:jc w:val="left"/>
      </w:pPr>
      <w:r>
        <w:rPr>
          <w:rFonts w:ascii="Calibri" w:cs="Calibri" w:eastAsia="Calibri" w:hAnsi="Calibri"/>
          <w:b/>
          <w:bCs/>
          <w:color w:val="1E1B4B"/>
          <w:sz w:val="20"/>
          <w:szCs w:val="20"/>
        </w:rPr>
        <w:t xml:space="preserve">Compliance-first. </w:t>
      </w:r>
      <w:r>
        <w:rPr>
          <w:rFonts w:ascii="Calibri" w:cs="Calibri" w:eastAsia="Calibri" w:hAnsi="Calibri"/>
          <w:b w:val="false"/>
          <w:bCs w:val="false"/>
          <w:color w:val="333344"/>
          <w:sz w:val="20"/>
          <w:szCs w:val="20"/>
        </w:rPr>
        <w:t xml:space="preserve">Trust BTP agit comme </w:t>
      </w:r>
      <w:r>
        <w:rPr>
          <w:rFonts w:ascii="Calibri" w:cs="Calibri" w:eastAsia="Calibri" w:hAnsi="Calibri"/>
          <w:b/>
          <w:bCs/>
          <w:color w:val="333344"/>
          <w:sz w:val="20"/>
          <w:szCs w:val="20"/>
        </w:rPr>
        <w:t xml:space="preserve">orchestrateur technique pur</w:t>
      </w:r>
      <w:r>
        <w:rPr>
          <w:rFonts w:ascii="Calibri" w:cs="Calibri" w:eastAsia="Calibri" w:hAnsi="Calibri"/>
          <w:b w:val="false"/>
          <w:bCs w:val="false"/>
          <w:color w:val="333344"/>
          <w:sz w:val="20"/>
          <w:szCs w:val="20"/>
        </w:rPr>
        <w:t xml:space="preserve"> : tous les flux réglementés sont externalisés vers des partenaires agréés (PSP ACPR, custodian, CASP pour DeFi, médiateur CECMC). Chaque chantier génère un </w:t>
      </w:r>
      <w:r>
        <w:rPr>
          <w:rFonts w:ascii="Calibri" w:cs="Calibri" w:eastAsia="Calibri" w:hAnsi="Calibri"/>
          <w:b/>
          <w:bCs/>
          <w:color w:val="333344"/>
          <w:sz w:val="20"/>
          <w:szCs w:val="20"/>
        </w:rPr>
        <w:t xml:space="preserve">NFT chantier</w:t>
      </w:r>
      <w:r>
        <w:rPr>
          <w:rFonts w:ascii="Calibri" w:cs="Calibri" w:eastAsia="Calibri" w:hAnsi="Calibri"/>
          <w:b w:val="false"/>
          <w:bCs w:val="false"/>
          <w:color w:val="333344"/>
          <w:sz w:val="20"/>
          <w:szCs w:val="20"/>
        </w:rPr>
        <w:t xml:space="preserve"> regroupant son historique complet — dossier de preuve tokenisé juridiquement exploitable (art. 1366-1367 CC, ord. 2021-1192). </w:t>
      </w:r>
      <w:r>
        <w:rPr>
          <w:rFonts w:ascii="Calibri" w:cs="Calibri" w:eastAsia="Calibri" w:hAnsi="Calibri"/>
          <w:b w:val="false"/>
          <w:bCs w:val="false"/>
          <w:color w:val="4D43F0"/>
          <w:sz w:val="20"/>
          <w:szCs w:val="20"/>
        </w:rPr>
        <w:t xml:space="preserve">Périmètre : France Y1, passeport européen MiCA Y2.</w:t>
      </w:r>
    </w:p>
    <w:p>
      <w:pPr>
        <w:pStyle w:val="Heading2"/>
        <w:spacing w:after="40" w:before="140"/>
      </w:pPr>
      <w:r>
        <w:rPr>
          <w:rFonts w:ascii="Calibri" w:cs="Calibri" w:eastAsia="Calibri" w:hAnsi="Calibri"/>
          <w:b/>
          <w:bCs/>
          <w:color w:val="4D43F0"/>
          <w:sz w:val="22"/>
          <w:szCs w:val="22"/>
        </w:rPr>
        <w:t xml:space="preserve">Priorité 1 — </w:t>
      </w:r>
      <w:r>
        <w:rPr>
          <w:rFonts w:ascii="Calibri" w:cs="Calibri" w:eastAsia="Calibri" w:hAnsi="Calibri"/>
          <w:b/>
          <w:bCs/>
          <w:color w:val="1E1B4B"/>
          <w:sz w:val="22"/>
          <w:szCs w:val="22"/>
        </w:rPr>
        <w:t xml:space="preserve">Statut juridique — MiCA ou non ?</w:t>
      </w:r>
    </w:p>
    <w:p>
      <w:pPr>
        <w:spacing w:after="40" w:before="40" w:line="230"/>
        <w:jc w:val="left"/>
      </w:pPr>
      <w:r>
        <w:rPr>
          <w:rFonts w:ascii="Calibri" w:cs="Calibri" w:eastAsia="Calibri" w:hAnsi="Calibri"/>
          <w:b/>
          <w:bCs/>
          <w:color w:val="1E1B4B"/>
          <w:sz w:val="20"/>
          <w:szCs w:val="20"/>
        </w:rPr>
        <w:t xml:space="preserve">Enjeu. </w:t>
      </w:r>
      <w:r>
        <w:rPr>
          <w:rFonts w:ascii="Calibri" w:cs="Calibri" w:eastAsia="Calibri" w:hAnsi="Calibri"/>
          <w:b w:val="false"/>
          <w:bCs w:val="false"/>
          <w:color w:val="333344"/>
          <w:sz w:val="20"/>
          <w:szCs w:val="20"/>
        </w:rPr>
        <w:t xml:space="preserve">Trust BTP opère des flux crypto (EURe/stablecoin en entrée/sortie, supply Aave via partenaire CASP) et orchestre une stratégie DeFi. </w:t>
      </w:r>
      <w:r>
        <w:rPr>
          <w:rFonts w:ascii="Calibri" w:cs="Calibri" w:eastAsia="Calibri" w:hAnsi="Calibri"/>
          <w:b/>
          <w:bCs/>
          <w:color w:val="333344"/>
          <w:sz w:val="20"/>
          <w:szCs w:val="20"/>
        </w:rPr>
        <w:t xml:space="preserve">Même sans détenir les fonds</w:t>
      </w:r>
      <w:r>
        <w:rPr>
          <w:rFonts w:ascii="Calibri" w:cs="Calibri" w:eastAsia="Calibri" w:hAnsi="Calibri"/>
          <w:b w:val="false"/>
          <w:bCs w:val="false"/>
          <w:color w:val="333344"/>
          <w:sz w:val="20"/>
          <w:szCs w:val="20"/>
        </w:rPr>
        <w:t xml:space="preserve">, elle déclenche a priori deux services CASP au sens de MiCA art. 3(1)(16) : </w:t>
      </w:r>
      <w:r>
        <w:rPr>
          <w:rFonts w:ascii="Calibri" w:cs="Calibri" w:eastAsia="Calibri" w:hAnsi="Calibri"/>
          <w:b w:val="false"/>
          <w:bCs w:val="false"/>
          <w:color w:val="333344"/>
          <w:sz w:val="20"/>
          <w:szCs w:val="20"/>
        </w:rPr>
        <w:t xml:space="preserve">(j) transfer services</w:t>
      </w:r>
      <w:r>
        <w:rPr>
          <w:rFonts w:ascii="Calibri" w:cs="Calibri" w:eastAsia="Calibri" w:hAnsi="Calibri"/>
          <w:b w:val="false"/>
          <w:bCs w:val="false"/>
          <w:color w:val="333344"/>
          <w:sz w:val="20"/>
          <w:szCs w:val="20"/>
        </w:rPr>
        <w:t xml:space="preserve"> et </w:t>
      </w:r>
      <w:r>
        <w:rPr>
          <w:rFonts w:ascii="Calibri" w:cs="Calibri" w:eastAsia="Calibri" w:hAnsi="Calibri"/>
          <w:b w:val="false"/>
          <w:bCs w:val="false"/>
          <w:color w:val="333344"/>
          <w:sz w:val="20"/>
          <w:szCs w:val="20"/>
        </w:rPr>
        <w:t xml:space="preserve">(i) portfolio management</w:t>
      </w:r>
      <w:r>
        <w:rPr>
          <w:rFonts w:ascii="Calibri" w:cs="Calibri" w:eastAsia="Calibri" w:hAnsi="Calibri"/>
          <w:b w:val="false"/>
          <w:bCs w:val="false"/>
          <w:color w:val="333344"/>
          <w:sz w:val="20"/>
          <w:szCs w:val="20"/>
        </w:rPr>
        <w:t xml:space="preserve">. L’échéance critique : </w:t>
      </w:r>
      <w:r>
        <w:rPr>
          <w:rFonts w:ascii="Calibri" w:cs="Calibri" w:eastAsia="Calibri" w:hAnsi="Calibri"/>
          <w:b w:val="false"/>
          <w:bCs w:val="false"/>
          <w:color w:val="333344"/>
          <w:sz w:val="20"/>
          <w:szCs w:val="20"/>
        </w:rPr>
        <w:t xml:space="preserve">1</w:t>
      </w:r>
      <w:r>
        <w:rPr>
          <w:rFonts w:ascii="Calibri" w:cs="Calibri" w:eastAsia="Calibri" w:hAnsi="Calibri"/>
          <w:b w:val="false"/>
          <w:bCs w:val="false"/>
          <w:color w:val="333344"/>
          <w:sz w:val="14"/>
          <w:szCs w:val="14"/>
        </w:rPr>
        <w:t xml:space="preserve">er</w:t>
      </w:r>
      <w:r>
        <w:rPr>
          <w:rFonts w:ascii="Calibri" w:cs="Calibri" w:eastAsia="Calibri" w:hAnsi="Calibri"/>
          <w:b/>
          <w:bCs/>
          <w:color w:val="333344"/>
          <w:sz w:val="20"/>
          <w:szCs w:val="20"/>
        </w:rPr>
        <w:t xml:space="preserve"> juillet 2026</w:t>
      </w:r>
      <w:r>
        <w:rPr>
          <w:rFonts w:ascii="Calibri" w:cs="Calibri" w:eastAsia="Calibri" w:hAnsi="Calibri"/>
          <w:b w:val="false"/>
          <w:bCs w:val="false"/>
          <w:color w:val="333344"/>
          <w:sz w:val="20"/>
          <w:szCs w:val="20"/>
        </w:rPr>
        <w:t xml:space="preserve"> (fin de la période transitoire PSAN → CASP).</w:t>
      </w:r>
    </w:p>
    <w:p>
      <w:pPr>
        <w:spacing w:after="40" w:before="40" w:line="230"/>
        <w:jc w:val="left"/>
      </w:pPr>
      <w:r>
        <w:rPr>
          <w:rFonts w:ascii="Calibri" w:cs="Calibri" w:eastAsia="Calibri" w:hAnsi="Calibri"/>
          <w:b/>
          <w:bCs/>
          <w:color w:val="1E1B4B"/>
          <w:sz w:val="20"/>
          <w:szCs w:val="20"/>
        </w:rPr>
        <w:t xml:space="preserve">Stratégie compliance-first. </w:t>
      </w:r>
      <w:r>
        <w:rPr>
          <w:rFonts w:ascii="Calibri" w:cs="Calibri" w:eastAsia="Calibri" w:hAnsi="Calibri"/>
          <w:b w:val="false"/>
          <w:bCs w:val="false"/>
          <w:color w:val="333344"/>
          <w:sz w:val="20"/>
          <w:szCs w:val="20"/>
        </w:rPr>
        <w:t xml:space="preserve">Y1 : </w:t>
      </w:r>
      <w:r>
        <w:rPr>
          <w:rFonts w:ascii="Calibri" w:cs="Calibri" w:eastAsia="Calibri" w:hAnsi="Calibri"/>
          <w:b/>
          <w:bCs/>
          <w:color w:val="333344"/>
          <w:sz w:val="20"/>
          <w:szCs w:val="20"/>
        </w:rPr>
        <w:t xml:space="preserve">délégation totale</w:t>
      </w:r>
      <w:r>
        <w:rPr>
          <w:rFonts w:ascii="Calibri" w:cs="Calibri" w:eastAsia="Calibri" w:hAnsi="Calibri"/>
          <w:b w:val="false"/>
          <w:bCs w:val="false"/>
          <w:color w:val="333344"/>
          <w:sz w:val="20"/>
          <w:szCs w:val="20"/>
        </w:rPr>
        <w:t xml:space="preserve"> à des partenaires déjà agréés — PSP ACPR (Lemonway/Mangopay/Treezor) pour les flux fiat, EMI Monerium pour la mint/burn EURe, partenaire CASP régulé pour le supply-only Aave. Trust BTP se positionne en </w:t>
      </w:r>
      <w:r>
        <w:rPr>
          <w:rFonts w:ascii="Calibri" w:cs="Calibri" w:eastAsia="Calibri" w:hAnsi="Calibri"/>
          <w:b/>
          <w:bCs/>
          <w:color w:val="333344"/>
          <w:sz w:val="20"/>
          <w:szCs w:val="20"/>
        </w:rPr>
        <w:t xml:space="preserve">orchestrateur technique</w:t>
      </w:r>
      <w:r>
        <w:rPr>
          <w:rFonts w:ascii="Calibri" w:cs="Calibri" w:eastAsia="Calibri" w:hAnsi="Calibri"/>
          <w:b w:val="false"/>
          <w:bCs w:val="false"/>
          <w:color w:val="333344"/>
          <w:sz w:val="20"/>
          <w:szCs w:val="20"/>
        </w:rPr>
        <w:t xml:space="preserve"> : non-custody démontrable (aucune admin key sur les fonds, multi-sig scopé aux oracles), stratégie DeFi non-discrétionnaire (pré-inscrite dans le devis). Y2 : CASP en propre si le volume justifie le passeport européen (budget réglementaire 50–150 k€). Exclusion du régime PSFP à documenter par mémo (absence de matching P2P).</w:t>
      </w:r>
    </w:p>
    <w:p>
      <w:pPr>
        <w:pStyle w:val="ListParagraph"/>
        <w:numPr>
          <w:ilvl w:val="0"/>
          <w:numId w:val="2"/>
        </w:numPr>
        <w:spacing w:after="10" w:before="10" w:line="230"/>
      </w:pPr>
      <w:r>
        <w:rPr>
          <w:rFonts w:ascii="Calibri" w:cs="Calibri" w:eastAsia="Calibri" w:hAnsi="Calibri"/>
          <w:b/>
          <w:bCs/>
          <w:color w:val="1E1B4B"/>
          <w:sz w:val="20"/>
          <w:szCs w:val="20"/>
        </w:rPr>
        <w:t xml:space="preserve">Question pour l’avocat : </w:t>
      </w:r>
      <w:r>
        <w:rPr>
          <w:rFonts w:ascii="Calibri" w:cs="Calibri" w:eastAsia="Calibri" w:hAnsi="Calibri"/>
          <w:b w:val="false"/>
          <w:bCs w:val="false"/>
          <w:color w:val="333344"/>
          <w:sz w:val="20"/>
          <w:szCs w:val="20"/>
        </w:rPr>
        <w:t xml:space="preserve">l’AMF peut-elle requalifier Trust BTP en « CASP de fait » malgré la délégation totale, et comment encadrer les MSA avec chaque partenaire pour étayer le statut d’orchestrateur ?</w:t>
      </w:r>
    </w:p>
    <w:p>
      <w:pPr>
        <w:pStyle w:val="Heading2"/>
        <w:spacing w:after="40" w:before="140"/>
      </w:pPr>
      <w:r>
        <w:rPr>
          <w:rFonts w:ascii="Calibri" w:cs="Calibri" w:eastAsia="Calibri" w:hAnsi="Calibri"/>
          <w:b/>
          <w:bCs/>
          <w:color w:val="4D43F0"/>
          <w:sz w:val="22"/>
          <w:szCs w:val="22"/>
        </w:rPr>
        <w:t xml:space="preserve">Priorité 2 — </w:t>
      </w:r>
      <w:r>
        <w:rPr>
          <w:rFonts w:ascii="Calibri" w:cs="Calibri" w:eastAsia="Calibri" w:hAnsi="Calibri"/>
          <w:b/>
          <w:bCs/>
          <w:color w:val="1E1B4B"/>
          <w:sz w:val="22"/>
          <w:szCs w:val="22"/>
        </w:rPr>
        <w:t xml:space="preserve">Décentralisation, smart contract &amp; NFT chantier</w:t>
      </w:r>
    </w:p>
    <w:p>
      <w:pPr>
        <w:spacing w:after="40" w:before="40" w:line="230"/>
        <w:jc w:val="left"/>
      </w:pPr>
      <w:r>
        <w:rPr>
          <w:rFonts w:ascii="Calibri" w:cs="Calibri" w:eastAsia="Calibri" w:hAnsi="Calibri"/>
          <w:b/>
          <w:bCs/>
          <w:color w:val="1E1B4B"/>
          <w:sz w:val="20"/>
          <w:szCs w:val="20"/>
        </w:rPr>
        <w:t xml:space="preserve">Enjeu. </w:t>
      </w:r>
      <w:r>
        <w:rPr>
          <w:rFonts w:ascii="Calibri" w:cs="Calibri" w:eastAsia="Calibri" w:hAnsi="Calibri"/>
          <w:b w:val="false"/>
          <w:bCs w:val="false"/>
          <w:color w:val="333344"/>
          <w:sz w:val="20"/>
          <w:szCs w:val="20"/>
        </w:rPr>
        <w:t xml:space="preserve">Le projet est </w:t>
      </w:r>
      <w:r>
        <w:rPr>
          <w:rFonts w:ascii="Calibri" w:cs="Calibri" w:eastAsia="Calibri" w:hAnsi="Calibri"/>
          <w:b/>
          <w:bCs/>
          <w:color w:val="333344"/>
          <w:sz w:val="20"/>
          <w:szCs w:val="20"/>
        </w:rPr>
        <w:t xml:space="preserve">fortement décentralisé</w:t>
      </w:r>
      <w:r>
        <w:rPr>
          <w:rFonts w:ascii="Calibri" w:cs="Calibri" w:eastAsia="Calibri" w:hAnsi="Calibri"/>
          <w:b w:val="false"/>
          <w:bCs w:val="false"/>
          <w:color w:val="333344"/>
          <w:sz w:val="20"/>
          <w:szCs w:val="20"/>
        </w:rPr>
        <w:t xml:space="preserve"> dans son fonctionnement normal : les fonds ne transitent jamais par Trust BTP (non-custodial) </w:t>
      </w:r>
      <w:r>
        <w:rPr>
          <w:rFonts w:ascii="Calibri" w:cs="Calibri" w:eastAsia="Calibri" w:hAnsi="Calibri"/>
          <w:b/>
          <w:bCs/>
          <w:color w:val="333344"/>
          <w:sz w:val="20"/>
          <w:szCs w:val="20"/>
        </w:rPr>
        <w:t xml:space="preserve">et la validation des jalons est strictement P2P</w:t>
      </w:r>
      <w:r>
        <w:rPr>
          <w:rFonts w:ascii="Calibri" w:cs="Calibri" w:eastAsia="Calibri" w:hAnsi="Calibri"/>
          <w:b w:val="false"/>
          <w:bCs w:val="false"/>
          <w:color w:val="333344"/>
          <w:sz w:val="20"/>
          <w:szCs w:val="20"/>
        </w:rPr>
        <w:t xml:space="preserve"> entre particulier et artisan, via les preuves horodatées on-chain. L’admin dApp </w:t>
      </w:r>
      <w:r>
        <w:rPr>
          <w:rFonts w:ascii="Calibri" w:cs="Calibri" w:eastAsia="Calibri" w:hAnsi="Calibri"/>
          <w:b/>
          <w:bCs/>
          <w:color w:val="333344"/>
          <w:sz w:val="20"/>
          <w:szCs w:val="20"/>
        </w:rPr>
        <w:t xml:space="preserve">n’intervient jamais</w:t>
      </w:r>
      <w:r>
        <w:rPr>
          <w:rFonts w:ascii="Calibri" w:cs="Calibri" w:eastAsia="Calibri" w:hAnsi="Calibri"/>
          <w:b w:val="false"/>
          <w:bCs w:val="false"/>
          <w:color w:val="333344"/>
          <w:sz w:val="20"/>
          <w:szCs w:val="20"/>
        </w:rPr>
        <w:t xml:space="preserve"> dans la vie normale d’un chantier. La seule exception : en cas de </w:t>
      </w:r>
      <w:r>
        <w:rPr>
          <w:rFonts w:ascii="Calibri" w:cs="Calibri" w:eastAsia="Calibri" w:hAnsi="Calibri"/>
          <w:b/>
          <w:bCs/>
          <w:color w:val="333344"/>
          <w:sz w:val="20"/>
          <w:szCs w:val="20"/>
        </w:rPr>
        <w:t xml:space="preserve">litige</w:t>
      </w:r>
      <w:r>
        <w:rPr>
          <w:rFonts w:ascii="Calibri" w:cs="Calibri" w:eastAsia="Calibri" w:hAnsi="Calibri"/>
          <w:b w:val="false"/>
          <w:bCs w:val="false"/>
          <w:color w:val="333344"/>
          <w:sz w:val="20"/>
          <w:szCs w:val="20"/>
        </w:rPr>
        <w:t xml:space="preserve">, l’admin déclenche une requête auprès d’un médiateur tiers (prestataire CECMC) qui arbitre seul la répartition, puis un dossier horodaté est transmis aux deux parties. Cette architecture réduit fortement la responsabilité opérationnelle de Trust BTP et étaye le statut d’orchestrateur technique.</w:t>
      </w:r>
    </w:p>
    <w:p>
      <w:pPr>
        <w:spacing w:after="40" w:before="40" w:line="230"/>
        <w:jc w:val="left"/>
      </w:pPr>
      <w:r>
        <w:rPr>
          <w:rFonts w:ascii="Calibri" w:cs="Calibri" w:eastAsia="Calibri" w:hAnsi="Calibri"/>
          <w:b/>
          <w:bCs/>
          <w:color w:val="1E1B4B"/>
          <w:sz w:val="20"/>
          <w:szCs w:val="20"/>
        </w:rPr>
        <w:t xml:space="preserve">Briques Web3 à qualifier. </w:t>
      </w:r>
    </w:p>
    <w:p>
      <w:pPr>
        <w:pStyle w:val="ListParagraph"/>
        <w:numPr>
          <w:ilvl w:val="0"/>
          <w:numId w:val="2"/>
        </w:numPr>
        <w:spacing w:after="10" w:before="10" w:line="230"/>
      </w:pPr>
      <w:r>
        <w:rPr>
          <w:rFonts w:ascii="Calibri" w:cs="Calibri" w:eastAsia="Calibri" w:hAnsi="Calibri"/>
          <w:b/>
          <w:bCs/>
          <w:color w:val="1E1B4B"/>
          <w:sz w:val="20"/>
          <w:szCs w:val="20"/>
        </w:rPr>
        <w:t xml:space="preserve">NFT chantier</w:t>
      </w:r>
      <w:r>
        <w:rPr>
          <w:rFonts w:ascii="Calibri" w:cs="Calibri" w:eastAsia="Calibri" w:hAnsi="Calibri"/>
          <w:b w:val="false"/>
          <w:bCs w:val="false"/>
          <w:color w:val="333344"/>
          <w:sz w:val="20"/>
          <w:szCs w:val="20"/>
        </w:rPr>
        <w:t xml:space="preserve"> : </w:t>
      </w:r>
      <w:r>
        <w:rPr>
          <w:rFonts w:ascii="Calibri" w:cs="Calibri" w:eastAsia="Calibri" w:hAnsi="Calibri"/>
          <w:b/>
          <w:bCs/>
          <w:color w:val="333344"/>
          <w:sz w:val="20"/>
          <w:szCs w:val="20"/>
        </w:rPr>
        <w:t xml:space="preserve">dossier de preuve tokenisé</w:t>
      </w:r>
      <w:r>
        <w:rPr>
          <w:rFonts w:ascii="Calibri" w:cs="Calibri" w:eastAsia="Calibri" w:hAnsi="Calibri"/>
          <w:b w:val="false"/>
          <w:bCs w:val="false"/>
          <w:color w:val="333344"/>
          <w:sz w:val="20"/>
          <w:szCs w:val="20"/>
        </w:rPr>
        <w:t xml:space="preserve"> (historique complet, horodatage, jalons, preuves hashées). </w:t>
      </w:r>
      <w:r>
        <w:rPr>
          <w:rFonts w:ascii="Calibri" w:cs="Calibri" w:eastAsia="Calibri" w:hAnsi="Calibri"/>
          <w:b/>
          <w:bCs/>
          <w:color w:val="333344"/>
          <w:sz w:val="20"/>
          <w:szCs w:val="20"/>
        </w:rPr>
        <w:t xml:space="preserve">Utility non cessible</w:t>
      </w:r>
      <w:r>
        <w:rPr>
          <w:rFonts w:ascii="Calibri" w:cs="Calibri" w:eastAsia="Calibri" w:hAnsi="Calibri"/>
          <w:b w:val="false"/>
          <w:bCs w:val="false"/>
          <w:color w:val="333344"/>
          <w:sz w:val="20"/>
          <w:szCs w:val="20"/>
        </w:rPr>
        <w:t xml:space="preserve"> — attaché au contrat, restriction de transfert codée (soulbound-like), sans valeur d’investissement. Évite la requalification en instrument financier / cession de créance (art. 1321-1326 CC, MiFID II).</w:t>
      </w:r>
    </w:p>
    <w:p>
      <w:pPr>
        <w:pStyle w:val="ListParagraph"/>
        <w:numPr>
          <w:ilvl w:val="0"/>
          <w:numId w:val="2"/>
        </w:numPr>
        <w:spacing w:after="10" w:before="10" w:line="230"/>
      </w:pPr>
      <w:r>
        <w:rPr>
          <w:rFonts w:ascii="Calibri" w:cs="Calibri" w:eastAsia="Calibri" w:hAnsi="Calibri"/>
          <w:b/>
          <w:bCs/>
          <w:color w:val="1E1B4B"/>
          <w:sz w:val="20"/>
          <w:szCs w:val="20"/>
        </w:rPr>
        <w:t xml:space="preserve">Crédits travaux</w:t>
      </w:r>
      <w:r>
        <w:rPr>
          <w:rFonts w:ascii="Calibri" w:cs="Calibri" w:eastAsia="Calibri" w:hAnsi="Calibri"/>
          <w:b w:val="false"/>
          <w:bCs w:val="false"/>
          <w:color w:val="333344"/>
          <w:sz w:val="20"/>
          <w:szCs w:val="20"/>
        </w:rPr>
        <w:t xml:space="preserve"> : </w:t>
      </w:r>
      <w:r>
        <w:rPr>
          <w:rFonts w:ascii="Calibri" w:cs="Calibri" w:eastAsia="Calibri" w:hAnsi="Calibri"/>
          <w:b/>
          <w:bCs/>
          <w:color w:val="333344"/>
          <w:sz w:val="20"/>
          <w:szCs w:val="20"/>
        </w:rPr>
        <w:t xml:space="preserve">avantage d’usage intra-écosystème</w:t>
      </w:r>
      <w:r>
        <w:rPr>
          <w:rFonts w:ascii="Calibri" w:cs="Calibri" w:eastAsia="Calibri" w:hAnsi="Calibri"/>
          <w:b w:val="false"/>
          <w:bCs w:val="false"/>
          <w:color w:val="333344"/>
          <w:sz w:val="20"/>
          <w:szCs w:val="20"/>
        </w:rPr>
        <w:t xml:space="preserve"> (50 % du rendement DeFi reversus au particulier). Jamais convertibles en numéraire. Logique proche d’un </w:t>
      </w:r>
      <w:r>
        <w:rPr>
          <w:rFonts w:ascii="Calibri" w:cs="Calibri" w:eastAsia="Calibri" w:hAnsi="Calibri"/>
          <w:b w:val="false"/>
          <w:bCs w:val="false"/>
          <w:color w:val="333344"/>
          <w:sz w:val="20"/>
          <w:szCs w:val="20"/>
        </w:rPr>
        <w:t xml:space="preserve">loyalty token</w:t>
      </w:r>
      <w:r>
        <w:rPr>
          <w:rFonts w:ascii="Calibri" w:cs="Calibri" w:eastAsia="Calibri" w:hAnsi="Calibri"/>
          <w:b w:val="false"/>
          <w:bCs w:val="false"/>
          <w:color w:val="333344"/>
          <w:sz w:val="20"/>
          <w:szCs w:val="20"/>
        </w:rPr>
        <w:t xml:space="preserve"> consommateur → évite l’EMT MiCA Titre III et la qualification security.</w:t>
      </w:r>
    </w:p>
    <w:p>
      <w:pPr>
        <w:pStyle w:val="ListParagraph"/>
        <w:numPr>
          <w:ilvl w:val="0"/>
          <w:numId w:val="2"/>
        </w:numPr>
        <w:spacing w:after="10" w:before="10" w:line="230"/>
      </w:pPr>
      <w:r>
        <w:rPr>
          <w:rFonts w:ascii="Calibri" w:cs="Calibri" w:eastAsia="Calibri" w:hAnsi="Calibri"/>
          <w:b/>
          <w:bCs/>
          <w:color w:val="1E1B4B"/>
          <w:sz w:val="20"/>
          <w:szCs w:val="20"/>
        </w:rPr>
        <w:t xml:space="preserve">Utility token futur</w:t>
      </w:r>
      <w:r>
        <w:rPr>
          <w:rFonts w:ascii="Calibri" w:cs="Calibri" w:eastAsia="Calibri" w:hAnsi="Calibri"/>
          <w:b w:val="false"/>
          <w:bCs w:val="false"/>
          <w:color w:val="333344"/>
          <w:sz w:val="20"/>
          <w:szCs w:val="20"/>
        </w:rPr>
        <w:t xml:space="preserve"> (Y2+) : conversion possible des crédits travaux en token écosystème, dans une logique strictement encadrée et non spéculative. Qualification visée : </w:t>
      </w:r>
      <w:r>
        <w:rPr>
          <w:rFonts w:ascii="Calibri" w:cs="Calibri" w:eastAsia="Calibri" w:hAnsi="Calibri"/>
          <w:b/>
          <w:bCs/>
          <w:color w:val="333344"/>
          <w:sz w:val="20"/>
          <w:szCs w:val="20"/>
        </w:rPr>
        <w:t xml:space="preserve">crypto-actif « autres » MiCA Titre II</w:t>
      </w:r>
      <w:r>
        <w:rPr>
          <w:rFonts w:ascii="Calibri" w:cs="Calibri" w:eastAsia="Calibri" w:hAnsi="Calibri"/>
          <w:b w:val="false"/>
          <w:bCs w:val="false"/>
          <w:color w:val="333344"/>
          <w:sz w:val="20"/>
          <w:szCs w:val="20"/>
        </w:rPr>
        <w:t xml:space="preserve">, hors ART / EMT, distribué sans ICO publique.</w:t>
      </w:r>
    </w:p>
    <w:p>
      <w:pPr>
        <w:spacing w:after="40" w:before="40" w:line="230"/>
        <w:jc w:val="left"/>
      </w:pPr>
      <w:r>
        <w:rPr>
          <w:rFonts w:ascii="Calibri" w:cs="Calibri" w:eastAsia="Calibri" w:hAnsi="Calibri"/>
          <w:b/>
          <w:bCs/>
          <w:color w:val="1E1B4B"/>
          <w:sz w:val="20"/>
          <w:szCs w:val="20"/>
        </w:rPr>
        <w:t xml:space="preserve">Smart contract escrow. </w:t>
      </w:r>
      <w:r>
        <w:rPr>
          <w:rFonts w:ascii="Calibri" w:cs="Calibri" w:eastAsia="Calibri" w:hAnsi="Calibri"/>
          <w:b w:val="false"/>
          <w:bCs w:val="false"/>
          <w:color w:val="333344"/>
          <w:sz w:val="20"/>
          <w:szCs w:val="20"/>
        </w:rPr>
        <w:t xml:space="preserve">Architecture proxy upgradeable EIP-1967 + timelock 48 h + multi-sig 3/5 scopé aux oracles (jamais aux fonds) + kill-switch motivé. Audit Solidity par cabinet spécialisé (OpenZeppelin / Trail of Bits / Cyfrin) avant mainnet. Bug bounty Immunefi post-lancement.</w:t>
      </w:r>
    </w:p>
    <w:p>
      <w:pPr>
        <w:pStyle w:val="Heading2"/>
        <w:spacing w:after="40" w:before="140"/>
      </w:pPr>
      <w:r>
        <w:rPr>
          <w:rFonts w:ascii="Calibri" w:cs="Calibri" w:eastAsia="Calibri" w:hAnsi="Calibri"/>
          <w:b/>
          <w:bCs/>
          <w:color w:val="4D43F0"/>
          <w:sz w:val="22"/>
          <w:szCs w:val="22"/>
        </w:rPr>
        <w:t xml:space="preserve">Priorité 3 — </w:t>
      </w:r>
      <w:r>
        <w:rPr>
          <w:rFonts w:ascii="Calibri" w:cs="Calibri" w:eastAsia="Calibri" w:hAnsi="Calibri"/>
          <w:b/>
          <w:bCs/>
          <w:color w:val="1E1B4B"/>
          <w:sz w:val="22"/>
          <w:szCs w:val="22"/>
        </w:rPr>
        <w:t xml:space="preserve">Sécurité &amp; RGPD</w:t>
      </w:r>
    </w:p>
    <w:p>
      <w:pPr>
        <w:spacing w:after="40" w:before="40" w:line="230"/>
        <w:jc w:val="left"/>
      </w:pPr>
      <w:r>
        <w:rPr>
          <w:rFonts w:ascii="Calibri" w:cs="Calibri" w:eastAsia="Calibri" w:hAnsi="Calibri"/>
          <w:b/>
          <w:bCs/>
          <w:color w:val="1E1B4B"/>
          <w:sz w:val="20"/>
          <w:szCs w:val="20"/>
        </w:rPr>
        <w:t xml:space="preserve">Enjeu. </w:t>
      </w:r>
      <w:r>
        <w:rPr>
          <w:rFonts w:ascii="Calibri" w:cs="Calibri" w:eastAsia="Calibri" w:hAnsi="Calibri"/>
          <w:b w:val="false"/>
          <w:bCs w:val="false"/>
          <w:color w:val="333344"/>
          <w:sz w:val="20"/>
          <w:szCs w:val="20"/>
        </w:rPr>
        <w:t xml:space="preserve">Trust BTP collecte des données sensibles : KYC (pièces d’identité, RIB), </w:t>
      </w:r>
      <w:r>
        <w:rPr>
          <w:rFonts w:ascii="Calibri" w:cs="Calibri" w:eastAsia="Calibri" w:hAnsi="Calibri"/>
          <w:b/>
          <w:bCs/>
          <w:color w:val="333344"/>
          <w:sz w:val="20"/>
          <w:szCs w:val="20"/>
        </w:rPr>
        <w:t xml:space="preserve">photos chantier géolocalisées</w:t>
      </w:r>
      <w:r>
        <w:rPr>
          <w:rFonts w:ascii="Calibri" w:cs="Calibri" w:eastAsia="Calibri" w:hAnsi="Calibri"/>
          <w:b w:val="false"/>
          <w:bCs w:val="false"/>
          <w:color w:val="333344"/>
          <w:sz w:val="20"/>
          <w:szCs w:val="20"/>
        </w:rPr>
        <w:t xml:space="preserve"> et horodatées (preuve de jalon), données financières. La conservation on-chain est </w:t>
      </w:r>
      <w:r>
        <w:rPr>
          <w:rFonts w:ascii="Calibri" w:cs="Calibri" w:eastAsia="Calibri" w:hAnsi="Calibri"/>
          <w:b/>
          <w:bCs/>
          <w:color w:val="333344"/>
          <w:sz w:val="20"/>
          <w:szCs w:val="20"/>
        </w:rPr>
        <w:t xml:space="preserve">immuable</w:t>
      </w:r>
      <w:r>
        <w:rPr>
          <w:rFonts w:ascii="Calibri" w:cs="Calibri" w:eastAsia="Calibri" w:hAnsi="Calibri"/>
          <w:b w:val="false"/>
          <w:bCs w:val="false"/>
          <w:color w:val="333344"/>
          <w:sz w:val="20"/>
          <w:szCs w:val="20"/>
        </w:rPr>
        <w:t xml:space="preserve"> — tension directe avec le </w:t>
      </w:r>
      <w:r>
        <w:rPr>
          <w:rFonts w:ascii="Calibri" w:cs="Calibri" w:eastAsia="Calibri" w:hAnsi="Calibri"/>
          <w:b/>
          <w:bCs/>
          <w:color w:val="333344"/>
          <w:sz w:val="20"/>
          <w:szCs w:val="20"/>
        </w:rPr>
        <w:t xml:space="preserve">droit à l’effacement (art. 17 RGPD)</w:t>
      </w:r>
      <w:r>
        <w:rPr>
          <w:rFonts w:ascii="Calibri" w:cs="Calibri" w:eastAsia="Calibri" w:hAnsi="Calibri"/>
          <w:b w:val="false"/>
          <w:bCs w:val="false"/>
          <w:color w:val="333344"/>
          <w:sz w:val="20"/>
          <w:szCs w:val="20"/>
        </w:rPr>
        <w:t xml:space="preserve">. Par ailleurs, en tant qu’orchestrateur d’une plateforme financière B2C à flux &gt; 50 k€, le projet pourrait tomber sous </w:t>
      </w:r>
      <w:r>
        <w:rPr>
          <w:rFonts w:ascii="Calibri" w:cs="Calibri" w:eastAsia="Calibri" w:hAnsi="Calibri"/>
          <w:b/>
          <w:bCs/>
          <w:color w:val="333344"/>
          <w:sz w:val="20"/>
          <w:szCs w:val="20"/>
        </w:rPr>
        <w:t xml:space="preserve">DORA</w:t>
      </w:r>
      <w:r>
        <w:rPr>
          <w:rFonts w:ascii="Calibri" w:cs="Calibri" w:eastAsia="Calibri" w:hAnsi="Calibri"/>
          <w:b w:val="false"/>
          <w:bCs w:val="false"/>
          <w:color w:val="333344"/>
          <w:sz w:val="20"/>
          <w:szCs w:val="20"/>
        </w:rPr>
        <w:t xml:space="preserve"> (résilience opérationnelle numérique).</w:t>
      </w:r>
    </w:p>
    <w:p>
      <w:pPr>
        <w:spacing w:after="40" w:before="40" w:line="230"/>
        <w:jc w:val="left"/>
      </w:pPr>
      <w:r>
        <w:rPr>
          <w:rFonts w:ascii="Calibri" w:cs="Calibri" w:eastAsia="Calibri" w:hAnsi="Calibri"/>
          <w:b/>
          <w:bCs/>
          <w:color w:val="1E1B4B"/>
          <w:sz w:val="20"/>
          <w:szCs w:val="20"/>
        </w:rPr>
        <w:t xml:space="preserve">Architecture &amp; obligations. </w:t>
      </w:r>
    </w:p>
    <w:p>
      <w:pPr>
        <w:pStyle w:val="ListParagraph"/>
        <w:numPr>
          <w:ilvl w:val="0"/>
          <w:numId w:val="2"/>
        </w:numPr>
        <w:spacing w:after="10" w:before="10" w:line="230"/>
      </w:pPr>
      <w:r>
        <w:rPr>
          <w:rFonts w:ascii="Calibri" w:cs="Calibri" w:eastAsia="Calibri" w:hAnsi="Calibri"/>
          <w:b/>
          <w:bCs/>
          <w:color w:val="1E1B4B"/>
          <w:sz w:val="20"/>
          <w:szCs w:val="20"/>
        </w:rPr>
        <w:t xml:space="preserve">Hash on-chain / data off-chain</w:t>
      </w:r>
      <w:r>
        <w:rPr>
          <w:rFonts w:ascii="Calibri" w:cs="Calibri" w:eastAsia="Calibri" w:hAnsi="Calibri"/>
          <w:b w:val="false"/>
          <w:bCs w:val="false"/>
          <w:color w:val="333344"/>
          <w:sz w:val="20"/>
          <w:szCs w:val="20"/>
        </w:rPr>
        <w:t xml:space="preserve"> : seuls les hashes (SHA-256) des photos, KYC et jalons sont stockés sur Arbitrum ; les fichiers sont chiffrés sur IPFS (clé détenue par l’utilisateur) ou sur S3 européen (Scaleway, OVH). Permet la suppression effective.</w:t>
      </w:r>
    </w:p>
    <w:p>
      <w:pPr>
        <w:pStyle w:val="ListParagraph"/>
        <w:numPr>
          <w:ilvl w:val="0"/>
          <w:numId w:val="2"/>
        </w:numPr>
        <w:spacing w:after="10" w:before="10" w:line="230"/>
      </w:pPr>
      <w:r>
        <w:rPr>
          <w:rFonts w:ascii="Calibri" w:cs="Calibri" w:eastAsia="Calibri" w:hAnsi="Calibri"/>
          <w:b/>
          <w:bCs/>
          <w:color w:val="1E1B4B"/>
          <w:sz w:val="20"/>
          <w:szCs w:val="20"/>
        </w:rPr>
        <w:t xml:space="preserve">Valeur probatoire</w:t>
      </w:r>
      <w:r>
        <w:rPr>
          <w:rFonts w:ascii="Calibri" w:cs="Calibri" w:eastAsia="Calibri" w:hAnsi="Calibri"/>
          <w:b w:val="false"/>
          <w:bCs w:val="false"/>
          <w:color w:val="333344"/>
          <w:sz w:val="20"/>
          <w:szCs w:val="20"/>
        </w:rPr>
        <w:t xml:space="preserve"> du dossier de preuve : conforme art. 1366-1367 CC + ord. 2021-1192. Le NFT chantier = dossier juridiquement exploitable en cas de litige ou d’expertise.</w:t>
      </w:r>
    </w:p>
    <w:p>
      <w:pPr>
        <w:pStyle w:val="ListParagraph"/>
        <w:numPr>
          <w:ilvl w:val="0"/>
          <w:numId w:val="2"/>
        </w:numPr>
        <w:spacing w:after="10" w:before="10" w:line="230"/>
      </w:pPr>
      <w:r>
        <w:rPr>
          <w:rFonts w:ascii="Calibri" w:cs="Calibri" w:eastAsia="Calibri" w:hAnsi="Calibri"/>
          <w:b/>
          <w:bCs/>
          <w:color w:val="1E1B4B"/>
          <w:sz w:val="20"/>
          <w:szCs w:val="20"/>
        </w:rPr>
        <w:t xml:space="preserve">DPIA + registre RGPD</w:t>
      </w:r>
      <w:r>
        <w:rPr>
          <w:rFonts w:ascii="Calibri" w:cs="Calibri" w:eastAsia="Calibri" w:hAnsi="Calibri"/>
          <w:b w:val="false"/>
          <w:bCs w:val="false"/>
          <w:color w:val="333344"/>
          <w:sz w:val="20"/>
          <w:szCs w:val="20"/>
        </w:rPr>
        <w:t xml:space="preserve"> dédiés. Nomination d’un DPO si &gt; 5 000 utilisateurs actifs / an. Contrats DPA avec Monerium, PSP, CASP partenaires.</w:t>
      </w:r>
    </w:p>
    <w:p>
      <w:pPr>
        <w:pStyle w:val="ListParagraph"/>
        <w:numPr>
          <w:ilvl w:val="0"/>
          <w:numId w:val="2"/>
        </w:numPr>
        <w:spacing w:after="10" w:before="10" w:line="230"/>
      </w:pPr>
      <w:r>
        <w:rPr>
          <w:rFonts w:ascii="Calibri" w:cs="Calibri" w:eastAsia="Calibri" w:hAnsi="Calibri"/>
          <w:b/>
          <w:bCs/>
          <w:color w:val="1E1B4B"/>
          <w:sz w:val="20"/>
          <w:szCs w:val="20"/>
        </w:rPr>
        <w:t xml:space="preserve">Sécurité opérationnelle</w:t>
      </w:r>
      <w:r>
        <w:rPr>
          <w:rFonts w:ascii="Calibri" w:cs="Calibri" w:eastAsia="Calibri" w:hAnsi="Calibri"/>
          <w:b w:val="false"/>
          <w:bCs w:val="false"/>
          <w:color w:val="333344"/>
          <w:sz w:val="20"/>
          <w:szCs w:val="20"/>
        </w:rPr>
        <w:t xml:space="preserve"> : audit ANSSI / PASSI sur l’application, certification ISO 27001 visée Y2, plan de continuité si DORA applicable. Adhésion CECMC pour la médiation consommation, vérification automatique décennale artisan (L.241-1 C. ass.), droit de rétractation 14 j côdé dans le smart contract.</w:t>
      </w:r>
    </w:p>
    <w:p>
      <w:pPr>
        <w:pStyle w:val="Heading2"/>
        <w:spacing w:after="40" w:before="140"/>
      </w:pPr>
      <w:r>
        <w:rPr>
          <w:rFonts w:ascii="Calibri" w:cs="Calibri" w:eastAsia="Calibri" w:hAnsi="Calibri"/>
          <w:b/>
          <w:bCs/>
          <w:color w:val="1E1B4B"/>
          <w:sz w:val="22"/>
          <w:szCs w:val="22"/>
        </w:rPr>
        <w:t xml:space="preserve">Calendrier juridique — les 3 étapes Alyra</w:t>
      </w:r>
    </w:p>
    <w:p>
      <w:pPr>
        <w:pStyle w:val="ListParagraph"/>
        <w:numPr>
          <w:ilvl w:val="0"/>
          <w:numId w:val="2"/>
        </w:numPr>
        <w:spacing w:after="10" w:before="10" w:line="230"/>
      </w:pPr>
      <w:r>
        <w:rPr>
          <w:rFonts w:ascii="Calibri" w:cs="Calibri" w:eastAsia="Calibri" w:hAnsi="Calibri"/>
          <w:b/>
          <w:bCs/>
          <w:color w:val="1E1B4B"/>
          <w:sz w:val="20"/>
          <w:szCs w:val="20"/>
        </w:rPr>
        <w:t xml:space="preserve">Étape 1 — Qualification du NFT chantier : </w:t>
      </w:r>
      <w:r>
        <w:rPr>
          <w:rFonts w:ascii="Calibri" w:cs="Calibri" w:eastAsia="Calibri" w:hAnsi="Calibri"/>
          <w:b w:val="false"/>
          <w:bCs w:val="false"/>
          <w:color w:val="333344"/>
          <w:sz w:val="20"/>
          <w:szCs w:val="20"/>
        </w:rPr>
        <w:t xml:space="preserve">utility non cessible (dossier de preuve tokenisé, zéro valeur d’investissement). Les crédits travaux = avantage d’usage non monétaire. Pas de token émis par Trust BTP en V1 ; l’EURe est fourni par Monerium (EMT MiCA Titre III). Utility token futur (Y2+) éventuel — crypto-actif « autres » MiCA Titre II.</w:t>
      </w:r>
    </w:p>
    <w:p>
      <w:pPr>
        <w:pStyle w:val="ListParagraph"/>
        <w:numPr>
          <w:ilvl w:val="0"/>
          <w:numId w:val="2"/>
        </w:numPr>
        <w:spacing w:after="10" w:before="10" w:line="230"/>
      </w:pPr>
      <w:r>
        <w:rPr>
          <w:rFonts w:ascii="Calibri" w:cs="Calibri" w:eastAsia="Calibri" w:hAnsi="Calibri"/>
          <w:b/>
          <w:bCs/>
          <w:color w:val="1E1B4B"/>
          <w:sz w:val="20"/>
          <w:szCs w:val="20"/>
        </w:rPr>
        <w:t xml:space="preserve">Étape 2 — Degré de décentralisation : </w:t>
      </w:r>
      <w:r>
        <w:rPr>
          <w:rFonts w:ascii="Calibri" w:cs="Calibri" w:eastAsia="Calibri" w:hAnsi="Calibri"/>
          <w:b w:val="false"/>
          <w:bCs w:val="false"/>
          <w:color w:val="333344"/>
          <w:sz w:val="20"/>
          <w:szCs w:val="20"/>
        </w:rPr>
        <w:t xml:space="preserve">modèle </w:t>
      </w:r>
      <w:r>
        <w:rPr>
          <w:rFonts w:ascii="Calibri" w:cs="Calibri" w:eastAsia="Calibri" w:hAnsi="Calibri"/>
          <w:b/>
          <w:bCs/>
          <w:color w:val="333344"/>
          <w:sz w:val="20"/>
          <w:szCs w:val="20"/>
        </w:rPr>
        <w:t xml:space="preserve">fortement décentralisé</w:t>
      </w:r>
      <w:r>
        <w:rPr>
          <w:rFonts w:ascii="Calibri" w:cs="Calibri" w:eastAsia="Calibri" w:hAnsi="Calibri"/>
          <w:b w:val="false"/>
          <w:bCs w:val="false"/>
          <w:color w:val="333344"/>
          <w:sz w:val="20"/>
          <w:szCs w:val="20"/>
        </w:rPr>
        <w:t xml:space="preserve"> en exploitation courante. Smart contract escrow non-custodial (fonds jamais détenus par Trust BTP) et </w:t>
      </w:r>
      <w:r>
        <w:rPr>
          <w:rFonts w:ascii="Calibri" w:cs="Calibri" w:eastAsia="Calibri" w:hAnsi="Calibri"/>
          <w:b/>
          <w:bCs/>
          <w:color w:val="333344"/>
          <w:sz w:val="20"/>
          <w:szCs w:val="20"/>
        </w:rPr>
        <w:t xml:space="preserve">validation des jalons 100 % P2P</w:t>
      </w:r>
      <w:r>
        <w:rPr>
          <w:rFonts w:ascii="Calibri" w:cs="Calibri" w:eastAsia="Calibri" w:hAnsi="Calibri"/>
          <w:b w:val="false"/>
          <w:bCs w:val="false"/>
          <w:color w:val="333344"/>
          <w:sz w:val="20"/>
          <w:szCs w:val="20"/>
        </w:rPr>
        <w:t xml:space="preserve"> entre particulier et artisan via preuves on-chain. L’admin n’intervient jamais sauf litige : il déclenche alors la médiation tierce (prestataire CECMC) et transmet le dossier horodaté. Garde-fous : audit SC + timelock 48 h + multi-sig 3/5 scopé à la gouvernance (jamais aux fonds ni aux jalons).</w:t>
      </w:r>
    </w:p>
    <w:p>
      <w:pPr>
        <w:pStyle w:val="ListParagraph"/>
        <w:numPr>
          <w:ilvl w:val="0"/>
          <w:numId w:val="2"/>
        </w:numPr>
        <w:spacing w:after="10" w:before="10" w:line="230"/>
      </w:pPr>
      <w:r>
        <w:rPr>
          <w:rFonts w:ascii="Calibri" w:cs="Calibri" w:eastAsia="Calibri" w:hAnsi="Calibri"/>
          <w:b/>
          <w:bCs/>
          <w:color w:val="1E1B4B"/>
          <w:sz w:val="20"/>
          <w:szCs w:val="20"/>
        </w:rPr>
        <w:t xml:space="preserve">Étape 3 — Autorisations / agréments : </w:t>
      </w:r>
      <w:r>
        <w:rPr>
          <w:rFonts w:ascii="Calibri" w:cs="Calibri" w:eastAsia="Calibri" w:hAnsi="Calibri"/>
          <w:b w:val="false"/>
          <w:bCs w:val="false"/>
          <w:color w:val="333344"/>
          <w:sz w:val="20"/>
          <w:szCs w:val="20"/>
        </w:rPr>
        <w:t xml:space="preserve">Y1 — </w:t>
      </w:r>
      <w:r>
        <w:rPr>
          <w:rFonts w:ascii="Calibri" w:cs="Calibri" w:eastAsia="Calibri" w:hAnsi="Calibri"/>
          <w:b/>
          <w:bCs/>
          <w:color w:val="333344"/>
          <w:sz w:val="20"/>
          <w:szCs w:val="20"/>
        </w:rPr>
        <w:t xml:space="preserve">aucun agrément Trust BTP direct</w:t>
      </w:r>
      <w:r>
        <w:rPr>
          <w:rFonts w:ascii="Calibri" w:cs="Calibri" w:eastAsia="Calibri" w:hAnsi="Calibri"/>
          <w:b w:val="false"/>
          <w:bCs w:val="false"/>
          <w:color w:val="333344"/>
          <w:sz w:val="20"/>
          <w:szCs w:val="20"/>
        </w:rPr>
        <w:t xml:space="preserve">. Tous les services réglementés délégués à partenaires agréés : PSP ACPR (flux fiat), EMI Monerium (mint/burn EURe), CASP partenaire (supply DeFi). Adhésion CECMC (médiation conso). Procédures LCB-FT opérées par délégation. DPO RGPD si &gt; seuil. Y2 — CASP en propre évalué selon volume (passeport européen, budget 50–150 k€).</w:t>
      </w:r>
    </w:p>
    <w:p>
      <w:pPr>
        <w:pStyle w:val="Heading2"/>
        <w:spacing w:after="40" w:before="140"/>
      </w:pPr>
      <w:r>
        <w:rPr>
          <w:rFonts w:ascii="Calibri" w:cs="Calibri" w:eastAsia="Calibri" w:hAnsi="Calibri"/>
          <w:b/>
          <w:bCs/>
          <w:color w:val="1E1B4B"/>
          <w:sz w:val="22"/>
          <w:szCs w:val="22"/>
        </w:rPr>
        <w:t xml:space="preserve">Phasing temporel Y1 (France)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CBCCE5" w:sz="4"/>
              <w:left w:val="single" w:color="CBCCE5" w:sz="4"/>
              <w:bottom w:val="single" w:color="CBCCE5" w:sz="4"/>
              <w:right w:val="single" w:color="CBCCE5" w:sz="4"/>
            </w:tcBorders>
            <w:shd w:fill="1E1B4B" w:val="clear"/>
            <w:tcMar>
              <w:top w:type="dxa" w:w="50"/>
              <w:left w:type="dxa" w:w="100"/>
              <w:bottom w:type="dxa" w:w="50"/>
              <w:right w:type="dxa" w:w="100"/>
            </w:tcMar>
            <w:vAlign w:val="center"/>
          </w:tcPr>
          <w:p>
            <w:pPr>
              <w:jc w:val="center"/>
            </w:pPr>
            <w:r>
              <w:rPr>
                <w:rFonts w:ascii="Calibri" w:cs="Calibri" w:eastAsia="Calibri" w:hAnsi="Calibri"/>
                <w:b/>
                <w:bCs/>
                <w:color w:val="FFFFFF"/>
                <w:sz w:val="18"/>
                <w:szCs w:val="18"/>
              </w:rPr>
              <w:t xml:space="preserve">Phase</w:t>
            </w:r>
          </w:p>
        </w:tc>
        <w:tc>
          <w:tcPr>
            <w:tcW w:type="dxa" w:w="7526"/>
            <w:tcBorders>
              <w:top w:val="single" w:color="CBCCE5" w:sz="4"/>
              <w:left w:val="single" w:color="CBCCE5" w:sz="4"/>
              <w:bottom w:val="single" w:color="CBCCE5" w:sz="4"/>
              <w:right w:val="single" w:color="CBCCE5" w:sz="4"/>
            </w:tcBorders>
            <w:shd w:fill="4D43F0" w:val="clear"/>
            <w:tcMar>
              <w:top w:type="dxa" w:w="50"/>
              <w:left w:type="dxa" w:w="100"/>
              <w:bottom w:type="dxa" w:w="50"/>
              <w:right w:type="dxa" w:w="100"/>
            </w:tcMar>
            <w:vAlign w:val="center"/>
          </w:tcPr>
          <w:p>
            <w:r>
              <w:rPr>
                <w:rFonts w:ascii="Calibri" w:cs="Calibri" w:eastAsia="Calibri" w:hAnsi="Calibri"/>
                <w:b/>
                <w:bCs/>
                <w:color w:val="FFFFFF"/>
                <w:sz w:val="18"/>
                <w:szCs w:val="18"/>
              </w:rPr>
              <w:t xml:space="preserve">Travaux juridiques</w:t>
            </w:r>
          </w:p>
        </w:tc>
      </w:tr>
      <w:tr>
        <w:tc>
          <w:tcPr>
            <w:tcW w:type="dxa" w:w="1500"/>
            <w:tcBorders>
              <w:top w:val="single" w:color="CBCCE5" w:sz="4"/>
              <w:left w:val="single" w:color="CBCCE5" w:sz="4"/>
              <w:bottom w:val="single" w:color="CBCCE5" w:sz="4"/>
              <w:right w:val="single" w:color="CBCCE5" w:sz="4"/>
            </w:tcBorders>
            <w:shd w:fill="FFFFFF" w:val="clear"/>
            <w:tcMar>
              <w:top w:type="dxa" w:w="50"/>
              <w:left w:type="dxa" w:w="100"/>
              <w:bottom w:type="dxa" w:w="50"/>
              <w:right w:type="dxa" w:w="100"/>
            </w:tcMar>
            <w:vAlign w:val="center"/>
          </w:tcPr>
          <w:p>
            <w:pPr>
              <w:jc w:val="center"/>
            </w:pPr>
            <w:r>
              <w:rPr>
                <w:rFonts w:ascii="Calibri" w:cs="Calibri" w:eastAsia="Calibri" w:hAnsi="Calibri"/>
                <w:b/>
                <w:bCs/>
                <w:color w:val="1E1B4B"/>
                <w:sz w:val="17"/>
                <w:szCs w:val="17"/>
              </w:rPr>
              <w:t xml:space="preserve">M0–M1</w:t>
            </w:r>
          </w:p>
        </w:tc>
        <w:tc>
          <w:tcPr>
            <w:tcW w:type="dxa" w:w="7526"/>
            <w:tcBorders>
              <w:top w:val="single" w:color="CBCCE5" w:sz="4"/>
              <w:left w:val="single" w:color="CBCCE5" w:sz="4"/>
              <w:bottom w:val="single" w:color="CBCCE5" w:sz="4"/>
              <w:right w:val="single" w:color="CBCCE5" w:sz="4"/>
            </w:tcBorders>
            <w:shd w:fill="FFFFFF" w:val="clear"/>
            <w:tcMar>
              <w:top w:type="dxa" w:w="50"/>
              <w:left w:type="dxa" w:w="100"/>
              <w:bottom w:type="dxa" w:w="50"/>
              <w:right w:type="dxa" w:w="100"/>
            </w:tcMar>
            <w:vAlign w:val="center"/>
          </w:tcPr>
          <w:p>
            <w:r>
              <w:rPr>
                <w:rFonts w:ascii="Calibri" w:cs="Calibri" w:eastAsia="Calibri" w:hAnsi="Calibri"/>
                <w:b w:val="false"/>
                <w:bCs w:val="false"/>
                <w:color w:val="333344"/>
                <w:sz w:val="17"/>
                <w:szCs w:val="17"/>
              </w:rPr>
              <w:t xml:space="preserve">Forme juridique (SAS), capital, KBis. Statuts dédiés plateforme Web3.</w:t>
            </w:r>
          </w:p>
        </w:tc>
      </w:tr>
      <w:tr>
        <w:tc>
          <w:tcPr>
            <w:tcW w:type="dxa" w:w="1500"/>
            <w:tcBorders>
              <w:top w:val="single" w:color="CBCCE5" w:sz="4"/>
              <w:left w:val="single" w:color="CBCCE5" w:sz="4"/>
              <w:bottom w:val="single" w:color="CBCCE5" w:sz="4"/>
              <w:right w:val="single" w:color="CBCCE5" w:sz="4"/>
            </w:tcBorders>
            <w:shd w:fill="F1F0FF" w:val="clear"/>
            <w:tcMar>
              <w:top w:type="dxa" w:w="50"/>
              <w:left w:type="dxa" w:w="100"/>
              <w:bottom w:type="dxa" w:w="50"/>
              <w:right w:type="dxa" w:w="100"/>
            </w:tcMar>
            <w:vAlign w:val="center"/>
          </w:tcPr>
          <w:p>
            <w:pPr>
              <w:jc w:val="center"/>
            </w:pPr>
            <w:r>
              <w:rPr>
                <w:rFonts w:ascii="Calibri" w:cs="Calibri" w:eastAsia="Calibri" w:hAnsi="Calibri"/>
                <w:b/>
                <w:bCs/>
                <w:color w:val="1E1B4B"/>
                <w:sz w:val="17"/>
                <w:szCs w:val="17"/>
              </w:rPr>
              <w:t xml:space="preserve">M1–M3</w:t>
            </w:r>
          </w:p>
        </w:tc>
        <w:tc>
          <w:tcPr>
            <w:tcW w:type="dxa" w:w="7526"/>
            <w:tcBorders>
              <w:top w:val="single" w:color="CBCCE5" w:sz="4"/>
              <w:left w:val="single" w:color="CBCCE5" w:sz="4"/>
              <w:bottom w:val="single" w:color="CBCCE5" w:sz="4"/>
              <w:right w:val="single" w:color="CBCCE5" w:sz="4"/>
            </w:tcBorders>
            <w:shd w:fill="F1F0FF" w:val="clear"/>
            <w:tcMar>
              <w:top w:type="dxa" w:w="50"/>
              <w:left w:type="dxa" w:w="100"/>
              <w:bottom w:type="dxa" w:w="50"/>
              <w:right w:type="dxa" w:w="100"/>
            </w:tcMar>
            <w:vAlign w:val="center"/>
          </w:tcPr>
          <w:p>
            <w:r>
              <w:rPr>
                <w:rFonts w:ascii="Calibri" w:cs="Calibri" w:eastAsia="Calibri" w:hAnsi="Calibri"/>
                <w:b w:val="false"/>
                <w:bCs w:val="false"/>
                <w:color w:val="333344"/>
                <w:sz w:val="17"/>
                <w:szCs w:val="17"/>
              </w:rPr>
              <w:t xml:space="preserve">Mémo avocat : statut CASP, PSFP, AIFM. MSA avec PSP, Monerium, partenaire CASP DeFi.</w:t>
            </w:r>
          </w:p>
        </w:tc>
      </w:tr>
      <w:tr>
        <w:tc>
          <w:tcPr>
            <w:tcW w:type="dxa" w:w="1500"/>
            <w:tcBorders>
              <w:top w:val="single" w:color="CBCCE5" w:sz="4"/>
              <w:left w:val="single" w:color="CBCCE5" w:sz="4"/>
              <w:bottom w:val="single" w:color="CBCCE5" w:sz="4"/>
              <w:right w:val="single" w:color="CBCCE5" w:sz="4"/>
            </w:tcBorders>
            <w:shd w:fill="FFFFFF" w:val="clear"/>
            <w:tcMar>
              <w:top w:type="dxa" w:w="50"/>
              <w:left w:type="dxa" w:w="100"/>
              <w:bottom w:type="dxa" w:w="50"/>
              <w:right w:type="dxa" w:w="100"/>
            </w:tcMar>
            <w:vAlign w:val="center"/>
          </w:tcPr>
          <w:p>
            <w:pPr>
              <w:jc w:val="center"/>
            </w:pPr>
            <w:r>
              <w:rPr>
                <w:rFonts w:ascii="Calibri" w:cs="Calibri" w:eastAsia="Calibri" w:hAnsi="Calibri"/>
                <w:b/>
                <w:bCs/>
                <w:color w:val="1E1B4B"/>
                <w:sz w:val="17"/>
                <w:szCs w:val="17"/>
              </w:rPr>
              <w:t xml:space="preserve">M3–M5</w:t>
            </w:r>
          </w:p>
        </w:tc>
        <w:tc>
          <w:tcPr>
            <w:tcW w:type="dxa" w:w="7526"/>
            <w:tcBorders>
              <w:top w:val="single" w:color="CBCCE5" w:sz="4"/>
              <w:left w:val="single" w:color="CBCCE5" w:sz="4"/>
              <w:bottom w:val="single" w:color="CBCCE5" w:sz="4"/>
              <w:right w:val="single" w:color="CBCCE5" w:sz="4"/>
            </w:tcBorders>
            <w:shd w:fill="FFFFFF" w:val="clear"/>
            <w:tcMar>
              <w:top w:type="dxa" w:w="50"/>
              <w:left w:type="dxa" w:w="100"/>
              <w:bottom w:type="dxa" w:w="50"/>
              <w:right w:type="dxa" w:w="100"/>
            </w:tcMar>
            <w:vAlign w:val="center"/>
          </w:tcPr>
          <w:p>
            <w:r>
              <w:rPr>
                <w:rFonts w:ascii="Calibri" w:cs="Calibri" w:eastAsia="Calibri" w:hAnsi="Calibri"/>
                <w:b w:val="false"/>
                <w:bCs w:val="false"/>
                <w:color w:val="333344"/>
                <w:sz w:val="17"/>
                <w:szCs w:val="17"/>
              </w:rPr>
              <w:t xml:space="preserve">CGU/CGV B2C BTP + annexe opt-in DeFi. DPIA + registre RGPD. Adhésion CECMC.</w:t>
            </w:r>
          </w:p>
        </w:tc>
      </w:tr>
      <w:tr>
        <w:tc>
          <w:tcPr>
            <w:tcW w:type="dxa" w:w="1500"/>
            <w:tcBorders>
              <w:top w:val="single" w:color="CBCCE5" w:sz="4"/>
              <w:left w:val="single" w:color="CBCCE5" w:sz="4"/>
              <w:bottom w:val="single" w:color="CBCCE5" w:sz="4"/>
              <w:right w:val="single" w:color="CBCCE5" w:sz="4"/>
            </w:tcBorders>
            <w:shd w:fill="F1F0FF" w:val="clear"/>
            <w:tcMar>
              <w:top w:type="dxa" w:w="50"/>
              <w:left w:type="dxa" w:w="100"/>
              <w:bottom w:type="dxa" w:w="50"/>
              <w:right w:type="dxa" w:w="100"/>
            </w:tcMar>
            <w:vAlign w:val="center"/>
          </w:tcPr>
          <w:p>
            <w:pPr>
              <w:jc w:val="center"/>
            </w:pPr>
            <w:r>
              <w:rPr>
                <w:rFonts w:ascii="Calibri" w:cs="Calibri" w:eastAsia="Calibri" w:hAnsi="Calibri"/>
                <w:b/>
                <w:bCs/>
                <w:color w:val="1E1B4B"/>
                <w:sz w:val="17"/>
                <w:szCs w:val="17"/>
              </w:rPr>
              <w:t xml:space="preserve">M5–M7</w:t>
            </w:r>
          </w:p>
        </w:tc>
        <w:tc>
          <w:tcPr>
            <w:tcW w:type="dxa" w:w="7526"/>
            <w:tcBorders>
              <w:top w:val="single" w:color="CBCCE5" w:sz="4"/>
              <w:left w:val="single" w:color="CBCCE5" w:sz="4"/>
              <w:bottom w:val="single" w:color="CBCCE5" w:sz="4"/>
              <w:right w:val="single" w:color="CBCCE5" w:sz="4"/>
            </w:tcBorders>
            <w:shd w:fill="F1F0FF" w:val="clear"/>
            <w:tcMar>
              <w:top w:type="dxa" w:w="50"/>
              <w:left w:type="dxa" w:w="100"/>
              <w:bottom w:type="dxa" w:w="50"/>
              <w:right w:type="dxa" w:w="100"/>
            </w:tcMar>
            <w:vAlign w:val="center"/>
          </w:tcPr>
          <w:p>
            <w:r>
              <w:rPr>
                <w:rFonts w:ascii="Calibri" w:cs="Calibri" w:eastAsia="Calibri" w:hAnsi="Calibri"/>
                <w:b w:val="false"/>
                <w:bCs w:val="false"/>
                <w:color w:val="333344"/>
                <w:sz w:val="17"/>
                <w:szCs w:val="17"/>
              </w:rPr>
              <w:t xml:space="preserve">Audit smart contract (OpenZeppelin / Trail of Bits). Audit ANSSI. Testnet → mainnet.</w:t>
            </w:r>
          </w:p>
        </w:tc>
      </w:tr>
      <w:tr>
        <w:tc>
          <w:tcPr>
            <w:tcW w:type="dxa" w:w="1500"/>
            <w:tcBorders>
              <w:top w:val="single" w:color="CBCCE5" w:sz="4"/>
              <w:left w:val="single" w:color="CBCCE5" w:sz="4"/>
              <w:bottom w:val="single" w:color="CBCCE5" w:sz="4"/>
              <w:right w:val="single" w:color="CBCCE5" w:sz="4"/>
            </w:tcBorders>
            <w:shd w:fill="FFFFFF" w:val="clear"/>
            <w:tcMar>
              <w:top w:type="dxa" w:w="50"/>
              <w:left w:type="dxa" w:w="100"/>
              <w:bottom w:type="dxa" w:w="50"/>
              <w:right w:type="dxa" w:w="100"/>
            </w:tcMar>
            <w:vAlign w:val="center"/>
          </w:tcPr>
          <w:p>
            <w:pPr>
              <w:jc w:val="center"/>
            </w:pPr>
            <w:r>
              <w:rPr>
                <w:rFonts w:ascii="Calibri" w:cs="Calibri" w:eastAsia="Calibri" w:hAnsi="Calibri"/>
                <w:b/>
                <w:bCs/>
                <w:color w:val="1E1B4B"/>
                <w:sz w:val="17"/>
                <w:szCs w:val="17"/>
              </w:rPr>
              <w:t xml:space="preserve">M7–M12</w:t>
            </w:r>
          </w:p>
        </w:tc>
        <w:tc>
          <w:tcPr>
            <w:tcW w:type="dxa" w:w="7526"/>
            <w:tcBorders>
              <w:top w:val="single" w:color="CBCCE5" w:sz="4"/>
              <w:left w:val="single" w:color="CBCCE5" w:sz="4"/>
              <w:bottom w:val="single" w:color="CBCCE5" w:sz="4"/>
              <w:right w:val="single" w:color="CBCCE5" w:sz="4"/>
            </w:tcBorders>
            <w:shd w:fill="FFFFFF" w:val="clear"/>
            <w:tcMar>
              <w:top w:type="dxa" w:w="50"/>
              <w:left w:type="dxa" w:w="100"/>
              <w:bottom w:type="dxa" w:w="50"/>
              <w:right w:type="dxa" w:w="100"/>
            </w:tcMar>
            <w:vAlign w:val="center"/>
          </w:tcPr>
          <w:p>
            <w:r>
              <w:rPr>
                <w:rFonts w:ascii="Calibri" w:cs="Calibri" w:eastAsia="Calibri" w:hAnsi="Calibri"/>
                <w:b w:val="false"/>
                <w:bCs w:val="false"/>
                <w:color w:val="333344"/>
                <w:sz w:val="17"/>
                <w:szCs w:val="17"/>
              </w:rPr>
              <w:t xml:space="preserve">Lancement contrôlé (bêta fermée). Bug bounty Immunefi. Arbitrage CASP propre Y2.</w:t>
            </w:r>
          </w:p>
        </w:tc>
      </w:tr>
    </w:tbl>
    <w:p>
      <w:pPr>
        <w:pStyle w:val="Heading2"/>
        <w:spacing w:after="40" w:before="140"/>
      </w:pPr>
      <w:r>
        <w:rPr>
          <w:rFonts w:ascii="Calibri" w:cs="Calibri" w:eastAsia="Calibri" w:hAnsi="Calibri"/>
          <w:b/>
          <w:bCs/>
          <w:color w:val="1E1B4B"/>
          <w:sz w:val="22"/>
          <w:szCs w:val="22"/>
        </w:rPr>
        <w:t xml:space="preserve">Partenaires juridiques &amp; budget Y1 (scénario délégation)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526"/>
        <w:gridCol w:w="2200"/>
      </w:tblGrid>
      <w:tr>
        <w:trPr>
          <w:tblHeader/>
        </w:trPr>
        <w:tc>
          <w:tcPr>
            <w:tcW w:type="dxa" w:w="2300"/>
            <w:tcBorders>
              <w:top w:val="single" w:color="CBCCE5" w:sz="4"/>
              <w:left w:val="single" w:color="CBCCE5" w:sz="4"/>
              <w:bottom w:val="single" w:color="CBCCE5" w:sz="4"/>
              <w:right w:val="single" w:color="CBCCE5" w:sz="4"/>
            </w:tcBorders>
            <w:shd w:fill="1E1B4B" w:val="clear"/>
            <w:tcMar>
              <w:top w:type="dxa" w:w="50"/>
              <w:left w:type="dxa" w:w="100"/>
              <w:bottom w:type="dxa" w:w="50"/>
              <w:right w:type="dxa" w:w="100"/>
            </w:tcMar>
            <w:vAlign w:val="center"/>
          </w:tcPr>
          <w:p>
            <w:pPr>
              <w:jc w:val="center"/>
            </w:pPr>
            <w:r>
              <w:rPr>
                <w:rFonts w:ascii="Calibri" w:cs="Calibri" w:eastAsia="Calibri" w:hAnsi="Calibri"/>
                <w:b/>
                <w:bCs/>
                <w:color w:val="FFFFFF"/>
                <w:sz w:val="17"/>
                <w:szCs w:val="17"/>
              </w:rPr>
              <w:t xml:space="preserve">Expert</w:t>
            </w:r>
          </w:p>
        </w:tc>
        <w:tc>
          <w:tcPr>
            <w:tcW w:type="dxa" w:w="4526"/>
            <w:tcBorders>
              <w:top w:val="single" w:color="CBCCE5" w:sz="4"/>
              <w:left w:val="single" w:color="CBCCE5" w:sz="4"/>
              <w:bottom w:val="single" w:color="CBCCE5" w:sz="4"/>
              <w:right w:val="single" w:color="CBCCE5" w:sz="4"/>
            </w:tcBorders>
            <w:shd w:fill="4D43F0" w:val="clear"/>
            <w:tcMar>
              <w:top w:type="dxa" w:w="50"/>
              <w:left w:type="dxa" w:w="100"/>
              <w:bottom w:type="dxa" w:w="50"/>
              <w:right w:type="dxa" w:w="100"/>
            </w:tcMar>
            <w:vAlign w:val="center"/>
          </w:tcPr>
          <w:p>
            <w:pPr>
              <w:jc w:val="center"/>
            </w:pPr>
            <w:r>
              <w:rPr>
                <w:rFonts w:ascii="Calibri" w:cs="Calibri" w:eastAsia="Calibri" w:hAnsi="Calibri"/>
                <w:b/>
                <w:bCs/>
                <w:color w:val="FFFFFF"/>
                <w:sz w:val="17"/>
                <w:szCs w:val="17"/>
              </w:rPr>
              <w:t xml:space="preserve">Stratégie / mission</w:t>
            </w:r>
          </w:p>
        </w:tc>
        <w:tc>
          <w:tcPr>
            <w:tcW w:type="dxa" w:w="2200"/>
            <w:tcBorders>
              <w:top w:val="single" w:color="CBCCE5" w:sz="4"/>
              <w:left w:val="single" w:color="CBCCE5" w:sz="4"/>
              <w:bottom w:val="single" w:color="CBCCE5" w:sz="4"/>
              <w:right w:val="single" w:color="CBCCE5" w:sz="4"/>
            </w:tcBorders>
            <w:shd w:fill="1E1B4B" w:val="clear"/>
            <w:tcMar>
              <w:top w:type="dxa" w:w="50"/>
              <w:left w:type="dxa" w:w="100"/>
              <w:bottom w:type="dxa" w:w="50"/>
              <w:right w:type="dxa" w:w="100"/>
            </w:tcMar>
            <w:vAlign w:val="center"/>
          </w:tcPr>
          <w:p>
            <w:pPr>
              <w:jc w:val="center"/>
            </w:pPr>
            <w:r>
              <w:rPr>
                <w:rFonts w:ascii="Calibri" w:cs="Calibri" w:eastAsia="Calibri" w:hAnsi="Calibri"/>
                <w:b/>
                <w:bCs/>
                <w:color w:val="FFFFFF"/>
                <w:sz w:val="17"/>
                <w:szCs w:val="17"/>
              </w:rPr>
              <w:t xml:space="preserve">Budget HT</w:t>
            </w:r>
          </w:p>
        </w:tc>
      </w:tr>
      <w:tr>
        <w:tc>
          <w:tcPr>
            <w:tcW w:type="dxa" w:w="2300"/>
            <w:tcBorders>
              <w:top w:val="single" w:color="CBCCE5" w:sz="4"/>
              <w:left w:val="single" w:color="CBCCE5" w:sz="4"/>
              <w:bottom w:val="single" w:color="CBCCE5" w:sz="4"/>
              <w:right w:val="single" w:color="CBCCE5" w:sz="4"/>
            </w:tcBorders>
            <w:shd w:fill="FFFFFF" w:val="clear"/>
            <w:tcMar>
              <w:top w:type="dxa" w:w="50"/>
              <w:left w:type="dxa" w:w="100"/>
              <w:bottom w:type="dxa" w:w="50"/>
              <w:right w:type="dxa" w:w="100"/>
            </w:tcMar>
            <w:vAlign w:val="center"/>
          </w:tcPr>
          <w:p>
            <w:r>
              <w:rPr>
                <w:rFonts w:ascii="Calibri" w:cs="Calibri" w:eastAsia="Calibri" w:hAnsi="Calibri"/>
                <w:b/>
                <w:bCs/>
                <w:color w:val="1E1B4B"/>
                <w:sz w:val="17"/>
                <w:szCs w:val="17"/>
              </w:rPr>
              <w:t xml:space="preserve">Juriste (spé. IT)</w:t>
            </w:r>
          </w:p>
        </w:tc>
        <w:tc>
          <w:tcPr>
            <w:tcW w:type="dxa" w:w="4526"/>
            <w:tcBorders>
              <w:top w:val="single" w:color="CBCCE5" w:sz="4"/>
              <w:left w:val="single" w:color="CBCCE5" w:sz="4"/>
              <w:bottom w:val="single" w:color="CBCCE5" w:sz="4"/>
              <w:right w:val="single" w:color="CBCCE5" w:sz="4"/>
            </w:tcBorders>
            <w:shd w:fill="FFFFFF" w:val="clear"/>
            <w:tcMar>
              <w:top w:type="dxa" w:w="50"/>
              <w:left w:type="dxa" w:w="100"/>
              <w:bottom w:type="dxa" w:w="50"/>
              <w:right w:type="dxa" w:w="100"/>
            </w:tcMar>
            <w:vAlign w:val="center"/>
          </w:tcPr>
          <w:p>
            <w:r>
              <w:rPr>
                <w:rFonts w:ascii="Calibri" w:cs="Calibri" w:eastAsia="Calibri" w:hAnsi="Calibri"/>
                <w:b w:val="false"/>
                <w:bCs w:val="false"/>
                <w:color w:val="333344"/>
                <w:sz w:val="17"/>
                <w:szCs w:val="17"/>
              </w:rPr>
              <w:t xml:space="preserve">Veille MiCA/RGPD, fiches droit conso BTP &amp; CECMC.</w:t>
            </w:r>
          </w:p>
        </w:tc>
        <w:tc>
          <w:tcPr>
            <w:tcW w:type="dxa" w:w="2200"/>
            <w:tcBorders>
              <w:top w:val="single" w:color="CBCCE5" w:sz="4"/>
              <w:left w:val="single" w:color="CBCCE5" w:sz="4"/>
              <w:bottom w:val="single" w:color="CBCCE5" w:sz="4"/>
              <w:right w:val="single" w:color="CBCCE5" w:sz="4"/>
            </w:tcBorders>
            <w:shd w:fill="FFFFFF" w:val="clear"/>
            <w:tcMar>
              <w:top w:type="dxa" w:w="50"/>
              <w:left w:type="dxa" w:w="100"/>
              <w:bottom w:type="dxa" w:w="50"/>
              <w:right w:type="dxa" w:w="100"/>
            </w:tcMar>
            <w:vAlign w:val="center"/>
          </w:tcPr>
          <w:p>
            <w:pPr>
              <w:jc w:val="center"/>
            </w:pPr>
            <w:r>
              <w:rPr>
                <w:rFonts w:ascii="Calibri" w:cs="Calibri" w:eastAsia="Calibri" w:hAnsi="Calibri"/>
                <w:b/>
                <w:bCs/>
                <w:color w:val="4D43F0"/>
                <w:sz w:val="17"/>
                <w:szCs w:val="17"/>
              </w:rPr>
              <w:t xml:space="preserve">500 – 1 500 € HT</w:t>
            </w:r>
          </w:p>
        </w:tc>
      </w:tr>
      <w:tr>
        <w:tc>
          <w:tcPr>
            <w:tcW w:type="dxa" w:w="2300"/>
            <w:tcBorders>
              <w:top w:val="single" w:color="CBCCE5" w:sz="4"/>
              <w:left w:val="single" w:color="CBCCE5" w:sz="4"/>
              <w:bottom w:val="single" w:color="CBCCE5" w:sz="4"/>
              <w:right w:val="single" w:color="CBCCE5" w:sz="4"/>
            </w:tcBorders>
            <w:shd w:fill="F1F0FF" w:val="clear"/>
            <w:tcMar>
              <w:top w:type="dxa" w:w="50"/>
              <w:left w:type="dxa" w:w="100"/>
              <w:bottom w:type="dxa" w:w="50"/>
              <w:right w:type="dxa" w:w="100"/>
            </w:tcMar>
            <w:vAlign w:val="center"/>
          </w:tcPr>
          <w:p>
            <w:r>
              <w:rPr>
                <w:rFonts w:ascii="Calibri" w:cs="Calibri" w:eastAsia="Calibri" w:hAnsi="Calibri"/>
                <w:b/>
                <w:bCs/>
                <w:color w:val="1E1B4B"/>
                <w:sz w:val="17"/>
                <w:szCs w:val="17"/>
              </w:rPr>
              <w:t xml:space="preserve">Avocat (droit bancaire &amp; IT)</w:t>
            </w:r>
          </w:p>
        </w:tc>
        <w:tc>
          <w:tcPr>
            <w:tcW w:type="dxa" w:w="4526"/>
            <w:tcBorders>
              <w:top w:val="single" w:color="CBCCE5" w:sz="4"/>
              <w:left w:val="single" w:color="CBCCE5" w:sz="4"/>
              <w:bottom w:val="single" w:color="CBCCE5" w:sz="4"/>
              <w:right w:val="single" w:color="CBCCE5" w:sz="4"/>
            </w:tcBorders>
            <w:shd w:fill="F1F0FF" w:val="clear"/>
            <w:tcMar>
              <w:top w:type="dxa" w:w="50"/>
              <w:left w:type="dxa" w:w="100"/>
              <w:bottom w:type="dxa" w:w="50"/>
              <w:right w:type="dxa" w:w="100"/>
            </w:tcMar>
            <w:vAlign w:val="center"/>
          </w:tcPr>
          <w:p>
            <w:r>
              <w:rPr>
                <w:rFonts w:ascii="Calibri" w:cs="Calibri" w:eastAsia="Calibri" w:hAnsi="Calibri"/>
                <w:b w:val="false"/>
                <w:bCs w:val="false"/>
                <w:color w:val="333344"/>
                <w:sz w:val="17"/>
                <w:szCs w:val="17"/>
              </w:rPr>
              <w:t xml:space="preserve">Mémo CASP/PSFP/AIFM, MSA PSP + Monerium + CASP DeFi, CGU/CGV + annexe opt-in.</w:t>
            </w:r>
          </w:p>
        </w:tc>
        <w:tc>
          <w:tcPr>
            <w:tcW w:type="dxa" w:w="2200"/>
            <w:tcBorders>
              <w:top w:val="single" w:color="CBCCE5" w:sz="4"/>
              <w:left w:val="single" w:color="CBCCE5" w:sz="4"/>
              <w:bottom w:val="single" w:color="CBCCE5" w:sz="4"/>
              <w:right w:val="single" w:color="CBCCE5" w:sz="4"/>
            </w:tcBorders>
            <w:shd w:fill="F1F0FF" w:val="clear"/>
            <w:tcMar>
              <w:top w:type="dxa" w:w="50"/>
              <w:left w:type="dxa" w:w="100"/>
              <w:bottom w:type="dxa" w:w="50"/>
              <w:right w:type="dxa" w:w="100"/>
            </w:tcMar>
            <w:vAlign w:val="center"/>
          </w:tcPr>
          <w:p>
            <w:pPr>
              <w:jc w:val="center"/>
            </w:pPr>
            <w:r>
              <w:rPr>
                <w:rFonts w:ascii="Calibri" w:cs="Calibri" w:eastAsia="Calibri" w:hAnsi="Calibri"/>
                <w:b/>
                <w:bCs/>
                <w:color w:val="4D43F0"/>
                <w:sz w:val="17"/>
                <w:szCs w:val="17"/>
              </w:rPr>
              <w:t xml:space="preserve">8 000 – 12 000 € HT</w:t>
            </w:r>
          </w:p>
        </w:tc>
      </w:tr>
      <w:tr>
        <w:tc>
          <w:tcPr>
            <w:tcW w:type="dxa" w:w="2300"/>
            <w:tcBorders>
              <w:top w:val="single" w:color="CBCCE5" w:sz="4"/>
              <w:left w:val="single" w:color="CBCCE5" w:sz="4"/>
              <w:bottom w:val="single" w:color="CBCCE5" w:sz="4"/>
              <w:right w:val="single" w:color="CBCCE5" w:sz="4"/>
            </w:tcBorders>
            <w:shd w:fill="FFFFFF" w:val="clear"/>
            <w:tcMar>
              <w:top w:type="dxa" w:w="50"/>
              <w:left w:type="dxa" w:w="100"/>
              <w:bottom w:type="dxa" w:w="50"/>
              <w:right w:type="dxa" w:w="100"/>
            </w:tcMar>
            <w:vAlign w:val="center"/>
          </w:tcPr>
          <w:p>
            <w:r>
              <w:rPr>
                <w:rFonts w:ascii="Calibri" w:cs="Calibri" w:eastAsia="Calibri" w:hAnsi="Calibri"/>
                <w:b/>
                <w:bCs/>
                <w:color w:val="1E1B4B"/>
                <w:sz w:val="17"/>
                <w:szCs w:val="17"/>
              </w:rPr>
              <w:t xml:space="preserve">Comptable (spé. crypto)</w:t>
            </w:r>
          </w:p>
        </w:tc>
        <w:tc>
          <w:tcPr>
            <w:tcW w:type="dxa" w:w="4526"/>
            <w:tcBorders>
              <w:top w:val="single" w:color="CBCCE5" w:sz="4"/>
              <w:left w:val="single" w:color="CBCCE5" w:sz="4"/>
              <w:bottom w:val="single" w:color="CBCCE5" w:sz="4"/>
              <w:right w:val="single" w:color="CBCCE5" w:sz="4"/>
            </w:tcBorders>
            <w:shd w:fill="FFFFFF" w:val="clear"/>
            <w:tcMar>
              <w:top w:type="dxa" w:w="50"/>
              <w:left w:type="dxa" w:w="100"/>
              <w:bottom w:type="dxa" w:w="50"/>
              <w:right w:type="dxa" w:w="100"/>
            </w:tcMar>
            <w:vAlign w:val="center"/>
          </w:tcPr>
          <w:p>
            <w:r>
              <w:rPr>
                <w:rFonts w:ascii="Calibri" w:cs="Calibri" w:eastAsia="Calibri" w:hAnsi="Calibri"/>
                <w:b w:val="false"/>
                <w:bCs w:val="false"/>
                <w:color w:val="333344"/>
                <w:sz w:val="17"/>
                <w:szCs w:val="17"/>
              </w:rPr>
              <w:t xml:space="preserve">Plan comptable écritures EURe + crédits travaux, fiscal escrow + yield DeFi, FEC.</w:t>
            </w:r>
          </w:p>
        </w:tc>
        <w:tc>
          <w:tcPr>
            <w:tcW w:type="dxa" w:w="2200"/>
            <w:tcBorders>
              <w:top w:val="single" w:color="CBCCE5" w:sz="4"/>
              <w:left w:val="single" w:color="CBCCE5" w:sz="4"/>
              <w:bottom w:val="single" w:color="CBCCE5" w:sz="4"/>
              <w:right w:val="single" w:color="CBCCE5" w:sz="4"/>
            </w:tcBorders>
            <w:shd w:fill="FFFFFF" w:val="clear"/>
            <w:tcMar>
              <w:top w:type="dxa" w:w="50"/>
              <w:left w:type="dxa" w:w="100"/>
              <w:bottom w:type="dxa" w:w="50"/>
              <w:right w:type="dxa" w:w="100"/>
            </w:tcMar>
            <w:vAlign w:val="center"/>
          </w:tcPr>
          <w:p>
            <w:pPr>
              <w:jc w:val="center"/>
            </w:pPr>
            <w:r>
              <w:rPr>
                <w:rFonts w:ascii="Calibri" w:cs="Calibri" w:eastAsia="Calibri" w:hAnsi="Calibri"/>
                <w:b/>
                <w:bCs/>
                <w:color w:val="4D43F0"/>
                <w:sz w:val="17"/>
                <w:szCs w:val="17"/>
              </w:rPr>
              <w:t xml:space="preserve">2 500 – 4 000 € HT</w:t>
            </w:r>
          </w:p>
        </w:tc>
      </w:tr>
      <w:tr>
        <w:tc>
          <w:tcPr>
            <w:tcW w:type="dxa" w:w="2300"/>
            <w:tcBorders>
              <w:top w:val="single" w:color="CBCCE5" w:sz="4"/>
              <w:left w:val="single" w:color="CBCCE5" w:sz="4"/>
              <w:bottom w:val="single" w:color="CBCCE5" w:sz="4"/>
              <w:right w:val="single" w:color="CBCCE5" w:sz="4"/>
            </w:tcBorders>
            <w:shd w:fill="F1F0FF" w:val="clear"/>
            <w:tcMar>
              <w:top w:type="dxa" w:w="50"/>
              <w:left w:type="dxa" w:w="100"/>
              <w:bottom w:type="dxa" w:w="50"/>
              <w:right w:type="dxa" w:w="100"/>
            </w:tcMar>
            <w:vAlign w:val="center"/>
          </w:tcPr>
          <w:p>
            <w:r>
              <w:rPr>
                <w:rFonts w:ascii="Calibri" w:cs="Calibri" w:eastAsia="Calibri" w:hAnsi="Calibri"/>
                <w:b/>
                <w:bCs/>
                <w:color w:val="1E1B4B"/>
                <w:sz w:val="17"/>
                <w:szCs w:val="17"/>
              </w:rPr>
              <w:t xml:space="preserve">Frais administratifs</w:t>
            </w:r>
          </w:p>
        </w:tc>
        <w:tc>
          <w:tcPr>
            <w:tcW w:type="dxa" w:w="4526"/>
            <w:tcBorders>
              <w:top w:val="single" w:color="CBCCE5" w:sz="4"/>
              <w:left w:val="single" w:color="CBCCE5" w:sz="4"/>
              <w:bottom w:val="single" w:color="CBCCE5" w:sz="4"/>
              <w:right w:val="single" w:color="CBCCE5" w:sz="4"/>
            </w:tcBorders>
            <w:shd w:fill="F1F0FF" w:val="clear"/>
            <w:tcMar>
              <w:top w:type="dxa" w:w="50"/>
              <w:left w:type="dxa" w:w="100"/>
              <w:bottom w:type="dxa" w:w="50"/>
              <w:right w:type="dxa" w:w="100"/>
            </w:tcMar>
            <w:vAlign w:val="center"/>
          </w:tcPr>
          <w:p>
            <w:r>
              <w:rPr>
                <w:rFonts w:ascii="Calibri" w:cs="Calibri" w:eastAsia="Calibri" w:hAnsi="Calibri"/>
                <w:b w:val="false"/>
                <w:bCs w:val="false"/>
                <w:color w:val="333344"/>
                <w:sz w:val="17"/>
                <w:szCs w:val="17"/>
              </w:rPr>
              <w:t xml:space="preserve">Adhésion CECMC, frais de dossier, formalités.</w:t>
            </w:r>
          </w:p>
        </w:tc>
        <w:tc>
          <w:tcPr>
            <w:tcW w:type="dxa" w:w="2200"/>
            <w:tcBorders>
              <w:top w:val="single" w:color="CBCCE5" w:sz="4"/>
              <w:left w:val="single" w:color="CBCCE5" w:sz="4"/>
              <w:bottom w:val="single" w:color="CBCCE5" w:sz="4"/>
              <w:right w:val="single" w:color="CBCCE5" w:sz="4"/>
            </w:tcBorders>
            <w:shd w:fill="F1F0FF" w:val="clear"/>
            <w:tcMar>
              <w:top w:type="dxa" w:w="50"/>
              <w:left w:type="dxa" w:w="100"/>
              <w:bottom w:type="dxa" w:w="50"/>
              <w:right w:type="dxa" w:w="100"/>
            </w:tcMar>
            <w:vAlign w:val="center"/>
          </w:tcPr>
          <w:p>
            <w:pPr>
              <w:jc w:val="center"/>
            </w:pPr>
            <w:r>
              <w:rPr>
                <w:rFonts w:ascii="Calibri" w:cs="Calibri" w:eastAsia="Calibri" w:hAnsi="Calibri"/>
                <w:b/>
                <w:bCs/>
                <w:color w:val="4D43F0"/>
                <w:sz w:val="17"/>
                <w:szCs w:val="17"/>
              </w:rPr>
              <w:t xml:space="preserve">1 000 – 2 500 € HT</w:t>
            </w:r>
          </w:p>
        </w:tc>
      </w:tr>
      <w:tr>
        <w:tc>
          <w:tcPr>
            <w:tcW w:type="dxa" w:w="6826"/>
            <w:gridSpan w:val="2"/>
            <w:tcBorders>
              <w:top w:val="single" w:color="CBCCE5" w:sz="4"/>
              <w:left w:val="single" w:color="CBCCE5" w:sz="4"/>
              <w:bottom w:val="single" w:color="CBCCE5" w:sz="4"/>
              <w:right w:val="single" w:color="CBCCE5" w:sz="4"/>
            </w:tcBorders>
            <w:shd w:fill="1E1B4B" w:val="clear"/>
            <w:tcMar>
              <w:top w:type="dxa" w:w="50"/>
              <w:left w:type="dxa" w:w="100"/>
              <w:bottom w:type="dxa" w:w="50"/>
              <w:right w:type="dxa" w:w="100"/>
            </w:tcMar>
            <w:vAlign w:val="center"/>
          </w:tcPr>
          <w:p>
            <w:pPr>
              <w:jc w:val="right"/>
            </w:pPr>
            <w:r>
              <w:rPr>
                <w:rFonts w:ascii="Calibri" w:cs="Calibri" w:eastAsia="Calibri" w:hAnsi="Calibri"/>
                <w:b/>
                <w:bCs/>
                <w:color w:val="FFFFFF"/>
                <w:sz w:val="19"/>
                <w:szCs w:val="19"/>
              </w:rPr>
              <w:t xml:space="preserve">TOTAL Y1 — scénario délégation</w:t>
            </w:r>
          </w:p>
        </w:tc>
        <w:tc>
          <w:tcPr>
            <w:tcW w:type="dxa" w:w="2200"/>
            <w:tcBorders>
              <w:top w:val="single" w:color="CBCCE5" w:sz="4"/>
              <w:left w:val="single" w:color="CBCCE5" w:sz="4"/>
              <w:bottom w:val="single" w:color="CBCCE5" w:sz="4"/>
              <w:right w:val="single" w:color="CBCCE5" w:sz="4"/>
            </w:tcBorders>
            <w:shd w:fill="1E1B4B" w:val="clear"/>
            <w:tcMar>
              <w:top w:type="dxa" w:w="50"/>
              <w:left w:type="dxa" w:w="100"/>
              <w:bottom w:type="dxa" w:w="50"/>
              <w:right w:type="dxa" w:w="100"/>
            </w:tcMar>
            <w:vAlign w:val="center"/>
          </w:tcPr>
          <w:p>
            <w:pPr>
              <w:jc w:val="center"/>
            </w:pPr>
            <w:r>
              <w:rPr>
                <w:rFonts w:ascii="Calibri" w:cs="Calibri" w:eastAsia="Calibri" w:hAnsi="Calibri"/>
                <w:b/>
                <w:bCs/>
                <w:color w:val="FFFFFF"/>
                <w:sz w:val="19"/>
                <w:szCs w:val="19"/>
              </w:rPr>
              <w:t xml:space="preserve">12 000 – 20 000 € HT</w:t>
            </w:r>
          </w:p>
        </w:tc>
      </w:tr>
    </w:tbl>
    <w:p>
      <w:pPr>
        <w:pBdr>
          <w:top w:val="single" w:color="B87D00" w:sz="4" w:space="4"/>
          <w:bottom w:val="single" w:color="B87D00" w:sz="4" w:space="4"/>
          <w:left w:val="single" w:color="B87D00" w:sz="24" w:space="6"/>
          <w:right w:val="single" w:color="B87D00" w:sz="4" w:space="4"/>
        </w:pBdr>
        <w:shd w:fill="FFF4D6" w:val="clear"/>
        <w:spacing w:after="60" w:before="100" w:line="230"/>
        <w:jc w:val="left"/>
      </w:pPr>
      <w:r>
        <w:rPr>
          <w:rFonts w:ascii="Calibri" w:cs="Calibri" w:eastAsia="Calibri" w:hAnsi="Calibri"/>
          <w:b/>
          <w:bCs/>
          <w:color w:val="B87D00"/>
          <w:sz w:val="20"/>
          <w:szCs w:val="20"/>
        </w:rPr>
        <w:t xml:space="preserve">⚠  </w:t>
      </w:r>
      <w:r>
        <w:rPr>
          <w:rFonts w:ascii="Calibri" w:cs="Calibri" w:eastAsia="Calibri" w:hAnsi="Calibri"/>
          <w:b/>
          <w:bCs/>
          <w:color w:val="6B4800"/>
          <w:sz w:val="18"/>
          <w:szCs w:val="18"/>
        </w:rPr>
        <w:t xml:space="preserve">Scénario alternatif — CASP en propre (Y2) : </w:t>
      </w:r>
      <w:r>
        <w:rPr>
          <w:rFonts w:ascii="Calibri" w:cs="Calibri" w:eastAsia="Calibri" w:hAnsi="Calibri"/>
          <w:b/>
          <w:bCs/>
          <w:color w:val="B87D00"/>
          <w:sz w:val="20"/>
          <w:szCs w:val="20"/>
        </w:rPr>
        <w:t xml:space="preserve">+50 000 à 150 000 € HT</w:t>
      </w:r>
      <w:r>
        <w:rPr>
          <w:rFonts w:ascii="Calibri" w:cs="Calibri" w:eastAsia="Calibri" w:hAnsi="Calibri"/>
          <w:b w:val="false"/>
          <w:bCs w:val="false"/>
          <w:color w:val="6B4800"/>
          <w:sz w:val="16"/>
          <w:szCs w:val="16"/>
        </w:rPr>
        <w:t xml:space="preserve"> (capital réglementé ~50 k€ + dossier AMF/ACPR + avocat dédié). Ouvre le passeport européen.</w:t>
      </w:r>
    </w:p>
    <w:p>
      <w:pPr>
        <w:shd w:fill="F1F0FF" w:val="clear"/>
        <w:spacing w:after="0" w:before="60" w:line="200"/>
        <w:jc w:val="left"/>
      </w:pPr>
      <w:r>
        <w:rPr>
          <w:rFonts w:ascii="Calibri" w:cs="Calibri" w:eastAsia="Calibri" w:hAnsi="Calibri"/>
          <w:b w:val="false"/>
          <w:bCs w:val="false"/>
          <w:color w:val="333344"/>
          <w:sz w:val="14"/>
          <w:szCs w:val="14"/>
        </w:rPr>
        <w:t xml:space="preserve">Hors coûts d’audit smart contract (15–25 k€, M5–M7) et bug bounty Immunefi. </w:t>
      </w:r>
      <w:r>
        <w:rPr>
          <w:rFonts w:ascii="Calibri" w:cs="Calibri" w:eastAsia="Calibri" w:hAnsi="Calibri"/>
          <w:b/>
          <w:bCs/>
          <w:color w:val="1E1B4B"/>
          <w:sz w:val="14"/>
          <w:szCs w:val="14"/>
        </w:rPr>
        <w:t xml:space="preserve">⚠  </w:t>
      </w:r>
      <w:r>
        <w:rPr>
          <w:rFonts w:ascii="Calibri" w:cs="Calibri" w:eastAsia="Calibri" w:hAnsi="Calibri"/>
          <w:b w:val="false"/>
          <w:bCs w:val="false"/>
          <w:color w:val="333344"/>
          <w:sz w:val="14"/>
          <w:szCs w:val="14"/>
        </w:rPr>
        <w:t xml:space="preserve">Note de cadrage projet — ne se substitue pas à un avis d’avocat. Qualifications à confirmer par les conseils du projet.</w:t>
      </w:r>
    </w:p>
    <w:sectPr>
      <w:footerReference w:type="default" r:id="rId7"/>
      <w:pgSz w:w="11906" w:h="16838" w:orient="portrait"/>
      <w:pgMar w:top="85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b w:val="false"/>
        <w:bCs w:val="false"/>
        <w:color w:val="CBCCE5"/>
        <w:sz w:val="16"/>
        <w:szCs w:val="16"/>
      </w:rPr>
      <w:t xml:space="preserve">Trust BTP — Note juridique · Cas pratique Alyra · Avr. 2026 — page </w:t>
    </w:r>
    <w:r>
      <w:rPr>
        <w:color w:val="CBCCE5"/>
        <w:sz w:val="16"/>
        <w:szCs w:val="16"/>
      </w:rPr>
      <w:fldChar w:fldCharType="begin"/>
      <w:instrText xml:space="preserve">PAGE</w:instrText>
      <w:fldChar w:fldCharType="separate"/>
      <w:fldChar w:fldCharType="end"/>
    </w:r>
    <w:r>
      <w:rPr>
        <w:color w:val="CBCCE5"/>
        <w:sz w:val="16"/>
        <w:szCs w:val="16"/>
      </w:rPr>
      <w:t xml:space="preserve">/</w:t>
    </w:r>
    <w:r>
      <w:rPr>
        <w:color w:val="CBCCE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4D43F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Calibri" w:cs="Calibri" w:eastAsia="Calibri" w:hAnsi="Calibri"/>
      <w:b/>
      <w:bCs/>
      <w:color w:val="1E1B4B"/>
      <w:sz w:val="28"/>
      <w:szCs w:val="28"/>
    </w:rPr>
  </w:style>
  <w:style w:type="paragraph" w:styleId="Heading2">
    <w:name w:val="Heading 2"/>
    <w:basedOn w:val="Normal"/>
    <w:next w:val="Normal"/>
    <w:qFormat/>
    <w:pPr>
      <w:spacing w:after="40" w:before="140"/>
      <w:outlineLvl w:val="1"/>
    </w:pPr>
    <w:rPr>
      <w:rFonts w:ascii="Calibri" w:cs="Calibri" w:eastAsia="Calibri" w:hAnsi="Calibri"/>
      <w:b/>
      <w:bCs/>
      <w:color w:val="1E1B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BTP — Note juridique</dc:title>
  <dc:creator>Trust BTP</dc:creator>
  <cp:lastModifiedBy>Un-named</cp:lastModifiedBy>
  <cp:revision>1</cp:revision>
  <dcterms:created xsi:type="dcterms:W3CDTF">2026-04-17T12:21:26.243Z</dcterms:created>
  <dcterms:modified xsi:type="dcterms:W3CDTF">2026-04-17T12:21:26.243Z</dcterms:modified>
</cp:coreProperties>
</file>

<file path=docProps/custom.xml><?xml version="1.0" encoding="utf-8"?>
<Properties xmlns="http://schemas.openxmlformats.org/officeDocument/2006/custom-properties" xmlns:vt="http://schemas.openxmlformats.org/officeDocument/2006/docPropsVTypes"/>
</file>