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Calibri" w:cs="Calibri" w:eastAsia="Calibri" w:hAnsi="Calibri"/>
          <w:b/>
          <w:bCs/>
          <w:color w:val="1E1B4B"/>
          <w:sz w:val="30"/>
          <w:szCs w:val="30"/>
        </w:rPr>
        <w:t xml:space="preserve">Annexe juridique au devis</w:t>
      </w:r>
    </w:p>
    <w:p>
      <w:pPr>
        <w:pBdr>
          <w:bottom w:val="single" w:color="4D43F0" w:sz="8" w:space="6"/>
        </w:pBdr>
        <w:spacing w:after="180" w:before="0"/>
        <w:jc w:val="center"/>
      </w:pPr>
      <w:r>
        <w:rPr>
          <w:rFonts w:ascii="Calibri" w:cs="Calibri" w:eastAsia="Calibri" w:hAnsi="Calibri"/>
          <w:b w:val="false"/>
          <w:bCs w:val="false"/>
          <w:color w:val="6C7489"/>
          <w:sz w:val="18"/>
          <w:szCs w:val="18"/>
        </w:rPr>
        <w:t xml:space="preserve">Plateforme Trust BTP · </w:t>
      </w:r>
      <w:r>
        <w:rPr>
          <w:rFonts w:ascii="Calibri" w:cs="Calibri" w:eastAsia="Calibri" w:hAnsi="Calibri"/>
          <w:b w:val="false"/>
          <w:bCs w:val="false"/>
          <w:color w:val="6C7489"/>
          <w:sz w:val="18"/>
          <w:szCs w:val="18"/>
        </w:rPr>
        <w:t xml:space="preserve">Escrow programmable par jalons · </w:t>
      </w:r>
      <w:r>
        <w:rPr>
          <w:rFonts w:ascii="Calibri" w:cs="Calibri" w:eastAsia="Calibri" w:hAnsi="Calibri"/>
          <w:b w:val="false"/>
          <w:bCs w:val="false"/>
          <w:color w:val="1F4E73"/>
          <w:sz w:val="18"/>
          <w:szCs w:val="18"/>
        </w:rPr>
        <w:t xml:space="preserve">Conforme droit français</w:t>
      </w:r>
    </w:p>
    <w:p>
      <w:pPr>
        <w:spacing w:after="100" w:before="0"/>
      </w:pPr>
      <w:r>
        <w:rPr>
          <w:rFonts w:ascii="Calibri" w:cs="Calibri" w:eastAsia="Calibri" w:hAnsi="Calibri"/>
          <w:b/>
          <w:bCs/>
          <w:color w:val="1E1B4B"/>
          <w:sz w:val="22"/>
          <w:szCs w:val="22"/>
        </w:rPr>
        <w:t xml:space="preserve">Préambule</w:t>
      </w:r>
    </w:p>
    <w:p>
      <w:pPr>
        <w:spacing w:after="200" w:before="40" w:line="240"/>
        <w:jc w:val="both"/>
      </w:pPr>
      <w:r>
        <w:rPr>
          <w:rFonts w:ascii="Calibri" w:cs="Calibri" w:eastAsia="Calibri" w:hAnsi="Calibri"/>
          <w:b w:val="false"/>
          <w:bCs w:val="false"/>
          <w:color w:val="2E3549"/>
          <w:sz w:val="20"/>
          <w:szCs w:val="20"/>
        </w:rPr>
        <w:t xml:space="preserve">Le présent devis, signé électroniquement par le Client (ci-après « le </w:t>
      </w:r>
      <w:r>
        <w:rPr>
          <w:rFonts w:ascii="Calibri" w:cs="Calibri" w:eastAsia="Calibri" w:hAnsi="Calibri"/>
          <w:b/>
          <w:bCs/>
          <w:color w:val="2E3549"/>
          <w:sz w:val="20"/>
          <w:szCs w:val="20"/>
        </w:rPr>
        <w:t xml:space="preserve">Particulier</w:t>
      </w:r>
      <w:r>
        <w:rPr>
          <w:rFonts w:ascii="Calibri" w:cs="Calibri" w:eastAsia="Calibri" w:hAnsi="Calibri"/>
          <w:b w:val="false"/>
          <w:bCs w:val="false"/>
          <w:color w:val="2E3549"/>
          <w:sz w:val="20"/>
          <w:szCs w:val="20"/>
        </w:rPr>
        <w:t xml:space="preserve"> » ou « </w:t>
      </w:r>
      <w:r>
        <w:rPr>
          <w:rFonts w:ascii="Calibri" w:cs="Calibri" w:eastAsia="Calibri" w:hAnsi="Calibri"/>
          <w:b/>
          <w:bCs/>
          <w:color w:val="2E3549"/>
          <w:sz w:val="20"/>
          <w:szCs w:val="20"/>
        </w:rPr>
        <w:t xml:space="preserve">Maître d’ouvrage</w:t>
      </w:r>
      <w:r>
        <w:rPr>
          <w:rFonts w:ascii="Calibri" w:cs="Calibri" w:eastAsia="Calibri" w:hAnsi="Calibri"/>
          <w:b w:val="false"/>
          <w:bCs w:val="false"/>
          <w:color w:val="2E3549"/>
          <w:sz w:val="20"/>
          <w:szCs w:val="20"/>
        </w:rPr>
        <w:t xml:space="preserve"> ») et par le prestataire (ci-après « l’</w:t>
      </w:r>
      <w:r>
        <w:rPr>
          <w:rFonts w:ascii="Calibri" w:cs="Calibri" w:eastAsia="Calibri" w:hAnsi="Calibri"/>
          <w:b/>
          <w:bCs/>
          <w:color w:val="2E3549"/>
          <w:sz w:val="20"/>
          <w:szCs w:val="20"/>
        </w:rPr>
        <w:t xml:space="preserve">Artisan</w:t>
      </w:r>
      <w:r>
        <w:rPr>
          <w:rFonts w:ascii="Calibri" w:cs="Calibri" w:eastAsia="Calibri" w:hAnsi="Calibri"/>
          <w:b w:val="false"/>
          <w:bCs w:val="false"/>
          <w:color w:val="2E3549"/>
          <w:sz w:val="20"/>
          <w:szCs w:val="20"/>
        </w:rPr>
        <w:t xml:space="preserve"> »), constitue un contrat liant les deux parties. Son exécution est orchestrée techniquement par la plateforme </w:t>
      </w:r>
      <w:r>
        <w:rPr>
          <w:rFonts w:ascii="Calibri" w:cs="Calibri" w:eastAsia="Calibri" w:hAnsi="Calibri"/>
          <w:b/>
          <w:bCs/>
          <w:color w:val="1E1B4B"/>
          <w:sz w:val="20"/>
          <w:szCs w:val="20"/>
        </w:rPr>
        <w:t xml:space="preserve">Trust BTP</w:t>
      </w:r>
      <w:r>
        <w:rPr>
          <w:rFonts w:ascii="Calibri" w:cs="Calibri" w:eastAsia="Calibri" w:hAnsi="Calibri"/>
          <w:b w:val="false"/>
          <w:bCs w:val="false"/>
          <w:color w:val="2E3549"/>
          <w:sz w:val="20"/>
          <w:szCs w:val="20"/>
        </w:rPr>
        <w:t xml:space="preserve"> au moyen d’un smart contract non-custodial et d’un NFT chantier horodaté. Les présentes clauses sont incorporées au devis par référence et horodatées on-chain à la signature.</w:t>
      </w:r>
    </w:p>
    <w:p>
      <w:pPr>
        <w:spacing w:after="60" w:before="160"/>
      </w:pPr>
      <w:r>
        <w:rPr>
          <w:rFonts w:ascii="Calibri" w:cs="Calibri" w:eastAsia="Calibri" w:hAnsi="Calibri"/>
          <w:b/>
          <w:bCs/>
          <w:color w:val="4D43F0"/>
          <w:sz w:val="22"/>
          <w:szCs w:val="22"/>
        </w:rPr>
        <w:t xml:space="preserve">Article 1 — </w:t>
      </w:r>
      <w:r>
        <w:rPr>
          <w:rFonts w:ascii="Calibri" w:cs="Calibri" w:eastAsia="Calibri" w:hAnsi="Calibri"/>
          <w:b/>
          <w:bCs/>
          <w:color w:val="1E1B4B"/>
          <w:sz w:val="22"/>
          <w:szCs w:val="22"/>
        </w:rPr>
        <w:t xml:space="preserve">Objet du contrat et exécution par jalons</w:t>
      </w:r>
    </w:p>
    <w:p>
      <w:pPr>
        <w:spacing w:after="40" w:before="40" w:line="240"/>
        <w:jc w:val="both"/>
      </w:pPr>
      <w:r>
        <w:rPr>
          <w:rFonts w:ascii="Calibri" w:cs="Calibri" w:eastAsia="Calibri" w:hAnsi="Calibri"/>
          <w:b w:val="false"/>
          <w:bCs w:val="false"/>
          <w:color w:val="2E3549"/>
          <w:sz w:val="20"/>
          <w:szCs w:val="20"/>
        </w:rPr>
        <w:t xml:space="preserve">Le chantier décrit au devis est découpé en </w:t>
      </w:r>
      <w:r>
        <w:rPr>
          <w:rFonts w:ascii="Calibri" w:cs="Calibri" w:eastAsia="Calibri" w:hAnsi="Calibri"/>
          <w:b/>
          <w:bCs/>
          <w:color w:val="2E3549"/>
          <w:sz w:val="20"/>
          <w:szCs w:val="20"/>
        </w:rPr>
        <w:t xml:space="preserve">jalons</w:t>
      </w:r>
      <w:r>
        <w:rPr>
          <w:rFonts w:ascii="Calibri" w:cs="Calibri" w:eastAsia="Calibri" w:hAnsi="Calibri"/>
          <w:b w:val="false"/>
          <w:bCs w:val="false"/>
          <w:color w:val="2E3549"/>
          <w:sz w:val="20"/>
          <w:szCs w:val="20"/>
        </w:rPr>
        <w:t xml:space="preserve">, chacun soumis à des preuves horodatées et géolocalisées déposées par l’Artisan dans l’application. La validation de chaque jalon est strictement </w:t>
      </w:r>
      <w:r>
        <w:rPr>
          <w:rFonts w:ascii="Calibri" w:cs="Calibri" w:eastAsia="Calibri" w:hAnsi="Calibri"/>
          <w:b/>
          <w:bCs/>
          <w:color w:val="2E3549"/>
          <w:sz w:val="20"/>
          <w:szCs w:val="20"/>
        </w:rPr>
        <w:t xml:space="preserve">pair-à-pair (P2P) entre le Particulier et l’Artisan</w:t>
      </w:r>
      <w:r>
        <w:rPr>
          <w:rFonts w:ascii="Calibri" w:cs="Calibri" w:eastAsia="Calibri" w:hAnsi="Calibri"/>
          <w:b w:val="false"/>
          <w:bCs w:val="false"/>
          <w:color w:val="2E3549"/>
          <w:sz w:val="20"/>
          <w:szCs w:val="20"/>
        </w:rPr>
        <w:t xml:space="preserve">. L’administrateur de la plateforme Trust BTP n’intervient jamais dans cette validation, sauf déclenchement d’une médiation tierce (art. 4).</w:t>
      </w:r>
    </w:p>
    <w:p>
      <w:pPr>
        <w:spacing w:after="60" w:before="160"/>
      </w:pPr>
      <w:r>
        <w:rPr>
          <w:rFonts w:ascii="Calibri" w:cs="Calibri" w:eastAsia="Calibri" w:hAnsi="Calibri"/>
          <w:b/>
          <w:bCs/>
          <w:color w:val="4D43F0"/>
          <w:sz w:val="22"/>
          <w:szCs w:val="22"/>
        </w:rPr>
        <w:t xml:space="preserve">Article 2 — </w:t>
      </w:r>
      <w:r>
        <w:rPr>
          <w:rFonts w:ascii="Calibri" w:cs="Calibri" w:eastAsia="Calibri" w:hAnsi="Calibri"/>
          <w:b/>
          <w:bCs/>
          <w:color w:val="1E1B4B"/>
          <w:sz w:val="22"/>
          <w:szCs w:val="22"/>
        </w:rPr>
        <w:t xml:space="preserve">Mise sous séquestre et ségrégation des fonds</w:t>
      </w:r>
    </w:p>
    <w:p>
      <w:pPr>
        <w:spacing w:after="40" w:before="40" w:line="240"/>
        <w:jc w:val="both"/>
      </w:pPr>
      <w:r>
        <w:rPr>
          <w:rFonts w:ascii="Calibri" w:cs="Calibri" w:eastAsia="Calibri" w:hAnsi="Calibri"/>
          <w:b w:val="false"/>
          <w:bCs w:val="false"/>
          <w:color w:val="2E3549"/>
          <w:sz w:val="20"/>
          <w:szCs w:val="20"/>
        </w:rPr>
        <w:t xml:space="preserve">Le Particulier dépose </w:t>
      </w:r>
      <w:r>
        <w:rPr>
          <w:rFonts w:ascii="Calibri" w:cs="Calibri" w:eastAsia="Calibri" w:hAnsi="Calibri"/>
          <w:b/>
          <w:bCs/>
          <w:color w:val="2E3549"/>
          <w:sz w:val="20"/>
          <w:szCs w:val="20"/>
        </w:rPr>
        <w:t xml:space="preserve">110 % du montant du devis</w:t>
      </w:r>
      <w:r>
        <w:rPr>
          <w:rFonts w:ascii="Calibri" w:cs="Calibri" w:eastAsia="Calibri" w:hAnsi="Calibri"/>
          <w:b w:val="false"/>
          <w:bCs w:val="false"/>
          <w:color w:val="2E3549"/>
          <w:sz w:val="20"/>
          <w:szCs w:val="20"/>
        </w:rPr>
        <w:t xml:space="preserve"> via un prestataire de services de paiement agréé (PSP ACPR) : 100 % au titre du coût du chantier, 5 % de commission Trust BTP, et 5 % de provision destinée à un éventuel processus de médiation (cf. art. 4).</w:t>
      </w:r>
    </w:p>
    <w:p>
      <w:pPr>
        <w:spacing w:after="40" w:before="40" w:line="240"/>
        <w:jc w:val="both"/>
      </w:pPr>
      <w:r>
        <w:rPr>
          <w:rFonts w:ascii="Calibri" w:cs="Calibri" w:eastAsia="Calibri" w:hAnsi="Calibri"/>
          <w:b w:val="false"/>
          <w:bCs w:val="false"/>
          <w:color w:val="2E3549"/>
          <w:sz w:val="20"/>
          <w:szCs w:val="20"/>
        </w:rPr>
        <w:t xml:space="preserve">Les fonds sont immédiatement </w:t>
      </w:r>
      <w:r>
        <w:rPr>
          <w:rFonts w:ascii="Calibri" w:cs="Calibri" w:eastAsia="Calibri" w:hAnsi="Calibri"/>
          <w:b/>
          <w:bCs/>
          <w:color w:val="2E3549"/>
          <w:sz w:val="20"/>
          <w:szCs w:val="20"/>
        </w:rPr>
        <w:t xml:space="preserve">ségrégués on-chain</w:t>
      </w:r>
      <w:r>
        <w:rPr>
          <w:rFonts w:ascii="Calibri" w:cs="Calibri" w:eastAsia="Calibri" w:hAnsi="Calibri"/>
          <w:b w:val="false"/>
          <w:bCs w:val="false"/>
          <w:color w:val="2E3549"/>
          <w:sz w:val="20"/>
          <w:szCs w:val="20"/>
        </w:rPr>
        <w:t xml:space="preserve"> dans un smart contract non-custodial. Ils sont </w:t>
      </w:r>
      <w:r>
        <w:rPr>
          <w:rFonts w:ascii="Calibri" w:cs="Calibri" w:eastAsia="Calibri" w:hAnsi="Calibri"/>
          <w:b/>
          <w:bCs/>
          <w:color w:val="2E3549"/>
          <w:sz w:val="20"/>
          <w:szCs w:val="20"/>
        </w:rPr>
        <w:t xml:space="preserve">inaccessibles à Trust BTP</w:t>
      </w:r>
      <w:r>
        <w:rPr>
          <w:rFonts w:ascii="Calibri" w:cs="Calibri" w:eastAsia="Calibri" w:hAnsi="Calibri"/>
          <w:b w:val="false"/>
          <w:bCs w:val="false"/>
          <w:color w:val="2E3549"/>
          <w:sz w:val="20"/>
          <w:szCs w:val="20"/>
        </w:rPr>
        <w:t xml:space="preserve">, à l’Artisan et à tout tiers en dehors des conditions du présent contrat. Leur libération est déclenchée automatiquement par le smart contract à la validation P2P de chaque jalon.</w:t>
      </w:r>
    </w:p>
    <w:p>
      <w:pPr>
        <w:spacing w:after="60" w:before="160"/>
      </w:pPr>
      <w:r>
        <w:rPr>
          <w:rFonts w:ascii="Calibri" w:cs="Calibri" w:eastAsia="Calibri" w:hAnsi="Calibri"/>
          <w:b/>
          <w:bCs/>
          <w:color w:val="4D43F0"/>
          <w:sz w:val="22"/>
          <w:szCs w:val="22"/>
        </w:rPr>
        <w:t xml:space="preserve">Article 3 — </w:t>
      </w:r>
      <w:r>
        <w:rPr>
          <w:rFonts w:ascii="Calibri" w:cs="Calibri" w:eastAsia="Calibri" w:hAnsi="Calibri"/>
          <w:b/>
          <w:bCs/>
          <w:color w:val="1E1B4B"/>
          <w:sz w:val="22"/>
          <w:szCs w:val="22"/>
        </w:rPr>
        <w:t xml:space="preserve">Optimisation DeFi (opt-in facultatif)</w:t>
      </w:r>
    </w:p>
    <w:p>
      <w:pPr>
        <w:spacing w:after="40" w:before="40" w:line="240"/>
        <w:jc w:val="both"/>
      </w:pPr>
      <w:r>
        <w:rPr>
          <w:rFonts w:ascii="Calibri" w:cs="Calibri" w:eastAsia="Calibri" w:hAnsi="Calibri"/>
          <w:b w:val="false"/>
          <w:bCs w:val="false"/>
          <w:color w:val="2E3549"/>
          <w:sz w:val="20"/>
          <w:szCs w:val="20"/>
        </w:rPr>
        <w:t xml:space="preserve">Le Particulier peut, à sa seule discrétion et de manière révocable à tout moment, autoriser l’allocation temporaire des fonds </w:t>
      </w:r>
      <w:r>
        <w:rPr>
          <w:rFonts w:ascii="Calibri" w:cs="Calibri" w:eastAsia="Calibri" w:hAnsi="Calibri"/>
          <w:b w:val="false"/>
          <w:bCs w:val="false"/>
          <w:color w:val="2E3549"/>
          <w:sz w:val="20"/>
          <w:szCs w:val="20"/>
        </w:rPr>
        <w:t xml:space="preserve">idle</w:t>
      </w:r>
      <w:r>
        <w:rPr>
          <w:rFonts w:ascii="Calibri" w:cs="Calibri" w:eastAsia="Calibri" w:hAnsi="Calibri"/>
          <w:b w:val="false"/>
          <w:bCs w:val="false"/>
          <w:color w:val="2E3549"/>
          <w:sz w:val="20"/>
          <w:szCs w:val="20"/>
        </w:rPr>
        <w:t xml:space="preserve"> vers un protocole DeFi en </w:t>
      </w:r>
      <w:r>
        <w:rPr>
          <w:rFonts w:ascii="Calibri" w:cs="Calibri" w:eastAsia="Calibri" w:hAnsi="Calibri"/>
          <w:b/>
          <w:bCs/>
          <w:color w:val="2E3549"/>
          <w:sz w:val="20"/>
          <w:szCs w:val="20"/>
        </w:rPr>
        <w:t xml:space="preserve">supply-only</w:t>
      </w:r>
      <w:r>
        <w:rPr>
          <w:rFonts w:ascii="Calibri" w:cs="Calibri" w:eastAsia="Calibri" w:hAnsi="Calibri"/>
          <w:b w:val="false"/>
          <w:bCs w:val="false"/>
          <w:color w:val="2E3549"/>
          <w:sz w:val="20"/>
          <w:szCs w:val="20"/>
        </w:rPr>
        <w:t xml:space="preserve"> opéré par un partenaire CASP régulé. La stratégie est conservative, non discrétionnaire et pré-inscrite au devis.</w:t>
      </w:r>
    </w:p>
    <w:p>
      <w:pPr>
        <w:spacing w:after="40" w:before="40" w:line="240"/>
        <w:jc w:val="both"/>
      </w:pPr>
      <w:r>
        <w:rPr>
          <w:rFonts w:ascii="Calibri" w:cs="Calibri" w:eastAsia="Calibri" w:hAnsi="Calibri"/>
          <w:b w:val="false"/>
          <w:bCs w:val="false"/>
          <w:color w:val="2E3549"/>
          <w:sz w:val="20"/>
          <w:szCs w:val="20"/>
        </w:rPr>
        <w:t xml:space="preserve">Le rendement éventuel est réparti à parts égales </w:t>
      </w:r>
      <w:r>
        <w:rPr>
          <w:rFonts w:ascii="Calibri" w:cs="Calibri" w:eastAsia="Calibri" w:hAnsi="Calibri"/>
          <w:b/>
          <w:bCs/>
          <w:color w:val="2E3549"/>
          <w:sz w:val="20"/>
          <w:szCs w:val="20"/>
        </w:rPr>
        <w:t xml:space="preserve">(50 % / 50 %)</w:t>
      </w:r>
      <w:r>
        <w:rPr>
          <w:rFonts w:ascii="Calibri" w:cs="Calibri" w:eastAsia="Calibri" w:hAnsi="Calibri"/>
          <w:b w:val="false"/>
          <w:bCs w:val="false"/>
          <w:color w:val="2E3549"/>
          <w:sz w:val="20"/>
          <w:szCs w:val="20"/>
        </w:rPr>
        <w:t xml:space="preserve"> entre la plateforme et le Particulier. La part du Particulier est attribuée sous forme de </w:t>
      </w:r>
      <w:r>
        <w:rPr>
          <w:rFonts w:ascii="Calibri" w:cs="Calibri" w:eastAsia="Calibri" w:hAnsi="Calibri"/>
          <w:b/>
          <w:bCs/>
          <w:color w:val="2E3549"/>
          <w:sz w:val="20"/>
          <w:szCs w:val="20"/>
        </w:rPr>
        <w:t xml:space="preserve">crédits travaux</w:t>
      </w:r>
      <w:r>
        <w:rPr>
          <w:rFonts w:ascii="Calibri" w:cs="Calibri" w:eastAsia="Calibri" w:hAnsi="Calibri"/>
          <w:b w:val="false"/>
          <w:bCs w:val="false"/>
          <w:color w:val="2E3549"/>
          <w:sz w:val="20"/>
          <w:szCs w:val="20"/>
        </w:rPr>
        <w:t xml:space="preserve"> constituant un avantage d’usage intra-écosystème. Ces crédits ne sont </w:t>
      </w:r>
      <w:r>
        <w:rPr>
          <w:rFonts w:ascii="Calibri" w:cs="Calibri" w:eastAsia="Calibri" w:hAnsi="Calibri"/>
          <w:b/>
          <w:bCs/>
          <w:color w:val="2E3549"/>
          <w:sz w:val="20"/>
          <w:szCs w:val="20"/>
        </w:rPr>
        <w:t xml:space="preserve">jamais versés en numéraire</w:t>
      </w:r>
      <w:r>
        <w:rPr>
          <w:rFonts w:ascii="Calibri" w:cs="Calibri" w:eastAsia="Calibri" w:hAnsi="Calibri"/>
          <w:b w:val="false"/>
          <w:bCs w:val="false"/>
          <w:color w:val="2E3549"/>
          <w:sz w:val="20"/>
          <w:szCs w:val="20"/>
        </w:rPr>
        <w:t xml:space="preserve"> et ne constituent ni une rémunération, ni un produit financier, ni un instrument d’épargne.</w:t>
      </w:r>
    </w:p>
    <w:p>
      <w:pPr>
        <w:spacing w:after="60" w:before="160"/>
      </w:pPr>
      <w:r>
        <w:rPr>
          <w:rFonts w:ascii="Calibri" w:cs="Calibri" w:eastAsia="Calibri" w:hAnsi="Calibri"/>
          <w:b/>
          <w:bCs/>
          <w:color w:val="4D43F0"/>
          <w:sz w:val="22"/>
          <w:szCs w:val="22"/>
        </w:rPr>
        <w:t xml:space="preserve">Article 4 — </w:t>
      </w:r>
      <w:r>
        <w:rPr>
          <w:rFonts w:ascii="Calibri" w:cs="Calibri" w:eastAsia="Calibri" w:hAnsi="Calibri"/>
          <w:b/>
          <w:bCs/>
          <w:color w:val="1E1B4B"/>
          <w:sz w:val="22"/>
          <w:szCs w:val="22"/>
        </w:rPr>
        <w:t xml:space="preserve">Clause de médiation préalable</w:t>
      </w:r>
    </w:p>
    <w:p>
      <w:pPr>
        <w:spacing w:after="40" w:before="40" w:line="240"/>
        <w:jc w:val="both"/>
      </w:pPr>
      <w:r>
        <w:rPr>
          <w:rFonts w:ascii="Calibri" w:cs="Calibri" w:eastAsia="Calibri" w:hAnsi="Calibri"/>
          <w:b w:val="false"/>
          <w:bCs w:val="false"/>
          <w:color w:val="2E3549"/>
          <w:sz w:val="20"/>
          <w:szCs w:val="20"/>
        </w:rPr>
        <w:t xml:space="preserve">En cas de désaccord sur l’exécution du contrat ou la validation d’un jalon, les parties s’engagent à recourir, </w:t>
      </w:r>
      <w:r>
        <w:rPr>
          <w:rFonts w:ascii="Calibri" w:cs="Calibri" w:eastAsia="Calibri" w:hAnsi="Calibri"/>
          <w:b/>
          <w:bCs/>
          <w:color w:val="2E3549"/>
          <w:sz w:val="20"/>
          <w:szCs w:val="20"/>
        </w:rPr>
        <w:t xml:space="preserve">préalablement à toute action contentieuse</w:t>
      </w:r>
      <w:r>
        <w:rPr>
          <w:rFonts w:ascii="Calibri" w:cs="Calibri" w:eastAsia="Calibri" w:hAnsi="Calibri"/>
          <w:b w:val="false"/>
          <w:bCs w:val="false"/>
          <w:color w:val="2E3549"/>
          <w:sz w:val="20"/>
          <w:szCs w:val="20"/>
        </w:rPr>
        <w:t xml:space="preserve">, à une médiation conduite par un </w:t>
      </w:r>
      <w:r>
        <w:rPr>
          <w:rFonts w:ascii="Calibri" w:cs="Calibri" w:eastAsia="Calibri" w:hAnsi="Calibri"/>
          <w:b/>
          <w:bCs/>
          <w:color w:val="2E3549"/>
          <w:sz w:val="20"/>
          <w:szCs w:val="20"/>
        </w:rPr>
        <w:t xml:space="preserve">prestataire indépendant agréé CECMC</w:t>
      </w:r>
      <w:r>
        <w:rPr>
          <w:rFonts w:ascii="Calibri" w:cs="Calibri" w:eastAsia="Calibri" w:hAnsi="Calibri"/>
          <w:b w:val="false"/>
          <w:bCs w:val="false"/>
          <w:color w:val="2E3549"/>
          <w:sz w:val="20"/>
          <w:szCs w:val="20"/>
        </w:rPr>
        <w:t xml:space="preserve"> (Commission d’évaluation et de contrôle de la médiation de la consommation).</w:t>
      </w:r>
    </w:p>
    <w:p>
      <w:pPr>
        <w:pStyle w:val="ListParagraph"/>
        <w:numPr>
          <w:ilvl w:val="0"/>
          <w:numId w:val="2"/>
        </w:numPr>
        <w:spacing w:after="20" w:before="20" w:line="230"/>
        <w:jc w:val="both"/>
      </w:pPr>
      <w:r>
        <w:rPr>
          <w:rFonts w:ascii="Calibri" w:cs="Calibri" w:eastAsia="Calibri" w:hAnsi="Calibri"/>
          <w:b/>
          <w:bCs/>
          <w:color w:val="2E3549"/>
          <w:sz w:val="19"/>
          <w:szCs w:val="19"/>
        </w:rPr>
        <w:t xml:space="preserve">Déclenchement : </w:t>
      </w:r>
      <w:r>
        <w:rPr>
          <w:rFonts w:ascii="Calibri" w:cs="Calibri" w:eastAsia="Calibri" w:hAnsi="Calibri"/>
          <w:b w:val="false"/>
          <w:bCs w:val="false"/>
          <w:color w:val="2E3549"/>
          <w:sz w:val="19"/>
          <w:szCs w:val="19"/>
        </w:rPr>
        <w:t xml:space="preserve">lorsque l’une des parties active la fonction « Contester » dans l’application, les fonds correspondants au jalon litigieux sont gelés on-chain. L’administrateur Trust BTP déclenche alors la requête auprès du prestataire de médiation.</w:t>
      </w:r>
    </w:p>
    <w:p>
      <w:pPr>
        <w:pStyle w:val="ListParagraph"/>
        <w:numPr>
          <w:ilvl w:val="0"/>
          <w:numId w:val="2"/>
        </w:numPr>
        <w:spacing w:after="20" w:before="20" w:line="230"/>
        <w:jc w:val="both"/>
      </w:pPr>
      <w:r>
        <w:rPr>
          <w:rFonts w:ascii="Calibri" w:cs="Calibri" w:eastAsia="Calibri" w:hAnsi="Calibri"/>
          <w:b/>
          <w:bCs/>
          <w:color w:val="2E3549"/>
          <w:sz w:val="19"/>
          <w:szCs w:val="19"/>
        </w:rPr>
        <w:t xml:space="preserve">Frais : </w:t>
      </w:r>
      <w:r>
        <w:rPr>
          <w:rFonts w:ascii="Calibri" w:cs="Calibri" w:eastAsia="Calibri" w:hAnsi="Calibri"/>
          <w:b w:val="false"/>
          <w:bCs w:val="false"/>
          <w:color w:val="2E3549"/>
          <w:sz w:val="19"/>
          <w:szCs w:val="19"/>
        </w:rPr>
        <w:t xml:space="preserve">les frais de médiation sont couverts par la provision de 5 % du dépôt initial (dont 3 % pour le prestataire de médiation et 2 % en rémunération de l’orchestration technique par Trust BTP).</w:t>
      </w:r>
    </w:p>
    <w:p>
      <w:pPr>
        <w:pStyle w:val="ListParagraph"/>
        <w:numPr>
          <w:ilvl w:val="0"/>
          <w:numId w:val="2"/>
        </w:numPr>
        <w:spacing w:after="20" w:before="20" w:line="230"/>
        <w:jc w:val="both"/>
      </w:pPr>
      <w:r>
        <w:rPr>
          <w:rFonts w:ascii="Calibri" w:cs="Calibri" w:eastAsia="Calibri" w:hAnsi="Calibri"/>
          <w:b/>
          <w:bCs/>
          <w:color w:val="2E3549"/>
          <w:sz w:val="19"/>
          <w:szCs w:val="19"/>
        </w:rPr>
        <w:t xml:space="preserve">Absence de litige : </w:t>
      </w:r>
      <w:r>
        <w:rPr>
          <w:rFonts w:ascii="Calibri" w:cs="Calibri" w:eastAsia="Calibri" w:hAnsi="Calibri"/>
          <w:b w:val="false"/>
          <w:bCs w:val="false"/>
          <w:color w:val="2E3549"/>
          <w:sz w:val="20"/>
          <w:szCs w:val="20"/>
        </w:rPr>
        <w:t xml:space="preserve">si aucune contestation n’est déclenchée au cours du chantier, l’intégralité de la provision de 5 % est </w:t>
      </w:r>
      <w:r>
        <w:rPr>
          <w:rFonts w:ascii="Calibri" w:cs="Calibri" w:eastAsia="Calibri" w:hAnsi="Calibri"/>
          <w:b/>
          <w:bCs/>
          <w:color w:val="2E3549"/>
          <w:sz w:val="19"/>
          <w:szCs w:val="19"/>
        </w:rPr>
        <w:t xml:space="preserve">restituée au Particulier</w:t>
      </w:r>
      <w:r>
        <w:rPr>
          <w:rFonts w:ascii="Calibri" w:cs="Calibri" w:eastAsia="Calibri" w:hAnsi="Calibri"/>
          <w:b w:val="false"/>
          <w:bCs w:val="false"/>
          <w:color w:val="2E3549"/>
          <w:sz w:val="19"/>
          <w:szCs w:val="19"/>
        </w:rPr>
        <w:t xml:space="preserve"> à la clôture du contrat.</w:t>
      </w:r>
    </w:p>
    <w:p>
      <w:pPr>
        <w:spacing w:after="60" w:before="160"/>
      </w:pPr>
      <w:r>
        <w:rPr>
          <w:rFonts w:ascii="Calibri" w:cs="Calibri" w:eastAsia="Calibri" w:hAnsi="Calibri"/>
          <w:b/>
          <w:bCs/>
          <w:color w:val="4D43F0"/>
          <w:sz w:val="22"/>
          <w:szCs w:val="22"/>
        </w:rPr>
        <w:t xml:space="preserve">Article 5 — </w:t>
      </w:r>
      <w:r>
        <w:rPr>
          <w:rFonts w:ascii="Calibri" w:cs="Calibri" w:eastAsia="Calibri" w:hAnsi="Calibri"/>
          <w:b/>
          <w:bCs/>
          <w:color w:val="1E1B4B"/>
          <w:sz w:val="22"/>
          <w:szCs w:val="22"/>
        </w:rPr>
        <w:t xml:space="preserve">Clause compromissoire d’arbitrage</w:t>
      </w:r>
    </w:p>
    <w:p>
      <w:pPr>
        <w:spacing w:after="40" w:before="40" w:line="240"/>
        <w:jc w:val="both"/>
      </w:pPr>
      <w:r>
        <w:rPr>
          <w:rFonts w:ascii="Calibri" w:cs="Calibri" w:eastAsia="Calibri" w:hAnsi="Calibri"/>
          <w:b w:val="false"/>
          <w:bCs w:val="false"/>
          <w:color w:val="2E3549"/>
          <w:sz w:val="20"/>
          <w:szCs w:val="20"/>
        </w:rPr>
        <w:t xml:space="preserve">Si la médiation n’aboutit pas dans un délai de </w:t>
      </w:r>
      <w:r>
        <w:rPr>
          <w:rFonts w:ascii="Calibri" w:cs="Calibri" w:eastAsia="Calibri" w:hAnsi="Calibri"/>
          <w:b/>
          <w:bCs/>
          <w:color w:val="2E3549"/>
          <w:sz w:val="20"/>
          <w:szCs w:val="20"/>
        </w:rPr>
        <w:t xml:space="preserve">trente (30) jours calendaires</w:t>
      </w:r>
      <w:r>
        <w:rPr>
          <w:rFonts w:ascii="Calibri" w:cs="Calibri" w:eastAsia="Calibri" w:hAnsi="Calibri"/>
          <w:b w:val="false"/>
          <w:bCs w:val="false"/>
          <w:color w:val="2E3549"/>
          <w:sz w:val="20"/>
          <w:szCs w:val="20"/>
        </w:rPr>
        <w:t xml:space="preserve"> à compter de sa saisine, les parties conviennent de soumettre le litige à un </w:t>
      </w:r>
      <w:r>
        <w:rPr>
          <w:rFonts w:ascii="Calibri" w:cs="Calibri" w:eastAsia="Calibri" w:hAnsi="Calibri"/>
          <w:b/>
          <w:bCs/>
          <w:color w:val="2E3549"/>
          <w:sz w:val="20"/>
          <w:szCs w:val="20"/>
        </w:rPr>
        <w:t xml:space="preserve">arbitre indépendant</w:t>
      </w:r>
      <w:r>
        <w:rPr>
          <w:rFonts w:ascii="Calibri" w:cs="Calibri" w:eastAsia="Calibri" w:hAnsi="Calibri"/>
          <w:b w:val="false"/>
          <w:bCs w:val="false"/>
          <w:color w:val="2E3549"/>
          <w:sz w:val="20"/>
          <w:szCs w:val="20"/>
        </w:rPr>
        <w:t xml:space="preserve"> désigné selon le règlement du Centre de Médiation et d’Arbitrage de Paris (CMAP) ou de tout centre équivalent mutuellement accepté.</w:t>
      </w:r>
    </w:p>
    <w:p>
      <w:pPr>
        <w:spacing w:after="40" w:before="40" w:line="240"/>
        <w:jc w:val="both"/>
      </w:pPr>
      <w:r>
        <w:rPr>
          <w:rFonts w:ascii="Calibri" w:cs="Calibri" w:eastAsia="Calibri" w:hAnsi="Calibri"/>
          <w:b w:val="false"/>
          <w:bCs w:val="false"/>
          <w:color w:val="2E3549"/>
          <w:sz w:val="20"/>
          <w:szCs w:val="20"/>
        </w:rPr>
        <w:t xml:space="preserve">L’arbitre statue </w:t>
      </w:r>
      <w:r>
        <w:rPr>
          <w:rFonts w:ascii="Calibri" w:cs="Calibri" w:eastAsia="Calibri" w:hAnsi="Calibri"/>
          <w:b/>
          <w:bCs/>
          <w:color w:val="2E3549"/>
          <w:sz w:val="20"/>
          <w:szCs w:val="20"/>
        </w:rPr>
        <w:t xml:space="preserve">seul et en dernier ressort</w:t>
      </w:r>
      <w:r>
        <w:rPr>
          <w:rFonts w:ascii="Calibri" w:cs="Calibri" w:eastAsia="Calibri" w:hAnsi="Calibri"/>
          <w:b w:val="false"/>
          <w:bCs w:val="false"/>
          <w:color w:val="2E3549"/>
          <w:sz w:val="20"/>
          <w:szCs w:val="20"/>
        </w:rPr>
        <w:t xml:space="preserve"> sur : (i) la répartition des fonds gelés en séquestre, (ii) la poursuite ou l’arrêt du chantier, (iii) toute question connexe à l’exécution du contrat. La sentence arbitrale donne lieu à un </w:t>
      </w:r>
      <w:r>
        <w:rPr>
          <w:rFonts w:ascii="Calibri" w:cs="Calibri" w:eastAsia="Calibri" w:hAnsi="Calibri"/>
          <w:b/>
          <w:bCs/>
          <w:color w:val="2E3549"/>
          <w:sz w:val="20"/>
          <w:szCs w:val="20"/>
        </w:rPr>
        <w:t xml:space="preserve">dossier horodaté</w:t>
      </w:r>
      <w:r>
        <w:rPr>
          <w:rFonts w:ascii="Calibri" w:cs="Calibri" w:eastAsia="Calibri" w:hAnsi="Calibri"/>
          <w:b w:val="false"/>
          <w:bCs w:val="false"/>
          <w:color w:val="2E3549"/>
          <w:sz w:val="20"/>
          <w:szCs w:val="20"/>
        </w:rPr>
        <w:t xml:space="preserve"> transmis automatiquement aux deux parties via le NFT chantier (cf. art. 8).</w:t>
      </w:r>
    </w:p>
    <w:p>
      <w:pPr>
        <w:spacing w:after="60" w:before="160"/>
      </w:pPr>
      <w:r>
        <w:rPr>
          <w:rFonts w:ascii="Calibri" w:cs="Calibri" w:eastAsia="Calibri" w:hAnsi="Calibri"/>
          <w:b/>
          <w:bCs/>
          <w:color w:val="4D43F0"/>
          <w:sz w:val="22"/>
          <w:szCs w:val="22"/>
        </w:rPr>
        <w:t xml:space="preserve">Article 6 — </w:t>
      </w:r>
      <w:r>
        <w:rPr>
          <w:rFonts w:ascii="Calibri" w:cs="Calibri" w:eastAsia="Calibri" w:hAnsi="Calibri"/>
          <w:b/>
          <w:bCs/>
          <w:color w:val="1E1B4B"/>
          <w:sz w:val="22"/>
          <w:szCs w:val="22"/>
        </w:rPr>
        <w:t xml:space="preserve">Non-renonciation au recours judiciaire</w:t>
      </w:r>
    </w:p>
    <w:p>
      <w:pPr>
        <w:spacing w:after="40" w:before="40" w:line="240"/>
        <w:jc w:val="both"/>
      </w:pPr>
      <w:r>
        <w:rPr>
          <w:rFonts w:ascii="Calibri" w:cs="Calibri" w:eastAsia="Calibri" w:hAnsi="Calibri"/>
          <w:b w:val="false"/>
          <w:bCs w:val="false"/>
          <w:color w:val="2E3549"/>
          <w:sz w:val="20"/>
          <w:szCs w:val="20"/>
        </w:rPr>
        <w:t xml:space="preserve">Les parties reconnaissent que la clause compromissoire visée à l’article 5 </w:t>
      </w:r>
      <w:r>
        <w:rPr>
          <w:rFonts w:ascii="Calibri" w:cs="Calibri" w:eastAsia="Calibri" w:hAnsi="Calibri"/>
          <w:b/>
          <w:bCs/>
          <w:color w:val="2E3549"/>
          <w:sz w:val="20"/>
          <w:szCs w:val="20"/>
        </w:rPr>
        <w:t xml:space="preserve">ne constitue pas une renonciation définitive au droit d’ester en justice</w:t>
      </w:r>
      <w:r>
        <w:rPr>
          <w:rFonts w:ascii="Calibri" w:cs="Calibri" w:eastAsia="Calibri" w:hAnsi="Calibri"/>
          <w:b w:val="false"/>
          <w:bCs w:val="false"/>
          <w:color w:val="2E3549"/>
          <w:sz w:val="20"/>
          <w:szCs w:val="20"/>
        </w:rPr>
        <w:t xml:space="preserve">. Post-arbitrage, elles conservent expressément la faculté de :</w:t>
      </w:r>
    </w:p>
    <w:p>
      <w:pPr>
        <w:pStyle w:val="ListParagraph"/>
        <w:numPr>
          <w:ilvl w:val="0"/>
          <w:numId w:val="2"/>
        </w:numPr>
        <w:spacing w:after="20" w:before="20" w:line="230"/>
        <w:jc w:val="both"/>
      </w:pPr>
      <w:r>
        <w:rPr>
          <w:rFonts w:ascii="Calibri" w:cs="Calibri" w:eastAsia="Calibri" w:hAnsi="Calibri"/>
          <w:b/>
          <w:bCs/>
          <w:color w:val="2E3549"/>
          <w:sz w:val="19"/>
          <w:szCs w:val="19"/>
        </w:rPr>
        <w:t xml:space="preserve">poursuivre le chantier d’un commun accord</w:t>
      </w:r>
      <w:r>
        <w:rPr>
          <w:rFonts w:ascii="Calibri" w:cs="Calibri" w:eastAsia="Calibri" w:hAnsi="Calibri"/>
          <w:b w:val="false"/>
          <w:bCs w:val="false"/>
          <w:color w:val="2E3549"/>
          <w:sz w:val="19"/>
          <w:szCs w:val="19"/>
        </w:rPr>
        <w:t xml:space="preserve"> selon les termes de la sentence arbitrale ou un avenant signé par les deux parties ;</w:t>
      </w:r>
    </w:p>
    <w:p>
      <w:pPr>
        <w:pStyle w:val="ListParagraph"/>
        <w:numPr>
          <w:ilvl w:val="0"/>
          <w:numId w:val="2"/>
        </w:numPr>
        <w:spacing w:after="20" w:before="20" w:line="230"/>
        <w:jc w:val="both"/>
      </w:pPr>
      <w:r>
        <w:rPr>
          <w:rFonts w:ascii="Calibri" w:cs="Calibri" w:eastAsia="Calibri" w:hAnsi="Calibri"/>
          <w:b/>
          <w:bCs/>
          <w:color w:val="2E3549"/>
          <w:sz w:val="19"/>
          <w:szCs w:val="19"/>
        </w:rPr>
        <w:t xml:space="preserve">saisir les juridictions compétentes</w:t>
      </w:r>
      <w:r>
        <w:rPr>
          <w:rFonts w:ascii="Calibri" w:cs="Calibri" w:eastAsia="Calibri" w:hAnsi="Calibri"/>
          <w:b w:val="false"/>
          <w:bCs w:val="false"/>
          <w:color w:val="2E3549"/>
          <w:sz w:val="19"/>
          <w:szCs w:val="19"/>
        </w:rPr>
        <w:t xml:space="preserve"> pour toute contestation portant sur des matières non arbitrables (notamment consommation, sécurité, atteintes aux droits fondamentaux) ou pour solliciter l’exécution forcée de la sentence.</w:t>
      </w:r>
    </w:p>
    <w:p>
      <w:pPr>
        <w:spacing w:after="60" w:before="160"/>
      </w:pPr>
      <w:r>
        <w:rPr>
          <w:rFonts w:ascii="Calibri" w:cs="Calibri" w:eastAsia="Calibri" w:hAnsi="Calibri"/>
          <w:b/>
          <w:bCs/>
          <w:color w:val="4D43F0"/>
          <w:sz w:val="22"/>
          <w:szCs w:val="22"/>
        </w:rPr>
        <w:t xml:space="preserve">Article 7 — </w:t>
      </w:r>
      <w:r>
        <w:rPr>
          <w:rFonts w:ascii="Calibri" w:cs="Calibri" w:eastAsia="Calibri" w:hAnsi="Calibri"/>
          <w:b/>
          <w:bCs/>
          <w:color w:val="1E1B4B"/>
          <w:sz w:val="22"/>
          <w:szCs w:val="22"/>
        </w:rPr>
        <w:t xml:space="preserve">Limitation de responsabilité de Trust BTP</w:t>
      </w:r>
    </w:p>
    <w:p>
      <w:pPr>
        <w:spacing w:after="40" w:before="40" w:line="240"/>
        <w:jc w:val="both"/>
      </w:pPr>
      <w:r>
        <w:rPr>
          <w:rFonts w:ascii="Calibri" w:cs="Calibri" w:eastAsia="Calibri" w:hAnsi="Calibri"/>
          <w:b w:val="false"/>
          <w:bCs w:val="false"/>
          <w:color w:val="2E3549"/>
          <w:sz w:val="20"/>
          <w:szCs w:val="20"/>
        </w:rPr>
        <w:t xml:space="preserve">Trust BTP agit exclusivement en qualité d’</w:t>
      </w:r>
      <w:r>
        <w:rPr>
          <w:rFonts w:ascii="Calibri" w:cs="Calibri" w:eastAsia="Calibri" w:hAnsi="Calibri"/>
          <w:b/>
          <w:bCs/>
          <w:color w:val="1E1B4B"/>
          <w:sz w:val="20"/>
          <w:szCs w:val="20"/>
        </w:rPr>
        <w:t xml:space="preserve">orchestrateur technique non-custodial</w:t>
      </w:r>
      <w:r>
        <w:rPr>
          <w:rFonts w:ascii="Calibri" w:cs="Calibri" w:eastAsia="Calibri" w:hAnsi="Calibri"/>
          <w:b w:val="false"/>
          <w:bCs w:val="false"/>
          <w:color w:val="2E3549"/>
          <w:sz w:val="20"/>
          <w:szCs w:val="20"/>
        </w:rPr>
        <w:t xml:space="preserve">. À ce titre, Trust BTP :</w:t>
      </w:r>
    </w:p>
    <w:p>
      <w:pPr>
        <w:pStyle w:val="ListParagraph"/>
        <w:numPr>
          <w:ilvl w:val="0"/>
          <w:numId w:val="2"/>
        </w:numPr>
        <w:spacing w:after="20" w:before="20" w:line="230"/>
        <w:jc w:val="both"/>
      </w:pPr>
      <w:r>
        <w:rPr>
          <w:rFonts w:ascii="Calibri" w:cs="Calibri" w:eastAsia="Calibri" w:hAnsi="Calibri"/>
          <w:b/>
          <w:bCs/>
          <w:color w:val="4D43F0"/>
          <w:sz w:val="19"/>
          <w:szCs w:val="19"/>
        </w:rPr>
        <w:t xml:space="preserve">(a) </w:t>
      </w:r>
      <w:r>
        <w:rPr>
          <w:rFonts w:ascii="Calibri" w:cs="Calibri" w:eastAsia="Calibri" w:hAnsi="Calibri"/>
          <w:b/>
          <w:bCs/>
          <w:color w:val="2E3549"/>
          <w:sz w:val="19"/>
          <w:szCs w:val="19"/>
        </w:rPr>
        <w:t xml:space="preserve">ne détient </w:t>
      </w:r>
      <w:r>
        <w:rPr>
          <w:rFonts w:ascii="Calibri" w:cs="Calibri" w:eastAsia="Calibri" w:hAnsi="Calibri"/>
          <w:b w:val="false"/>
          <w:bCs w:val="false"/>
          <w:color w:val="2E3549"/>
          <w:sz w:val="19"/>
          <w:szCs w:val="19"/>
        </w:rPr>
        <w:t xml:space="preserve">jamais les fonds des parties, ceux-ci étant ségrégués on-chain dans un smart contract non-custodial ;</w:t>
      </w:r>
    </w:p>
    <w:p>
      <w:pPr>
        <w:pStyle w:val="ListParagraph"/>
        <w:numPr>
          <w:ilvl w:val="0"/>
          <w:numId w:val="2"/>
        </w:numPr>
        <w:spacing w:after="20" w:before="20" w:line="230"/>
        <w:jc w:val="both"/>
      </w:pPr>
      <w:r>
        <w:rPr>
          <w:rFonts w:ascii="Calibri" w:cs="Calibri" w:eastAsia="Calibri" w:hAnsi="Calibri"/>
          <w:b/>
          <w:bCs/>
          <w:color w:val="4D43F0"/>
          <w:sz w:val="19"/>
          <w:szCs w:val="19"/>
        </w:rPr>
        <w:t xml:space="preserve">(b) </w:t>
      </w:r>
      <w:r>
        <w:rPr>
          <w:rFonts w:ascii="Calibri" w:cs="Calibri" w:eastAsia="Calibri" w:hAnsi="Calibri"/>
          <w:b/>
          <w:bCs/>
          <w:color w:val="2E3549"/>
          <w:sz w:val="19"/>
          <w:szCs w:val="19"/>
        </w:rPr>
        <w:t xml:space="preserve">n’intervient </w:t>
      </w:r>
      <w:r>
        <w:rPr>
          <w:rFonts w:ascii="Calibri" w:cs="Calibri" w:eastAsia="Calibri" w:hAnsi="Calibri"/>
          <w:b w:val="false"/>
          <w:bCs w:val="false"/>
          <w:color w:val="2E3549"/>
          <w:sz w:val="19"/>
          <w:szCs w:val="19"/>
        </w:rPr>
        <w:t xml:space="preserve">jamais dans la validation P2P des jalons par le Particulier et l’Artisan ;</w:t>
      </w:r>
    </w:p>
    <w:p>
      <w:pPr>
        <w:pStyle w:val="ListParagraph"/>
        <w:numPr>
          <w:ilvl w:val="0"/>
          <w:numId w:val="2"/>
        </w:numPr>
        <w:spacing w:after="20" w:before="20" w:line="230"/>
        <w:jc w:val="both"/>
      </w:pPr>
      <w:r>
        <w:rPr>
          <w:rFonts w:ascii="Calibri" w:cs="Calibri" w:eastAsia="Calibri" w:hAnsi="Calibri"/>
          <w:b/>
          <w:bCs/>
          <w:color w:val="4D43F0"/>
          <w:sz w:val="19"/>
          <w:szCs w:val="19"/>
        </w:rPr>
        <w:t xml:space="preserve">(c) </w:t>
      </w:r>
      <w:r>
        <w:rPr>
          <w:rFonts w:ascii="Calibri" w:cs="Calibri" w:eastAsia="Calibri" w:hAnsi="Calibri"/>
          <w:b/>
          <w:bCs/>
          <w:color w:val="2E3549"/>
          <w:sz w:val="19"/>
          <w:szCs w:val="19"/>
        </w:rPr>
        <w:t xml:space="preserve">n’exerce </w:t>
      </w:r>
      <w:r>
        <w:rPr>
          <w:rFonts w:ascii="Calibri" w:cs="Calibri" w:eastAsia="Calibri" w:hAnsi="Calibri"/>
          <w:b w:val="false"/>
          <w:bCs w:val="false"/>
          <w:color w:val="2E3549"/>
          <w:sz w:val="19"/>
          <w:szCs w:val="19"/>
        </w:rPr>
        <w:t xml:space="preserve">aucune décision sur la répartition des fonds en cas de litige, l’arbitrage étant délégué à un tiers indépendant (art. 5) ;</w:t>
      </w:r>
    </w:p>
    <w:p>
      <w:pPr>
        <w:pStyle w:val="ListParagraph"/>
        <w:numPr>
          <w:ilvl w:val="0"/>
          <w:numId w:val="2"/>
        </w:numPr>
        <w:spacing w:after="20" w:before="20" w:line="230"/>
        <w:jc w:val="both"/>
      </w:pPr>
      <w:r>
        <w:rPr>
          <w:rFonts w:ascii="Calibri" w:cs="Calibri" w:eastAsia="Calibri" w:hAnsi="Calibri"/>
          <w:b/>
          <w:bCs/>
          <w:color w:val="4D43F0"/>
          <w:sz w:val="19"/>
          <w:szCs w:val="19"/>
        </w:rPr>
        <w:t xml:space="preserve">(d) </w:t>
      </w:r>
      <w:r>
        <w:rPr>
          <w:rFonts w:ascii="Calibri" w:cs="Calibri" w:eastAsia="Calibri" w:hAnsi="Calibri"/>
          <w:b/>
          <w:bCs/>
          <w:color w:val="2E3549"/>
          <w:sz w:val="19"/>
          <w:szCs w:val="19"/>
        </w:rPr>
        <w:t xml:space="preserve">ne fournit </w:t>
      </w:r>
      <w:r>
        <w:rPr>
          <w:rFonts w:ascii="Calibri" w:cs="Calibri" w:eastAsia="Calibri" w:hAnsi="Calibri"/>
          <w:b w:val="false"/>
          <w:bCs w:val="false"/>
          <w:color w:val="2E3549"/>
          <w:sz w:val="19"/>
          <w:szCs w:val="19"/>
        </w:rPr>
        <w:t xml:space="preserve">aucun conseil financier, juridique, fiscal ou en investissement. L’opt-in DeFi (art. 3) est une fonctionnalité technique activée à la seule discrétion du Particulier, opérée par un partenaire CASP régulé tiers.</w:t>
      </w:r>
    </w:p>
    <w:p>
      <w:pPr>
        <w:spacing w:after="40" w:before="40" w:line="240"/>
        <w:jc w:val="both"/>
      </w:pPr>
      <w:r>
        <w:rPr>
          <w:rFonts w:ascii="Calibri" w:cs="Calibri" w:eastAsia="Calibri" w:hAnsi="Calibri"/>
          <w:b w:val="false"/>
          <w:bCs w:val="false"/>
          <w:color w:val="2E3549"/>
          <w:sz w:val="20"/>
          <w:szCs w:val="20"/>
        </w:rPr>
        <w:t xml:space="preserve">En conséquence, la responsabilité de Trust BTP </w:t>
      </w:r>
      <w:r>
        <w:rPr>
          <w:rFonts w:ascii="Calibri" w:cs="Calibri" w:eastAsia="Calibri" w:hAnsi="Calibri"/>
          <w:b/>
          <w:bCs/>
          <w:color w:val="2E3549"/>
          <w:sz w:val="20"/>
          <w:szCs w:val="20"/>
        </w:rPr>
        <w:t xml:space="preserve">ne peut être engagée</w:t>
      </w:r>
      <w:r>
        <w:rPr>
          <w:rFonts w:ascii="Calibri" w:cs="Calibri" w:eastAsia="Calibri" w:hAnsi="Calibri"/>
          <w:b w:val="false"/>
          <w:bCs w:val="false"/>
          <w:color w:val="2E3549"/>
          <w:sz w:val="20"/>
          <w:szCs w:val="20"/>
        </w:rPr>
        <w:t xml:space="preserve"> qu’au titre d’une défaillance directement imputable à son infrastructure technique propre et dans les limites prévues par le droit applicable. Sont notamment exclus : les cas de force majeure, les défaillances de smart contracts tiers audités, les sinistres liés aux protocoles DeFi tiers, les pertes liées à un usage non conforme ou à des identifiants/clés compromis par la faute d’une partie.</w:t>
      </w:r>
    </w:p>
    <w:p>
      <w:pPr>
        <w:spacing w:after="60" w:before="160"/>
      </w:pPr>
      <w:r>
        <w:rPr>
          <w:rFonts w:ascii="Calibri" w:cs="Calibri" w:eastAsia="Calibri" w:hAnsi="Calibri"/>
          <w:b/>
          <w:bCs/>
          <w:color w:val="4D43F0"/>
          <w:sz w:val="22"/>
          <w:szCs w:val="22"/>
        </w:rPr>
        <w:t xml:space="preserve">Article 8 — </w:t>
      </w:r>
      <w:r>
        <w:rPr>
          <w:rFonts w:ascii="Calibri" w:cs="Calibri" w:eastAsia="Calibri" w:hAnsi="Calibri"/>
          <w:b/>
          <w:bCs/>
          <w:color w:val="1E1B4B"/>
          <w:sz w:val="22"/>
          <w:szCs w:val="22"/>
        </w:rPr>
        <w:t xml:space="preserve">NFT chantier, valeur probatoire et consultation wallet (optionnelle)</w:t>
      </w:r>
    </w:p>
    <w:p>
      <w:pPr>
        <w:spacing w:after="40" w:before="40" w:line="240"/>
        <w:jc w:val="both"/>
      </w:pPr>
      <w:r>
        <w:rPr>
          <w:rFonts w:ascii="Calibri" w:cs="Calibri" w:eastAsia="Calibri" w:hAnsi="Calibri"/>
          <w:b w:val="false"/>
          <w:bCs w:val="false"/>
          <w:color w:val="2E3549"/>
          <w:sz w:val="20"/>
          <w:szCs w:val="20"/>
        </w:rPr>
        <w:t xml:space="preserve">À la signature du présent contrat, un </w:t>
      </w:r>
      <w:r>
        <w:rPr>
          <w:rFonts w:ascii="Calibri" w:cs="Calibri" w:eastAsia="Calibri" w:hAnsi="Calibri"/>
          <w:b/>
          <w:bCs/>
          <w:color w:val="1E1B4B"/>
          <w:sz w:val="20"/>
          <w:szCs w:val="20"/>
        </w:rPr>
        <w:t xml:space="preserve">NFT chantier</w:t>
      </w:r>
      <w:r>
        <w:rPr>
          <w:rFonts w:ascii="Calibri" w:cs="Calibri" w:eastAsia="Calibri" w:hAnsi="Calibri"/>
          <w:b w:val="false"/>
          <w:bCs w:val="false"/>
          <w:color w:val="2E3549"/>
          <w:sz w:val="20"/>
          <w:szCs w:val="20"/>
        </w:rPr>
        <w:t xml:space="preserve"> est minté et regroupe : les présentes clauses, le découpage en jalons, les preuves déposées tout au long du chantier, les validations P2P et, le cas échéant, la sentence arbitrale.</w:t>
      </w:r>
    </w:p>
    <w:p>
      <w:pPr>
        <w:spacing w:after="40" w:before="40" w:line="240"/>
        <w:jc w:val="both"/>
      </w:pPr>
      <w:r>
        <w:rPr>
          <w:rFonts w:ascii="Calibri" w:cs="Calibri" w:eastAsia="Calibri" w:hAnsi="Calibri"/>
          <w:b w:val="false"/>
          <w:bCs w:val="false"/>
          <w:color w:val="2E3549"/>
          <w:sz w:val="20"/>
          <w:szCs w:val="20"/>
        </w:rPr>
        <w:t xml:space="preserve">Conformément aux articles </w:t>
      </w:r>
      <w:r>
        <w:rPr>
          <w:rFonts w:ascii="Calibri" w:cs="Calibri" w:eastAsia="Calibri" w:hAnsi="Calibri"/>
          <w:b/>
          <w:bCs/>
          <w:color w:val="2E3549"/>
          <w:sz w:val="20"/>
          <w:szCs w:val="20"/>
        </w:rPr>
        <w:t xml:space="preserve">1366 et 1367 du Code civil</w:t>
      </w:r>
      <w:r>
        <w:rPr>
          <w:rFonts w:ascii="Calibri" w:cs="Calibri" w:eastAsia="Calibri" w:hAnsi="Calibri"/>
          <w:b w:val="false"/>
          <w:bCs w:val="false"/>
          <w:color w:val="2E3549"/>
          <w:sz w:val="20"/>
          <w:szCs w:val="20"/>
        </w:rPr>
        <w:t xml:space="preserve"> et à l’</w:t>
      </w:r>
      <w:r>
        <w:rPr>
          <w:rFonts w:ascii="Calibri" w:cs="Calibri" w:eastAsia="Calibri" w:hAnsi="Calibri"/>
          <w:b/>
          <w:bCs/>
          <w:color w:val="2E3549"/>
          <w:sz w:val="20"/>
          <w:szCs w:val="20"/>
        </w:rPr>
        <w:t xml:space="preserve">ordonnance n° 2021-1192</w:t>
      </w:r>
      <w:r>
        <w:rPr>
          <w:rFonts w:ascii="Calibri" w:cs="Calibri" w:eastAsia="Calibri" w:hAnsi="Calibri"/>
          <w:b w:val="false"/>
          <w:bCs w:val="false"/>
          <w:color w:val="2E3549"/>
          <w:sz w:val="20"/>
          <w:szCs w:val="20"/>
        </w:rPr>
        <w:t xml:space="preserve">, le NFT chantier constitue une </w:t>
      </w:r>
      <w:r>
        <w:rPr>
          <w:rFonts w:ascii="Calibri" w:cs="Calibri" w:eastAsia="Calibri" w:hAnsi="Calibri"/>
          <w:b/>
          <w:bCs/>
          <w:color w:val="2E3549"/>
          <w:sz w:val="20"/>
          <w:szCs w:val="20"/>
        </w:rPr>
        <w:t xml:space="preserve">preuve numérique à valeur probatoire</w:t>
      </w:r>
      <w:r>
        <w:rPr>
          <w:rFonts w:ascii="Calibri" w:cs="Calibri" w:eastAsia="Calibri" w:hAnsi="Calibri"/>
          <w:b w:val="false"/>
          <w:bCs w:val="false"/>
          <w:color w:val="2E3549"/>
          <w:sz w:val="20"/>
          <w:szCs w:val="20"/>
        </w:rPr>
        <w:t xml:space="preserve"> opposable à toute juridiction.</w:t>
      </w:r>
    </w:p>
    <w:p>
      <w:pPr>
        <w:spacing w:after="40" w:before="40" w:line="240"/>
        <w:jc w:val="both"/>
      </w:pPr>
      <w:r>
        <w:rPr>
          <w:rFonts w:ascii="Calibri" w:cs="Calibri" w:eastAsia="Calibri" w:hAnsi="Calibri"/>
          <w:b w:val="false"/>
          <w:bCs w:val="false"/>
          <w:color w:val="2E3549"/>
          <w:sz w:val="20"/>
          <w:szCs w:val="20"/>
        </w:rPr>
        <w:t xml:space="preserve">La consultation du NFT chantier via un </w:t>
      </w:r>
      <w:r>
        <w:rPr>
          <w:rFonts w:ascii="Calibri" w:cs="Calibri" w:eastAsia="Calibri" w:hAnsi="Calibri"/>
          <w:b/>
          <w:bCs/>
          <w:color w:val="2E3549"/>
          <w:sz w:val="20"/>
          <w:szCs w:val="20"/>
        </w:rPr>
        <w:t xml:space="preserve">wallet personnel (Rabby, MetaMask ou équivalent)</w:t>
      </w:r>
      <w:r>
        <w:rPr>
          <w:rFonts w:ascii="Calibri" w:cs="Calibri" w:eastAsia="Calibri" w:hAnsi="Calibri"/>
          <w:b w:val="false"/>
          <w:bCs w:val="false"/>
          <w:color w:val="2E3549"/>
          <w:sz w:val="20"/>
          <w:szCs w:val="20"/>
        </w:rPr>
        <w:t xml:space="preserve"> est </w:t>
      </w:r>
      <w:r>
        <w:rPr>
          <w:rFonts w:ascii="Calibri" w:cs="Calibri" w:eastAsia="Calibri" w:hAnsi="Calibri"/>
          <w:b/>
          <w:bCs/>
          <w:color w:val="2E3549"/>
          <w:sz w:val="20"/>
          <w:szCs w:val="20"/>
        </w:rPr>
        <w:t xml:space="preserve">optionnelle et non obligatoire</w:t>
      </w:r>
      <w:r>
        <w:rPr>
          <w:rFonts w:ascii="Calibri" w:cs="Calibri" w:eastAsia="Calibri" w:hAnsi="Calibri"/>
          <w:b w:val="false"/>
          <w:bCs w:val="false"/>
          <w:color w:val="2E3549"/>
          <w:sz w:val="20"/>
          <w:szCs w:val="20"/>
        </w:rPr>
        <w:t xml:space="preserve"> pour les deux parties. Elle est proposée comme fonctionnalité avancée aux Particuliers souhaitant disposer d’un accès direct à la preuve on-chain. Pour les Artisans, cette option reste disponible à la demande sans être mise en avant dans le parcours standard. </w:t>
      </w:r>
      <w:r>
        <w:rPr>
          <w:rFonts w:ascii="Calibri" w:cs="Calibri" w:eastAsia="Calibri" w:hAnsi="Calibri"/>
          <w:b w:val="false"/>
          <w:bCs w:val="false"/>
          <w:color w:val="2E3549"/>
          <w:sz w:val="20"/>
          <w:szCs w:val="20"/>
        </w:rPr>
        <w:t xml:space="preserve">L’exécution du contrat et l’accès aux fonctionnalités est intégralement assurée via l’interface Trust BTP, sans nécessité d’interaction avec un wallet.</w:t>
      </w:r>
    </w:p>
    <w:p>
      <w:pPr>
        <w:spacing w:after="60" w:before="160"/>
      </w:pPr>
      <w:r>
        <w:rPr>
          <w:rFonts w:ascii="Calibri" w:cs="Calibri" w:eastAsia="Calibri" w:hAnsi="Calibri"/>
          <w:b/>
          <w:bCs/>
          <w:color w:val="4D43F0"/>
          <w:sz w:val="22"/>
          <w:szCs w:val="22"/>
        </w:rPr>
        <w:t xml:space="preserve">Article 9 — </w:t>
      </w:r>
      <w:r>
        <w:rPr>
          <w:rFonts w:ascii="Calibri" w:cs="Calibri" w:eastAsia="Calibri" w:hAnsi="Calibri"/>
          <w:b/>
          <w:bCs/>
          <w:color w:val="1E1B4B"/>
          <w:sz w:val="22"/>
          <w:szCs w:val="22"/>
        </w:rPr>
        <w:t xml:space="preserve">Protection des données personnelles (RGPD)</w:t>
      </w:r>
    </w:p>
    <w:p>
      <w:pPr>
        <w:spacing w:after="40" w:before="40" w:line="240"/>
        <w:jc w:val="both"/>
      </w:pPr>
      <w:r>
        <w:rPr>
          <w:rFonts w:ascii="Calibri" w:cs="Calibri" w:eastAsia="Calibri" w:hAnsi="Calibri"/>
          <w:b w:val="false"/>
          <w:bCs w:val="false"/>
          <w:color w:val="2E3549"/>
          <w:sz w:val="20"/>
          <w:szCs w:val="20"/>
        </w:rPr>
        <w:t xml:space="preserve">Les données personnelles collectées (pièces KYC, RIB, photos chantier géolocalisées, données financières) sont traitées conformément au </w:t>
      </w:r>
      <w:r>
        <w:rPr>
          <w:rFonts w:ascii="Calibri" w:cs="Calibri" w:eastAsia="Calibri" w:hAnsi="Calibri"/>
          <w:b/>
          <w:bCs/>
          <w:color w:val="2E3549"/>
          <w:sz w:val="20"/>
          <w:szCs w:val="20"/>
        </w:rPr>
        <w:t xml:space="preserve">Règlement (UE) 2016/679 (RGPD)</w:t>
      </w:r>
      <w:r>
        <w:rPr>
          <w:rFonts w:ascii="Calibri" w:cs="Calibri" w:eastAsia="Calibri" w:hAnsi="Calibri"/>
          <w:b w:val="false"/>
          <w:bCs w:val="false"/>
          <w:color w:val="2E3549"/>
          <w:sz w:val="20"/>
          <w:szCs w:val="20"/>
        </w:rPr>
        <w:t xml:space="preserve"> et à la loi n° 78-17 modifiée. L’architecture repose sur un principe de </w:t>
      </w:r>
      <w:r>
        <w:rPr>
          <w:rFonts w:ascii="Calibri" w:cs="Calibri" w:eastAsia="Calibri" w:hAnsi="Calibri"/>
          <w:b/>
          <w:bCs/>
          <w:color w:val="2E3549"/>
          <w:sz w:val="20"/>
          <w:szCs w:val="20"/>
        </w:rPr>
        <w:t xml:space="preserve">hash on-chain / data off-chain</w:t>
      </w:r>
      <w:r>
        <w:rPr>
          <w:rFonts w:ascii="Calibri" w:cs="Calibri" w:eastAsia="Calibri" w:hAnsi="Calibri"/>
          <w:b w:val="false"/>
          <w:bCs w:val="false"/>
          <w:color w:val="2E3549"/>
          <w:sz w:val="20"/>
          <w:szCs w:val="20"/>
        </w:rPr>
        <w:t xml:space="preserve"> : seuls les empreintes cryptographiques (SHA-256) sont inscrites on-chain ; les fichiers eux-mêmes sont chiffrés sur stockage européen (IPFS chiffré ou hébergeur UE) et peuvent être supprimés à la demande des personnes concernées (droit à l’effacement, art. 17 RGPD).</w:t>
      </w:r>
    </w:p>
    <w:p>
      <w:pPr>
        <w:spacing w:after="60" w:before="160"/>
      </w:pPr>
      <w:r>
        <w:rPr>
          <w:rFonts w:ascii="Calibri" w:cs="Calibri" w:eastAsia="Calibri" w:hAnsi="Calibri"/>
          <w:b/>
          <w:bCs/>
          <w:color w:val="4D43F0"/>
          <w:sz w:val="22"/>
          <w:szCs w:val="22"/>
        </w:rPr>
        <w:t xml:space="preserve">Article 10 — </w:t>
      </w:r>
      <w:r>
        <w:rPr>
          <w:rFonts w:ascii="Calibri" w:cs="Calibri" w:eastAsia="Calibri" w:hAnsi="Calibri"/>
          <w:b/>
          <w:bCs/>
          <w:color w:val="1E1B4B"/>
          <w:sz w:val="22"/>
          <w:szCs w:val="22"/>
        </w:rPr>
        <w:t xml:space="preserve">Droit applicable, juridiction et médiation de la consommation</w:t>
      </w:r>
    </w:p>
    <w:p>
      <w:pPr>
        <w:spacing w:after="40" w:before="40" w:line="240"/>
        <w:jc w:val="both"/>
      </w:pPr>
      <w:r>
        <w:rPr>
          <w:rFonts w:ascii="Calibri" w:cs="Calibri" w:eastAsia="Calibri" w:hAnsi="Calibri"/>
          <w:b w:val="false"/>
          <w:bCs w:val="false"/>
          <w:color w:val="2E3549"/>
          <w:sz w:val="20"/>
          <w:szCs w:val="20"/>
        </w:rPr>
        <w:t xml:space="preserve">Le présent contrat est soumis au </w:t>
      </w:r>
      <w:r>
        <w:rPr>
          <w:rFonts w:ascii="Calibri" w:cs="Calibri" w:eastAsia="Calibri" w:hAnsi="Calibri"/>
          <w:b/>
          <w:bCs/>
          <w:color w:val="2E3549"/>
          <w:sz w:val="20"/>
          <w:szCs w:val="20"/>
        </w:rPr>
        <w:t xml:space="preserve">droit français</w:t>
      </w:r>
      <w:r>
        <w:rPr>
          <w:rFonts w:ascii="Calibri" w:cs="Calibri" w:eastAsia="Calibri" w:hAnsi="Calibri"/>
          <w:b w:val="false"/>
          <w:bCs w:val="false"/>
          <w:color w:val="2E3549"/>
          <w:sz w:val="20"/>
          <w:szCs w:val="20"/>
        </w:rPr>
        <w:t xml:space="preserve">. Les juridictions françaises sont seules compétentes pour toute contestation non arbitrable ou post-arbitrage. Conformément aux articles L.611-1 et suivants du Code de la consommation, le Particulier est informé qu’il peut, en cas de litige persistant après saisine du médiateur agréé désigné par Trust BTP, recourir gratuitement au </w:t>
      </w:r>
      <w:r>
        <w:rPr>
          <w:rFonts w:ascii="Calibri" w:cs="Calibri" w:eastAsia="Calibri" w:hAnsi="Calibri"/>
          <w:b/>
          <w:bCs/>
          <w:color w:val="2E3549"/>
          <w:sz w:val="20"/>
          <w:szCs w:val="20"/>
        </w:rPr>
        <w:t xml:space="preserve">médiateur de la consommation</w:t>
      </w:r>
      <w:r>
        <w:rPr>
          <w:rFonts w:ascii="Calibri" w:cs="Calibri" w:eastAsia="Calibri" w:hAnsi="Calibri"/>
          <w:b w:val="false"/>
          <w:bCs w:val="false"/>
          <w:color w:val="2E3549"/>
          <w:sz w:val="20"/>
          <w:szCs w:val="20"/>
        </w:rPr>
        <w:t xml:space="preserve"> compétent pour le secteur concerné.</w:t>
      </w:r>
    </w:p>
    <w:p>
      <w:pPr>
        <w:spacing w:after="80" w:before="260"/>
      </w:pPr>
      <w:r>
        <w:rPr>
          <w:rFonts w:ascii="Calibri" w:cs="Calibri" w:eastAsia="Calibri" w:hAnsi="Calibri"/>
          <w:b/>
          <w:bCs/>
          <w:color w:val="1E1B4B"/>
          <w:sz w:val="20"/>
          <w:szCs w:val="20"/>
        </w:rPr>
        <w:t xml:space="preserve">Acceptation électronique</w:t>
      </w:r>
    </w:p>
    <w:p>
      <w:pPr>
        <w:spacing w:after="60" w:before="40" w:line="240"/>
        <w:jc w:val="both"/>
      </w:pPr>
      <w:r>
        <w:rPr>
          <w:rFonts w:ascii="Calibri" w:cs="Calibri" w:eastAsia="Calibri" w:hAnsi="Calibri"/>
          <w:b w:val="false"/>
          <w:bCs w:val="false"/>
          <w:color w:val="2E3549"/>
          <w:sz w:val="20"/>
          <w:szCs w:val="20"/>
        </w:rPr>
        <w:t xml:space="preserve">La signature électronique du devis par les deux parties vaut acceptation intégrale des présentes clauses. Le hash cryptographique du présent document est inscrit on-chain dans le NFT chantier à la signature, garantissant l’intégrité et l’horodatage probatoire de chaque clause.</w:t>
      </w:r>
    </w:p>
    <w:p>
      <w:pPr>
        <w:pBdr>
          <w:top w:val="single" w:color="B87D00" w:sz="4" w:space="4"/>
          <w:bottom w:val="single" w:color="B87D00" w:sz="4" w:space="4"/>
          <w:left w:val="single" w:color="B87D00" w:sz="18" w:space="6"/>
          <w:right w:val="single" w:color="B87D00" w:sz="4" w:space="4"/>
        </w:pBdr>
        <w:shd w:fill="FFF4D6" w:val="clear"/>
        <w:spacing w:after="0" w:before="140" w:line="240"/>
        <w:jc w:val="both"/>
      </w:pPr>
      <w:r>
        <w:rPr>
          <w:rFonts w:ascii="Calibri" w:cs="Calibri" w:eastAsia="Calibri" w:hAnsi="Calibri"/>
          <w:b/>
          <w:bCs/>
          <w:color w:val="6B4800"/>
          <w:sz w:val="15"/>
          <w:szCs w:val="15"/>
        </w:rPr>
        <w:t xml:space="preserve">⚠  Avertissement : </w:t>
      </w:r>
      <w:r>
        <w:rPr>
          <w:rFonts w:ascii="Calibri" w:cs="Calibri" w:eastAsia="Calibri" w:hAnsi="Calibri"/>
          <w:b w:val="false"/>
          <w:bCs w:val="false"/>
          <w:color w:val="6B4800"/>
          <w:sz w:val="15"/>
          <w:szCs w:val="15"/>
        </w:rPr>
        <w:t xml:space="preserve">la présente annexe est un modèle de rédaction à but de cadrage projet. Elle doit être revue et validée par un avocat spécialisé en droit bancaire, droit de la consommation et droit du numérique avant toute utilisation commerciale. Les références aux partenaires (PSP, CASP, médiateur CECMC, CMAP) sont à confirmer après contractualisation.</w:t>
      </w:r>
    </w:p>
    <w:sectPr>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b w:val="false"/>
        <w:bCs w:val="false"/>
        <w:color w:val="6C7489"/>
        <w:sz w:val="14"/>
        <w:szCs w:val="14"/>
      </w:rPr>
      <w:t xml:space="preserve">Trust BTP — Annexe juridique au devis · Avr. 2026 — page </w:t>
    </w:r>
    <w:r>
      <w:rPr>
        <w:color w:val="6C7489"/>
        <w:sz w:val="14"/>
        <w:szCs w:val="14"/>
      </w:rPr>
      <w:fldChar w:fldCharType="begin"/>
      <w:instrText xml:space="preserve">PAGE</w:instrText>
      <w:fldChar w:fldCharType="separate"/>
      <w:fldChar w:fldCharType="end"/>
    </w:r>
    <w:r>
      <w:rPr>
        <w:color w:val="6C7489"/>
        <w:sz w:val="14"/>
        <w:szCs w:val="14"/>
      </w:rPr>
      <w:t xml:space="preserve">/</w:t>
    </w:r>
    <w:r>
      <w:rPr>
        <w:color w:val="6C748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4D43F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Annexe juridique au devis — Trust BTP</dc:title>
  <dc:creator>Trust BTP</dc:creator>
  <cp:lastModifiedBy>Un-named</cp:lastModifiedBy>
  <cp:revision>1</cp:revision>
  <dcterms:created xsi:type="dcterms:W3CDTF">2026-04-17T14:48:50.420Z</dcterms:created>
  <dcterms:modified xsi:type="dcterms:W3CDTF">2026-04-17T14:48:50.421Z</dcterms:modified>
</cp:coreProperties>
</file>

<file path=docProps/custom.xml><?xml version="1.0" encoding="utf-8"?>
<Properties xmlns="http://schemas.openxmlformats.org/officeDocument/2006/custom-properties" xmlns:vt="http://schemas.openxmlformats.org/officeDocument/2006/docPropsVTypes"/>
</file>