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0A1628"/>
          <w:sz w:val="32"/>
          <w:szCs w:val="32"/>
        </w:rPr>
        <w:t xml:space="preserve">Pitch Trust BTP — 60 secondes</w:t>
      </w:r>
    </w:p>
    <w:p>
      <w:pPr>
        <w:pBdr>
          <w:bottom w:val="single" w:color="F28C28" w:sz="10" w:space="6"/>
        </w:pBdr>
        <w:spacing w:after="220" w:before="0"/>
        <w:jc w:val="center"/>
      </w:pPr>
      <w:r>
        <w:rPr>
          <w:rFonts w:ascii="Calibri" w:cs="Calibri" w:eastAsia="Calibri" w:hAnsi="Calibri"/>
          <w:b w:val="false"/>
          <w:bCs w:val="false"/>
          <w:color w:val="6C7489"/>
          <w:sz w:val="16"/>
          <w:szCs w:val="16"/>
        </w:rPr>
        <w:t xml:space="preserve">Script + storyboard pour enregistrement (Loom / Riverside / OBS) · Cas pratique Alyra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700"/>
        <w:gridCol w:w="2600"/>
        <w:gridCol w:w="900"/>
      </w:tblGrid>
      <w:tr>
        <w:trPr>
          <w:tblHeader/>
        </w:trPr>
        <w:tc>
          <w:tcPr>
            <w:tcW w:type="dxa" w:w="1300"/>
            <w:tcBorders>
              <w:top w:val="single" w:color="DEE3EE" w:sz="4"/>
              <w:left w:val="single" w:color="DEE3EE" w:sz="4"/>
              <w:bottom w:val="single" w:color="DEE3EE" w:sz="4"/>
              <w:right w:val="single" w:color="DEE3EE" w:sz="4"/>
            </w:tcBorders>
            <w:shd w:fill="0A162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Timing</w:t>
            </w:r>
          </w:p>
        </w:tc>
        <w:tc>
          <w:tcPr>
            <w:tcW w:type="dxa" w:w="1500"/>
            <w:tcBorders>
              <w:top w:val="single" w:color="DEE3EE" w:sz="4"/>
              <w:left w:val="single" w:color="DEE3EE" w:sz="4"/>
              <w:bottom w:val="single" w:color="DEE3EE" w:sz="4"/>
              <w:right w:val="single" w:color="DEE3EE" w:sz="4"/>
            </w:tcBorders>
            <w:shd w:fill="0A162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Beat</w:t>
            </w:r>
          </w:p>
        </w:tc>
        <w:tc>
          <w:tcPr>
            <w:tcW w:type="dxa" w:w="3700"/>
            <w:tcBorders>
              <w:top w:val="single" w:color="DEE3EE" w:sz="4"/>
              <w:left w:val="single" w:color="DEE3EE" w:sz="4"/>
              <w:bottom w:val="single" w:color="DEE3EE" w:sz="4"/>
              <w:right w:val="single" w:color="DEE3EE" w:sz="4"/>
            </w:tcBorders>
            <w:shd w:fill="F28C2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À l’écran</w:t>
            </w:r>
          </w:p>
        </w:tc>
        <w:tc>
          <w:tcPr>
            <w:tcW w:type="dxa" w:w="2600"/>
            <w:tcBorders>
              <w:top w:val="single" w:color="DEE3EE" w:sz="4"/>
              <w:left w:val="single" w:color="DEE3EE" w:sz="4"/>
              <w:bottom w:val="single" w:color="DEE3EE" w:sz="4"/>
              <w:right w:val="single" w:color="DEE3EE" w:sz="4"/>
            </w:tcBorders>
            <w:shd w:fill="D97706"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Voix off</w:t>
            </w:r>
          </w:p>
        </w:tc>
        <w:tc>
          <w:tcPr>
            <w:tcW w:type="dxa" w:w="900"/>
            <w:tcBorders>
              <w:top w:val="single" w:color="DEE3EE" w:sz="4"/>
              <w:left w:val="single" w:color="DEE3EE" w:sz="4"/>
              <w:bottom w:val="single" w:color="DEE3EE" w:sz="4"/>
              <w:right w:val="single" w:color="DEE3EE" w:sz="4"/>
            </w:tcBorders>
            <w:shd w:fill="0A1628" w:val="clear"/>
            <w:tcMar>
              <w:top w:type="dxa" w:w="80"/>
              <w:left w:type="dxa" w:w="100"/>
              <w:bottom w:type="dxa" w:w="80"/>
              <w:right w:type="dxa" w:w="100"/>
            </w:tcMar>
            <w:vAlign w:val="center"/>
          </w:tcPr>
          <w:p>
            <w:pPr>
              <w:jc w:val="center"/>
            </w:pPr>
            <w:r>
              <w:rPr>
                <w:rFonts w:ascii="Calibri" w:cs="Calibri" w:eastAsia="Calibri" w:hAnsi="Calibri"/>
                <w:b/>
                <w:bCs/>
                <w:color w:val="FFFFFF"/>
                <w:sz w:val="17"/>
                <w:szCs w:val="17"/>
              </w:rPr>
              <w:t xml:space="preserve">Durée</w:t>
            </w:r>
          </w:p>
        </w:tc>
      </w:tr>
      <w:tr>
        <w:tc>
          <w:tcPr>
            <w:tcW w:type="dxa" w:w="13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0 – 6 s</w:t>
            </w:r>
          </w:p>
        </w:tc>
        <w:tc>
          <w:tcPr>
            <w:tcW w:type="dxa" w:w="15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HOOK</w:t>
            </w:r>
          </w:p>
        </w:tc>
        <w:tc>
          <w:tcPr>
            <w:tcW w:type="dxa" w:w="37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Landing Trust BTP. Gros titre « Sécurisez vos paiements de chantier ». Le curseur survole le CTA « Je suis Particulier ».</w:t>
            </w:r>
          </w:p>
        </w:tc>
        <w:tc>
          <w:tcPr>
            <w:tcW w:type="dxa" w:w="26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45 % des chantiers entre particuliers et artisans finissent en litige sur le paiement. Impayés, malfaçons, confiance brisée.</w:t>
            </w:r>
          </w:p>
        </w:tc>
        <w:tc>
          <w:tcPr>
            <w:tcW w:type="dxa" w:w="9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6 s</w:t>
            </w:r>
          </w:p>
        </w:tc>
      </w:tr>
      <w:tr>
        <w:tc>
          <w:tcPr>
            <w:tcW w:type="dxa" w:w="13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6 – 14 s</w:t>
            </w:r>
          </w:p>
        </w:tc>
        <w:tc>
          <w:tcPr>
            <w:tcW w:type="dxa" w:w="15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SOLUTION</w:t>
            </w:r>
          </w:p>
        </w:tc>
        <w:tc>
          <w:tcPr>
            <w:tcW w:type="dxa" w:w="37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Écran KYC Monerium. Upload CNI, RIB. Encart latéral : « Web3 invisible ».</w:t>
            </w:r>
          </w:p>
        </w:tc>
        <w:tc>
          <w:tcPr>
            <w:tcW w:type="dxa" w:w="26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Trust BTP est une dApp hybride qui met vos fonds en séquestre on-chain sans que vous voyez jamais la crypto. Un simple KYC fintech via Monerium et c’est parti.</w:t>
            </w:r>
          </w:p>
        </w:tc>
        <w:tc>
          <w:tcPr>
            <w:tcW w:type="dxa" w:w="9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8 s</w:t>
            </w:r>
          </w:p>
        </w:tc>
      </w:tr>
      <w:tr>
        <w:tc>
          <w:tcPr>
            <w:tcW w:type="dxa" w:w="13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14 – 24 s</w:t>
            </w:r>
          </w:p>
        </w:tc>
        <w:tc>
          <w:tcPr>
            <w:tcW w:type="dxa" w:w="15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MÉCANIQUE 110 %</w:t>
            </w:r>
          </w:p>
        </w:tc>
        <w:tc>
          <w:tcPr>
            <w:tcW w:type="dxa" w:w="37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Écran devis. Tableau des jalons. Mise en valeur de la ligne « 110 % déposés en escrow » + panneau clauses juridiques.</w:t>
            </w:r>
          </w:p>
        </w:tc>
        <w:tc>
          <w:tcPr>
            <w:tcW w:type="dxa" w:w="26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Le particulier dépose 110 % du montant via un PSP agréé : 100 % pour le chantier, 5 % pour nous et 5 % de provision médiation remboursée si tout se passe bien. Tout le contrat est horodaté on-chain avec ses clauses juridiques.</w:t>
            </w:r>
          </w:p>
        </w:tc>
        <w:tc>
          <w:tcPr>
            <w:tcW w:type="dxa" w:w="9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10 s</w:t>
            </w:r>
          </w:p>
        </w:tc>
      </w:tr>
      <w:tr>
        <w:tc>
          <w:tcPr>
            <w:tcW w:type="dxa" w:w="13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24 – 34 s</w:t>
            </w:r>
          </w:p>
        </w:tc>
        <w:tc>
          <w:tcPr>
            <w:tcW w:type="dxa" w:w="15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NFT + VALIDATION P2P</w:t>
            </w:r>
          </w:p>
        </w:tc>
        <w:tc>
          <w:tcPr>
            <w:tcW w:type="dxa" w:w="37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Signature Rabby → NFT chantier apparaît dans le wallet → dashboard chantier avec 5 jalons → clic « Valider le jalon 3 » avec preuves horodatées.</w:t>
            </w:r>
          </w:p>
        </w:tc>
        <w:tc>
          <w:tcPr>
            <w:tcW w:type="dxa" w:w="26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À la signature, un NFT chantier est minté. Il regroupe tous les preuves horodatées. À chaque jalon, le particulier et l’artisan valident en pair-à-pair. Trust BTP n’intervient jamais dans cette validation.</w:t>
            </w:r>
          </w:p>
        </w:tc>
        <w:tc>
          <w:tcPr>
            <w:tcW w:type="dxa" w:w="9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10 s</w:t>
            </w:r>
          </w:p>
        </w:tc>
      </w:tr>
      <w:tr>
        <w:tc>
          <w:tcPr>
            <w:tcW w:type="dxa" w:w="13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34 – 44 s</w:t>
            </w:r>
          </w:p>
        </w:tc>
        <w:tc>
          <w:tcPr>
            <w:tcW w:type="dxa" w:w="15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MÉDIATION / LITIGE</w:t>
            </w:r>
          </w:p>
        </w:tc>
        <w:tc>
          <w:tcPr>
            <w:tcW w:type="dxa" w:w="37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Bouton « Contester ». Flow médiation en 4 étapes. Écran décision du médiateur : « Accepter » ou « Refuser ».</w:t>
            </w:r>
          </w:p>
        </w:tc>
        <w:tc>
          <w:tcPr>
            <w:tcW w:type="dxa" w:w="26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En cas de litige, la plateforme initie une médiation tierce agréée CECMC. Si le particulier refuse la décision, il exporte un dossier horodaté complet pour la justice. Trust BTP n’est jamais responsable du litige : nous garantissons uniquement une preuve immuable.</w:t>
            </w:r>
          </w:p>
        </w:tc>
        <w:tc>
          <w:tcPr>
            <w:tcW w:type="dxa" w:w="9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10 s</w:t>
            </w:r>
          </w:p>
        </w:tc>
      </w:tr>
      <w:tr>
        <w:tc>
          <w:tcPr>
            <w:tcW w:type="dxa" w:w="13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44 – 54 s</w:t>
            </w:r>
          </w:p>
        </w:tc>
        <w:tc>
          <w:tcPr>
            <w:tcW w:type="dxa" w:w="15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DEFI / CRÉDITS TRAVAUX</w:t>
            </w:r>
          </w:p>
        </w:tc>
        <w:tc>
          <w:tcPr>
            <w:tcW w:type="dxa" w:w="37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Retour sur le devis, toggle opt-in DeFi activé. Dashboard : stat « Crédits travaux : +14,20 € ».</w:t>
            </w:r>
          </w:p>
        </w:tc>
        <w:tc>
          <w:tcPr>
            <w:tcW w:type="dxa" w:w="26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Bonus : pendant que vos fonds dorment en séquestre, vous pouvez optionnellement les faire travailler sur un protocole DeFi via un partenaire CASP régulé. 50 % du rendement vous revient en crédits travaux, jamais en numéraire.</w:t>
            </w:r>
          </w:p>
        </w:tc>
        <w:tc>
          <w:tcPr>
            <w:tcW w:type="dxa" w:w="900"/>
            <w:tcBorders>
              <w:top w:val="single" w:color="DEE3EE" w:sz="4"/>
              <w:left w:val="single" w:color="DEE3EE" w:sz="4"/>
              <w:bottom w:val="single" w:color="DEE3EE" w:sz="4"/>
              <w:right w:val="single" w:color="DEE3EE" w:sz="4"/>
            </w:tcBorders>
            <w:shd w:fill="FDF3E0"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10 s</w:t>
            </w:r>
          </w:p>
        </w:tc>
      </w:tr>
      <w:tr>
        <w:tc>
          <w:tcPr>
            <w:tcW w:type="dxa" w:w="13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54 – 60 s</w:t>
            </w:r>
          </w:p>
        </w:tc>
        <w:tc>
          <w:tcPr>
            <w:tcW w:type="dxa" w:w="15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D97706"/>
                <w:sz w:val="15"/>
                <w:szCs w:val="15"/>
              </w:rPr>
              <w:t xml:space="preserve">CTA</w:t>
            </w:r>
          </w:p>
        </w:tc>
        <w:tc>
          <w:tcPr>
            <w:tcW w:type="dxa" w:w="37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2E3549"/>
                <w:sz w:val="14"/>
                <w:szCs w:val="14"/>
              </w:rPr>
              <w:t xml:space="preserve">Landing hero avec logo Trust BTP + CTA « Essayer la démo ». URL de démo visible en bas.</w:t>
            </w:r>
          </w:p>
        </w:tc>
        <w:tc>
          <w:tcPr>
            <w:tcW w:type="dxa" w:w="26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r>
              <w:rPr>
                <w:rFonts w:ascii="Calibri" w:cs="Calibri" w:eastAsia="Calibri" w:hAnsi="Calibri"/>
                <w:b w:val="false"/>
                <w:bCs w:val="false"/>
                <w:color w:val="0F1F3D"/>
                <w:sz w:val="14"/>
                <w:szCs w:val="14"/>
              </w:rPr>
              <w:t xml:space="preserve">Trust BTP transforme chaque paiement travaux en une infrastructure de confiance programmable. Testez la démo, c’est ouvert dès maintenant.</w:t>
            </w:r>
          </w:p>
        </w:tc>
        <w:tc>
          <w:tcPr>
            <w:tcW w:type="dxa" w:w="900"/>
            <w:tcBorders>
              <w:top w:val="single" w:color="DEE3EE" w:sz="4"/>
              <w:left w:val="single" w:color="DEE3EE" w:sz="4"/>
              <w:bottom w:val="single" w:color="DEE3EE" w:sz="4"/>
              <w:right w:val="single" w:color="DEE3EE" w:sz="4"/>
            </w:tcBorders>
            <w:shd w:fill="FFFFFF" w:val="clear"/>
            <w:tcMar>
              <w:top w:type="dxa" w:w="80"/>
              <w:left w:type="dxa" w:w="100"/>
              <w:bottom w:type="dxa" w:w="80"/>
              <w:right w:type="dxa" w:w="100"/>
            </w:tcMar>
            <w:vAlign w:val="center"/>
          </w:tcPr>
          <w:p>
            <w:pPr>
              <w:jc w:val="center"/>
            </w:pPr>
            <w:r>
              <w:rPr>
                <w:rFonts w:ascii="Calibri" w:cs="Calibri" w:eastAsia="Calibri" w:hAnsi="Calibri"/>
                <w:b/>
                <w:bCs/>
                <w:color w:val="0F1F3D"/>
                <w:sz w:val="15"/>
                <w:szCs w:val="15"/>
              </w:rPr>
              <w:t xml:space="preserve">6 s</w:t>
            </w:r>
          </w:p>
        </w:tc>
      </w:tr>
    </w:tbl>
    <w:p>
      <w:pPr>
        <w:spacing w:after="40" w:before="320"/>
      </w:pPr>
      <w:r>
        <w:rPr>
          <w:rFonts w:ascii="Calibri" w:cs="Calibri" w:eastAsia="Calibri" w:hAnsi="Calibri"/>
          <w:b/>
          <w:bCs/>
          <w:color w:val="0A1628"/>
          <w:sz w:val="20"/>
          <w:szCs w:val="20"/>
        </w:rPr>
        <w:t xml:space="preserve">★ Avant l’enregistrement</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Timing total : </w:t>
      </w:r>
      <w:r>
        <w:rPr>
          <w:rFonts w:ascii="Calibri" w:cs="Calibri" w:eastAsia="Calibri" w:hAnsi="Calibri"/>
          <w:b w:val="false"/>
          <w:bCs w:val="false"/>
          <w:color w:val="2E3549"/>
          <w:sz w:val="20"/>
          <w:szCs w:val="20"/>
        </w:rPr>
        <w:t xml:space="preserve">60 secondes exactement. Ne pas dépasser.</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Ton : </w:t>
      </w:r>
      <w:r>
        <w:rPr>
          <w:rFonts w:ascii="Calibri" w:cs="Calibri" w:eastAsia="Calibri" w:hAnsi="Calibri"/>
          <w:b w:val="false"/>
          <w:bCs w:val="false"/>
          <w:color w:val="2E3549"/>
          <w:sz w:val="20"/>
          <w:szCs w:val="20"/>
        </w:rPr>
        <w:t xml:space="preserve">assumé, posé, pas commercial. On veut montrer qu’on a compris notre produit et notre marché.</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Rythme : </w:t>
      </w:r>
      <w:r>
        <w:rPr>
          <w:rFonts w:ascii="Calibri" w:cs="Calibri" w:eastAsia="Calibri" w:hAnsi="Calibri"/>
          <w:b w:val="false"/>
          <w:bCs w:val="false"/>
          <w:color w:val="2E3549"/>
          <w:sz w:val="20"/>
          <w:szCs w:val="20"/>
        </w:rPr>
        <w:t xml:space="preserve">~2,5 mots/seconde, soit ~150 mots pour 60 s. Le script ci-dessus est calé sur ~145 mots.</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Setup technique : </w:t>
      </w:r>
      <w:r>
        <w:rPr>
          <w:rFonts w:ascii="Calibri" w:cs="Calibri" w:eastAsia="Calibri" w:hAnsi="Calibri"/>
          <w:b w:val="false"/>
          <w:bCs w:val="false"/>
          <w:color w:val="2E3549"/>
          <w:sz w:val="20"/>
          <w:szCs w:val="20"/>
        </w:rPr>
        <w:t xml:space="preserve">Loom ou Riverside.fm en mode screen-record + voix. Safari ou Chrome en fenêtre 1280×720 pour un rendu 720p propre. Pensez à activer la caméra en bulle coin sup-droit pour l’effet pitch humain.</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Rabby Wallet : </w:t>
      </w:r>
      <w:r>
        <w:rPr>
          <w:rFonts w:ascii="Calibri" w:cs="Calibri" w:eastAsia="Calibri" w:hAnsi="Calibri"/>
          <w:b w:val="false"/>
          <w:bCs w:val="false"/>
          <w:color w:val="2E3549"/>
          <w:sz w:val="20"/>
          <w:szCs w:val="20"/>
        </w:rPr>
        <w:t xml:space="preserve">connectez Rabby avant de lancer l’enregistrement pour que l’ouverture du panneau soit instantanée (entre s 26 et s 30).</w:t>
      </w:r>
    </w:p>
    <w:p>
      <w:pPr>
        <w:spacing w:after="40" w:before="200"/>
      </w:pPr>
      <w:r>
        <w:rPr>
          <w:rFonts w:ascii="Calibri" w:cs="Calibri" w:eastAsia="Calibri" w:hAnsi="Calibri"/>
          <w:b/>
          <w:bCs/>
          <w:color w:val="0A1628"/>
          <w:sz w:val="20"/>
          <w:szCs w:val="20"/>
        </w:rPr>
        <w:t xml:space="preserve">★ Bande son (optionnelle)</w:t>
      </w:r>
    </w:p>
    <w:p>
      <w:pPr>
        <w:spacing w:after="40" w:before="40" w:line="240"/>
        <w:jc w:val="left"/>
      </w:pPr>
      <w:r>
        <w:rPr>
          <w:rFonts w:ascii="Calibri" w:cs="Calibri" w:eastAsia="Calibri" w:hAnsi="Calibri"/>
          <w:b w:val="false"/>
          <w:bCs w:val="false"/>
          <w:color w:val="2E3549"/>
          <w:sz w:val="20"/>
          <w:szCs w:val="20"/>
        </w:rPr>
        <w:t xml:space="preserve">Musique d’ambiance upbeat type fintech / startup. Suggéré : </w:t>
      </w:r>
      <w:r>
        <w:rPr>
          <w:rFonts w:ascii="Calibri" w:cs="Calibri" w:eastAsia="Calibri" w:hAnsi="Calibri"/>
          <w:b/>
          <w:bCs/>
          <w:color w:val="2E3549"/>
          <w:sz w:val="20"/>
          <w:szCs w:val="20"/>
        </w:rPr>
        <w:t xml:space="preserve">Bensound – Creative Minds</w:t>
      </w:r>
      <w:r>
        <w:rPr>
          <w:rFonts w:ascii="Calibri" w:cs="Calibri" w:eastAsia="Calibri" w:hAnsi="Calibri"/>
          <w:b w:val="false"/>
          <w:bCs w:val="false"/>
          <w:color w:val="2E3549"/>
          <w:sz w:val="20"/>
          <w:szCs w:val="20"/>
        </w:rPr>
        <w:t xml:space="preserve"> (gratuit avec crédit), ou </w:t>
      </w:r>
      <w:r>
        <w:rPr>
          <w:rFonts w:ascii="Calibri" w:cs="Calibri" w:eastAsia="Calibri" w:hAnsi="Calibri"/>
          <w:b/>
          <w:bCs/>
          <w:color w:val="2E3549"/>
          <w:sz w:val="20"/>
          <w:szCs w:val="20"/>
        </w:rPr>
        <w:t xml:space="preserve">Epidemic Sound – Rise Above (Instrumental)</w:t>
      </w:r>
      <w:r>
        <w:rPr>
          <w:rFonts w:ascii="Calibri" w:cs="Calibri" w:eastAsia="Calibri" w:hAnsi="Calibri"/>
          <w:b w:val="false"/>
          <w:bCs w:val="false"/>
          <w:color w:val="2E3549"/>
          <w:sz w:val="20"/>
          <w:szCs w:val="20"/>
        </w:rPr>
        <w:t xml:space="preserve">. Volume à -18 dB sous la voix pour ne pas la couvrir.</w:t>
      </w:r>
    </w:p>
    <w:p>
      <w:pPr>
        <w:spacing w:after="40" w:before="200"/>
      </w:pPr>
      <w:r>
        <w:rPr>
          <w:rFonts w:ascii="Calibri" w:cs="Calibri" w:eastAsia="Calibri" w:hAnsi="Calibri"/>
          <w:b/>
          <w:bCs/>
          <w:color w:val="0A1628"/>
          <w:sz w:val="20"/>
          <w:szCs w:val="20"/>
        </w:rPr>
        <w:t xml:space="preserve">★ Variations possibles (si tu veux pivoter le ton)</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Version storytelling : </w:t>
      </w:r>
      <w:r>
        <w:rPr>
          <w:rFonts w:ascii="Calibri" w:cs="Calibri" w:eastAsia="Calibri" w:hAnsi="Calibri"/>
          <w:b w:val="false"/>
          <w:bCs w:val="false"/>
          <w:color w:val="2E3549"/>
          <w:sz w:val="20"/>
          <w:szCs w:val="20"/>
        </w:rPr>
        <w:t xml:space="preserve">remplace le hook par « Sophie veut rénover sa salle de bain. Son artisan est parfait. Mais comment être sûr que l’argent sera bien utilisé ? »</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Version DeFi-first : </w:t>
      </w:r>
      <w:r>
        <w:rPr>
          <w:rFonts w:ascii="Calibri" w:cs="Calibri" w:eastAsia="Calibri" w:hAnsi="Calibri"/>
          <w:b w:val="false"/>
          <w:bCs w:val="false"/>
          <w:color w:val="2E3549"/>
          <w:sz w:val="20"/>
          <w:szCs w:val="20"/>
        </w:rPr>
        <w:t xml:space="preserve">remplace le hook par « Et si votre argent travaillait pour vous pendant que vos murs travaillent ? »</w:t>
      </w:r>
    </w:p>
    <w:p>
      <w:pPr>
        <w:spacing w:after="40" w:before="40" w:line="240"/>
        <w:jc w:val="left"/>
      </w:pPr>
      <w:r>
        <w:rPr>
          <w:rFonts w:ascii="Calibri" w:cs="Calibri" w:eastAsia="Calibri" w:hAnsi="Calibri"/>
          <w:b/>
          <w:bCs/>
          <w:color w:val="F28C28"/>
          <w:sz w:val="20"/>
          <w:szCs w:val="20"/>
        </w:rPr>
        <w:t xml:space="preserve">• </w:t>
      </w:r>
      <w:r>
        <w:rPr>
          <w:rFonts w:ascii="Calibri" w:cs="Calibri" w:eastAsia="Calibri" w:hAnsi="Calibri"/>
          <w:b/>
          <w:bCs/>
          <w:color w:val="0F1F3D"/>
          <w:sz w:val="20"/>
          <w:szCs w:val="20"/>
        </w:rPr>
        <w:t xml:space="preserve">Version conformité : </w:t>
      </w:r>
      <w:r>
        <w:rPr>
          <w:rFonts w:ascii="Calibri" w:cs="Calibri" w:eastAsia="Calibri" w:hAnsi="Calibri"/>
          <w:b w:val="false"/>
          <w:bCs w:val="false"/>
          <w:color w:val="2E3549"/>
          <w:sz w:val="20"/>
          <w:szCs w:val="20"/>
        </w:rPr>
        <w:t xml:space="preserve">remplace la scène DeFi par une scène « compliance-first » qui montre la liste des partenaires agréés.</w:t>
      </w:r>
    </w:p>
    <w:sectPr>
      <w:footerReference w:type="default" r:id="rId7"/>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color w:val="6C7489"/>
        <w:sz w:val="14"/>
        <w:szCs w:val="14"/>
      </w:rPr>
      <w:t xml:space="preserve">Trust BTP — Pitch 60s · Cas pratique Alyra · Avr. 2026 — page </w:t>
    </w:r>
    <w:r>
      <w:rPr>
        <w:color w:val="6C7489"/>
        <w:sz w:val="14"/>
        <w:szCs w:val="14"/>
      </w:rPr>
      <w:fldChar w:fldCharType="begin"/>
      <w:instrText xml:space="preserve">PAGE</w:instrText>
      <w:fldChar w:fldCharType="separate"/>
      <w:fldChar w:fldCharType="end"/>
    </w:r>
    <w:r>
      <w:rPr>
        <w:color w:val="6C7489"/>
        <w:sz w:val="14"/>
        <w:szCs w:val="14"/>
      </w:rPr>
      <w:t xml:space="preserve">/</w:t>
    </w:r>
    <w:r>
      <w:rPr>
        <w:color w:val="6C748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Pitch Trust BTP — 60 secondes</dc:title>
  <dc:creator>Trust BTP</dc:creator>
  <cp:lastModifiedBy>Un-named</cp:lastModifiedBy>
  <cp:revision>1</cp:revision>
  <dcterms:created xsi:type="dcterms:W3CDTF">2026-04-17T15:25:45.563Z</dcterms:created>
  <dcterms:modified xsi:type="dcterms:W3CDTF">2026-04-17T15:25:45.563Z</dcterms:modified>
</cp:coreProperties>
</file>

<file path=docProps/custom.xml><?xml version="1.0" encoding="utf-8"?>
<Properties xmlns="http://schemas.openxmlformats.org/officeDocument/2006/custom-properties" xmlns:vt="http://schemas.openxmlformats.org/officeDocument/2006/docPropsVTypes"/>
</file>