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0A1628"/>
          <w:sz w:val="36"/>
          <w:szCs w:val="36"/>
        </w:rPr>
        <w:t xml:space="preserve">En quoi Trust BTP est révolutionnaire</w:t>
      </w:r>
    </w:p>
    <w:p>
      <w:pPr>
        <w:pBdr>
          <w:bottom w:val="single" w:color="F28C28" w:sz="10" w:space="6"/>
        </w:pBdr>
        <w:spacing w:after="280" w:before="0"/>
        <w:jc w:val="center"/>
      </w:pPr>
      <w:r>
        <w:rPr>
          <w:rFonts w:ascii="Calibri" w:cs="Calibri" w:eastAsia="Calibri" w:hAnsi="Calibri"/>
          <w:b w:val="false"/>
          <w:bCs w:val="false"/>
          <w:color w:val="6C7489"/>
          <w:sz w:val="18"/>
          <w:szCs w:val="18"/>
        </w:rPr>
        <w:t xml:space="preserve">Narratif projet · Cas pratique Alyra · Avr. 2026</w:t>
      </w:r>
    </w:p>
    <w:p>
      <w:pPr>
        <w:pBdr>
          <w:top w:val="single" w:color="F28C28" w:sz="4" w:space="6"/>
          <w:bottom w:val="single" w:color="F28C28" w:sz="4" w:space="6"/>
          <w:left w:val="single" w:color="F28C28" w:sz="24" w:space="8"/>
          <w:right w:val="single" w:color="F28C28" w:sz="4" w:space="6"/>
        </w:pBdr>
        <w:shd w:fill="FDF3E0" w:val="clear"/>
        <w:spacing w:after="160" w:before="40" w:line="320"/>
        <w:jc w:val="both"/>
      </w:pPr>
      <w:r>
        <w:rPr>
          <w:rFonts w:ascii="Calibri" w:cs="Calibri" w:eastAsia="Calibri" w:hAnsi="Calibri"/>
          <w:b/>
          <w:bCs/>
          <w:color w:val="0A1628"/>
          <w:sz w:val="22"/>
          <w:szCs w:val="22"/>
        </w:rPr>
        <w:t xml:space="preserve">En une phrase. </w:t>
      </w:r>
      <w:r>
        <w:rPr>
          <w:rFonts w:ascii="Calibri" w:cs="Calibri" w:eastAsia="Calibri" w:hAnsi="Calibri"/>
          <w:b w:val="false"/>
          <w:bCs w:val="false"/>
          <w:color w:val="2E3549"/>
          <w:sz w:val="22"/>
          <w:szCs w:val="22"/>
        </w:rPr>
        <w:t xml:space="preserve">Trust BTP transforme le paiement de travaux — un acte aujourd’hui fragile, litigieux et source de ruptures de confiance — en une </w:t>
      </w:r>
      <w:r>
        <w:rPr>
          <w:rFonts w:ascii="Calibri" w:cs="Calibri" w:eastAsia="Calibri" w:hAnsi="Calibri"/>
          <w:b/>
          <w:bCs/>
          <w:color w:val="F28C28"/>
          <w:sz w:val="22"/>
          <w:szCs w:val="22"/>
        </w:rPr>
        <w:t xml:space="preserve">infrastructure programmable, auditable et automatisée</w:t>
      </w:r>
      <w:r>
        <w:rPr>
          <w:rFonts w:ascii="Calibri" w:cs="Calibri" w:eastAsia="Calibri" w:hAnsi="Calibri"/>
          <w:b w:val="false"/>
          <w:bCs w:val="false"/>
          <w:color w:val="2E3549"/>
          <w:sz w:val="22"/>
          <w:szCs w:val="22"/>
        </w:rPr>
        <w:t xml:space="preserve">, sans jamais forcer l’utilisateur à toucher au Web3 ni à détenir un wallet.</w:t>
      </w:r>
    </w:p>
    <w:p>
      <w:pPr>
        <w:spacing w:after="120" w:before="240"/>
      </w:pPr>
      <w:r>
        <w:rPr>
          <w:rFonts w:ascii="Calibri" w:cs="Calibri" w:eastAsia="Calibri" w:hAnsi="Calibri"/>
          <w:b/>
          <w:bCs/>
          <w:color w:val="0A1628"/>
          <w:sz w:val="28"/>
          <w:szCs w:val="28"/>
        </w:rPr>
        <w:t xml:space="preserve">1. Le problème que personne n’a vraiment résolu</w:t>
      </w:r>
    </w:p>
    <w:p>
      <w:pPr>
        <w:spacing w:after="60" w:before="60" w:line="280"/>
        <w:jc w:val="both"/>
      </w:pPr>
      <w:r>
        <w:rPr>
          <w:rFonts w:ascii="Calibri" w:cs="Calibri" w:eastAsia="Calibri" w:hAnsi="Calibri"/>
          <w:b w:val="false"/>
          <w:bCs w:val="false"/>
          <w:color w:val="2E3549"/>
          <w:sz w:val="20"/>
          <w:szCs w:val="20"/>
        </w:rPr>
        <w:t xml:space="preserve">Le secteur du BTP résidentiel en France représente </w:t>
      </w:r>
      <w:r>
        <w:rPr>
          <w:rFonts w:ascii="Calibri" w:cs="Calibri" w:eastAsia="Calibri" w:hAnsi="Calibri"/>
          <w:b/>
          <w:bCs/>
          <w:color w:val="2E3549"/>
          <w:sz w:val="20"/>
          <w:szCs w:val="20"/>
        </w:rPr>
        <w:t xml:space="preserve">60 milliards d’euros</w:t>
      </w:r>
      <w:r>
        <w:rPr>
          <w:rFonts w:ascii="Calibri" w:cs="Calibri" w:eastAsia="Calibri" w:hAnsi="Calibri"/>
          <w:b w:val="false"/>
          <w:bCs w:val="false"/>
          <w:color w:val="2E3549"/>
          <w:sz w:val="20"/>
          <w:szCs w:val="20"/>
        </w:rPr>
        <w:t xml:space="preserve"> de travaux annuels. Entre </w:t>
      </w:r>
      <w:r>
        <w:rPr>
          <w:rFonts w:ascii="Calibri" w:cs="Calibri" w:eastAsia="Calibri" w:hAnsi="Calibri"/>
          <w:b/>
          <w:bCs/>
          <w:color w:val="2E3549"/>
          <w:sz w:val="20"/>
          <w:szCs w:val="20"/>
        </w:rPr>
        <w:t xml:space="preserve">30 et 45 % des chantiers</w:t>
      </w:r>
      <w:r>
        <w:rPr>
          <w:rFonts w:ascii="Calibri" w:cs="Calibri" w:eastAsia="Calibri" w:hAnsi="Calibri"/>
          <w:b w:val="false"/>
          <w:bCs w:val="false"/>
          <w:color w:val="2E3549"/>
          <w:sz w:val="20"/>
          <w:szCs w:val="20"/>
        </w:rPr>
        <w:t xml:space="preserve"> génèrent un litige sur le paiement — malfaçon contestée, impayé, acompte non restitué, artisan disparu avec les fonds. Les solutions existantes sont toutes cassées à un endroit :</w:t>
      </w:r>
    </w:p>
    <w:p>
      <w:pPr>
        <w:pStyle w:val="ListParagraph"/>
        <w:numPr>
          <w:ilvl w:val="0"/>
          <w:numId w:val="2"/>
        </w:numPr>
        <w:spacing w:after="40" w:before="40" w:line="260"/>
        <w:jc w:val="both"/>
      </w:pPr>
      <w:r>
        <w:rPr>
          <w:rFonts w:ascii="Calibri" w:cs="Calibri" w:eastAsia="Calibri" w:hAnsi="Calibri"/>
          <w:b/>
          <w:bCs/>
          <w:color w:val="0A1628"/>
          <w:sz w:val="20"/>
          <w:szCs w:val="20"/>
        </w:rPr>
        <w:t xml:space="preserve">Le paiement direct par virement : </w:t>
      </w:r>
      <w:r>
        <w:rPr>
          <w:rFonts w:ascii="Calibri" w:cs="Calibri" w:eastAsia="Calibri" w:hAnsi="Calibri"/>
          <w:b w:val="false"/>
          <w:bCs w:val="false"/>
          <w:color w:val="2E3549"/>
          <w:sz w:val="20"/>
          <w:szCs w:val="20"/>
        </w:rPr>
        <w:t xml:space="preserve">aucune garantie. Le particulier paie d’avance et espère. L’artisan livre et espère. C’est un contrat de confiance, sans filet.</w:t>
      </w:r>
    </w:p>
    <w:p>
      <w:pPr>
        <w:pStyle w:val="ListParagraph"/>
        <w:numPr>
          <w:ilvl w:val="0"/>
          <w:numId w:val="2"/>
        </w:numPr>
        <w:spacing w:after="40" w:before="40" w:line="260"/>
        <w:jc w:val="both"/>
      </w:pPr>
      <w:r>
        <w:rPr>
          <w:rFonts w:ascii="Calibri" w:cs="Calibri" w:eastAsia="Calibri" w:hAnsi="Calibri"/>
          <w:b/>
          <w:bCs/>
          <w:color w:val="0A1628"/>
          <w:sz w:val="20"/>
          <w:szCs w:val="20"/>
        </w:rPr>
        <w:t xml:space="preserve">L’assurance BTP / décennale : </w:t>
      </w:r>
      <w:r>
        <w:rPr>
          <w:rFonts w:ascii="Calibri" w:cs="Calibri" w:eastAsia="Calibri" w:hAnsi="Calibri"/>
          <w:b w:val="false"/>
          <w:bCs w:val="false"/>
          <w:color w:val="2E3549"/>
          <w:sz w:val="20"/>
          <w:szCs w:val="20"/>
        </w:rPr>
        <w:t xml:space="preserve">couvre les malfaçons après coup mais ne résout pas le paiement intermédiaire ni les impayés.</w:t>
      </w:r>
    </w:p>
    <w:p>
      <w:pPr>
        <w:pStyle w:val="ListParagraph"/>
        <w:numPr>
          <w:ilvl w:val="0"/>
          <w:numId w:val="2"/>
        </w:numPr>
        <w:spacing w:after="40" w:before="40" w:line="260"/>
        <w:jc w:val="both"/>
      </w:pPr>
      <w:r>
        <w:rPr>
          <w:rFonts w:ascii="Calibri" w:cs="Calibri" w:eastAsia="Calibri" w:hAnsi="Calibri"/>
          <w:b/>
          <w:bCs/>
          <w:color w:val="0A1628"/>
          <w:sz w:val="20"/>
          <w:szCs w:val="20"/>
        </w:rPr>
        <w:t xml:space="preserve">Le compte séquestre notarié : </w:t>
      </w:r>
      <w:r>
        <w:rPr>
          <w:rFonts w:ascii="Calibri" w:cs="Calibri" w:eastAsia="Calibri" w:hAnsi="Calibri"/>
          <w:b w:val="false"/>
          <w:bCs w:val="false"/>
          <w:color w:val="2E3549"/>
          <w:sz w:val="20"/>
          <w:szCs w:val="20"/>
        </w:rPr>
        <w:t xml:space="preserve">existe pour les transactions immobilières mais coûte 0,8 à 1,5 % du montant, avec friction administrative lourde. Inadapté aux chantiers &lt; 50 k€.</w:t>
      </w:r>
    </w:p>
    <w:p>
      <w:pPr>
        <w:pStyle w:val="ListParagraph"/>
        <w:numPr>
          <w:ilvl w:val="0"/>
          <w:numId w:val="2"/>
        </w:numPr>
        <w:spacing w:after="40" w:before="40" w:line="260"/>
        <w:jc w:val="both"/>
      </w:pPr>
      <w:r>
        <w:rPr>
          <w:rFonts w:ascii="Calibri" w:cs="Calibri" w:eastAsia="Calibri" w:hAnsi="Calibri"/>
          <w:b/>
          <w:bCs/>
          <w:color w:val="0A1628"/>
          <w:sz w:val="20"/>
          <w:szCs w:val="20"/>
        </w:rPr>
        <w:t xml:space="preserve">Les fintechs de facturation : </w:t>
      </w:r>
      <w:r>
        <w:rPr>
          <w:rFonts w:ascii="Calibri" w:cs="Calibri" w:eastAsia="Calibri" w:hAnsi="Calibri"/>
          <w:b w:val="false"/>
          <w:bCs w:val="false"/>
          <w:color w:val="2E3549"/>
          <w:sz w:val="20"/>
          <w:szCs w:val="20"/>
        </w:rPr>
        <w:t xml:space="preserve">type Pennylane ou Agicap facturent, mais ne règlent pas le problème central : </w:t>
      </w:r>
      <w:r>
        <w:rPr>
          <w:rFonts w:ascii="Calibri" w:cs="Calibri" w:eastAsia="Calibri" w:hAnsi="Calibri"/>
          <w:b w:val="false"/>
          <w:bCs w:val="false"/>
          <w:color w:val="2E3549"/>
          <w:sz w:val="20"/>
          <w:szCs w:val="20"/>
        </w:rPr>
        <w:t xml:space="preserve">qui décide que le paiement doit être libéré ?</w:t>
      </w:r>
    </w:p>
    <w:p>
      <w:pPr>
        <w:spacing w:after="60" w:before="60" w:line="280"/>
        <w:jc w:val="both"/>
      </w:pPr>
      <w:r>
        <w:rPr>
          <w:rFonts w:ascii="Calibri" w:cs="Calibri" w:eastAsia="Calibri" w:hAnsi="Calibri"/>
          <w:b w:val="false"/>
          <w:bCs w:val="false"/>
          <w:color w:val="2E3549"/>
          <w:sz w:val="20"/>
          <w:szCs w:val="20"/>
        </w:rPr>
        <w:t xml:space="preserve">Résultat : </w:t>
      </w:r>
      <w:r>
        <w:rPr>
          <w:rFonts w:ascii="Calibri" w:cs="Calibri" w:eastAsia="Calibri" w:hAnsi="Calibri"/>
          <w:b/>
          <w:bCs/>
          <w:color w:val="D97706"/>
          <w:sz w:val="20"/>
          <w:szCs w:val="20"/>
        </w:rPr>
        <w:t xml:space="preserve">zéro solution native, zéro automatisation, zéro preuve opposable</w:t>
      </w:r>
      <w:r>
        <w:rPr>
          <w:rFonts w:ascii="Calibri" w:cs="Calibri" w:eastAsia="Calibri" w:hAnsi="Calibri"/>
          <w:b w:val="false"/>
          <w:bCs w:val="false"/>
          <w:color w:val="2E3549"/>
          <w:sz w:val="20"/>
          <w:szCs w:val="20"/>
        </w:rPr>
        <w:t xml:space="preserve"> dans un secteur qui représente pourtant le premier poste de dépense des ménages français après le logement.</w:t>
      </w:r>
    </w:p>
    <w:p>
      <w:pPr>
        <w:spacing w:after="120" w:before="240"/>
      </w:pPr>
      <w:r>
        <w:rPr>
          <w:rFonts w:ascii="Calibri" w:cs="Calibri" w:eastAsia="Calibri" w:hAnsi="Calibri"/>
          <w:b/>
          <w:bCs/>
          <w:color w:val="0A1628"/>
          <w:sz w:val="28"/>
          <w:szCs w:val="28"/>
        </w:rPr>
        <w:t xml:space="preserve">2. La rupture Trust BTP</w:t>
      </w:r>
    </w:p>
    <w:p>
      <w:pPr>
        <w:spacing w:after="60" w:before="60" w:line="280"/>
        <w:jc w:val="both"/>
      </w:pPr>
      <w:r>
        <w:rPr>
          <w:rFonts w:ascii="Calibri" w:cs="Calibri" w:eastAsia="Calibri" w:hAnsi="Calibri"/>
          <w:b w:val="false"/>
          <w:bCs w:val="false"/>
          <w:color w:val="2E3549"/>
          <w:sz w:val="20"/>
          <w:szCs w:val="20"/>
        </w:rPr>
        <w:t xml:space="preserve">Trust BTP casse trois règles implicites du secteur :</w:t>
      </w:r>
    </w:p>
    <w:p>
      <w:pPr>
        <w:spacing w:after="80" w:before="200"/>
      </w:pPr>
      <w:r>
        <w:rPr>
          <w:rFonts w:ascii="Calibri" w:cs="Calibri" w:eastAsia="Calibri" w:hAnsi="Calibri"/>
          <w:b/>
          <w:bCs/>
          <w:color w:val="F28C28"/>
          <w:sz w:val="24"/>
          <w:szCs w:val="24"/>
        </w:rPr>
        <w:t xml:space="preserve">I. </w:t>
      </w:r>
      <w:r>
        <w:rPr>
          <w:rFonts w:ascii="Calibri" w:cs="Calibri" w:eastAsia="Calibri" w:hAnsi="Calibri"/>
          <w:b/>
          <w:bCs/>
          <w:color w:val="0A1628"/>
          <w:sz w:val="24"/>
          <w:szCs w:val="24"/>
        </w:rPr>
        <w:t xml:space="preserve">Le paiement devient un protocole, pas un acte de foi</w:t>
      </w:r>
    </w:p>
    <w:p>
      <w:pPr>
        <w:spacing w:after="60" w:before="60" w:line="280"/>
        <w:jc w:val="both"/>
      </w:pPr>
      <w:r>
        <w:rPr>
          <w:rFonts w:ascii="Calibri" w:cs="Calibri" w:eastAsia="Calibri" w:hAnsi="Calibri"/>
          <w:b w:val="false"/>
          <w:bCs w:val="false"/>
          <w:color w:val="2E3549"/>
          <w:sz w:val="20"/>
          <w:szCs w:val="20"/>
        </w:rPr>
        <w:t xml:space="preserve">Le particulier dépose </w:t>
      </w:r>
      <w:r>
        <w:rPr>
          <w:rFonts w:ascii="Calibri" w:cs="Calibri" w:eastAsia="Calibri" w:hAnsi="Calibri"/>
          <w:b/>
          <w:bCs/>
          <w:color w:val="2E3549"/>
          <w:sz w:val="20"/>
          <w:szCs w:val="20"/>
        </w:rPr>
        <w:t xml:space="preserve">110 % du montant</w:t>
      </w:r>
      <w:r>
        <w:rPr>
          <w:rFonts w:ascii="Calibri" w:cs="Calibri" w:eastAsia="Calibri" w:hAnsi="Calibri"/>
          <w:b w:val="false"/>
          <w:bCs w:val="false"/>
          <w:color w:val="2E3549"/>
          <w:sz w:val="20"/>
          <w:szCs w:val="20"/>
        </w:rPr>
        <w:t xml:space="preserve"> via un PSP agréé ACPR. Les fonds sont </w:t>
      </w:r>
      <w:r>
        <w:rPr>
          <w:rFonts w:ascii="Calibri" w:cs="Calibri" w:eastAsia="Calibri" w:hAnsi="Calibri"/>
          <w:b/>
          <w:bCs/>
          <w:color w:val="2E3549"/>
          <w:sz w:val="20"/>
          <w:szCs w:val="20"/>
        </w:rPr>
        <w:t xml:space="preserve">ségrégués on-chain dans un smart contract non-custodial</w:t>
      </w:r>
      <w:r>
        <w:rPr>
          <w:rFonts w:ascii="Calibri" w:cs="Calibri" w:eastAsia="Calibri" w:hAnsi="Calibri"/>
          <w:b w:val="false"/>
          <w:bCs w:val="false"/>
          <w:color w:val="2E3549"/>
          <w:sz w:val="20"/>
          <w:szCs w:val="20"/>
        </w:rPr>
        <w:t xml:space="preserve"> — ni Trust BTP, ni l’artisan, ni aucun tiers ne peut les déplacer tant qu’un jalon n’est pas validé. Le paiement n’est plus une promesse : c’est une règle exécutée par le code.</w:t>
      </w:r>
    </w:p>
    <w:p>
      <w:pPr>
        <w:spacing w:after="80" w:before="200"/>
      </w:pPr>
      <w:r>
        <w:rPr>
          <w:rFonts w:ascii="Calibri" w:cs="Calibri" w:eastAsia="Calibri" w:hAnsi="Calibri"/>
          <w:b/>
          <w:bCs/>
          <w:color w:val="F28C28"/>
          <w:sz w:val="24"/>
          <w:szCs w:val="24"/>
        </w:rPr>
        <w:t xml:space="preserve">II. </w:t>
      </w:r>
      <w:r>
        <w:rPr>
          <w:rFonts w:ascii="Calibri" w:cs="Calibri" w:eastAsia="Calibri" w:hAnsi="Calibri"/>
          <w:b/>
          <w:bCs/>
          <w:color w:val="0A1628"/>
          <w:sz w:val="24"/>
          <w:szCs w:val="24"/>
        </w:rPr>
        <w:t xml:space="preserve">La validation est P2P, l’opérateur n’intervient jamais</w:t>
      </w:r>
    </w:p>
    <w:p>
      <w:pPr>
        <w:spacing w:after="60" w:before="60" w:line="280"/>
        <w:jc w:val="both"/>
      </w:pPr>
      <w:r>
        <w:rPr>
          <w:rFonts w:ascii="Calibri" w:cs="Calibri" w:eastAsia="Calibri" w:hAnsi="Calibri"/>
          <w:b w:val="false"/>
          <w:bCs w:val="false"/>
          <w:color w:val="2E3549"/>
          <w:sz w:val="20"/>
          <w:szCs w:val="20"/>
        </w:rPr>
        <w:t xml:space="preserve">Chaque jalon est validé </w:t>
      </w:r>
      <w:r>
        <w:rPr>
          <w:rFonts w:ascii="Calibri" w:cs="Calibri" w:eastAsia="Calibri" w:hAnsi="Calibri"/>
          <w:b/>
          <w:bCs/>
          <w:color w:val="2E3549"/>
          <w:sz w:val="20"/>
          <w:szCs w:val="20"/>
        </w:rPr>
        <w:t xml:space="preserve">directement entre le particulier et l’artisan</w:t>
      </w:r>
      <w:r>
        <w:rPr>
          <w:rFonts w:ascii="Calibri" w:cs="Calibri" w:eastAsia="Calibri" w:hAnsi="Calibri"/>
          <w:b w:val="false"/>
          <w:bCs w:val="false"/>
          <w:color w:val="2E3549"/>
          <w:sz w:val="20"/>
          <w:szCs w:val="20"/>
        </w:rPr>
        <w:t xml:space="preserve">, avec preuves horodatées et géolocalisées hashées on-chain. Trust BTP </w:t>
      </w:r>
      <w:r>
        <w:rPr>
          <w:rFonts w:ascii="Calibri" w:cs="Calibri" w:eastAsia="Calibri" w:hAnsi="Calibri"/>
          <w:b/>
          <w:bCs/>
          <w:color w:val="D97706"/>
          <w:sz w:val="20"/>
          <w:szCs w:val="20"/>
        </w:rPr>
        <w:t xml:space="preserve">n’a aucun pouvoir</w:t>
      </w:r>
      <w:r>
        <w:rPr>
          <w:rFonts w:ascii="Calibri" w:cs="Calibri" w:eastAsia="Calibri" w:hAnsi="Calibri"/>
          <w:b w:val="false"/>
          <w:bCs w:val="false"/>
          <w:color w:val="2E3549"/>
          <w:sz w:val="20"/>
          <w:szCs w:val="20"/>
        </w:rPr>
        <w:t xml:space="preserve"> de bloquer, débloquer ou rediriger les fonds. Cette asymétrie inversée — l’opérateur est désarmé — est la clé du modèle compliance-first : moins de pouvoir = moins d’exposition réglementaire.</w:t>
      </w:r>
    </w:p>
    <w:p>
      <w:pPr>
        <w:spacing w:after="80" w:before="200"/>
      </w:pPr>
      <w:r>
        <w:rPr>
          <w:rFonts w:ascii="Calibri" w:cs="Calibri" w:eastAsia="Calibri" w:hAnsi="Calibri"/>
          <w:b/>
          <w:bCs/>
          <w:color w:val="F28C28"/>
          <w:sz w:val="24"/>
          <w:szCs w:val="24"/>
        </w:rPr>
        <w:t xml:space="preserve">III. </w:t>
      </w:r>
      <w:r>
        <w:rPr>
          <w:rFonts w:ascii="Calibri" w:cs="Calibri" w:eastAsia="Calibri" w:hAnsi="Calibri"/>
          <w:b/>
          <w:bCs/>
          <w:color w:val="0A1628"/>
          <w:sz w:val="24"/>
          <w:szCs w:val="24"/>
        </w:rPr>
        <w:t xml:space="preserve">La trésorerie devient productive sans que personne ne s’en rende compte</w:t>
      </w:r>
    </w:p>
    <w:p>
      <w:pPr>
        <w:spacing w:after="60" w:before="60" w:line="280"/>
        <w:jc w:val="both"/>
      </w:pPr>
      <w:r>
        <w:rPr>
          <w:rFonts w:ascii="Calibri" w:cs="Calibri" w:eastAsia="Calibri" w:hAnsi="Calibri"/>
          <w:b w:val="false"/>
          <w:bCs w:val="false"/>
          <w:color w:val="2E3549"/>
          <w:sz w:val="20"/>
          <w:szCs w:val="20"/>
        </w:rPr>
        <w:t xml:space="preserve">Pendant que les fonds dorment en escrow entre deux jalons, le particulier peut (option ) les faire travailler : </w:t>
      </w:r>
      <w:r>
        <w:rPr>
          <w:rFonts w:ascii="Calibri" w:cs="Calibri" w:eastAsia="Calibri" w:hAnsi="Calibri"/>
          <w:b/>
          <w:bCs/>
          <w:color w:val="2E3549"/>
          <w:sz w:val="20"/>
          <w:szCs w:val="20"/>
        </w:rPr>
        <w:t xml:space="preserve">supply-only Aave via un partenaire CASP régulé</w:t>
      </w:r>
      <w:r>
        <w:rPr>
          <w:rFonts w:ascii="Calibri" w:cs="Calibri" w:eastAsia="Calibri" w:hAnsi="Calibri"/>
          <w:b w:val="false"/>
          <w:bCs w:val="false"/>
          <w:color w:val="2E3549"/>
          <w:sz w:val="20"/>
          <w:szCs w:val="20"/>
        </w:rPr>
        <w:t xml:space="preserve">, stratégie figée, conservative. Le rendement est partagé 50/50 et la part particulier est versée </w:t>
      </w:r>
      <w:r>
        <w:rPr>
          <w:rFonts w:ascii="Calibri" w:cs="Calibri" w:eastAsia="Calibri" w:hAnsi="Calibri"/>
          <w:b/>
          <w:bCs/>
          <w:color w:val="F28C28"/>
          <w:sz w:val="20"/>
          <w:szCs w:val="20"/>
        </w:rPr>
        <w:t xml:space="preserve">en crédits travaux</w:t>
      </w:r>
      <w:r>
        <w:rPr>
          <w:rFonts w:ascii="Calibri" w:cs="Calibri" w:eastAsia="Calibri" w:hAnsi="Calibri"/>
          <w:b w:val="false"/>
          <w:bCs w:val="false"/>
          <w:color w:val="2E3549"/>
          <w:sz w:val="20"/>
          <w:szCs w:val="20"/>
        </w:rPr>
        <w:t xml:space="preserve"> — un avantage d’usage non monétaire qui évite toute requalification en produit financier. C’est de la DeFi productive sans aucun vocabulaire DeFi côté utilisateur.</w:t>
      </w:r>
    </w:p>
    <w:p>
      <w:pPr>
        <w:spacing w:after="120" w:before="240"/>
      </w:pPr>
      <w:r>
        <w:rPr>
          <w:rFonts w:ascii="Calibri" w:cs="Calibri" w:eastAsia="Calibri" w:hAnsi="Calibri"/>
          <w:b/>
          <w:bCs/>
          <w:color w:val="0A1628"/>
          <w:sz w:val="28"/>
          <w:szCs w:val="28"/>
        </w:rPr>
        <w:t xml:space="preserve">3. Trois innovations-clés qui n’existent nulle part ailleurs</w:t>
      </w:r>
    </w:p>
    <w:tbl>
      <w:tblPr>
        <w:tblW w:type="dxa" w:w="15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gridCol w:w="6000"/>
      </w:tblGrid>
      <w:tr>
        <w:trPr>
          <w:tblHeader/>
        </w:trPr>
        <w:tc>
          <w:tcPr>
            <w:tcW w:type="dxa" w:w="4000"/>
            <w:tcBorders>
              <w:top w:val="single" w:color="DEE3EE" w:sz="4"/>
              <w:left w:val="single" w:color="DEE3EE" w:sz="4"/>
              <w:bottom w:val="single" w:color="DEE3EE" w:sz="4"/>
              <w:right w:val="single" w:color="DEE3EE" w:sz="4"/>
            </w:tcBorders>
            <w:shd w:fill="0A1628"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Innovation</w:t>
            </w:r>
          </w:p>
        </w:tc>
        <w:tc>
          <w:tcPr>
            <w:tcW w:type="dxa" w:w="5500"/>
            <w:tcBorders>
              <w:top w:val="single" w:color="DEE3EE" w:sz="4"/>
              <w:left w:val="single" w:color="DEE3EE" w:sz="4"/>
              <w:bottom w:val="single" w:color="DEE3EE" w:sz="4"/>
              <w:right w:val="single" w:color="DEE3EE" w:sz="4"/>
            </w:tcBorders>
            <w:shd w:fill="F28C28"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Ce qu’on fait</w:t>
            </w:r>
          </w:p>
        </w:tc>
        <w:tc>
          <w:tcPr>
            <w:tcW w:type="dxa" w:w="6000"/>
            <w:tcBorders>
              <w:top w:val="single" w:color="DEE3EE" w:sz="4"/>
              <w:left w:val="single" w:color="DEE3EE" w:sz="4"/>
              <w:bottom w:val="single" w:color="DEE3EE" w:sz="4"/>
              <w:right w:val="single" w:color="DEE3EE" w:sz="4"/>
            </w:tcBorders>
            <w:shd w:fill="D97706" w:val="clear"/>
            <w:tcMar>
              <w:top w:type="dxa" w:w="80"/>
              <w:left w:type="dxa" w:w="120"/>
              <w:bottom w:type="dxa" w:w="80"/>
              <w:right w:type="dxa" w:w="120"/>
            </w:tcMar>
            <w:vAlign w:val="center"/>
          </w:tcPr>
          <w:p>
            <w:pPr>
              <w:jc w:val="center"/>
            </w:pPr>
            <w:r>
              <w:rPr>
                <w:rFonts w:ascii="Calibri" w:cs="Calibri" w:eastAsia="Calibri" w:hAnsi="Calibri"/>
                <w:b/>
                <w:bCs/>
                <w:color w:val="FFFFFF"/>
                <w:sz w:val="19"/>
                <w:szCs w:val="19"/>
              </w:rPr>
              <w:t xml:space="preserve">Pourquoi c’est inédit</w:t>
            </w:r>
          </w:p>
        </w:tc>
      </w:tr>
      <w:tr>
        <w:tc>
          <w:tcPr>
            <w:tcW w:type="dxa" w:w="4000"/>
            <w:tcBorders>
              <w:top w:val="single" w:color="DEE3EE" w:sz="4"/>
              <w:left w:val="single" w:color="DEE3EE" w:sz="4"/>
              <w:bottom w:val="single" w:color="DEE3EE" w:sz="4"/>
              <w:right w:val="single" w:color="DEE3EE" w:sz="4"/>
            </w:tcBorders>
            <w:shd w:fill="FFFFFF" w:val="clear"/>
            <w:tcMar>
              <w:top w:type="dxa" w:w="80"/>
              <w:left w:type="dxa" w:w="120"/>
              <w:bottom w:type="dxa" w:w="80"/>
              <w:right w:type="dxa" w:w="120"/>
            </w:tcMar>
            <w:vAlign w:val="center"/>
          </w:tcPr>
          <w:p>
            <w:r>
              <w:rPr>
                <w:rFonts w:ascii="Calibri" w:cs="Calibri" w:eastAsia="Calibri" w:hAnsi="Calibri"/>
                <w:b/>
                <w:bCs/>
                <w:color w:val="0A1628"/>
                <w:sz w:val="18"/>
                <w:szCs w:val="18"/>
              </w:rPr>
              <w:t xml:space="preserve">Compliance-first by design</w:t>
            </w:r>
          </w:p>
        </w:tc>
        <w:tc>
          <w:tcPr>
            <w:tcW w:type="dxa" w:w="5500"/>
            <w:tcBorders>
              <w:top w:val="single" w:color="DEE3EE" w:sz="4"/>
              <w:left w:val="single" w:color="DEE3EE" w:sz="4"/>
              <w:bottom w:val="single" w:color="DEE3EE" w:sz="4"/>
              <w:right w:val="single" w:color="DEE3EE"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2E3549"/>
                <w:sz w:val="17"/>
                <w:szCs w:val="17"/>
              </w:rPr>
              <w:t xml:space="preserve">Trust BTP est orchestrateur technique pur : zéro agrément CASP en propre, zéro PSP, zéro EMI. Tout est délégué à des partenaires régulés (Lemonway, Monerium, partenaire CASP DeFi, CMAP).</w:t>
            </w:r>
          </w:p>
        </w:tc>
        <w:tc>
          <w:tcPr>
            <w:tcW w:type="dxa" w:w="6000"/>
            <w:tcBorders>
              <w:top w:val="single" w:color="DEE3EE" w:sz="4"/>
              <w:left w:val="single" w:color="DEE3EE" w:sz="4"/>
              <w:bottom w:val="single" w:color="DEE3EE" w:sz="4"/>
              <w:right w:val="single" w:color="DEE3EE"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7"/>
                <w:szCs w:val="17"/>
              </w:rPr>
              <w:t xml:space="preserve">Lancement sans agrément coûteux (50–150 k€ économisés), conformité maximale à MiCA, DSP2, LCB-FT, AIFM. La plateforme peut scaler sans attendre les 6-12 mois d’un dossier AMF.</w:t>
            </w:r>
          </w:p>
        </w:tc>
      </w:tr>
      <w:tr>
        <w:tc>
          <w:tcPr>
            <w:tcW w:type="dxa" w:w="4000"/>
            <w:tcBorders>
              <w:top w:val="single" w:color="DEE3EE" w:sz="4"/>
              <w:left w:val="single" w:color="DEE3EE" w:sz="4"/>
              <w:bottom w:val="single" w:color="DEE3EE" w:sz="4"/>
              <w:right w:val="single" w:color="DEE3EE" w:sz="4"/>
            </w:tcBorders>
            <w:shd w:fill="FDF3E0" w:val="clear"/>
            <w:tcMar>
              <w:top w:type="dxa" w:w="80"/>
              <w:left w:type="dxa" w:w="120"/>
              <w:bottom w:type="dxa" w:w="80"/>
              <w:right w:type="dxa" w:w="120"/>
            </w:tcMar>
            <w:vAlign w:val="center"/>
          </w:tcPr>
          <w:p>
            <w:r>
              <w:rPr>
                <w:rFonts w:ascii="Calibri" w:cs="Calibri" w:eastAsia="Calibri" w:hAnsi="Calibri"/>
                <w:b/>
                <w:bCs/>
                <w:color w:val="0A1628"/>
                <w:sz w:val="18"/>
                <w:szCs w:val="18"/>
              </w:rPr>
              <w:t xml:space="preserve">NFT chantier = dossier de preuve tokenisé</w:t>
            </w:r>
          </w:p>
        </w:tc>
        <w:tc>
          <w:tcPr>
            <w:tcW w:type="dxa" w:w="5500"/>
            <w:tcBorders>
              <w:top w:val="single" w:color="DEE3EE" w:sz="4"/>
              <w:left w:val="single" w:color="DEE3EE" w:sz="4"/>
              <w:bottom w:val="single" w:color="DEE3EE" w:sz="4"/>
              <w:right w:val="single" w:color="DEE3EE" w:sz="4"/>
            </w:tcBorders>
            <w:shd w:fill="FDF3E0" w:val="clear"/>
            <w:tcMar>
              <w:top w:type="dxa" w:w="80"/>
              <w:left w:type="dxa" w:w="120"/>
              <w:bottom w:type="dxa" w:w="80"/>
              <w:right w:type="dxa" w:w="120"/>
            </w:tcMar>
            <w:vAlign w:val="center"/>
          </w:tcPr>
          <w:p>
            <w:r>
              <w:rPr>
                <w:rFonts w:ascii="Calibri" w:cs="Calibri" w:eastAsia="Calibri" w:hAnsi="Calibri"/>
                <w:b w:val="false"/>
                <w:bCs w:val="false"/>
                <w:color w:val="2E3549"/>
                <w:sz w:val="17"/>
                <w:szCs w:val="17"/>
              </w:rPr>
              <w:t xml:space="preserve">À chaque chantier, un NFT immuable regroupe devis, clauses juridiques, preuves horodatées, validations P2P et éventuelle sentence arbitrale. Conforme art. 1366-1367 du Code civil.</w:t>
            </w:r>
          </w:p>
        </w:tc>
        <w:tc>
          <w:tcPr>
            <w:tcW w:type="dxa" w:w="6000"/>
            <w:tcBorders>
              <w:top w:val="single" w:color="DEE3EE" w:sz="4"/>
              <w:left w:val="single" w:color="DEE3EE" w:sz="4"/>
              <w:bottom w:val="single" w:color="DEE3EE" w:sz="4"/>
              <w:right w:val="single" w:color="DEE3EE" w:sz="4"/>
            </w:tcBorders>
            <w:shd w:fill="FDF3E0" w:val="clear"/>
            <w:tcMar>
              <w:top w:type="dxa" w:w="80"/>
              <w:left w:type="dxa" w:w="120"/>
              <w:bottom w:type="dxa" w:w="80"/>
              <w:right w:type="dxa" w:w="120"/>
            </w:tcMar>
            <w:vAlign w:val="center"/>
          </w:tcPr>
          <w:p>
            <w:r>
              <w:rPr>
                <w:rFonts w:ascii="Calibri" w:cs="Calibri" w:eastAsia="Calibri" w:hAnsi="Calibri"/>
                <w:b w:val="false"/>
                <w:bCs w:val="false"/>
                <w:color w:val="0A1628"/>
                <w:sz w:val="17"/>
                <w:szCs w:val="17"/>
              </w:rPr>
              <w:t xml:space="preserve">Preuve opposable en justice, valeur probatoire reconnue, coût de contentieux réduit de 80 % pour les utilisateurs. Une révolution pour l’expertise judiciaire BTP.</w:t>
            </w:r>
          </w:p>
        </w:tc>
      </w:tr>
      <w:tr>
        <w:tc>
          <w:tcPr>
            <w:tcW w:type="dxa" w:w="4000"/>
            <w:tcBorders>
              <w:top w:val="single" w:color="DEE3EE" w:sz="4"/>
              <w:left w:val="single" w:color="DEE3EE" w:sz="4"/>
              <w:bottom w:val="single" w:color="DEE3EE" w:sz="4"/>
              <w:right w:val="single" w:color="DEE3EE" w:sz="4"/>
            </w:tcBorders>
            <w:shd w:fill="FFFFFF" w:val="clear"/>
            <w:tcMar>
              <w:top w:type="dxa" w:w="80"/>
              <w:left w:type="dxa" w:w="120"/>
              <w:bottom w:type="dxa" w:w="80"/>
              <w:right w:type="dxa" w:w="120"/>
            </w:tcMar>
            <w:vAlign w:val="center"/>
          </w:tcPr>
          <w:p>
            <w:r>
              <w:rPr>
                <w:rFonts w:ascii="Calibri" w:cs="Calibri" w:eastAsia="Calibri" w:hAnsi="Calibri"/>
                <w:b/>
                <w:bCs/>
                <w:color w:val="0A1628"/>
                <w:sz w:val="18"/>
                <w:szCs w:val="18"/>
              </w:rPr>
              <w:t xml:space="preserve">Crédits travaux (50/50 yield)</w:t>
            </w:r>
          </w:p>
        </w:tc>
        <w:tc>
          <w:tcPr>
            <w:tcW w:type="dxa" w:w="5500"/>
            <w:tcBorders>
              <w:top w:val="single" w:color="DEE3EE" w:sz="4"/>
              <w:left w:val="single" w:color="DEE3EE" w:sz="4"/>
              <w:bottom w:val="single" w:color="DEE3EE" w:sz="4"/>
              <w:right w:val="single" w:color="DEE3EE"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2E3549"/>
                <w:sz w:val="17"/>
                <w:szCs w:val="17"/>
              </w:rPr>
              <w:t xml:space="preserve">Rendement DeFi partagé en crédits d’usage intra-écosystème, jamais en numéraire. Utilisables pour de futurs chantiers dans la communauté Trust BTP.</w:t>
            </w:r>
          </w:p>
        </w:tc>
        <w:tc>
          <w:tcPr>
            <w:tcW w:type="dxa" w:w="6000"/>
            <w:tcBorders>
              <w:top w:val="single" w:color="DEE3EE" w:sz="4"/>
              <w:left w:val="single" w:color="DEE3EE" w:sz="4"/>
              <w:bottom w:val="single" w:color="DEE3EE" w:sz="4"/>
              <w:right w:val="single" w:color="DEE3EE"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7"/>
                <w:szCs w:val="17"/>
              </w:rPr>
              <w:t xml:space="preserve">Le seul modèle de yield DeFi retail qui échappe à la qualification de produit financier (AIFM, MiFID II). Un aimant naturel pour la fidélisation.</w:t>
            </w:r>
          </w:p>
        </w:tc>
      </w:tr>
      <w:tr>
        <w:tc>
          <w:tcPr>
            <w:tcW w:type="dxa" w:w="4000"/>
            <w:tcBorders>
              <w:top w:val="single" w:color="DEE3EE" w:sz="4"/>
              <w:left w:val="single" w:color="DEE3EE" w:sz="4"/>
              <w:bottom w:val="single" w:color="DEE3EE" w:sz="4"/>
              <w:right w:val="single" w:color="DEE3EE" w:sz="4"/>
            </w:tcBorders>
            <w:shd w:fill="FDF3E0" w:val="clear"/>
            <w:tcMar>
              <w:top w:type="dxa" w:w="80"/>
              <w:left w:type="dxa" w:w="120"/>
              <w:bottom w:type="dxa" w:w="80"/>
              <w:right w:type="dxa" w:w="120"/>
            </w:tcMar>
            <w:vAlign w:val="center"/>
          </w:tcPr>
          <w:p>
            <w:r>
              <w:rPr>
                <w:rFonts w:ascii="Calibri" w:cs="Calibri" w:eastAsia="Calibri" w:hAnsi="Calibri"/>
                <w:b/>
                <w:bCs/>
                <w:color w:val="0A1628"/>
                <w:sz w:val="18"/>
                <w:szCs w:val="18"/>
              </w:rPr>
              <w:t xml:space="preserve">Web3 invisible côté user</w:t>
            </w:r>
          </w:p>
        </w:tc>
        <w:tc>
          <w:tcPr>
            <w:tcW w:type="dxa" w:w="5500"/>
            <w:tcBorders>
              <w:top w:val="single" w:color="DEE3EE" w:sz="4"/>
              <w:left w:val="single" w:color="DEE3EE" w:sz="4"/>
              <w:bottom w:val="single" w:color="DEE3EE" w:sz="4"/>
              <w:right w:val="single" w:color="DEE3EE" w:sz="4"/>
            </w:tcBorders>
            <w:shd w:fill="FDF3E0" w:val="clear"/>
            <w:tcMar>
              <w:top w:type="dxa" w:w="80"/>
              <w:left w:type="dxa" w:w="120"/>
              <w:bottom w:type="dxa" w:w="80"/>
              <w:right w:type="dxa" w:w="120"/>
            </w:tcMar>
            <w:vAlign w:val="center"/>
          </w:tcPr>
          <w:p>
            <w:r>
              <w:rPr>
                <w:rFonts w:ascii="Calibri" w:cs="Calibri" w:eastAsia="Calibri" w:hAnsi="Calibri"/>
                <w:b w:val="false"/>
                <w:bCs w:val="false"/>
                <w:color w:val="2E3549"/>
                <w:sz w:val="17"/>
                <w:szCs w:val="17"/>
              </w:rPr>
              <w:t xml:space="preserve">Interface 100 % Web2 pour le particulier et l’artisan. Aucun wallet, aucun gas, aucun vocabulaire crypto. Le NFT chantier existe on-chain mais reste invisible sauf option power user.</w:t>
            </w:r>
          </w:p>
        </w:tc>
        <w:tc>
          <w:tcPr>
            <w:tcW w:type="dxa" w:w="6000"/>
            <w:tcBorders>
              <w:top w:val="single" w:color="DEE3EE" w:sz="4"/>
              <w:left w:val="single" w:color="DEE3EE" w:sz="4"/>
              <w:bottom w:val="single" w:color="DEE3EE" w:sz="4"/>
              <w:right w:val="single" w:color="DEE3EE" w:sz="4"/>
            </w:tcBorders>
            <w:shd w:fill="FDF3E0" w:val="clear"/>
            <w:tcMar>
              <w:top w:type="dxa" w:w="80"/>
              <w:left w:type="dxa" w:w="120"/>
              <w:bottom w:type="dxa" w:w="80"/>
              <w:right w:type="dxa" w:w="120"/>
            </w:tcMar>
            <w:vAlign w:val="center"/>
          </w:tcPr>
          <w:p>
            <w:r>
              <w:rPr>
                <w:rFonts w:ascii="Calibri" w:cs="Calibri" w:eastAsia="Calibri" w:hAnsi="Calibri"/>
                <w:b w:val="false"/>
                <w:bCs w:val="false"/>
                <w:color w:val="0A1628"/>
                <w:sz w:val="17"/>
                <w:szCs w:val="17"/>
              </w:rPr>
              <w:t xml:space="preserve">Adoption mass-market possible dans un secteur (BTP) historiquement réfractaire au Web3. Le vrai mass-market Web3, c’est celui qu’on ne voit pas.</w:t>
            </w:r>
          </w:p>
        </w:tc>
      </w:tr>
      <w:tr>
        <w:tc>
          <w:tcPr>
            <w:tcW w:type="dxa" w:w="4000"/>
            <w:tcBorders>
              <w:top w:val="single" w:color="DEE3EE" w:sz="4"/>
              <w:left w:val="single" w:color="DEE3EE" w:sz="4"/>
              <w:bottom w:val="single" w:color="DEE3EE" w:sz="4"/>
              <w:right w:val="single" w:color="DEE3EE" w:sz="4"/>
            </w:tcBorders>
            <w:shd w:fill="FFFFFF" w:val="clear"/>
            <w:tcMar>
              <w:top w:type="dxa" w:w="80"/>
              <w:left w:type="dxa" w:w="120"/>
              <w:bottom w:type="dxa" w:w="80"/>
              <w:right w:type="dxa" w:w="120"/>
            </w:tcMar>
            <w:vAlign w:val="center"/>
          </w:tcPr>
          <w:p>
            <w:r>
              <w:rPr>
                <w:rFonts w:ascii="Calibri" w:cs="Calibri" w:eastAsia="Calibri" w:hAnsi="Calibri"/>
                <w:b/>
                <w:bCs/>
                <w:color w:val="0A1628"/>
                <w:sz w:val="18"/>
                <w:szCs w:val="18"/>
              </w:rPr>
              <w:t xml:space="preserve">Médiation tierce CECMC + arbitrage CMAP intégrés au smart contract</w:t>
            </w:r>
          </w:p>
        </w:tc>
        <w:tc>
          <w:tcPr>
            <w:tcW w:type="dxa" w:w="5500"/>
            <w:tcBorders>
              <w:top w:val="single" w:color="DEE3EE" w:sz="4"/>
              <w:left w:val="single" w:color="DEE3EE" w:sz="4"/>
              <w:bottom w:val="single" w:color="DEE3EE" w:sz="4"/>
              <w:right w:val="single" w:color="DEE3EE"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2E3549"/>
                <w:sz w:val="17"/>
                <w:szCs w:val="17"/>
              </w:rPr>
              <w:t xml:space="preserve">En cas de litige, la plateforme déclenche automatiquement un médiateur agréé CECMC. Si échec sous 30 jours, arbitre CMAP. Le particulier peut refuser la sentence et exporter un dossier horodaté pour la justice.</w:t>
            </w:r>
          </w:p>
        </w:tc>
        <w:tc>
          <w:tcPr>
            <w:tcW w:type="dxa" w:w="6000"/>
            <w:tcBorders>
              <w:top w:val="single" w:color="DEE3EE" w:sz="4"/>
              <w:left w:val="single" w:color="DEE3EE" w:sz="4"/>
              <w:bottom w:val="single" w:color="DEE3EE" w:sz="4"/>
              <w:right w:val="single" w:color="DEE3EE"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7"/>
                <w:szCs w:val="17"/>
              </w:rPr>
              <w:t xml:space="preserve">Résolution de conflit 10× plus rapide et 5× moins chère qu’un procès. Et Trust BTP garde ses mains propres : elle n’arbitre jamais.</w:t>
            </w:r>
          </w:p>
        </w:tc>
      </w:tr>
    </w:tbl>
    <w:p>
      <w:pPr>
        <w:spacing w:after="120" w:before="240"/>
      </w:pPr>
      <w:r>
        <w:rPr>
          <w:rFonts w:ascii="Calibri" w:cs="Calibri" w:eastAsia="Calibri" w:hAnsi="Calibri"/>
          <w:b/>
          <w:bCs/>
          <w:color w:val="0A1628"/>
          <w:sz w:val="28"/>
          <w:szCs w:val="28"/>
        </w:rPr>
        <w:t xml:space="preserve">4. Pourquoi maintenant ?</w:t>
      </w:r>
    </w:p>
    <w:p>
      <w:pPr>
        <w:spacing w:after="60" w:before="60" w:line="280"/>
        <w:jc w:val="both"/>
      </w:pPr>
      <w:r>
        <w:rPr>
          <w:rFonts w:ascii="Calibri" w:cs="Calibri" w:eastAsia="Calibri" w:hAnsi="Calibri"/>
          <w:b w:val="false"/>
          <w:bCs w:val="false"/>
          <w:color w:val="2E3549"/>
          <w:sz w:val="20"/>
          <w:szCs w:val="20"/>
        </w:rPr>
        <w:t xml:space="preserve">Trois vagues convergent en 2026 et rendent Trust BTP non seulement possible, mais </w:t>
      </w:r>
      <w:r>
        <w:rPr>
          <w:rFonts w:ascii="Calibri" w:cs="Calibri" w:eastAsia="Calibri" w:hAnsi="Calibri"/>
          <w:b/>
          <w:bCs/>
          <w:color w:val="D97706"/>
          <w:sz w:val="20"/>
          <w:szCs w:val="20"/>
        </w:rPr>
        <w:t xml:space="preserve">inévitable</w:t>
      </w:r>
      <w:r>
        <w:rPr>
          <w:rFonts w:ascii="Calibri" w:cs="Calibri" w:eastAsia="Calibri" w:hAnsi="Calibri"/>
          <w:b w:val="false"/>
          <w:bCs w:val="false"/>
          <w:color w:val="2E3549"/>
          <w:sz w:val="20"/>
          <w:szCs w:val="20"/>
        </w:rPr>
        <w:t xml:space="preserve"> :</w:t>
      </w:r>
    </w:p>
    <w:p>
      <w:pPr>
        <w:pStyle w:val="ListParagraph"/>
        <w:numPr>
          <w:ilvl w:val="0"/>
          <w:numId w:val="2"/>
        </w:numPr>
        <w:spacing w:after="40" w:before="40" w:line="260"/>
        <w:jc w:val="both"/>
      </w:pPr>
      <w:r>
        <w:rPr>
          <w:rFonts w:ascii="Calibri" w:cs="Calibri" w:eastAsia="Calibri" w:hAnsi="Calibri"/>
          <w:b/>
          <w:bCs/>
          <w:color w:val="0A1628"/>
          <w:sz w:val="20"/>
          <w:szCs w:val="20"/>
        </w:rPr>
        <w:t xml:space="preserve">La vague réglementaire. </w:t>
      </w:r>
      <w:r>
        <w:rPr>
          <w:rFonts w:ascii="Calibri" w:cs="Calibri" w:eastAsia="Calibri" w:hAnsi="Calibri"/>
          <w:b w:val="false"/>
          <w:bCs w:val="false"/>
          <w:color w:val="2E3549"/>
          <w:sz w:val="20"/>
          <w:szCs w:val="20"/>
        </w:rPr>
        <w:t xml:space="preserve">MiCA entre en pleine application au 1er juillet 2026. Pour la première fois, un cadre européen clair permet de structurer un produit Web3 B2C sans zone grise. Les early-movers compliance-first prennent une avance de 18 mois.</w:t>
      </w:r>
    </w:p>
    <w:p>
      <w:pPr>
        <w:pStyle w:val="ListParagraph"/>
        <w:numPr>
          <w:ilvl w:val="0"/>
          <w:numId w:val="2"/>
        </w:numPr>
        <w:spacing w:after="40" w:before="40" w:line="260"/>
        <w:jc w:val="both"/>
      </w:pPr>
      <w:r>
        <w:rPr>
          <w:rFonts w:ascii="Calibri" w:cs="Calibri" w:eastAsia="Calibri" w:hAnsi="Calibri"/>
          <w:b/>
          <w:bCs/>
          <w:color w:val="0A1628"/>
          <w:sz w:val="20"/>
          <w:szCs w:val="20"/>
        </w:rPr>
        <w:t xml:space="preserve">La vague infrastructure. </w:t>
      </w:r>
      <w:r>
        <w:rPr>
          <w:rFonts w:ascii="Calibri" w:cs="Calibri" w:eastAsia="Calibri" w:hAnsi="Calibri"/>
          <w:b w:val="false"/>
          <w:bCs w:val="false"/>
          <w:color w:val="2E3549"/>
          <w:sz w:val="20"/>
          <w:szCs w:val="20"/>
        </w:rPr>
        <w:t xml:space="preserve">Arbitrum permet des transactions à &lt; 0,05 € avec finalité L2, Monerium offre un EURe MiCA-compliant et une API bancaire, Aave a cinq ans de track record sans hack. L’empilement technique est enfin fiable pour du mass-market.</w:t>
      </w:r>
    </w:p>
    <w:p>
      <w:pPr>
        <w:pStyle w:val="ListParagraph"/>
        <w:numPr>
          <w:ilvl w:val="0"/>
          <w:numId w:val="2"/>
        </w:numPr>
        <w:spacing w:after="40" w:before="40" w:line="260"/>
        <w:jc w:val="both"/>
      </w:pPr>
      <w:r>
        <w:rPr>
          <w:rFonts w:ascii="Calibri" w:cs="Calibri" w:eastAsia="Calibri" w:hAnsi="Calibri"/>
          <w:b/>
          <w:bCs/>
          <w:color w:val="0A1628"/>
          <w:sz w:val="20"/>
          <w:szCs w:val="20"/>
        </w:rPr>
        <w:t xml:space="preserve">La vague usage. </w:t>
      </w:r>
      <w:r>
        <w:rPr>
          <w:rFonts w:ascii="Calibri" w:cs="Calibri" w:eastAsia="Calibri" w:hAnsi="Calibri"/>
          <w:b w:val="false"/>
          <w:bCs w:val="false"/>
          <w:color w:val="2E3549"/>
          <w:sz w:val="20"/>
          <w:szCs w:val="20"/>
        </w:rPr>
        <w:t xml:space="preserve">Après 7 ans de DeFi "DeFi natifs pour DeFi natifs", la nouvelle frontière est la DeFi invisible : infrastructure Web3 au service d’usages Web2 concrets. Trust BTP en est un exemple-manifeste.</w:t>
      </w:r>
    </w:p>
    <w:p>
      <w:pPr>
        <w:spacing w:after="120" w:before="240"/>
      </w:pPr>
      <w:r>
        <w:rPr>
          <w:rFonts w:ascii="Calibri" w:cs="Calibri" w:eastAsia="Calibri" w:hAnsi="Calibri"/>
          <w:b/>
          <w:bCs/>
          <w:color w:val="0A1628"/>
          <w:sz w:val="28"/>
          <w:szCs w:val="28"/>
        </w:rPr>
        <w:t xml:space="preserve">5. Pourquoi c’est défendable long terme</w:t>
      </w:r>
    </w:p>
    <w:p>
      <w:pPr>
        <w:spacing w:after="60" w:before="60" w:line="280"/>
        <w:jc w:val="both"/>
      </w:pPr>
      <w:r>
        <w:rPr>
          <w:rFonts w:ascii="Calibri" w:cs="Calibri" w:eastAsia="Calibri" w:hAnsi="Calibri"/>
          <w:b w:val="false"/>
          <w:bCs w:val="false"/>
          <w:color w:val="2E3549"/>
          <w:sz w:val="20"/>
          <w:szCs w:val="20"/>
        </w:rPr>
        <w:t xml:space="preserve">Un copieur bancaire ou fintech qui voudrait reproduire Trust BTP devrait :</w:t>
      </w:r>
    </w:p>
    <w:p>
      <w:pPr>
        <w:pStyle w:val="ListParagraph"/>
        <w:numPr>
          <w:ilvl w:val="0"/>
          <w:numId w:val="2"/>
        </w:numPr>
        <w:spacing w:after="40" w:before="40" w:line="260"/>
        <w:jc w:val="both"/>
      </w:pPr>
      <w:r>
        <w:rPr>
          <w:rFonts w:ascii="Calibri" w:cs="Calibri" w:eastAsia="Calibri" w:hAnsi="Calibri"/>
          <w:b w:val="false"/>
          <w:bCs w:val="false"/>
          <w:color w:val="2E3549"/>
          <w:sz w:val="20"/>
          <w:szCs w:val="20"/>
        </w:rPr>
        <w:t xml:space="preserve">Changer de modèle mental : accepter que l’opérateur n’arbitre jamais les litiges. C’est culturellement inimaginable pour une banque traditionnelle.</w:t>
      </w:r>
    </w:p>
    <w:p>
      <w:pPr>
        <w:pStyle w:val="ListParagraph"/>
        <w:numPr>
          <w:ilvl w:val="0"/>
          <w:numId w:val="2"/>
        </w:numPr>
        <w:spacing w:after="40" w:before="40" w:line="260"/>
        <w:jc w:val="both"/>
      </w:pPr>
      <w:r>
        <w:rPr>
          <w:rFonts w:ascii="Calibri" w:cs="Calibri" w:eastAsia="Calibri" w:hAnsi="Calibri"/>
          <w:b w:val="false"/>
          <w:bCs w:val="false"/>
          <w:color w:val="2E3549"/>
          <w:sz w:val="20"/>
          <w:szCs w:val="20"/>
        </w:rPr>
        <w:t xml:space="preserve">Obtenir un agrément CASP : 12+ mois, 150 k€. Trust BTP s’en passe via délégation.</w:t>
      </w:r>
    </w:p>
    <w:p>
      <w:pPr>
        <w:pStyle w:val="ListParagraph"/>
        <w:numPr>
          <w:ilvl w:val="0"/>
          <w:numId w:val="2"/>
        </w:numPr>
        <w:spacing w:after="40" w:before="40" w:line="260"/>
        <w:jc w:val="both"/>
      </w:pPr>
      <w:r>
        <w:rPr>
          <w:rFonts w:ascii="Calibri" w:cs="Calibri" w:eastAsia="Calibri" w:hAnsi="Calibri"/>
          <w:b w:val="false"/>
          <w:bCs w:val="false"/>
          <w:color w:val="2E3549"/>
          <w:sz w:val="20"/>
          <w:szCs w:val="20"/>
        </w:rPr>
        <w:t xml:space="preserve">Construire un NFT probatoire conforme art. 1366 CC : un effort R&amp;D juridique + technique de 6+ mois.</w:t>
      </w:r>
    </w:p>
    <w:p>
      <w:pPr>
        <w:pStyle w:val="ListParagraph"/>
        <w:numPr>
          <w:ilvl w:val="0"/>
          <w:numId w:val="2"/>
        </w:numPr>
        <w:spacing w:after="40" w:before="40" w:line="260"/>
        <w:jc w:val="both"/>
      </w:pPr>
      <w:r>
        <w:rPr>
          <w:rFonts w:ascii="Calibri" w:cs="Calibri" w:eastAsia="Calibri" w:hAnsi="Calibri"/>
          <w:b w:val="false"/>
          <w:bCs w:val="false"/>
          <w:color w:val="2E3549"/>
          <w:sz w:val="20"/>
          <w:szCs w:val="20"/>
        </w:rPr>
        <w:t xml:space="preserve">Convertir des artisans sans les effrayer : Trust BTP a conçu toute son UX autour de ce point. Ce n’est pas une fonctionnalité, c’est l’architecture produit.</w:t>
      </w:r>
    </w:p>
    <w:p>
      <w:pPr>
        <w:spacing w:after="60" w:before="60" w:line="280"/>
        <w:jc w:val="both"/>
      </w:pPr>
      <w:r>
        <w:rPr>
          <w:rFonts w:ascii="Calibri" w:cs="Calibri" w:eastAsia="Calibri" w:hAnsi="Calibri"/>
          <w:b w:val="false"/>
          <w:bCs w:val="false"/>
          <w:color w:val="2E3549"/>
          <w:sz w:val="20"/>
          <w:szCs w:val="20"/>
        </w:rPr>
        <w:t xml:space="preserve">Notre moat n’est pas technologique. Il est </w:t>
      </w:r>
      <w:r>
        <w:rPr>
          <w:rFonts w:ascii="Calibri" w:cs="Calibri" w:eastAsia="Calibri" w:hAnsi="Calibri"/>
          <w:b/>
          <w:bCs/>
          <w:color w:val="2E3549"/>
          <w:sz w:val="20"/>
          <w:szCs w:val="20"/>
        </w:rPr>
        <w:t xml:space="preserve">architectural, réglementaire et culturel</w:t>
      </w:r>
      <w:r>
        <w:rPr>
          <w:rFonts w:ascii="Calibri" w:cs="Calibri" w:eastAsia="Calibri" w:hAnsi="Calibri"/>
          <w:b w:val="false"/>
          <w:bCs w:val="false"/>
          <w:color w:val="2E3549"/>
          <w:sz w:val="20"/>
          <w:szCs w:val="20"/>
        </w:rPr>
        <w:t xml:space="preserve">. Et ces trois moats se renforcent au fil des chantiers traités, des clauses validées par des avocats, des sentences arbitrales exportées et des crédits travaux échangés dans l’écosystème.</w:t>
      </w:r>
    </w:p>
    <w:p>
      <w:pPr>
        <w:spacing w:after="120" w:before="240"/>
      </w:pPr>
      <w:r>
        <w:rPr>
          <w:rFonts w:ascii="Calibri" w:cs="Calibri" w:eastAsia="Calibri" w:hAnsi="Calibri"/>
          <w:b/>
          <w:bCs/>
          <w:color w:val="0A1628"/>
          <w:sz w:val="28"/>
          <w:szCs w:val="28"/>
        </w:rPr>
        <w:t xml:space="preserve">6. La vision longue</w:t>
      </w:r>
    </w:p>
    <w:p>
      <w:pPr>
        <w:spacing w:after="60" w:before="60" w:line="280"/>
        <w:jc w:val="both"/>
      </w:pPr>
      <w:r>
        <w:rPr>
          <w:rFonts w:ascii="Calibri" w:cs="Calibri" w:eastAsia="Calibri" w:hAnsi="Calibri"/>
          <w:b w:val="false"/>
          <w:bCs w:val="false"/>
          <w:color w:val="2E3549"/>
          <w:sz w:val="20"/>
          <w:szCs w:val="20"/>
        </w:rPr>
        <w:t xml:space="preserve">À 5 ans, Trust BTP n’est plus "un escrow pour le BTP". C’est </w:t>
      </w:r>
      <w:r>
        <w:rPr>
          <w:rFonts w:ascii="Calibri" w:cs="Calibri" w:eastAsia="Calibri" w:hAnsi="Calibri"/>
          <w:b/>
          <w:bCs/>
          <w:color w:val="D97706"/>
          <w:sz w:val="20"/>
          <w:szCs w:val="20"/>
        </w:rPr>
        <w:t xml:space="preserve">l’infrastructure de confiance programmable de tout paiement conditionnel</w:t>
      </w:r>
      <w:r>
        <w:rPr>
          <w:rFonts w:ascii="Calibri" w:cs="Calibri" w:eastAsia="Calibri" w:hAnsi="Calibri"/>
          <w:b w:val="false"/>
          <w:bCs w:val="false"/>
          <w:color w:val="2E3549"/>
          <w:sz w:val="20"/>
          <w:szCs w:val="20"/>
        </w:rPr>
        <w:t xml:space="preserve"> :</w:t>
      </w:r>
    </w:p>
    <w:p>
      <w:pPr>
        <w:pStyle w:val="ListParagraph"/>
        <w:numPr>
          <w:ilvl w:val="0"/>
          <w:numId w:val="2"/>
        </w:numPr>
        <w:spacing w:after="40" w:before="40" w:line="260"/>
        <w:jc w:val="both"/>
      </w:pPr>
      <w:r>
        <w:rPr>
          <w:rFonts w:ascii="Calibri" w:cs="Calibri" w:eastAsia="Calibri" w:hAnsi="Calibri"/>
          <w:b w:val="false"/>
          <w:bCs w:val="false"/>
          <w:color w:val="2E3549"/>
          <w:sz w:val="20"/>
          <w:szCs w:val="20"/>
        </w:rPr>
        <w:t xml:space="preserve">Travaux résidentiels (cible V1) : 60 Md€ / an en France.</w:t>
      </w:r>
    </w:p>
    <w:p>
      <w:pPr>
        <w:pStyle w:val="ListParagraph"/>
        <w:numPr>
          <w:ilvl w:val="0"/>
          <w:numId w:val="2"/>
        </w:numPr>
        <w:spacing w:after="40" w:before="40" w:line="260"/>
        <w:jc w:val="both"/>
      </w:pPr>
      <w:r>
        <w:rPr>
          <w:rFonts w:ascii="Calibri" w:cs="Calibri" w:eastAsia="Calibri" w:hAnsi="Calibri"/>
          <w:b w:val="false"/>
          <w:bCs w:val="false"/>
          <w:color w:val="2E3549"/>
          <w:sz w:val="20"/>
          <w:szCs w:val="20"/>
        </w:rPr>
        <w:t xml:space="preserve">Copropriétés, syndics, promoteurs (V2) : +40 Md€.</w:t>
      </w:r>
    </w:p>
    <w:p>
      <w:pPr>
        <w:pStyle w:val="ListParagraph"/>
        <w:numPr>
          <w:ilvl w:val="0"/>
          <w:numId w:val="2"/>
        </w:numPr>
        <w:spacing w:after="40" w:before="40" w:line="260"/>
        <w:jc w:val="both"/>
      </w:pPr>
      <w:r>
        <w:rPr>
          <w:rFonts w:ascii="Calibri" w:cs="Calibri" w:eastAsia="Calibri" w:hAnsi="Calibri"/>
          <w:b w:val="false"/>
          <w:bCs w:val="false"/>
          <w:color w:val="2E3549"/>
          <w:sz w:val="20"/>
          <w:szCs w:val="20"/>
        </w:rPr>
        <w:t xml:space="preserve">Mariages, événementiel, freelance, contrats de service (V3) : tous les paiements par étapes où la confiance manque.</w:t>
      </w:r>
    </w:p>
    <w:p>
      <w:pPr>
        <w:spacing w:after="60" w:before="60" w:line="280"/>
        <w:jc w:val="both"/>
      </w:pPr>
      <w:r>
        <w:rPr>
          <w:rFonts w:ascii="Calibri" w:cs="Calibri" w:eastAsia="Calibri" w:hAnsi="Calibri"/>
          <w:b w:val="false"/>
          <w:bCs w:val="false"/>
          <w:color w:val="2E3549"/>
          <w:sz w:val="20"/>
          <w:szCs w:val="20"/>
        </w:rPr>
        <w:t xml:space="preserve">Et surtout, </w:t>
      </w:r>
      <w:r>
        <w:rPr>
          <w:rFonts w:ascii="Calibri" w:cs="Calibri" w:eastAsia="Calibri" w:hAnsi="Calibri"/>
          <w:b/>
          <w:bCs/>
          <w:color w:val="F28C28"/>
          <w:sz w:val="20"/>
          <w:szCs w:val="20"/>
        </w:rPr>
        <w:t xml:space="preserve">une plateforme qui fait la démonstration que la DeFi peut servir le quotidien</w:t>
      </w:r>
      <w:r>
        <w:rPr>
          <w:rFonts w:ascii="Calibri" w:cs="Calibri" w:eastAsia="Calibri" w:hAnsi="Calibri"/>
          <w:b w:val="false"/>
          <w:bCs w:val="false"/>
          <w:color w:val="2E3549"/>
          <w:sz w:val="20"/>
          <w:szCs w:val="20"/>
        </w:rPr>
        <w:t xml:space="preserve"> — pas l’inverse. Chaque chantier sécurisé devient un argument pour le Web3 utile. Chaque crédit travaux échangé devient un signal que l’écosystème fonctionne.</w:t>
      </w:r>
    </w:p>
    <w:p>
      <w:pPr>
        <w:spacing w:after="160" w:before="60" w:line="280"/>
        <w:jc w:val="both"/>
      </w:pPr>
      <w:r>
        <w:rPr>
          <w:rFonts w:ascii="Calibri" w:cs="Calibri" w:eastAsia="Calibri" w:hAnsi="Calibri"/>
          <w:b w:val="false"/>
          <w:bCs w:val="false"/>
          <w:color w:val="2E3549"/>
          <w:sz w:val="20"/>
          <w:szCs w:val="20"/>
        </w:rPr>
        <w:t xml:space="preserve">Trust BTP n’est pas une application. C’est </w:t>
      </w:r>
      <w:r>
        <w:rPr>
          <w:rFonts w:ascii="Calibri" w:cs="Calibri" w:eastAsia="Calibri" w:hAnsi="Calibri"/>
          <w:b/>
          <w:bCs/>
          <w:color w:val="0A1628"/>
          <w:sz w:val="20"/>
          <w:szCs w:val="20"/>
        </w:rPr>
        <w:t xml:space="preserve">un protocole de confiance pour le monde réel</w:t>
      </w:r>
      <w:r>
        <w:rPr>
          <w:rFonts w:ascii="Calibri" w:cs="Calibri" w:eastAsia="Calibri" w:hAnsi="Calibri"/>
          <w:b w:val="false"/>
          <w:bCs w:val="false"/>
          <w:color w:val="2E3549"/>
          <w:sz w:val="20"/>
          <w:szCs w:val="20"/>
        </w:rPr>
        <w:t xml:space="preserve">, enveloppé dans une interface que personne ne remarque.</w:t>
      </w:r>
    </w:p>
    <w:sectPr>
      <w:footerReference w:type="default" r:id="rId7"/>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color w:val="6C7489"/>
        <w:sz w:val="14"/>
        <w:szCs w:val="14"/>
      </w:rPr>
      <w:t xml:space="preserve">Trust BTP — Narratif projet · Cas pratique Alyra · Avr. 2026 — page </w:t>
    </w:r>
    <w:r>
      <w:rPr>
        <w:color w:val="6C7489"/>
        <w:sz w:val="14"/>
        <w:szCs w:val="14"/>
      </w:rPr>
      <w:fldChar w:fldCharType="begin"/>
      <w:instrText xml:space="preserve">PAGE</w:instrText>
      <w:fldChar w:fldCharType="separate"/>
      <w:fldChar w:fldCharType="end"/>
    </w:r>
    <w:r>
      <w:rPr>
        <w:color w:val="6C7489"/>
        <w:sz w:val="14"/>
        <w:szCs w:val="14"/>
      </w:rPr>
      <w:t xml:space="preserve">/</w:t>
    </w:r>
    <w:r>
      <w:rPr>
        <w:color w:val="6C748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F28C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 quoi Trust BTP est révolutionnaire</dc:title>
  <dc:creator>Trust BTP</dc:creator>
  <cp:lastModifiedBy>Un-named</cp:lastModifiedBy>
  <cp:revision>1</cp:revision>
  <dcterms:created xsi:type="dcterms:W3CDTF">2026-04-17T16:02:05.859Z</dcterms:created>
  <dcterms:modified xsi:type="dcterms:W3CDTF">2026-04-17T16:02:05.859Z</dcterms:modified>
</cp:coreProperties>
</file>

<file path=docProps/custom.xml><?xml version="1.0" encoding="utf-8"?>
<Properties xmlns="http://schemas.openxmlformats.org/officeDocument/2006/custom-properties" xmlns:vt="http://schemas.openxmlformats.org/officeDocument/2006/docPropsVTypes"/>
</file>