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09" w:rsidRPr="0088302E" w:rsidRDefault="0088302E" w:rsidP="008927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302E">
        <w:rPr>
          <w:rFonts w:ascii="Times New Roman" w:hAnsi="Times New Roman" w:cs="Times New Roman"/>
          <w:b/>
          <w:sz w:val="24"/>
          <w:szCs w:val="24"/>
        </w:rPr>
        <w:t>Résultats</w:t>
      </w:r>
    </w:p>
    <w:p w:rsidR="008927D2" w:rsidRDefault="00E935ED" w:rsidP="00892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1E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443637</wp:posOffset>
                </wp:positionV>
                <wp:extent cx="1633855" cy="1371600"/>
                <wp:effectExtent l="0" t="0" r="444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1EC" w:rsidRPr="00E935ED" w:rsidRDefault="007531EC" w:rsidP="007531E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935E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Figure 1.</w:t>
                            </w:r>
                          </w:p>
                          <w:p w:rsidR="007531EC" w:rsidRPr="00E935ED" w:rsidRDefault="007531EC" w:rsidP="007531EC">
                            <w:pPr>
                              <w:rPr>
                                <w:sz w:val="18"/>
                              </w:rPr>
                            </w:pPr>
                            <w:r w:rsidRPr="00E935E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Histogramme représentant la variation du nombre de comportements liés à la locomotion exprimés par les individus familiers et non familiers au dispositif.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9.4pt;margin-top:34.95pt;width:128.65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" stroked="f">
                <v:textbox>
                  <w:txbxContent>
                    <w:p w:rsidR="007531EC" w:rsidRPr="00E935ED" w:rsidRDefault="007531EC" w:rsidP="007531EC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E935ED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Figure 1.</w:t>
                      </w:r>
                    </w:p>
                    <w:p w:rsidR="007531EC" w:rsidRPr="00E935ED" w:rsidRDefault="007531EC" w:rsidP="007531EC">
                      <w:pPr>
                        <w:rPr>
                          <w:sz w:val="18"/>
                        </w:rPr>
                      </w:pPr>
                      <w:r w:rsidRPr="00E935E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Histogramme représentant la variation du nombre de comportements liés à la locomotion exprimés par les individus familiers et non familiers au dispositif.</w:t>
                      </w:r>
                    </w:p>
                  </w:txbxContent>
                </v:textbox>
              </v:shape>
            </w:pict>
          </mc:Fallback>
        </mc:AlternateContent>
      </w:r>
      <w:r w:rsidRPr="007531E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9239FA" wp14:editId="6DC71F0F">
                <wp:simplePos x="0" y="0"/>
                <wp:positionH relativeFrom="column">
                  <wp:posOffset>4310380</wp:posOffset>
                </wp:positionH>
                <wp:positionV relativeFrom="paragraph">
                  <wp:posOffset>2729278</wp:posOffset>
                </wp:positionV>
                <wp:extent cx="1634334" cy="1406106"/>
                <wp:effectExtent l="0" t="0" r="4445" b="381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334" cy="14061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1EC" w:rsidRPr="00E935ED" w:rsidRDefault="007531EC" w:rsidP="007531E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r w:rsidRPr="00E935E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 xml:space="preserve">Figure </w:t>
                            </w:r>
                            <w:r w:rsidR="001F1DF9" w:rsidRPr="00E935E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2</w:t>
                            </w:r>
                            <w:r w:rsidRPr="00E935E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:rsidR="007531EC" w:rsidRPr="00E935ED" w:rsidRDefault="007531EC" w:rsidP="007531EC">
                            <w:pPr>
                              <w:rPr>
                                <w:sz w:val="18"/>
                              </w:rPr>
                            </w:pPr>
                            <w:r w:rsidRPr="00E935E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Histogramme représentant la moyenne des latences des comportements liés à la locomotion exprimés par les individus familiers et non familiers au dispositif.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39FA" id="_x0000_s1027" type="#_x0000_t202" style="position:absolute;left:0;text-align:left;margin-left:339.4pt;margin-top:214.9pt;width:128.7pt;height:110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" stroked="f">
                <v:textbox>
                  <w:txbxContent>
                    <w:p w:rsidR="007531EC" w:rsidRPr="00E935ED" w:rsidRDefault="007531EC" w:rsidP="007531E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r w:rsidRPr="00E935ED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 xml:space="preserve">Figure </w:t>
                      </w:r>
                      <w:r w:rsidR="001F1DF9" w:rsidRPr="00E935ED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2</w:t>
                      </w:r>
                      <w:r w:rsidRPr="00E935ED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.</w:t>
                      </w:r>
                    </w:p>
                    <w:p w:rsidR="007531EC" w:rsidRPr="00E935ED" w:rsidRDefault="007531EC" w:rsidP="007531EC">
                      <w:pPr>
                        <w:rPr>
                          <w:sz w:val="18"/>
                        </w:rPr>
                      </w:pPr>
                      <w:r w:rsidRPr="00E935E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Histogramme représentant la moyenne des latences des comportements liés à la locomotion exprimés par les individus familiers et non familiers au dispositif.</w:t>
                      </w:r>
                    </w:p>
                  </w:txbxContent>
                </v:textbox>
              </v:shape>
            </w:pict>
          </mc:Fallback>
        </mc:AlternateContent>
      </w:r>
      <w:r w:rsidR="001F1DF9" w:rsidRPr="007531E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A41A4F" wp14:editId="54920FA8">
                <wp:simplePos x="0" y="0"/>
                <wp:positionH relativeFrom="column">
                  <wp:posOffset>4336571</wp:posOffset>
                </wp:positionH>
                <wp:positionV relativeFrom="paragraph">
                  <wp:posOffset>5136204</wp:posOffset>
                </wp:positionV>
                <wp:extent cx="1608611" cy="1708031"/>
                <wp:effectExtent l="0" t="0" r="0" b="698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611" cy="1708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1EC" w:rsidRPr="00E935ED" w:rsidRDefault="001F1DF9" w:rsidP="007531E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935E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Figure 3</w:t>
                            </w:r>
                            <w:r w:rsidR="007531EC" w:rsidRPr="00E935E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.</w:t>
                            </w:r>
                            <w:r w:rsidR="007531EC" w:rsidRPr="00E935E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  <w:p w:rsidR="007531EC" w:rsidRPr="00E935ED" w:rsidRDefault="007531EC" w:rsidP="007531EC">
                            <w:pPr>
                              <w:rPr>
                                <w:sz w:val="18"/>
                              </w:rPr>
                            </w:pPr>
                            <w:r w:rsidRPr="00E935E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Histogramme représentant la variation du nombre de comportements </w:t>
                            </w:r>
                            <w:proofErr w:type="gramStart"/>
                            <w:r w:rsidRPr="00E935E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au comportement alimentaire exprimés</w:t>
                            </w:r>
                            <w:proofErr w:type="gramEnd"/>
                            <w:r w:rsidRPr="00E935E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par les individus familiers et non familiers à l'aliment et dans différents états prandiaux.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1A4F" id="_x0000_s1028" type="#_x0000_t202" style="position:absolute;left:0;text-align:left;margin-left:341.45pt;margin-top:404.45pt;width:126.65pt;height:1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" stroked="f">
                <v:textbox>
                  <w:txbxContent>
                    <w:p w:rsidR="007531EC" w:rsidRPr="00E935ED" w:rsidRDefault="001F1DF9" w:rsidP="007531EC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E935ED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Figure 3</w:t>
                      </w:r>
                      <w:r w:rsidR="007531EC" w:rsidRPr="00E935ED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.</w:t>
                      </w:r>
                      <w:r w:rsidR="007531EC" w:rsidRPr="00E935E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</w:p>
                    <w:p w:rsidR="007531EC" w:rsidRPr="00E935ED" w:rsidRDefault="007531EC" w:rsidP="007531EC">
                      <w:pPr>
                        <w:rPr>
                          <w:sz w:val="18"/>
                        </w:rPr>
                      </w:pPr>
                      <w:r w:rsidRPr="00E935E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Histogramme représentant la variation du nombre de comportements </w:t>
                      </w:r>
                      <w:proofErr w:type="gramStart"/>
                      <w:r w:rsidRPr="00E935E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au comportement alimentaire exprimés</w:t>
                      </w:r>
                      <w:proofErr w:type="gramEnd"/>
                      <w:r w:rsidRPr="00E935E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par les individus familiers et non familiers à l'aliment et dans différents états prandiaux.</w:t>
                      </w:r>
                    </w:p>
                  </w:txbxContent>
                </v:textbox>
              </v:shape>
            </w:pict>
          </mc:Fallback>
        </mc:AlternateContent>
      </w:r>
      <w:r w:rsidR="0088302E">
        <w:rPr>
          <w:noProof/>
          <w:lang w:eastAsia="fr-FR"/>
        </w:rPr>
        <w:drawing>
          <wp:inline distT="0" distB="0" distL="0" distR="0" wp14:anchorId="03CE7882" wp14:editId="22F1BE16">
            <wp:extent cx="4136066" cy="2253615"/>
            <wp:effectExtent l="0" t="0" r="17145" b="1333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F1DF9">
        <w:rPr>
          <w:noProof/>
          <w:lang w:eastAsia="fr-FR"/>
        </w:rPr>
        <w:drawing>
          <wp:inline distT="0" distB="0" distL="0" distR="0" wp14:anchorId="193F783E" wp14:editId="32F4B240">
            <wp:extent cx="4135755" cy="2190115"/>
            <wp:effectExtent l="0" t="0" r="17145" b="635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22D4B">
        <w:rPr>
          <w:noProof/>
          <w:lang w:eastAsia="fr-FR"/>
        </w:rPr>
        <w:drawing>
          <wp:inline distT="0" distB="0" distL="0" distR="0" wp14:anchorId="2F772EE6" wp14:editId="0A4EE9E0">
            <wp:extent cx="4135755" cy="2846717"/>
            <wp:effectExtent l="0" t="0" r="17145" b="1079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927D2">
        <w:rPr>
          <w:rFonts w:ascii="Times New Roman" w:hAnsi="Times New Roman" w:cs="Times New Roman"/>
          <w:sz w:val="24"/>
          <w:szCs w:val="24"/>
        </w:rPr>
        <w:br/>
      </w:r>
      <w:r w:rsidR="008927D2">
        <w:rPr>
          <w:rFonts w:ascii="Times New Roman" w:hAnsi="Times New Roman" w:cs="Times New Roman"/>
          <w:sz w:val="24"/>
          <w:szCs w:val="24"/>
        </w:rPr>
        <w:br/>
      </w:r>
      <w:r w:rsidR="008927D2">
        <w:rPr>
          <w:rFonts w:ascii="Times New Roman" w:hAnsi="Times New Roman" w:cs="Times New Roman"/>
          <w:sz w:val="24"/>
          <w:szCs w:val="24"/>
        </w:rPr>
        <w:br/>
      </w:r>
    </w:p>
    <w:p w:rsidR="007531EC" w:rsidRDefault="007531EC" w:rsidP="008927D2">
      <w:pPr>
        <w:spacing w:line="360" w:lineRule="auto"/>
        <w:jc w:val="both"/>
        <w:rPr>
          <w:noProof/>
          <w:lang w:eastAsia="fr-FR"/>
        </w:rPr>
      </w:pPr>
      <w:r w:rsidRPr="007531EC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AEA342" wp14:editId="37B9E621">
                <wp:simplePos x="0" y="0"/>
                <wp:positionH relativeFrom="column">
                  <wp:posOffset>4302065</wp:posOffset>
                </wp:positionH>
                <wp:positionV relativeFrom="paragraph">
                  <wp:posOffset>584056</wp:posOffset>
                </wp:positionV>
                <wp:extent cx="1634430" cy="1664898"/>
                <wp:effectExtent l="0" t="0" r="4445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30" cy="1664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1EC" w:rsidRPr="00E935ED" w:rsidRDefault="007531EC" w:rsidP="007531E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935E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Figure 4.</w:t>
                            </w:r>
                          </w:p>
                          <w:p w:rsidR="007531EC" w:rsidRPr="00E935ED" w:rsidRDefault="007531EC" w:rsidP="007531EC">
                            <w:pPr>
                              <w:rPr>
                                <w:sz w:val="18"/>
                              </w:rPr>
                            </w:pPr>
                            <w:r w:rsidRPr="00E935E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Histogramme représentant la moyenne des latences des comportements liés au comportement alimentaire exprimés par les individus familiers et non familiers à l'aliment et dans différents états prandiaux.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A342" id="_x0000_s1029" type="#_x0000_t202" style="position:absolute;left:0;text-align:left;margin-left:338.75pt;margin-top:46pt;width:128.7pt;height:13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" stroked="f">
                <v:textbox>
                  <w:txbxContent>
                    <w:p w:rsidR="007531EC" w:rsidRPr="00E935ED" w:rsidRDefault="007531EC" w:rsidP="007531EC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E935ED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Figure 4.</w:t>
                      </w:r>
                    </w:p>
                    <w:p w:rsidR="007531EC" w:rsidRPr="00E935ED" w:rsidRDefault="007531EC" w:rsidP="007531EC">
                      <w:pPr>
                        <w:rPr>
                          <w:sz w:val="18"/>
                        </w:rPr>
                      </w:pPr>
                      <w:r w:rsidRPr="00E935E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Histogramme représentant la moyenne des latences des comportements liés au comportement alimentaire exprimés par les individus familiers et non familiers à l'aliment et dans différents états prandiaux.</w:t>
                      </w:r>
                    </w:p>
                  </w:txbxContent>
                </v:textbox>
              </v:shape>
            </w:pict>
          </mc:Fallback>
        </mc:AlternateContent>
      </w:r>
      <w:r w:rsidR="00022D4B" w:rsidRPr="00022D4B">
        <w:rPr>
          <w:noProof/>
          <w:lang w:eastAsia="fr-FR"/>
        </w:rPr>
        <w:t xml:space="preserve"> </w:t>
      </w:r>
      <w:r w:rsidR="00022D4B">
        <w:rPr>
          <w:noProof/>
          <w:lang w:eastAsia="fr-FR"/>
        </w:rPr>
        <w:drawing>
          <wp:inline distT="0" distB="0" distL="0" distR="0">
            <wp:extent cx="4080294" cy="2828925"/>
            <wp:effectExtent l="0" t="0" r="15875" b="9525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28A3" w:rsidRDefault="00751511" w:rsidP="00892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1E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31B3A3" wp14:editId="5CC52A29">
                <wp:simplePos x="0" y="0"/>
                <wp:positionH relativeFrom="column">
                  <wp:posOffset>4304030</wp:posOffset>
                </wp:positionH>
                <wp:positionV relativeFrom="paragraph">
                  <wp:posOffset>2501265</wp:posOffset>
                </wp:positionV>
                <wp:extent cx="1838960" cy="1200150"/>
                <wp:effectExtent l="0" t="0" r="889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6BA" w:rsidRPr="0000717F" w:rsidRDefault="000646BA" w:rsidP="000646B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007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Figure 6</w:t>
                            </w:r>
                            <w:r w:rsidRPr="00007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:rsidR="000646BA" w:rsidRPr="0000717F" w:rsidRDefault="0000717F" w:rsidP="000646BA">
                            <w:pPr>
                              <w:rPr>
                                <w:sz w:val="18"/>
                              </w:rPr>
                            </w:pPr>
                            <w:r w:rsidRPr="0000717F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Tableau représentant les résultats du test statistique Chi-Deux à partir des valeurs de la figure 1. La valeur seuil est de 3.84. </w:t>
                            </w:r>
                            <w:r w:rsidRPr="0000717F">
                              <w:rPr>
                                <w:rFonts w:ascii="Times New Roman" w:eastAsia="Times New Roman" w:hAnsi="Times New Roman" w:cs="Times New Roman"/>
                                <w:b/>
                                <w:color w:val="006100"/>
                                <w:sz w:val="20"/>
                                <w:szCs w:val="24"/>
                                <w:lang w:eastAsia="fr-FR"/>
                              </w:rPr>
                              <w:t>Valeurs significatives</w:t>
                            </w:r>
                            <w:r w:rsidRPr="0000717F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B3A3" id="_x0000_s1030" type="#_x0000_t202" style="position:absolute;left:0;text-align:left;margin-left:338.9pt;margin-top:196.95pt;width:144.8pt;height:9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" stroked="f">
                <v:textbox>
                  <w:txbxContent>
                    <w:p w:rsidR="000646BA" w:rsidRPr="0000717F" w:rsidRDefault="000646BA" w:rsidP="000646BA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00717F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Figure 6</w:t>
                      </w:r>
                      <w:r w:rsidRPr="0000717F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.</w:t>
                      </w:r>
                    </w:p>
                    <w:p w:rsidR="000646BA" w:rsidRPr="0000717F" w:rsidRDefault="0000717F" w:rsidP="000646BA">
                      <w:pPr>
                        <w:rPr>
                          <w:sz w:val="18"/>
                        </w:rPr>
                      </w:pPr>
                      <w:r w:rsidRPr="0000717F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Tableau représentant les résultats du test statistique Chi-Deux à partir des valeurs de la figure 1. La valeur seuil est de 3.84. </w:t>
                      </w:r>
                      <w:r w:rsidRPr="0000717F">
                        <w:rPr>
                          <w:rFonts w:ascii="Times New Roman" w:eastAsia="Times New Roman" w:hAnsi="Times New Roman" w:cs="Times New Roman"/>
                          <w:b/>
                          <w:color w:val="006100"/>
                          <w:sz w:val="20"/>
                          <w:szCs w:val="24"/>
                          <w:lang w:eastAsia="fr-FR"/>
                        </w:rPr>
                        <w:t>Valeurs significatives</w:t>
                      </w:r>
                      <w:r w:rsidRPr="0000717F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935ED" w:rsidRPr="007531E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3615CA" wp14:editId="52EEB535">
                <wp:simplePos x="0" y="0"/>
                <wp:positionH relativeFrom="column">
                  <wp:posOffset>4241165</wp:posOffset>
                </wp:positionH>
                <wp:positionV relativeFrom="paragraph">
                  <wp:posOffset>586393</wp:posOffset>
                </wp:positionV>
                <wp:extent cx="1694875" cy="1311216"/>
                <wp:effectExtent l="0" t="0" r="635" b="381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75" cy="1311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8A3" w:rsidRPr="00E935ED" w:rsidRDefault="00CA28A3" w:rsidP="00CA28A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935E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Figure 5</w:t>
                            </w:r>
                            <w:r w:rsidRPr="00E935E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:rsidR="00CA28A3" w:rsidRPr="00E935ED" w:rsidRDefault="00CA28A3" w:rsidP="00CA28A3">
                            <w:pPr>
                              <w:rPr>
                                <w:sz w:val="18"/>
                              </w:rPr>
                            </w:pPr>
                            <w:r w:rsidRPr="00E935E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Histogramme représentant </w:t>
                            </w:r>
                            <w:r w:rsidRPr="00E935E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le pourcentage d'événements non réalisés par les individus familiers et non familiers à l'aliment et dans différents états prandiaux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15CA" id="_x0000_s1031" type="#_x0000_t202" style="position:absolute;left:0;text-align:left;margin-left:333.95pt;margin-top:46.15pt;width:133.45pt;height:10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" stroked="f">
                <v:textbox>
                  <w:txbxContent>
                    <w:p w:rsidR="00CA28A3" w:rsidRPr="00E935ED" w:rsidRDefault="00CA28A3" w:rsidP="00CA28A3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E935ED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Figure 5</w:t>
                      </w:r>
                      <w:r w:rsidRPr="00E935ED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.</w:t>
                      </w:r>
                    </w:p>
                    <w:p w:rsidR="00CA28A3" w:rsidRPr="00E935ED" w:rsidRDefault="00CA28A3" w:rsidP="00CA28A3">
                      <w:pPr>
                        <w:rPr>
                          <w:sz w:val="18"/>
                        </w:rPr>
                      </w:pPr>
                      <w:r w:rsidRPr="00E935E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Histogramme représentant </w:t>
                      </w:r>
                      <w:r w:rsidRPr="00E935E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le pourcentage d'événements non réalisés par les individus familiers et non familiers à l'aliment et dans différents états prandiaux</w:t>
                      </w:r>
                    </w:p>
                  </w:txbxContent>
                </v:textbox>
              </v:shape>
            </w:pict>
          </mc:Fallback>
        </mc:AlternateContent>
      </w:r>
      <w:r w:rsidR="00B431CB">
        <w:rPr>
          <w:noProof/>
          <w:lang w:eastAsia="fr-FR"/>
        </w:rPr>
        <w:drawing>
          <wp:inline distT="0" distB="0" distL="0" distR="0" wp14:anchorId="2A91E839" wp14:editId="3A86ADE5">
            <wp:extent cx="4114381" cy="2355011"/>
            <wp:effectExtent l="0" t="0" r="635" b="7620"/>
            <wp:docPr id="16" name="Graphique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ausimple3"/>
        <w:tblpPr w:leftFromText="141" w:rightFromText="141" w:vertAnchor="text" w:horzAnchor="margin" w:tblpY="-24"/>
        <w:tblW w:w="6508" w:type="dxa"/>
        <w:tblLook w:val="04A0" w:firstRow="1" w:lastRow="0" w:firstColumn="1" w:lastColumn="0" w:noHBand="0" w:noVBand="1"/>
      </w:tblPr>
      <w:tblGrid>
        <w:gridCol w:w="1407"/>
        <w:gridCol w:w="737"/>
        <w:gridCol w:w="737"/>
        <w:gridCol w:w="2047"/>
        <w:gridCol w:w="1580"/>
      </w:tblGrid>
      <w:tr w:rsidR="0000717F" w:rsidRPr="000646BA" w:rsidTr="0075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Times New Roman" w:eastAsia="Times New Roman" w:hAnsi="Times New Roman" w:cs="Times New Roman"/>
                <w:sz w:val="16"/>
                <w:szCs w:val="24"/>
                <w:lang w:eastAsia="fr-FR"/>
              </w:rPr>
            </w:pP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F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NF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Valeurs théoriques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Chi-deux total</w:t>
            </w:r>
          </w:p>
        </w:tc>
      </w:tr>
      <w:tr w:rsidR="0000717F" w:rsidRPr="000646BA" w:rsidTr="0075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avec appui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1893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2876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2384.5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  <w:t>202.62</w:t>
            </w:r>
          </w:p>
        </w:tc>
      </w:tr>
      <w:tr w:rsidR="0000717F" w:rsidRPr="000646BA" w:rsidTr="00751511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sans appui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583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458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520.5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  <w:t>15.01</w:t>
            </w:r>
          </w:p>
        </w:tc>
      </w:tr>
      <w:tr w:rsidR="00751511" w:rsidRPr="000646BA" w:rsidTr="0075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marche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1297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1829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1563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  <w:t>90.54</w:t>
            </w:r>
          </w:p>
        </w:tc>
      </w:tr>
      <w:tr w:rsidR="0000717F" w:rsidRPr="000646BA" w:rsidTr="00751511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court/saute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363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847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605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  <w:t>193.60</w:t>
            </w:r>
          </w:p>
        </w:tc>
      </w:tr>
      <w:tr w:rsidR="00751511" w:rsidRPr="000646BA" w:rsidTr="0075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étirée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203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118.5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  <w:t>120.51</w:t>
            </w:r>
          </w:p>
        </w:tc>
      </w:tr>
    </w:tbl>
    <w:p w:rsidR="0000717F" w:rsidRDefault="007531EC" w:rsidP="00892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0717F" w:rsidRDefault="0000717F" w:rsidP="00892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17F" w:rsidRDefault="0000717F" w:rsidP="00892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3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57"/>
        <w:gridCol w:w="1036"/>
        <w:gridCol w:w="800"/>
        <w:gridCol w:w="1063"/>
        <w:gridCol w:w="905"/>
        <w:gridCol w:w="1538"/>
        <w:gridCol w:w="1333"/>
      </w:tblGrid>
      <w:tr w:rsidR="0000717F" w:rsidRPr="000646BA" w:rsidTr="0075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Times New Roman" w:eastAsia="Times New Roman" w:hAnsi="Times New Roman" w:cs="Times New Roman"/>
                <w:sz w:val="16"/>
                <w:szCs w:val="24"/>
                <w:lang w:eastAsia="fr-FR"/>
              </w:rPr>
            </w:pP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F rassasié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F à jeun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NF rassasié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NF à jeun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4"/>
                <w:lang w:eastAsia="fr-FR"/>
              </w:rPr>
              <w:t>Valeurs théoriques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Chi-deux total</w:t>
            </w:r>
          </w:p>
        </w:tc>
      </w:tr>
      <w:tr w:rsidR="0000717F" w:rsidRPr="000646BA" w:rsidTr="0075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Manipulation de l'aliment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6.5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  <w:t>8.15</w:t>
            </w:r>
          </w:p>
        </w:tc>
      </w:tr>
      <w:tr w:rsidR="0000717F" w:rsidRPr="000646BA" w:rsidTr="007515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Prise alimentaire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10.5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  <w:t>40.67</w:t>
            </w:r>
          </w:p>
        </w:tc>
      </w:tr>
      <w:tr w:rsidR="0000717F" w:rsidRPr="000646BA" w:rsidTr="0075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Transport de l'aliment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b/>
                <w:color w:val="006100"/>
                <w:sz w:val="20"/>
                <w:lang w:eastAsia="fr-FR"/>
              </w:rPr>
              <w:t>12.00</w:t>
            </w:r>
          </w:p>
        </w:tc>
      </w:tr>
      <w:tr w:rsidR="0000717F" w:rsidRPr="000646BA" w:rsidTr="007515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0717F" w:rsidRPr="000646BA" w:rsidRDefault="0000717F" w:rsidP="0000717F">
            <w:pP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Flairage de l'aliment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43.25</w:t>
            </w:r>
          </w:p>
        </w:tc>
        <w:tc>
          <w:tcPr>
            <w:tcW w:w="0" w:type="auto"/>
            <w:noWrap/>
            <w:hideMark/>
          </w:tcPr>
          <w:p w:rsidR="0000717F" w:rsidRPr="000646BA" w:rsidRDefault="0000717F" w:rsidP="0000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</w:pPr>
            <w:r w:rsidRPr="000646BA">
              <w:rPr>
                <w:rFonts w:ascii="Calibri" w:eastAsia="Times New Roman" w:hAnsi="Calibri" w:cs="Calibri"/>
                <w:color w:val="000000"/>
                <w:sz w:val="20"/>
                <w:lang w:eastAsia="fr-FR"/>
              </w:rPr>
              <w:t>2.28</w:t>
            </w:r>
          </w:p>
        </w:tc>
      </w:tr>
    </w:tbl>
    <w:p w:rsidR="00751511" w:rsidRPr="00751511" w:rsidRDefault="00751511" w:rsidP="00751511">
      <w:pPr>
        <w:jc w:val="both"/>
        <w:rPr>
          <w:rFonts w:ascii="Times New Roman" w:hAnsi="Times New Roman" w:cs="Times New Roman"/>
          <w:sz w:val="12"/>
          <w:szCs w:val="24"/>
        </w:rPr>
      </w:pPr>
    </w:p>
    <w:p w:rsidR="00751511" w:rsidRPr="00751511" w:rsidRDefault="00751511" w:rsidP="00751511">
      <w:pPr>
        <w:jc w:val="both"/>
        <w:rPr>
          <w:rFonts w:ascii="Times New Roman" w:hAnsi="Times New Roman" w:cs="Times New Roman"/>
          <w:sz w:val="20"/>
          <w:szCs w:val="24"/>
        </w:rPr>
      </w:pPr>
      <w:r w:rsidRPr="0000717F">
        <w:rPr>
          <w:rFonts w:ascii="Times New Roman" w:hAnsi="Times New Roman" w:cs="Times New Roman"/>
          <w:b/>
          <w:sz w:val="20"/>
          <w:szCs w:val="24"/>
        </w:rPr>
        <w:t>Figure 7.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0717F">
        <w:rPr>
          <w:rFonts w:ascii="Times New Roman" w:hAnsi="Times New Roman" w:cs="Times New Roman"/>
          <w:sz w:val="20"/>
          <w:szCs w:val="24"/>
        </w:rPr>
        <w:t xml:space="preserve">Tableau représentant les résultats du test statistique Chi-Deux à partir des valeurs de la figure 2. La valeur seuil est de 7.82. </w:t>
      </w:r>
      <w:r w:rsidRPr="0000717F">
        <w:rPr>
          <w:rFonts w:ascii="Times New Roman" w:eastAsia="Times New Roman" w:hAnsi="Times New Roman" w:cs="Times New Roman"/>
          <w:b/>
          <w:color w:val="006100"/>
          <w:sz w:val="20"/>
          <w:szCs w:val="24"/>
          <w:lang w:eastAsia="fr-FR"/>
        </w:rPr>
        <w:t>Valeurs significatives</w:t>
      </w:r>
      <w:r w:rsidRPr="0000717F">
        <w:rPr>
          <w:rFonts w:ascii="Times New Roman" w:hAnsi="Times New Roman" w:cs="Times New Roman"/>
          <w:sz w:val="20"/>
          <w:szCs w:val="24"/>
        </w:rPr>
        <w:t>.</w:t>
      </w:r>
    </w:p>
    <w:p w:rsidR="00751511" w:rsidRDefault="00751511" w:rsidP="00892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531EC" w:rsidRDefault="007531EC" w:rsidP="00892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D’après ces résultats, on observe chez les individus non familiers au dispositif environ 30% de comportements de locomotion en plus que chez les individus familiers au dispositif (Fig. 1).</w:t>
      </w:r>
      <w:r w:rsidR="001F1DF9">
        <w:rPr>
          <w:rFonts w:ascii="Times New Roman" w:hAnsi="Times New Roman" w:cs="Times New Roman"/>
          <w:sz w:val="24"/>
          <w:szCs w:val="24"/>
        </w:rPr>
        <w:t xml:space="preserve"> De plus, les individus non familiers au dispositif mettent environ 30% </w:t>
      </w:r>
      <w:r w:rsidR="00022D4B">
        <w:rPr>
          <w:rFonts w:ascii="Times New Roman" w:hAnsi="Times New Roman" w:cs="Times New Roman"/>
          <w:sz w:val="24"/>
          <w:szCs w:val="24"/>
        </w:rPr>
        <w:t xml:space="preserve">plus </w:t>
      </w:r>
      <w:r w:rsidR="001F1DF9">
        <w:rPr>
          <w:rFonts w:ascii="Times New Roman" w:hAnsi="Times New Roman" w:cs="Times New Roman"/>
          <w:sz w:val="24"/>
          <w:szCs w:val="24"/>
        </w:rPr>
        <w:t>de temps à atteindre la zone distale par rapport aux individus familiers au dispositif</w:t>
      </w:r>
      <w:r w:rsidR="00B431CB">
        <w:rPr>
          <w:rFonts w:ascii="Times New Roman" w:hAnsi="Times New Roman" w:cs="Times New Roman"/>
          <w:sz w:val="24"/>
          <w:szCs w:val="24"/>
        </w:rPr>
        <w:t xml:space="preserve"> (Fig. 2)</w:t>
      </w:r>
      <w:r w:rsidR="001F1DF9">
        <w:rPr>
          <w:rFonts w:ascii="Times New Roman" w:hAnsi="Times New Roman" w:cs="Times New Roman"/>
          <w:sz w:val="24"/>
          <w:szCs w:val="24"/>
        </w:rPr>
        <w:t>. La latence pour atteindre la zone médiane n’est pas significativement différente entre les individus familiers et non familiers au dispositif.</w:t>
      </w:r>
    </w:p>
    <w:p w:rsidR="00B431CB" w:rsidRDefault="00D2759C" w:rsidP="00892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résultats concernant le comportement alimentaire de la souris indiquent que les souris à jeun, quelle que soit leur familiarité avec l’aliment, manipulent et consomment l’aliment au moins 2 fois plus que les souris rassasiées</w:t>
      </w:r>
      <w:r w:rsidR="00B431CB">
        <w:rPr>
          <w:rFonts w:ascii="Times New Roman" w:hAnsi="Times New Roman" w:cs="Times New Roman"/>
          <w:sz w:val="24"/>
          <w:szCs w:val="24"/>
        </w:rPr>
        <w:t xml:space="preserve"> (Fig. 3)</w:t>
      </w:r>
      <w:r>
        <w:rPr>
          <w:rFonts w:ascii="Times New Roman" w:hAnsi="Times New Roman" w:cs="Times New Roman"/>
          <w:sz w:val="24"/>
          <w:szCs w:val="24"/>
        </w:rPr>
        <w:t>. Dans tous les cas, on observe un flairage important de l’aliment</w:t>
      </w:r>
      <w:r w:rsidR="00B431CB" w:rsidRPr="00B431CB">
        <w:rPr>
          <w:rFonts w:ascii="Times New Roman" w:hAnsi="Times New Roman" w:cs="Times New Roman"/>
          <w:sz w:val="24"/>
          <w:szCs w:val="24"/>
        </w:rPr>
        <w:t>, sans différence significative entre les différentes types d’individus (Fig. 3, Fig. 7)</w:t>
      </w:r>
      <w:r>
        <w:rPr>
          <w:rFonts w:ascii="Times New Roman" w:hAnsi="Times New Roman" w:cs="Times New Roman"/>
          <w:sz w:val="24"/>
          <w:szCs w:val="24"/>
        </w:rPr>
        <w:t xml:space="preserve">. Enfin, </w:t>
      </w:r>
      <w:r w:rsidR="00022D4B">
        <w:rPr>
          <w:rFonts w:ascii="Times New Roman" w:hAnsi="Times New Roman" w:cs="Times New Roman"/>
          <w:sz w:val="24"/>
          <w:szCs w:val="24"/>
        </w:rPr>
        <w:t>la première consommation de l’aliment s’effectue environ 2 fois plus rapidement pour individus à jeun que pour les individus rassasiés, bien que les souris non familières à l’environnement soient environ 30% plus lentes à consommer l’aliment</w:t>
      </w:r>
      <w:r w:rsidR="00B431CB">
        <w:rPr>
          <w:rFonts w:ascii="Times New Roman" w:hAnsi="Times New Roman" w:cs="Times New Roman"/>
          <w:sz w:val="24"/>
          <w:szCs w:val="24"/>
        </w:rPr>
        <w:t xml:space="preserve"> (Fig. 4)</w:t>
      </w:r>
      <w:r w:rsidR="00E935ED">
        <w:rPr>
          <w:rFonts w:ascii="Times New Roman" w:hAnsi="Times New Roman" w:cs="Times New Roman"/>
          <w:sz w:val="24"/>
          <w:szCs w:val="24"/>
        </w:rPr>
        <w:t xml:space="preserve">. </w:t>
      </w:r>
      <w:r w:rsidR="00B431CB">
        <w:rPr>
          <w:rFonts w:ascii="Times New Roman" w:hAnsi="Times New Roman" w:cs="Times New Roman"/>
          <w:sz w:val="24"/>
          <w:szCs w:val="24"/>
        </w:rPr>
        <w:t xml:space="preserve">On note également que les individus non familiers à l’aliment </w:t>
      </w:r>
      <w:r w:rsidR="00E935ED">
        <w:rPr>
          <w:rFonts w:ascii="Times New Roman" w:hAnsi="Times New Roman" w:cs="Times New Roman"/>
          <w:sz w:val="24"/>
          <w:szCs w:val="24"/>
        </w:rPr>
        <w:t>ne consomment pas l’aliment environ 20% plus souvent que les aliments familiers à l’aliment, qu’ils soient rassasiés ou non (Fig.5).</w:t>
      </w:r>
    </w:p>
    <w:p w:rsidR="000646BA" w:rsidRDefault="000646BA" w:rsidP="00892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59C" w:rsidRPr="0088302E" w:rsidRDefault="00D2759C" w:rsidP="00892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759C" w:rsidRPr="00883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0A5" w:rsidRDefault="001E00A5" w:rsidP="007531EC">
      <w:pPr>
        <w:spacing w:after="0" w:line="240" w:lineRule="auto"/>
      </w:pPr>
      <w:r>
        <w:separator/>
      </w:r>
    </w:p>
  </w:endnote>
  <w:endnote w:type="continuationSeparator" w:id="0">
    <w:p w:rsidR="001E00A5" w:rsidRDefault="001E00A5" w:rsidP="0075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0A5" w:rsidRDefault="001E00A5" w:rsidP="007531EC">
      <w:pPr>
        <w:spacing w:after="0" w:line="240" w:lineRule="auto"/>
      </w:pPr>
      <w:r>
        <w:separator/>
      </w:r>
    </w:p>
  </w:footnote>
  <w:footnote w:type="continuationSeparator" w:id="0">
    <w:p w:rsidR="001E00A5" w:rsidRDefault="001E00A5" w:rsidP="00753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2E"/>
    <w:rsid w:val="0000717F"/>
    <w:rsid w:val="00022D4B"/>
    <w:rsid w:val="000646BA"/>
    <w:rsid w:val="001E00A5"/>
    <w:rsid w:val="001F1DF9"/>
    <w:rsid w:val="00267AB1"/>
    <w:rsid w:val="0053390C"/>
    <w:rsid w:val="00621F32"/>
    <w:rsid w:val="00751511"/>
    <w:rsid w:val="007531EC"/>
    <w:rsid w:val="00797C57"/>
    <w:rsid w:val="0088302E"/>
    <w:rsid w:val="008927D2"/>
    <w:rsid w:val="00B431CB"/>
    <w:rsid w:val="00C95C07"/>
    <w:rsid w:val="00CA28A3"/>
    <w:rsid w:val="00D2759C"/>
    <w:rsid w:val="00E935ED"/>
    <w:rsid w:val="00FC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8E645-339F-4D23-8D32-C167C1A3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57"/>
  </w:style>
  <w:style w:type="paragraph" w:styleId="Titre1">
    <w:name w:val="heading 1"/>
    <w:basedOn w:val="Normal"/>
    <w:next w:val="Normal"/>
    <w:link w:val="Titre1Car"/>
    <w:uiPriority w:val="9"/>
    <w:qFormat/>
    <w:rsid w:val="00797C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7C5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7C5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7C5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7C5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7C5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7C5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7C5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7C5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C5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97C5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97C5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7C57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797C57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797C5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97C5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97C5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97C5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97C5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97C5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97C5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7C5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7C5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797C57"/>
    <w:rPr>
      <w:b/>
      <w:bCs/>
    </w:rPr>
  </w:style>
  <w:style w:type="character" w:styleId="Accentuation">
    <w:name w:val="Emphasis"/>
    <w:basedOn w:val="Policepardfaut"/>
    <w:uiPriority w:val="20"/>
    <w:qFormat/>
    <w:rsid w:val="00797C57"/>
    <w:rPr>
      <w:i/>
      <w:iCs/>
    </w:rPr>
  </w:style>
  <w:style w:type="paragraph" w:styleId="Sansinterligne">
    <w:name w:val="No Spacing"/>
    <w:uiPriority w:val="1"/>
    <w:qFormat/>
    <w:rsid w:val="00797C5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97C5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797C57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7C5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7C57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797C57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97C57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97C57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97C57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797C57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97C57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53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1EC"/>
  </w:style>
  <w:style w:type="paragraph" w:styleId="Pieddepage">
    <w:name w:val="footer"/>
    <w:basedOn w:val="Normal"/>
    <w:link w:val="PieddepageCar"/>
    <w:uiPriority w:val="99"/>
    <w:unhideWhenUsed/>
    <w:rsid w:val="00753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1EC"/>
  </w:style>
  <w:style w:type="table" w:styleId="Tableausimple3">
    <w:name w:val="Plain Table 3"/>
    <w:basedOn w:val="TableauNormal"/>
    <w:uiPriority w:val="43"/>
    <w:rsid w:val="000646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tzeank\Downloads\Doc%20analyseGROUPE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tzeank\Downloads\Doc%20analyseGROUPE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tzeank\Downloads\Doc%20analyseGROUPE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tzeank\Downloads\Doc%20analyseGROUPE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tzeank\Downloads\Doc%20analyseGROUPE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050"/>
              <a:t>Variation</a:t>
            </a:r>
            <a:r>
              <a:rPr lang="fr-FR" sz="1050" baseline="0"/>
              <a:t> du nombre de comportements liés à la locomotion exprimés par les individus familiers et non familiers au dispositf</a:t>
            </a:r>
            <a:endParaRPr lang="fr-FR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'[Doc analyseGROUPE3.xlsx]locomotion focus'!$B$25</c:f>
              <c:strCache>
                <c:ptCount val="1"/>
                <c:pt idx="0">
                  <c:v>F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analyseGROUPE3.xlsx]locomotion focus'!$A$26:$A$30</c:f>
              <c:strCache>
                <c:ptCount val="5"/>
                <c:pt idx="0">
                  <c:v>avec appui</c:v>
                </c:pt>
                <c:pt idx="1">
                  <c:v>sans appui</c:v>
                </c:pt>
                <c:pt idx="2">
                  <c:v>marche</c:v>
                </c:pt>
                <c:pt idx="3">
                  <c:v>court/saute</c:v>
                </c:pt>
                <c:pt idx="4">
                  <c:v>étirée</c:v>
                </c:pt>
              </c:strCache>
            </c:strRef>
          </c:cat>
          <c:val>
            <c:numRef>
              <c:f>'[Doc analyseGROUPE3.xlsx]locomotion focus'!$B$26:$B$30</c:f>
              <c:numCache>
                <c:formatCode>0</c:formatCode>
                <c:ptCount val="5"/>
                <c:pt idx="0">
                  <c:v>1893</c:v>
                </c:pt>
                <c:pt idx="1">
                  <c:v>583</c:v>
                </c:pt>
                <c:pt idx="2">
                  <c:v>1297</c:v>
                </c:pt>
                <c:pt idx="3">
                  <c:v>363</c:v>
                </c:pt>
                <c:pt idx="4">
                  <c:v>34</c:v>
                </c:pt>
              </c:numCache>
            </c:numRef>
          </c:val>
        </c:ser>
        <c:ser>
          <c:idx val="1"/>
          <c:order val="1"/>
          <c:tx>
            <c:strRef>
              <c:f>'[Doc analyseGROUPE3.xlsx]locomotion focus'!$C$25</c:f>
              <c:strCache>
                <c:ptCount val="1"/>
                <c:pt idx="0">
                  <c:v>NF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analyseGROUPE3.xlsx]locomotion focus'!$A$26:$A$30</c:f>
              <c:strCache>
                <c:ptCount val="5"/>
                <c:pt idx="0">
                  <c:v>avec appui</c:v>
                </c:pt>
                <c:pt idx="1">
                  <c:v>sans appui</c:v>
                </c:pt>
                <c:pt idx="2">
                  <c:v>marche</c:v>
                </c:pt>
                <c:pt idx="3">
                  <c:v>court/saute</c:v>
                </c:pt>
                <c:pt idx="4">
                  <c:v>étirée</c:v>
                </c:pt>
              </c:strCache>
            </c:strRef>
          </c:cat>
          <c:val>
            <c:numRef>
              <c:f>'[Doc analyseGROUPE3.xlsx]locomotion focus'!$C$26:$C$30</c:f>
              <c:numCache>
                <c:formatCode>0</c:formatCode>
                <c:ptCount val="5"/>
                <c:pt idx="0">
                  <c:v>2876</c:v>
                </c:pt>
                <c:pt idx="1">
                  <c:v>458</c:v>
                </c:pt>
                <c:pt idx="2">
                  <c:v>1829</c:v>
                </c:pt>
                <c:pt idx="3">
                  <c:v>847</c:v>
                </c:pt>
                <c:pt idx="4">
                  <c:v>203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919192"/>
        <c:axId val="617919584"/>
      </c:barChart>
      <c:catAx>
        <c:axId val="617919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7919584"/>
        <c:crosses val="autoZero"/>
        <c:auto val="1"/>
        <c:lblAlgn val="ctr"/>
        <c:lblOffset val="100"/>
        <c:noMultiLvlLbl val="0"/>
      </c:catAx>
      <c:valAx>
        <c:axId val="61791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800"/>
                  <a:t>Nombre d'occurrences</a:t>
                </a:r>
                <a:r>
                  <a:rPr lang="fr-FR" sz="800" baseline="0"/>
                  <a:t> des comportements</a:t>
                </a:r>
                <a:endParaRPr lang="fr-FR" sz="800"/>
              </a:p>
            </c:rich>
          </c:tx>
          <c:layout>
            <c:manualLayout>
              <c:xMode val="edge"/>
              <c:yMode val="edge"/>
              <c:x val="3.1625553447185324E-2"/>
              <c:y val="0.237457364341085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7919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fr-FR" sz="1000" b="0" i="0" baseline="0">
                <a:effectLst/>
              </a:rPr>
              <a:t>Moyenne des latences des comportements liés à la locomotion exprimés par les individus familiers et non familiers au dispositf</a:t>
            </a:r>
            <a:endParaRPr lang="fr-FR" sz="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'[Doc analyseGROUPE3.xlsx]locomotion latence'!$B$21</c:f>
              <c:strCache>
                <c:ptCount val="1"/>
                <c:pt idx="0">
                  <c:v>F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analyseGROUPE3.xlsx]locomotion latence'!$A$22:$A$23</c:f>
              <c:strCache>
                <c:ptCount val="2"/>
                <c:pt idx="0">
                  <c:v>Atteindre zone médiane</c:v>
                </c:pt>
                <c:pt idx="1">
                  <c:v>Atteindre zone distale</c:v>
                </c:pt>
              </c:strCache>
            </c:strRef>
          </c:cat>
          <c:val>
            <c:numRef>
              <c:f>'[Doc analyseGROUPE3.xlsx]locomotion latence'!$B$22:$B$23</c:f>
              <c:numCache>
                <c:formatCode>0</c:formatCode>
                <c:ptCount val="2"/>
                <c:pt idx="0">
                  <c:v>37.725000000000001</c:v>
                </c:pt>
                <c:pt idx="1">
                  <c:v>44.15</c:v>
                </c:pt>
              </c:numCache>
            </c:numRef>
          </c:val>
        </c:ser>
        <c:ser>
          <c:idx val="1"/>
          <c:order val="1"/>
          <c:tx>
            <c:strRef>
              <c:f>'[Doc analyseGROUPE3.xlsx]locomotion latence'!$C$21</c:f>
              <c:strCache>
                <c:ptCount val="1"/>
                <c:pt idx="0">
                  <c:v>NF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analyseGROUPE3.xlsx]locomotion latence'!$A$22:$A$23</c:f>
              <c:strCache>
                <c:ptCount val="2"/>
                <c:pt idx="0">
                  <c:v>Atteindre zone médiane</c:v>
                </c:pt>
                <c:pt idx="1">
                  <c:v>Atteindre zone distale</c:v>
                </c:pt>
              </c:strCache>
            </c:strRef>
          </c:cat>
          <c:val>
            <c:numRef>
              <c:f>'[Doc analyseGROUPE3.xlsx]locomotion latence'!$C$22:$C$23</c:f>
              <c:numCache>
                <c:formatCode>0</c:formatCode>
                <c:ptCount val="2"/>
                <c:pt idx="0">
                  <c:v>35.666666666666664</c:v>
                </c:pt>
                <c:pt idx="1">
                  <c:v>58.208333333333329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681776"/>
        <c:axId val="482682952"/>
      </c:barChart>
      <c:catAx>
        <c:axId val="48268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2682952"/>
        <c:crosses val="autoZero"/>
        <c:auto val="1"/>
        <c:lblAlgn val="ctr"/>
        <c:lblOffset val="100"/>
        <c:noMultiLvlLbl val="0"/>
      </c:catAx>
      <c:valAx>
        <c:axId val="482682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800"/>
                  <a:t>Moyenne de latence des comportements</a:t>
                </a:r>
                <a:r>
                  <a:rPr lang="fr-FR" sz="800" baseline="0"/>
                  <a:t> (sec)</a:t>
                </a:r>
                <a:endParaRPr lang="fr-FR" sz="800"/>
              </a:p>
            </c:rich>
          </c:tx>
          <c:layout>
            <c:manualLayout>
              <c:xMode val="edge"/>
              <c:yMode val="edge"/>
              <c:x val="2.1670034301267897E-2"/>
              <c:y val="0.107140129820542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268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050"/>
              <a:t>Variation du nombre de comportements liés au comportement alimentaire exprimés par les individus familiers et non familiers à l'aliment et dans différents états prandiaux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'[Doc analyseGROUPE3.xlsx]alim focus'!$B$22</c:f>
              <c:strCache>
                <c:ptCount val="1"/>
                <c:pt idx="0">
                  <c:v>F rassasié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focus'!$A$23:$A$26</c:f>
              <c:strCache>
                <c:ptCount val="4"/>
                <c:pt idx="0">
                  <c:v>Manipulation de l'aliment</c:v>
                </c:pt>
                <c:pt idx="1">
                  <c:v>Prise alimentaire</c:v>
                </c:pt>
                <c:pt idx="2">
                  <c:v>Transport de l'aliment</c:v>
                </c:pt>
                <c:pt idx="3">
                  <c:v>Flairage de l'aliment</c:v>
                </c:pt>
              </c:strCache>
            </c:strRef>
          </c:cat>
          <c:val>
            <c:numRef>
              <c:f>'[Doc analyseGROUPE3.xlsx]alim focus'!$B$23:$B$26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0</c:v>
                </c:pt>
                <c:pt idx="3">
                  <c:v>43</c:v>
                </c:pt>
              </c:numCache>
            </c:numRef>
          </c:val>
        </c:ser>
        <c:ser>
          <c:idx val="1"/>
          <c:order val="1"/>
          <c:tx>
            <c:strRef>
              <c:f>'[Doc analyseGROUPE3.xlsx]alim focus'!$C$22</c:f>
              <c:strCache>
                <c:ptCount val="1"/>
                <c:pt idx="0">
                  <c:v>F à jeun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focus'!$A$23:$A$26</c:f>
              <c:strCache>
                <c:ptCount val="4"/>
                <c:pt idx="0">
                  <c:v>Manipulation de l'aliment</c:v>
                </c:pt>
                <c:pt idx="1">
                  <c:v>Prise alimentaire</c:v>
                </c:pt>
                <c:pt idx="2">
                  <c:v>Transport de l'aliment</c:v>
                </c:pt>
                <c:pt idx="3">
                  <c:v>Flairage de l'aliment</c:v>
                </c:pt>
              </c:strCache>
            </c:strRef>
          </c:cat>
          <c:val>
            <c:numRef>
              <c:f>'[Doc analyseGROUPE3.xlsx]alim focus'!$C$23:$C$26</c:f>
              <c:numCache>
                <c:formatCode>General</c:formatCode>
                <c:ptCount val="4"/>
                <c:pt idx="0">
                  <c:v>11</c:v>
                </c:pt>
                <c:pt idx="1">
                  <c:v>28</c:v>
                </c:pt>
                <c:pt idx="2">
                  <c:v>4</c:v>
                </c:pt>
                <c:pt idx="3">
                  <c:v>36</c:v>
                </c:pt>
              </c:numCache>
            </c:numRef>
          </c:val>
        </c:ser>
        <c:ser>
          <c:idx val="2"/>
          <c:order val="2"/>
          <c:tx>
            <c:strRef>
              <c:f>'[Doc analyseGROUPE3.xlsx]alim focus'!$D$22</c:f>
              <c:strCache>
                <c:ptCount val="1"/>
                <c:pt idx="0">
                  <c:v>NF rassasié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focus'!$A$23:$A$26</c:f>
              <c:strCache>
                <c:ptCount val="4"/>
                <c:pt idx="0">
                  <c:v>Manipulation de l'aliment</c:v>
                </c:pt>
                <c:pt idx="1">
                  <c:v>Prise alimentaire</c:v>
                </c:pt>
                <c:pt idx="2">
                  <c:v>Transport de l'aliment</c:v>
                </c:pt>
                <c:pt idx="3">
                  <c:v>Flairage de l'aliment</c:v>
                </c:pt>
              </c:strCache>
            </c:strRef>
          </c:cat>
          <c:val>
            <c:numRef>
              <c:f>'[Doc analyseGROUPE3.xlsx]alim focus'!$D$23:$D$26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0</c:v>
                </c:pt>
                <c:pt idx="3">
                  <c:v>50</c:v>
                </c:pt>
              </c:numCache>
            </c:numRef>
          </c:val>
        </c:ser>
        <c:ser>
          <c:idx val="3"/>
          <c:order val="3"/>
          <c:tx>
            <c:strRef>
              <c:f>'[Doc analyseGROUPE3.xlsx]alim focus'!$E$22</c:f>
              <c:strCache>
                <c:ptCount val="1"/>
                <c:pt idx="0">
                  <c:v>NF à jeun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focus'!$A$23:$A$26</c:f>
              <c:strCache>
                <c:ptCount val="4"/>
                <c:pt idx="0">
                  <c:v>Manipulation de l'aliment</c:v>
                </c:pt>
                <c:pt idx="1">
                  <c:v>Prise alimentaire</c:v>
                </c:pt>
                <c:pt idx="2">
                  <c:v>Transport de l'aliment</c:v>
                </c:pt>
                <c:pt idx="3">
                  <c:v>Flairage de l'aliment</c:v>
                </c:pt>
              </c:strCache>
            </c:strRef>
          </c:cat>
          <c:val>
            <c:numRef>
              <c:f>'[Doc analyseGROUPE3.xlsx]alim focus'!$E$23:$E$26</c:f>
              <c:numCache>
                <c:formatCode>General</c:formatCode>
                <c:ptCount val="4"/>
                <c:pt idx="0">
                  <c:v>9</c:v>
                </c:pt>
                <c:pt idx="1">
                  <c:v>8</c:v>
                </c:pt>
                <c:pt idx="2">
                  <c:v>0</c:v>
                </c:pt>
                <c:pt idx="3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679424"/>
        <c:axId val="482679816"/>
      </c:barChart>
      <c:catAx>
        <c:axId val="48267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2679816"/>
        <c:crosses val="autoZero"/>
        <c:auto val="1"/>
        <c:lblAlgn val="ctr"/>
        <c:lblOffset val="100"/>
        <c:noMultiLvlLbl val="0"/>
      </c:catAx>
      <c:valAx>
        <c:axId val="482679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800"/>
                  <a:t>Nombre d'occurrences des comportements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267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000"/>
              <a:t>Moyenne des latences des comportements liés à la locomotion exprimés par les individus familiers et non familiers à l'aliment et dans différents états prandiaux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'[Doc analyseGROUPE3.xlsx]alim latence'!$B$23</c:f>
              <c:strCache>
                <c:ptCount val="1"/>
                <c:pt idx="0">
                  <c:v>F rassasiée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latence'!$A$24:$A$25</c:f>
              <c:strCache>
                <c:ptCount val="2"/>
                <c:pt idx="0">
                  <c:v>1er contact avec l'aliment</c:v>
                </c:pt>
                <c:pt idx="1">
                  <c:v>1ère consommation de l'aliment</c:v>
                </c:pt>
              </c:strCache>
            </c:strRef>
          </c:cat>
          <c:val>
            <c:numRef>
              <c:f>'[Doc analyseGROUPE3.xlsx]alim latence'!$B$24:$B$25</c:f>
              <c:numCache>
                <c:formatCode>General</c:formatCode>
                <c:ptCount val="2"/>
                <c:pt idx="0">
                  <c:v>323.89999999999998</c:v>
                </c:pt>
                <c:pt idx="1">
                  <c:v>567</c:v>
                </c:pt>
              </c:numCache>
            </c:numRef>
          </c:val>
        </c:ser>
        <c:ser>
          <c:idx val="1"/>
          <c:order val="1"/>
          <c:tx>
            <c:strRef>
              <c:f>'[Doc analyseGROUPE3.xlsx]alim latence'!$C$23</c:f>
              <c:strCache>
                <c:ptCount val="1"/>
                <c:pt idx="0">
                  <c:v>F à jeun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latence'!$A$24:$A$25</c:f>
              <c:strCache>
                <c:ptCount val="2"/>
                <c:pt idx="0">
                  <c:v>1er contact avec l'aliment</c:v>
                </c:pt>
                <c:pt idx="1">
                  <c:v>1ère consommation de l'aliment</c:v>
                </c:pt>
              </c:strCache>
            </c:strRef>
          </c:cat>
          <c:val>
            <c:numRef>
              <c:f>'[Doc analyseGROUPE3.xlsx]alim latence'!$C$24:$C$25</c:f>
              <c:numCache>
                <c:formatCode>0.0</c:formatCode>
                <c:ptCount val="2"/>
                <c:pt idx="0">
                  <c:v>343.375</c:v>
                </c:pt>
                <c:pt idx="1">
                  <c:v>177</c:v>
                </c:pt>
              </c:numCache>
            </c:numRef>
          </c:val>
        </c:ser>
        <c:ser>
          <c:idx val="2"/>
          <c:order val="2"/>
          <c:tx>
            <c:strRef>
              <c:f>'[Doc analyseGROUPE3.xlsx]alim latence'!$D$23</c:f>
              <c:strCache>
                <c:ptCount val="1"/>
                <c:pt idx="0">
                  <c:v>NF rassasiée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latence'!$A$24:$A$25</c:f>
              <c:strCache>
                <c:ptCount val="2"/>
                <c:pt idx="0">
                  <c:v>1er contact avec l'aliment</c:v>
                </c:pt>
                <c:pt idx="1">
                  <c:v>1ère consommation de l'aliment</c:v>
                </c:pt>
              </c:strCache>
            </c:strRef>
          </c:cat>
          <c:val>
            <c:numRef>
              <c:f>'[Doc analyseGROUPE3.xlsx]alim latence'!$D$24:$D$25</c:f>
              <c:numCache>
                <c:formatCode>0.0</c:formatCode>
                <c:ptCount val="2"/>
                <c:pt idx="0">
                  <c:v>162.23333333333335</c:v>
                </c:pt>
                <c:pt idx="1">
                  <c:v>840</c:v>
                </c:pt>
              </c:numCache>
            </c:numRef>
          </c:val>
        </c:ser>
        <c:ser>
          <c:idx val="3"/>
          <c:order val="3"/>
          <c:tx>
            <c:strRef>
              <c:f>'[Doc analyseGROUPE3.xlsx]alim latence'!$E$23</c:f>
              <c:strCache>
                <c:ptCount val="1"/>
                <c:pt idx="0">
                  <c:v>NF à jeun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latence'!$A$24:$A$25</c:f>
              <c:strCache>
                <c:ptCount val="2"/>
                <c:pt idx="0">
                  <c:v>1er contact avec l'aliment</c:v>
                </c:pt>
                <c:pt idx="1">
                  <c:v>1ère consommation de l'aliment</c:v>
                </c:pt>
              </c:strCache>
            </c:strRef>
          </c:cat>
          <c:val>
            <c:numRef>
              <c:f>'[Doc analyseGROUPE3.xlsx]alim latence'!$E$24:$E$25</c:f>
              <c:numCache>
                <c:formatCode>0.0</c:formatCode>
                <c:ptCount val="2"/>
                <c:pt idx="0">
                  <c:v>290.10000000000002</c:v>
                </c:pt>
                <c:pt idx="1">
                  <c:v>439.5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680600"/>
        <c:axId val="482680992"/>
      </c:barChart>
      <c:catAx>
        <c:axId val="482680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2680992"/>
        <c:crosses val="autoZero"/>
        <c:auto val="1"/>
        <c:lblAlgn val="ctr"/>
        <c:lblOffset val="100"/>
        <c:noMultiLvlLbl val="0"/>
      </c:catAx>
      <c:valAx>
        <c:axId val="48268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800"/>
                  <a:t>Moyenne</a:t>
                </a:r>
                <a:r>
                  <a:rPr lang="fr-FR" sz="800" baseline="0"/>
                  <a:t> de l</a:t>
                </a:r>
                <a:r>
                  <a:rPr lang="fr-FR" sz="800"/>
                  <a:t>atence des comportements (sec)</a:t>
                </a:r>
              </a:p>
            </c:rich>
          </c:tx>
          <c:layout>
            <c:manualLayout>
              <c:xMode val="edge"/>
              <c:yMode val="edge"/>
              <c:x val="1.7369162355086287E-2"/>
              <c:y val="0.234450238799187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2680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000"/>
              <a:t>Pourcentage</a:t>
            </a:r>
            <a:r>
              <a:rPr lang="fr-FR" sz="1000" baseline="0"/>
              <a:t> d'événements de consommation de l'aliment non réalisés par les individus familiers et non familiers familiers à l'aliment et dans différents états prandiaux </a:t>
            </a:r>
            <a:endParaRPr lang="fr-FR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'[Doc analyseGROUPE3.xlsx]alim latence'!$B$26</c:f>
              <c:strCache>
                <c:ptCount val="1"/>
                <c:pt idx="0">
                  <c:v>F rassasiée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latence'!$A$27</c:f>
              <c:strCache>
                <c:ptCount val="1"/>
                <c:pt idx="0">
                  <c:v>Pourcentage d'événements non réalisés</c:v>
                </c:pt>
              </c:strCache>
            </c:strRef>
          </c:cat>
          <c:val>
            <c:numRef>
              <c:f>'[Doc analyseGROUPE3.xlsx]alim latence'!$B$27</c:f>
              <c:numCache>
                <c:formatCode>0.00%</c:formatCode>
                <c:ptCount val="1"/>
                <c:pt idx="0">
                  <c:v>0.66666666666666674</c:v>
                </c:pt>
              </c:numCache>
            </c:numRef>
          </c:val>
        </c:ser>
        <c:ser>
          <c:idx val="1"/>
          <c:order val="1"/>
          <c:tx>
            <c:strRef>
              <c:f>'[Doc analyseGROUPE3.xlsx]alim latence'!$C$26</c:f>
              <c:strCache>
                <c:ptCount val="1"/>
                <c:pt idx="0">
                  <c:v>F à jeun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latence'!$A$27</c:f>
              <c:strCache>
                <c:ptCount val="1"/>
                <c:pt idx="0">
                  <c:v>Pourcentage d'événements non réalisés</c:v>
                </c:pt>
              </c:strCache>
            </c:strRef>
          </c:cat>
          <c:val>
            <c:numRef>
              <c:f>'[Doc analyseGROUPE3.xlsx]alim latence'!$C$27</c:f>
              <c:numCache>
                <c:formatCode>0.00%</c:formatCode>
                <c:ptCount val="1"/>
                <c:pt idx="0">
                  <c:v>0.5</c:v>
                </c:pt>
              </c:numCache>
            </c:numRef>
          </c:val>
        </c:ser>
        <c:ser>
          <c:idx val="2"/>
          <c:order val="2"/>
          <c:tx>
            <c:strRef>
              <c:f>'[Doc analyseGROUPE3.xlsx]alim latence'!$D$26</c:f>
              <c:strCache>
                <c:ptCount val="1"/>
                <c:pt idx="0">
                  <c:v>NF rassasiée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latence'!$A$27</c:f>
              <c:strCache>
                <c:ptCount val="1"/>
                <c:pt idx="0">
                  <c:v>Pourcentage d'événements non réalisés</c:v>
                </c:pt>
              </c:strCache>
            </c:strRef>
          </c:cat>
          <c:val>
            <c:numRef>
              <c:f>'[Doc analyseGROUPE3.xlsx]alim latence'!$D$27</c:f>
              <c:numCache>
                <c:formatCode>0.00%</c:formatCode>
                <c:ptCount val="1"/>
                <c:pt idx="0">
                  <c:v>0.91666666666666674</c:v>
                </c:pt>
              </c:numCache>
            </c:numRef>
          </c:val>
        </c:ser>
        <c:ser>
          <c:idx val="3"/>
          <c:order val="3"/>
          <c:tx>
            <c:strRef>
              <c:f>'[Doc analyseGROUPE3.xlsx]alim latence'!$E$26</c:f>
              <c:strCache>
                <c:ptCount val="1"/>
                <c:pt idx="0">
                  <c:v>NF à jeun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'[Doc analyseGROUPE3.xlsx]alim latence'!$A$27</c:f>
              <c:strCache>
                <c:ptCount val="1"/>
                <c:pt idx="0">
                  <c:v>Pourcentage d'événements non réalisés</c:v>
                </c:pt>
              </c:strCache>
            </c:strRef>
          </c:cat>
          <c:val>
            <c:numRef>
              <c:f>'[Doc analyseGROUPE3.xlsx]alim latence'!$E$27</c:f>
              <c:numCache>
                <c:formatCode>0.00%</c:formatCode>
                <c:ptCount val="1"/>
                <c:pt idx="0">
                  <c:v>0.75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6185096"/>
        <c:axId val="476185488"/>
      </c:barChart>
      <c:catAx>
        <c:axId val="476185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76185488"/>
        <c:crosses val="autoZero"/>
        <c:auto val="1"/>
        <c:lblAlgn val="ctr"/>
        <c:lblOffset val="100"/>
        <c:noMultiLvlLbl val="0"/>
      </c:catAx>
      <c:valAx>
        <c:axId val="47618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76185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2020-12-06T14:43:00Z</dcterms:created>
  <dcterms:modified xsi:type="dcterms:W3CDTF">2020-12-06T16:43:00Z</dcterms:modified>
</cp:coreProperties>
</file>