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4C" w:rsidRDefault="00AF4AA8" w:rsidP="00A14EF1">
      <w:pPr>
        <w:jc w:val="center"/>
        <w:rPr>
          <w:sz w:val="28"/>
        </w:rPr>
      </w:pPr>
      <w:r w:rsidRPr="00A14EF1">
        <w:rPr>
          <w:sz w:val="28"/>
        </w:rPr>
        <w:t>CE 153 Introduction to Databases</w:t>
      </w:r>
      <w:r w:rsidR="00C8004C">
        <w:rPr>
          <w:sz w:val="28"/>
        </w:rPr>
        <w:t xml:space="preserve"> </w:t>
      </w:r>
    </w:p>
    <w:p w:rsidR="006217C8" w:rsidRDefault="00C8004C" w:rsidP="00A14EF1">
      <w:pPr>
        <w:jc w:val="center"/>
        <w:rPr>
          <w:sz w:val="28"/>
        </w:rPr>
      </w:pPr>
      <w:r>
        <w:rPr>
          <w:sz w:val="28"/>
        </w:rPr>
        <w:t>2</w:t>
      </w:r>
      <w:r w:rsidRPr="00A14EF1">
        <w:rPr>
          <w:sz w:val="28"/>
        </w:rPr>
        <w:t>017-18</w:t>
      </w:r>
    </w:p>
    <w:p w:rsidR="000F08C4" w:rsidRDefault="00C8004C" w:rsidP="000F08C4">
      <w:pPr>
        <w:jc w:val="center"/>
        <w:rPr>
          <w:sz w:val="28"/>
        </w:rPr>
      </w:pPr>
      <w:r>
        <w:rPr>
          <w:sz w:val="28"/>
        </w:rPr>
        <w:t>Marking criteria for assignment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6771"/>
        <w:gridCol w:w="1134"/>
        <w:gridCol w:w="1275"/>
      </w:tblGrid>
      <w:tr w:rsidR="000F08C4" w:rsidRPr="00A14EF1" w:rsidTr="000F08C4">
        <w:trPr>
          <w:trHeight w:val="300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8C4" w:rsidRPr="00A14EF1" w:rsidRDefault="000F08C4" w:rsidP="000F08C4">
            <w:pPr>
              <w:spacing w:after="0" w:line="240" w:lineRule="auto"/>
              <w:rPr>
                <w:rFonts w:eastAsia="Times New Roman" w:cs="Times New Roman"/>
                <w:i/>
                <w:iCs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8C4" w:rsidRPr="00A14EF1" w:rsidRDefault="000F08C4" w:rsidP="000F08C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14EF1">
              <w:rPr>
                <w:rFonts w:eastAsia="Times New Roman" w:cs="Times New Roman"/>
                <w:lang w:eastAsia="en-GB"/>
              </w:rPr>
              <w:t xml:space="preserve"> max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8C4" w:rsidRPr="00A14EF1" w:rsidRDefault="000F08C4" w:rsidP="000F08C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14EF1">
              <w:rPr>
                <w:rFonts w:eastAsia="Times New Roman" w:cs="Times New Roman"/>
                <w:lang w:eastAsia="en-GB"/>
              </w:rPr>
              <w:t>mark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Are the required files submitted?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5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Is there a conceptual design of a suitable database, with appropriate entity types and relations, in an appropriate notation?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10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Does it contain appropriate entities with appropriate attributes?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28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Does it contain appropriate relations with appropriate one/many properties?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21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Is there a logical design of a suitable database, with appropriate use of tables and connections between tables?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12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Does it contain appropriate table definitions, each with name, attributes, indication of primary and foreign keys, and connections to other tables?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0C0A40" w:rsidP="000C0A4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48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Is there a SQL script that creates those tables 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15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... and fills them with the data provided, 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 w:rsidP="000C0A4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0C0A40">
              <w:rPr>
                <w:rFonts w:ascii="Calibri" w:hAnsi="Calibri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10</w:t>
            </w:r>
          </w:p>
        </w:tc>
      </w:tr>
      <w:tr w:rsidR="00C2096A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... </w:t>
            </w:r>
            <w:proofErr w:type="gramStart"/>
            <w:r>
              <w:rPr>
                <w:rFonts w:ascii="Calibri" w:hAnsi="Calibri"/>
                <w:i/>
                <w:iCs/>
              </w:rPr>
              <w:t>and</w:t>
            </w:r>
            <w:proofErr w:type="gramEnd"/>
            <w:r>
              <w:rPr>
                <w:rFonts w:ascii="Calibri" w:hAnsi="Calibri"/>
                <w:i/>
                <w:iCs/>
              </w:rPr>
              <w:t xml:space="preserve"> encodes the indicated queries effectively.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6A" w:rsidRDefault="00C2096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96A" w:rsidRPr="006728D9" w:rsidRDefault="00965DEB" w:rsidP="007248AE">
            <w:pPr>
              <w:jc w:val="right"/>
            </w:pPr>
            <w:r>
              <w:t>21</w:t>
            </w:r>
          </w:p>
        </w:tc>
      </w:tr>
      <w:tr w:rsidR="00216538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38" w:rsidRDefault="002165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38" w:rsidRDefault="00216538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538" w:rsidRPr="006728D9" w:rsidRDefault="00965DEB" w:rsidP="007248AE">
            <w:pPr>
              <w:jc w:val="right"/>
            </w:pPr>
            <w:r>
              <w:t>170</w:t>
            </w:r>
          </w:p>
        </w:tc>
      </w:tr>
      <w:tr w:rsidR="000F08C4" w:rsidRPr="00A14EF1" w:rsidTr="000F08C4">
        <w:trPr>
          <w:trHeight w:val="57"/>
        </w:trPr>
        <w:tc>
          <w:tcPr>
            <w:tcW w:w="6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C4" w:rsidRPr="00216538" w:rsidRDefault="00216538" w:rsidP="000F08C4">
            <w:pPr>
              <w:spacing w:after="0" w:line="240" w:lineRule="auto"/>
              <w:rPr>
                <w:rFonts w:eastAsia="Times New Roman" w:cs="Times New Roman"/>
                <w:b/>
                <w:lang w:eastAsia="en-GB"/>
              </w:rPr>
            </w:pPr>
            <w:r w:rsidRPr="00216538">
              <w:rPr>
                <w:rFonts w:eastAsia="Times New Roman" w:cs="Times New Roman"/>
                <w:b/>
                <w:lang w:eastAsia="en-GB"/>
              </w:rPr>
              <w:t xml:space="preserve">assignment mark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8C4" w:rsidRPr="00216538" w:rsidRDefault="000F08C4" w:rsidP="00216538">
            <w:pPr>
              <w:spacing w:after="0" w:line="240" w:lineRule="auto"/>
              <w:jc w:val="right"/>
              <w:rPr>
                <w:rFonts w:eastAsia="Times New Roman" w:cs="Times New Roman"/>
                <w:b/>
                <w:lang w:eastAsia="en-GB"/>
              </w:rPr>
            </w:pPr>
            <w:r w:rsidRPr="00216538">
              <w:rPr>
                <w:rFonts w:eastAsia="Times New Roman" w:cs="Times New Roman"/>
                <w:b/>
                <w:lang w:eastAsia="en-GB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8C4" w:rsidRPr="00216538" w:rsidRDefault="00965DEB" w:rsidP="007248AE">
            <w:pPr>
              <w:jc w:val="right"/>
              <w:rPr>
                <w:b/>
              </w:rPr>
            </w:pPr>
            <w:r>
              <w:rPr>
                <w:b/>
              </w:rPr>
              <w:t>18.8</w:t>
            </w:r>
            <w:bookmarkStart w:id="0" w:name="_GoBack"/>
            <w:bookmarkEnd w:id="0"/>
          </w:p>
        </w:tc>
      </w:tr>
    </w:tbl>
    <w:p w:rsidR="000F08C4" w:rsidRDefault="000F08C4" w:rsidP="000F08C4">
      <w:pPr>
        <w:rPr>
          <w:sz w:val="24"/>
          <w:szCs w:val="24"/>
        </w:rPr>
      </w:pPr>
    </w:p>
    <w:p w:rsidR="009E74C0" w:rsidRDefault="009E74C0" w:rsidP="009E74C0">
      <w:pPr>
        <w:rPr>
          <w:sz w:val="24"/>
          <w:szCs w:val="24"/>
        </w:rPr>
      </w:pPr>
      <w:r>
        <w:rPr>
          <w:sz w:val="24"/>
          <w:szCs w:val="24"/>
        </w:rPr>
        <w:t xml:space="preserve">In any design exercise, an answer or style of answer may emerge that is better than that expected.   </w:t>
      </w:r>
      <w:r w:rsidR="00C2096A">
        <w:rPr>
          <w:sz w:val="24"/>
          <w:szCs w:val="24"/>
        </w:rPr>
        <w:t xml:space="preserve">That may </w:t>
      </w:r>
      <w:r>
        <w:rPr>
          <w:sz w:val="24"/>
          <w:szCs w:val="24"/>
        </w:rPr>
        <w:t>require flexibility in the marking criteria</w:t>
      </w:r>
      <w:r w:rsidR="00C2096A">
        <w:rPr>
          <w:sz w:val="24"/>
          <w:szCs w:val="24"/>
        </w:rPr>
        <w:t>.  If it does</w:t>
      </w:r>
      <w:r>
        <w:rPr>
          <w:sz w:val="24"/>
          <w:szCs w:val="24"/>
        </w:rPr>
        <w:t xml:space="preserve">, it will only be used to benefit </w:t>
      </w:r>
      <w:r w:rsidR="00C2096A">
        <w:rPr>
          <w:sz w:val="24"/>
          <w:szCs w:val="24"/>
        </w:rPr>
        <w:t>candidates</w:t>
      </w:r>
      <w:r>
        <w:rPr>
          <w:sz w:val="24"/>
          <w:szCs w:val="24"/>
        </w:rPr>
        <w:t xml:space="preserve">. </w:t>
      </w:r>
    </w:p>
    <w:p w:rsidR="00EF6019" w:rsidRPr="00A14EF1" w:rsidRDefault="00C2096A" w:rsidP="000F08C4">
      <w:pPr>
        <w:rPr>
          <w:sz w:val="24"/>
          <w:szCs w:val="24"/>
        </w:rPr>
      </w:pPr>
      <w:r>
        <w:rPr>
          <w:sz w:val="24"/>
          <w:szCs w:val="24"/>
        </w:rPr>
        <w:t xml:space="preserve">Feedback </w:t>
      </w:r>
      <w:r w:rsidR="00EF6019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will by the mark given and </w:t>
      </w:r>
      <w:r w:rsidR="00C8004C">
        <w:rPr>
          <w:sz w:val="24"/>
          <w:szCs w:val="24"/>
        </w:rPr>
        <w:t>suggested answers</w:t>
      </w:r>
      <w:r>
        <w:rPr>
          <w:sz w:val="24"/>
          <w:szCs w:val="24"/>
        </w:rPr>
        <w:t xml:space="preserve">.  </w:t>
      </w:r>
      <w:r w:rsidR="009E74C0">
        <w:rPr>
          <w:sz w:val="24"/>
          <w:szCs w:val="24"/>
        </w:rPr>
        <w:t xml:space="preserve">Jointly they </w:t>
      </w:r>
      <w:r>
        <w:rPr>
          <w:sz w:val="24"/>
          <w:szCs w:val="24"/>
        </w:rPr>
        <w:t xml:space="preserve">will </w:t>
      </w:r>
      <w:r w:rsidR="009E74C0">
        <w:rPr>
          <w:sz w:val="24"/>
          <w:szCs w:val="24"/>
        </w:rPr>
        <w:t>indicate</w:t>
      </w:r>
      <w:r w:rsidR="00C8004C">
        <w:rPr>
          <w:sz w:val="24"/>
          <w:szCs w:val="24"/>
        </w:rPr>
        <w:t xml:space="preserve"> what was expected</w:t>
      </w:r>
      <w:r w:rsidR="009E74C0">
        <w:rPr>
          <w:sz w:val="24"/>
          <w:szCs w:val="24"/>
        </w:rPr>
        <w:t xml:space="preserve">, </w:t>
      </w:r>
      <w:r w:rsidR="00C8004C">
        <w:rPr>
          <w:sz w:val="24"/>
          <w:szCs w:val="24"/>
        </w:rPr>
        <w:t>and an estimate of the standard</w:t>
      </w:r>
      <w:r>
        <w:rPr>
          <w:sz w:val="24"/>
          <w:szCs w:val="24"/>
        </w:rPr>
        <w:t>s</w:t>
      </w:r>
      <w:r w:rsidR="00C8004C">
        <w:rPr>
          <w:sz w:val="24"/>
          <w:szCs w:val="24"/>
        </w:rPr>
        <w:t xml:space="preserve"> reached. </w:t>
      </w:r>
    </w:p>
    <w:sectPr w:rsidR="00EF6019" w:rsidRPr="00A1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0D"/>
    <w:rsid w:val="000C0A40"/>
    <w:rsid w:val="000F08C4"/>
    <w:rsid w:val="00154055"/>
    <w:rsid w:val="00216538"/>
    <w:rsid w:val="002803DC"/>
    <w:rsid w:val="002906AE"/>
    <w:rsid w:val="003805A7"/>
    <w:rsid w:val="004E0F36"/>
    <w:rsid w:val="006B6694"/>
    <w:rsid w:val="007248AE"/>
    <w:rsid w:val="00797421"/>
    <w:rsid w:val="00965DEB"/>
    <w:rsid w:val="009805F7"/>
    <w:rsid w:val="009E74C0"/>
    <w:rsid w:val="00A0129D"/>
    <w:rsid w:val="00A14EF1"/>
    <w:rsid w:val="00A7180D"/>
    <w:rsid w:val="00A84458"/>
    <w:rsid w:val="00AF4AA8"/>
    <w:rsid w:val="00B862CF"/>
    <w:rsid w:val="00C2096A"/>
    <w:rsid w:val="00C8004C"/>
    <w:rsid w:val="00EF6019"/>
    <w:rsid w:val="00FA380D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938DE-E36F-4EDB-BF22-BA5259E8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Steel, Sam</dc:creator>
  <cp:lastModifiedBy>Fletcher, Peter</cp:lastModifiedBy>
  <cp:revision>3</cp:revision>
  <dcterms:created xsi:type="dcterms:W3CDTF">2018-01-08T16:45:00Z</dcterms:created>
  <dcterms:modified xsi:type="dcterms:W3CDTF">2018-01-08T16:56:00Z</dcterms:modified>
</cp:coreProperties>
</file>