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4C020" w14:textId="0478D63B" w:rsidR="00E00466" w:rsidRDefault="00313129">
      <w:pPr>
        <w:rPr>
          <w:b/>
          <w:bCs/>
          <w:sz w:val="28"/>
          <w:szCs w:val="28"/>
          <w:u w:val="single"/>
        </w:rPr>
      </w:pPr>
      <w:r w:rsidRPr="00313129">
        <w:rPr>
          <w:b/>
          <w:bCs/>
          <w:sz w:val="28"/>
          <w:szCs w:val="28"/>
          <w:u w:val="single"/>
        </w:rPr>
        <w:t>Notes of GCR CGE Development Chat</w:t>
      </w:r>
    </w:p>
    <w:p w14:paraId="061DD2AD" w14:textId="717D77E6" w:rsidR="00313129" w:rsidRDefault="00313129">
      <w:pPr>
        <w:rPr>
          <w:lang w:eastAsia="en-US"/>
        </w:rPr>
      </w:pPr>
      <w:r>
        <w:rPr>
          <w:lang w:eastAsia="en-US"/>
        </w:rPr>
        <w:t>The Glasgow City Region</w:t>
      </w:r>
      <w:r w:rsidR="00BD2986">
        <w:rPr>
          <w:lang w:eastAsia="en-US"/>
        </w:rPr>
        <w:t xml:space="preserve"> (GCR)</w:t>
      </w:r>
      <w:r>
        <w:rPr>
          <w:lang w:eastAsia="en-US"/>
        </w:rPr>
        <w:t xml:space="preserve"> IO tables were regionalised from the Scottish tables using both GVA regional data and the composition of jobs at the time (2016 </w:t>
      </w:r>
      <w:r w:rsidR="008A3FB3">
        <w:rPr>
          <w:lang w:eastAsia="en-US"/>
        </w:rPr>
        <w:t>data</w:t>
      </w:r>
      <w:r>
        <w:rPr>
          <w:lang w:eastAsia="en-US"/>
        </w:rPr>
        <w:t>).</w:t>
      </w:r>
    </w:p>
    <w:p w14:paraId="56207680" w14:textId="38D31BAC" w:rsidR="00BD2986" w:rsidRDefault="00313129" w:rsidP="00F538EF">
      <w:pPr>
        <w:rPr>
          <w:lang w:eastAsia="en-US"/>
        </w:rPr>
      </w:pPr>
      <w:r>
        <w:rPr>
          <w:lang w:eastAsia="en-US"/>
        </w:rPr>
        <w:t>GCR</w:t>
      </w:r>
      <w:r w:rsidR="008A3FB3">
        <w:rPr>
          <w:lang w:eastAsia="en-US"/>
        </w:rPr>
        <w:t xml:space="preserve"> Computable General Equilibrium (CGE)</w:t>
      </w:r>
      <w:r>
        <w:rPr>
          <w:lang w:eastAsia="en-US"/>
        </w:rPr>
        <w:t xml:space="preserve"> model is the standard AMOS model</w:t>
      </w:r>
      <w:r w:rsidR="00BD2986">
        <w:rPr>
          <w:lang w:eastAsia="en-US"/>
        </w:rPr>
        <w:t xml:space="preserve"> (“A model of Scotland”</w:t>
      </w:r>
      <w:r w:rsidR="008A3FB3">
        <w:rPr>
          <w:lang w:eastAsia="en-US"/>
        </w:rPr>
        <w:t xml:space="preserve">). This was </w:t>
      </w:r>
      <w:r w:rsidR="00BD2986">
        <w:rPr>
          <w:lang w:eastAsia="en-US"/>
        </w:rPr>
        <w:t>originally developed by academics at the University of Strathclyde to model the Scottish economy. Paper found below</w:t>
      </w:r>
      <w:r w:rsidR="008A3FB3">
        <w:rPr>
          <w:lang w:eastAsia="en-US"/>
        </w:rPr>
        <w:t>:</w:t>
      </w:r>
    </w:p>
    <w:p w14:paraId="1A6D93B4" w14:textId="2E643A61" w:rsidR="00313129" w:rsidRDefault="00BD2986">
      <w:pPr>
        <w:rPr>
          <w:lang w:eastAsia="en-US"/>
        </w:rPr>
      </w:pPr>
      <w:r>
        <w:rPr>
          <w:lang w:eastAsia="en-US"/>
        </w:rPr>
        <w:object w:dxaOrig="1543" w:dyaOrig="998" w14:anchorId="54CB9B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AcroExch.Document.DC" ShapeID="_x0000_i1025" DrawAspect="Icon" ObjectID="_1755004717" r:id="rId6"/>
        </w:object>
      </w:r>
    </w:p>
    <w:p w14:paraId="3A788072" w14:textId="031AD56F" w:rsidR="00313129" w:rsidRPr="00BD2986" w:rsidRDefault="00BD2986">
      <w:pPr>
        <w:rPr>
          <w:i/>
          <w:iCs/>
          <w:u w:val="single"/>
          <w:lang w:eastAsia="en-US"/>
        </w:rPr>
      </w:pPr>
      <w:r w:rsidRPr="00BD2986">
        <w:rPr>
          <w:i/>
          <w:iCs/>
          <w:u w:val="single"/>
          <w:lang w:eastAsia="en-US"/>
        </w:rPr>
        <w:t>Key characteristics</w:t>
      </w:r>
    </w:p>
    <w:p w14:paraId="0D9972EB" w14:textId="33D842B1" w:rsidR="00BD2986" w:rsidRDefault="00BD2986" w:rsidP="00BD2986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Only models the </w:t>
      </w:r>
      <w:r w:rsidR="00313129">
        <w:rPr>
          <w:lang w:eastAsia="en-US"/>
        </w:rPr>
        <w:t xml:space="preserve">Glasgow </w:t>
      </w:r>
      <w:r>
        <w:rPr>
          <w:lang w:eastAsia="en-US"/>
        </w:rPr>
        <w:t>economy (</w:t>
      </w:r>
      <w:r w:rsidR="001E4CA5">
        <w:rPr>
          <w:lang w:eastAsia="en-US"/>
        </w:rPr>
        <w:t>however does</w:t>
      </w:r>
      <w:r>
        <w:rPr>
          <w:lang w:eastAsia="en-US"/>
        </w:rPr>
        <w:t xml:space="preserve"> contain</w:t>
      </w:r>
      <w:r w:rsidR="001E4CA5">
        <w:rPr>
          <w:lang w:eastAsia="en-US"/>
        </w:rPr>
        <w:t xml:space="preserve"> </w:t>
      </w:r>
      <w:r>
        <w:rPr>
          <w:lang w:eastAsia="en-US"/>
        </w:rPr>
        <w:t>trade with the rest of Scotland</w:t>
      </w:r>
      <w:r w:rsidR="00E30F40">
        <w:rPr>
          <w:lang w:eastAsia="en-US"/>
        </w:rPr>
        <w:t xml:space="preserve"> and rest of world</w:t>
      </w:r>
      <w:r w:rsidR="001E4CA5">
        <w:rPr>
          <w:lang w:eastAsia="en-US"/>
        </w:rPr>
        <w:t xml:space="preserve">. This means there are no </w:t>
      </w:r>
      <w:r w:rsidR="00E30F40">
        <w:rPr>
          <w:lang w:eastAsia="en-US"/>
        </w:rPr>
        <w:t>second order effects</w:t>
      </w:r>
      <w:r w:rsidR="00CF67B5">
        <w:rPr>
          <w:lang w:eastAsia="en-US"/>
        </w:rPr>
        <w:t>;</w:t>
      </w:r>
      <w:r w:rsidR="000B6D69">
        <w:rPr>
          <w:lang w:eastAsia="en-US"/>
        </w:rPr>
        <w:t xml:space="preserve"> i.e. </w:t>
      </w:r>
      <w:r w:rsidR="00CF67B5">
        <w:rPr>
          <w:lang w:eastAsia="en-US"/>
        </w:rPr>
        <w:t xml:space="preserve">any change in Glasgow’s economy has no effect on outside economies, and so no second </w:t>
      </w:r>
      <w:r w:rsidR="00F0555B">
        <w:rPr>
          <w:lang w:eastAsia="en-US"/>
        </w:rPr>
        <w:t>round impacts from this are included in modelling results</w:t>
      </w:r>
      <w:r w:rsidR="007C5232">
        <w:rPr>
          <w:lang w:eastAsia="en-US"/>
        </w:rPr>
        <w:t>.</w:t>
      </w:r>
      <w:r>
        <w:rPr>
          <w:lang w:eastAsia="en-US"/>
        </w:rPr>
        <w:t>)</w:t>
      </w:r>
    </w:p>
    <w:p w14:paraId="0AA00CAF" w14:textId="77A5B10F" w:rsidR="00002E6B" w:rsidRDefault="00F0555B" w:rsidP="00BD2986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AMOS is a d</w:t>
      </w:r>
      <w:r w:rsidR="00002E6B">
        <w:rPr>
          <w:lang w:eastAsia="en-US"/>
        </w:rPr>
        <w:t xml:space="preserve">ynamic model that includes endogenous investment and </w:t>
      </w:r>
      <w:r w:rsidR="00DD07FB">
        <w:rPr>
          <w:lang w:eastAsia="en-US"/>
        </w:rPr>
        <w:t>capital accumulation</w:t>
      </w:r>
      <w:r>
        <w:rPr>
          <w:lang w:eastAsia="en-US"/>
        </w:rPr>
        <w:t xml:space="preserve">. This means ‘shocks’ to the economy </w:t>
      </w:r>
      <w:r w:rsidR="004273DF">
        <w:rPr>
          <w:lang w:eastAsia="en-US"/>
        </w:rPr>
        <w:t xml:space="preserve">affect the </w:t>
      </w:r>
      <w:r w:rsidR="00B249D4">
        <w:rPr>
          <w:lang w:eastAsia="en-US"/>
        </w:rPr>
        <w:t xml:space="preserve">user cost of capital and the steady state level of capital in the economy. </w:t>
      </w:r>
    </w:p>
    <w:p w14:paraId="1209495A" w14:textId="17C01F3A" w:rsidR="00313129" w:rsidRDefault="00BD2986" w:rsidP="00BD2986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Government closures – changes in spending only reflects the spending power of </w:t>
      </w:r>
      <w:r w:rsidR="00313129">
        <w:rPr>
          <w:lang w:eastAsia="en-US"/>
        </w:rPr>
        <w:t xml:space="preserve">Glasgow </w:t>
      </w:r>
      <w:r>
        <w:rPr>
          <w:lang w:eastAsia="en-US"/>
        </w:rPr>
        <w:t xml:space="preserve">City Council. If funding higher government expenditure, this must be funded through </w:t>
      </w:r>
      <w:r w:rsidR="00313129">
        <w:rPr>
          <w:lang w:eastAsia="en-US"/>
        </w:rPr>
        <w:t xml:space="preserve">council tax </w:t>
      </w:r>
      <w:r>
        <w:rPr>
          <w:lang w:eastAsia="en-US"/>
        </w:rPr>
        <w:t xml:space="preserve">(as this is the only lever to generate income). </w:t>
      </w:r>
    </w:p>
    <w:p w14:paraId="3B3AFADE" w14:textId="56B6E873" w:rsidR="00486187" w:rsidRDefault="00BD2986" w:rsidP="00486187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Standard labour market closures –</w:t>
      </w:r>
      <w:r w:rsidR="00E10015">
        <w:rPr>
          <w:lang w:eastAsia="en-US"/>
        </w:rPr>
        <w:t xml:space="preserve"> several closures the user can choose from, including</w:t>
      </w:r>
      <w:r>
        <w:rPr>
          <w:lang w:eastAsia="en-US"/>
        </w:rPr>
        <w:t xml:space="preserve"> </w:t>
      </w:r>
      <w:r w:rsidR="00E10015">
        <w:rPr>
          <w:lang w:eastAsia="en-US"/>
        </w:rPr>
        <w:t>fixed (</w:t>
      </w:r>
      <w:r>
        <w:rPr>
          <w:lang w:eastAsia="en-US"/>
        </w:rPr>
        <w:t>exogenous</w:t>
      </w:r>
      <w:r w:rsidR="00E10015">
        <w:rPr>
          <w:lang w:eastAsia="en-US"/>
        </w:rPr>
        <w:t xml:space="preserve">) </w:t>
      </w:r>
      <w:r>
        <w:rPr>
          <w:lang w:eastAsia="en-US"/>
        </w:rPr>
        <w:t>nominal wages</w:t>
      </w:r>
      <w:r w:rsidR="00E10015">
        <w:rPr>
          <w:lang w:eastAsia="en-US"/>
        </w:rPr>
        <w:t>, fixed</w:t>
      </w:r>
      <w:r w:rsidR="00803DBB">
        <w:rPr>
          <w:lang w:eastAsia="en-US"/>
        </w:rPr>
        <w:t xml:space="preserve"> (</w:t>
      </w:r>
      <w:r>
        <w:rPr>
          <w:lang w:eastAsia="en-US"/>
        </w:rPr>
        <w:t>endogenous</w:t>
      </w:r>
      <w:r w:rsidR="00803DBB">
        <w:rPr>
          <w:lang w:eastAsia="en-US"/>
        </w:rPr>
        <w:t xml:space="preserve">) real </w:t>
      </w:r>
      <w:r>
        <w:rPr>
          <w:lang w:eastAsia="en-US"/>
        </w:rPr>
        <w:t xml:space="preserve">wages </w:t>
      </w:r>
      <w:r w:rsidR="00803DBB">
        <w:rPr>
          <w:lang w:eastAsia="en-US"/>
        </w:rPr>
        <w:t>(nominal wages will adjust to ensure</w:t>
      </w:r>
      <w:r w:rsidR="009249B6">
        <w:rPr>
          <w:lang w:eastAsia="en-US"/>
        </w:rPr>
        <w:t xml:space="preserve"> fixed real wages in the economy), fixed labour supply (i.e. </w:t>
      </w:r>
      <w:r w:rsidR="00EB6BB2">
        <w:rPr>
          <w:lang w:eastAsia="en-US"/>
        </w:rPr>
        <w:t xml:space="preserve">external shocks directly affect nominal wages with </w:t>
      </w:r>
      <w:r w:rsidR="0007152A">
        <w:rPr>
          <w:lang w:eastAsia="en-US"/>
        </w:rPr>
        <w:t xml:space="preserve">labour supply holding constant). </w:t>
      </w:r>
    </w:p>
    <w:p w14:paraId="2E41F976" w14:textId="46BE0418" w:rsidR="00C30E56" w:rsidRDefault="009E7E02" w:rsidP="00486187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Net </w:t>
      </w:r>
      <w:r w:rsidR="00C30E56">
        <w:rPr>
          <w:lang w:eastAsia="en-US"/>
        </w:rPr>
        <w:t xml:space="preserve">Migration between Scotland and rUK/ROW is </w:t>
      </w:r>
      <w:r w:rsidR="003F5C44">
        <w:rPr>
          <w:lang w:eastAsia="en-US"/>
        </w:rPr>
        <w:t xml:space="preserve">assumed to be determined by differences in real wages </w:t>
      </w:r>
      <w:r w:rsidR="006265C1">
        <w:rPr>
          <w:lang w:eastAsia="en-US"/>
        </w:rPr>
        <w:t xml:space="preserve">and populations </w:t>
      </w:r>
      <w:r w:rsidR="003F5C44">
        <w:rPr>
          <w:lang w:eastAsia="en-US"/>
        </w:rPr>
        <w:t>between Scotland and rUK</w:t>
      </w:r>
      <w:r w:rsidR="00C2515F">
        <w:rPr>
          <w:lang w:eastAsia="en-US"/>
        </w:rPr>
        <w:t>.</w:t>
      </w:r>
    </w:p>
    <w:p w14:paraId="739BB2BF" w14:textId="3CE20582" w:rsidR="00E800B5" w:rsidRDefault="00313129" w:rsidP="0007152A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No environmental extensions – difficult to get data for Glasgow</w:t>
      </w:r>
    </w:p>
    <w:p w14:paraId="700D5E94" w14:textId="77777777" w:rsidR="007B0EBA" w:rsidRDefault="007B0EBA" w:rsidP="007B0EBA">
      <w:pPr>
        <w:rPr>
          <w:lang w:eastAsia="en-US"/>
        </w:rPr>
      </w:pPr>
    </w:p>
    <w:p w14:paraId="6EA2E6F7" w14:textId="203D6BE5" w:rsidR="007B0EBA" w:rsidRDefault="007B0EBA" w:rsidP="007B0EBA">
      <w:pPr>
        <w:rPr>
          <w:i/>
          <w:iCs/>
          <w:u w:val="single"/>
          <w:lang w:eastAsia="en-US"/>
        </w:rPr>
      </w:pPr>
      <w:r w:rsidRPr="007B0EBA">
        <w:rPr>
          <w:i/>
          <w:iCs/>
          <w:u w:val="single"/>
          <w:lang w:eastAsia="en-US"/>
        </w:rPr>
        <w:t>Histori</w:t>
      </w:r>
      <w:r w:rsidR="00066F80">
        <w:rPr>
          <w:i/>
          <w:iCs/>
          <w:u w:val="single"/>
          <w:lang w:eastAsia="en-US"/>
        </w:rPr>
        <w:t>c</w:t>
      </w:r>
      <w:r w:rsidRPr="007B0EBA">
        <w:rPr>
          <w:i/>
          <w:iCs/>
          <w:u w:val="single"/>
          <w:lang w:eastAsia="en-US"/>
        </w:rPr>
        <w:t xml:space="preserve"> </w:t>
      </w:r>
      <w:r w:rsidR="00066F80">
        <w:rPr>
          <w:i/>
          <w:iCs/>
          <w:u w:val="single"/>
          <w:lang w:eastAsia="en-US"/>
        </w:rPr>
        <w:t>&amp;</w:t>
      </w:r>
      <w:r w:rsidR="001F5DF9">
        <w:rPr>
          <w:i/>
          <w:iCs/>
          <w:u w:val="single"/>
          <w:lang w:eastAsia="en-US"/>
        </w:rPr>
        <w:t xml:space="preserve"> </w:t>
      </w:r>
      <w:r w:rsidR="00066F80">
        <w:rPr>
          <w:i/>
          <w:iCs/>
          <w:u w:val="single"/>
          <w:lang w:eastAsia="en-US"/>
        </w:rPr>
        <w:t>Future</w:t>
      </w:r>
      <w:r w:rsidR="001F5DF9">
        <w:rPr>
          <w:i/>
          <w:iCs/>
          <w:u w:val="single"/>
          <w:lang w:eastAsia="en-US"/>
        </w:rPr>
        <w:t xml:space="preserve"> </w:t>
      </w:r>
      <w:r w:rsidRPr="007B0EBA">
        <w:rPr>
          <w:i/>
          <w:iCs/>
          <w:u w:val="single"/>
          <w:lang w:eastAsia="en-US"/>
        </w:rPr>
        <w:t>Context</w:t>
      </w:r>
    </w:p>
    <w:p w14:paraId="4595638A" w14:textId="38EB2B98" w:rsidR="007B0EBA" w:rsidRPr="00B44A38" w:rsidRDefault="007B0EBA" w:rsidP="007B0EBA">
      <w:pPr>
        <w:pStyle w:val="ListParagraph"/>
        <w:numPr>
          <w:ilvl w:val="0"/>
          <w:numId w:val="2"/>
        </w:numPr>
        <w:rPr>
          <w:i/>
          <w:iCs/>
          <w:u w:val="single"/>
          <w:lang w:eastAsia="en-US"/>
        </w:rPr>
      </w:pPr>
      <w:r>
        <w:rPr>
          <w:lang w:eastAsia="en-US"/>
        </w:rPr>
        <w:t>Model was originally developed in 2018 to help address the UK Government’s ‘Levelling up’ agenda. It was supposed to be finalised in</w:t>
      </w:r>
      <w:r w:rsidR="00B44A38">
        <w:rPr>
          <w:lang w:eastAsia="en-US"/>
        </w:rPr>
        <w:t xml:space="preserve"> early</w:t>
      </w:r>
      <w:r>
        <w:rPr>
          <w:lang w:eastAsia="en-US"/>
        </w:rPr>
        <w:t xml:space="preserve"> 20</w:t>
      </w:r>
      <w:r w:rsidR="001F5DF9">
        <w:rPr>
          <w:lang w:eastAsia="en-US"/>
        </w:rPr>
        <w:t xml:space="preserve">20 but was disrupted by the COVID-19 Pandemic. </w:t>
      </w:r>
    </w:p>
    <w:p w14:paraId="52C3BEE6" w14:textId="55AFB73B" w:rsidR="00B44A38" w:rsidRPr="001F5DF9" w:rsidRDefault="00B44A38" w:rsidP="00B44A38">
      <w:pPr>
        <w:pStyle w:val="ListParagraph"/>
        <w:numPr>
          <w:ilvl w:val="0"/>
          <w:numId w:val="2"/>
        </w:numPr>
        <w:rPr>
          <w:i/>
          <w:iCs/>
          <w:u w:val="single"/>
          <w:lang w:eastAsia="en-US"/>
        </w:rPr>
      </w:pPr>
      <w:r>
        <w:rPr>
          <w:lang w:eastAsia="en-US"/>
        </w:rPr>
        <w:t xml:space="preserve">While the model is </w:t>
      </w:r>
      <w:r w:rsidR="000E35A4">
        <w:rPr>
          <w:lang w:eastAsia="en-US"/>
        </w:rPr>
        <w:t>currently functional</w:t>
      </w:r>
      <w:r>
        <w:rPr>
          <w:lang w:eastAsia="en-US"/>
        </w:rPr>
        <w:t xml:space="preserve">, </w:t>
      </w:r>
      <w:r w:rsidR="000E35A4">
        <w:rPr>
          <w:lang w:eastAsia="en-US"/>
        </w:rPr>
        <w:t>it has not been used since its original development.</w:t>
      </w:r>
    </w:p>
    <w:p w14:paraId="74FA6E2C" w14:textId="3B6A4C57" w:rsidR="00066F80" w:rsidRPr="005C14C9" w:rsidRDefault="00774725" w:rsidP="00066F80">
      <w:pPr>
        <w:pStyle w:val="ListParagraph"/>
        <w:numPr>
          <w:ilvl w:val="0"/>
          <w:numId w:val="2"/>
        </w:numPr>
        <w:rPr>
          <w:i/>
          <w:iCs/>
          <w:u w:val="single"/>
          <w:lang w:eastAsia="en-US"/>
        </w:rPr>
      </w:pPr>
      <w:r>
        <w:rPr>
          <w:lang w:eastAsia="en-US"/>
        </w:rPr>
        <w:t xml:space="preserve">The GCR Intelligence Hub hopes to start using the model in the coming months to help estimate economic impacts of various </w:t>
      </w:r>
      <w:r w:rsidR="00066F80">
        <w:rPr>
          <w:lang w:eastAsia="en-US"/>
        </w:rPr>
        <w:t xml:space="preserve">infrastructure projects in Glasgow. </w:t>
      </w:r>
    </w:p>
    <w:p w14:paraId="11B1EF2C" w14:textId="47FB3E99" w:rsidR="005C14C9" w:rsidRPr="00F538EF" w:rsidRDefault="005C14C9" w:rsidP="006F6D03">
      <w:pPr>
        <w:pStyle w:val="ListParagraph"/>
        <w:numPr>
          <w:ilvl w:val="0"/>
          <w:numId w:val="2"/>
        </w:numPr>
        <w:rPr>
          <w:i/>
          <w:iCs/>
          <w:u w:val="single"/>
          <w:lang w:eastAsia="en-US"/>
        </w:rPr>
      </w:pPr>
      <w:r>
        <w:rPr>
          <w:lang w:eastAsia="en-US"/>
        </w:rPr>
        <w:t xml:space="preserve">Any modelling using </w:t>
      </w:r>
      <w:r w:rsidR="00C12500">
        <w:rPr>
          <w:lang w:eastAsia="en-US"/>
        </w:rPr>
        <w:t xml:space="preserve">their </w:t>
      </w:r>
      <w:r>
        <w:rPr>
          <w:lang w:eastAsia="en-US"/>
        </w:rPr>
        <w:t xml:space="preserve">CGE model will likely produce much </w:t>
      </w:r>
      <w:r w:rsidR="00C12500">
        <w:rPr>
          <w:lang w:eastAsia="en-US"/>
        </w:rPr>
        <w:t>more significant</w:t>
      </w:r>
      <w:r>
        <w:rPr>
          <w:lang w:eastAsia="en-US"/>
        </w:rPr>
        <w:t xml:space="preserve"> economic impacts than </w:t>
      </w:r>
      <w:r w:rsidR="006F6D03">
        <w:rPr>
          <w:lang w:eastAsia="en-US"/>
        </w:rPr>
        <w:t xml:space="preserve">their </w:t>
      </w:r>
      <w:r>
        <w:rPr>
          <w:lang w:eastAsia="en-US"/>
        </w:rPr>
        <w:t xml:space="preserve">static Business </w:t>
      </w:r>
      <w:r w:rsidR="00D62398">
        <w:rPr>
          <w:lang w:eastAsia="en-US"/>
        </w:rPr>
        <w:t>Case Economic Model (BCEM)</w:t>
      </w:r>
      <w:r w:rsidR="006F6D03">
        <w:rPr>
          <w:lang w:eastAsia="en-US"/>
        </w:rPr>
        <w:t xml:space="preserve">. This is because the CGE model assumes dynamic effects such as changes in investment and the labour market. </w:t>
      </w:r>
    </w:p>
    <w:p w14:paraId="69C2A113" w14:textId="1F43CEB2" w:rsidR="00F538EF" w:rsidRPr="00F538EF" w:rsidRDefault="00F538EF" w:rsidP="00F538EF">
      <w:pPr>
        <w:rPr>
          <w:i/>
          <w:iCs/>
          <w:u w:val="single"/>
          <w:lang w:eastAsia="en-US"/>
        </w:rPr>
      </w:pPr>
    </w:p>
    <w:sectPr w:rsidR="00F538EF" w:rsidRPr="00F53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91DFF"/>
    <w:multiLevelType w:val="hybridMultilevel"/>
    <w:tmpl w:val="129C5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7017F"/>
    <w:multiLevelType w:val="hybridMultilevel"/>
    <w:tmpl w:val="3878A8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704348">
    <w:abstractNumId w:val="1"/>
  </w:num>
  <w:num w:numId="2" w16cid:durableId="59837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29"/>
    <w:rsid w:val="00002E6B"/>
    <w:rsid w:val="00066F80"/>
    <w:rsid w:val="0007152A"/>
    <w:rsid w:val="000B6D69"/>
    <w:rsid w:val="000E35A4"/>
    <w:rsid w:val="001E4CA5"/>
    <w:rsid w:val="001F5DF9"/>
    <w:rsid w:val="00313129"/>
    <w:rsid w:val="003F5C44"/>
    <w:rsid w:val="004273DF"/>
    <w:rsid w:val="00470685"/>
    <w:rsid w:val="00486187"/>
    <w:rsid w:val="005C14C9"/>
    <w:rsid w:val="006265C1"/>
    <w:rsid w:val="006F6D03"/>
    <w:rsid w:val="00774725"/>
    <w:rsid w:val="007B0EBA"/>
    <w:rsid w:val="007C5232"/>
    <w:rsid w:val="00803DBB"/>
    <w:rsid w:val="008A3FB3"/>
    <w:rsid w:val="009249B6"/>
    <w:rsid w:val="009A1001"/>
    <w:rsid w:val="009E7E02"/>
    <w:rsid w:val="00AB7E11"/>
    <w:rsid w:val="00B249D4"/>
    <w:rsid w:val="00B44A38"/>
    <w:rsid w:val="00BD2986"/>
    <w:rsid w:val="00C12500"/>
    <w:rsid w:val="00C2515F"/>
    <w:rsid w:val="00C30E56"/>
    <w:rsid w:val="00CB5B18"/>
    <w:rsid w:val="00CF67B5"/>
    <w:rsid w:val="00D62398"/>
    <w:rsid w:val="00DD07FB"/>
    <w:rsid w:val="00E00466"/>
    <w:rsid w:val="00E10015"/>
    <w:rsid w:val="00E30F40"/>
    <w:rsid w:val="00E800B5"/>
    <w:rsid w:val="00EB6BB2"/>
    <w:rsid w:val="00F0555B"/>
    <w:rsid w:val="00F5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AA12"/>
  <w15:chartTrackingRefBased/>
  <w15:docId w15:val="{D0C7BD9A-4719-4E11-A2BB-8009A5600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McLachlan Sayer</dc:creator>
  <cp:keywords/>
  <dc:description/>
  <cp:lastModifiedBy>Conor McLachlan Sayer</cp:lastModifiedBy>
  <cp:revision>37</cp:revision>
  <dcterms:created xsi:type="dcterms:W3CDTF">2023-08-31T14:01:00Z</dcterms:created>
  <dcterms:modified xsi:type="dcterms:W3CDTF">2023-08-31T15:32:00Z</dcterms:modified>
</cp:coreProperties>
</file>