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6"/>
        </w:pBdr>
        <w:spacing w:after="120"/>
      </w:pPr>
      <w:r>
        <w:rPr>
          <w:rFonts w:ascii="Times New Roman" w:cs="Times New Roman" w:eastAsia="Times New Roman" w:hAnsi="Times New Roman"/>
          <w:b/>
          <w:bCs/>
          <w:color w:val="1F4E79"/>
          <w:sz w:val="32"/>
          <w:szCs w:val="32"/>
        </w:rPr>
        <w:t xml:space="preserve">European Imperialism in Asia, 1450–1850 (Online)</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Description</w:t>
      </w:r>
    </w:p>
    <w:p>
      <w:pPr>
        <w:spacing w:after="120" w:line="276"/>
        <w:jc w:val="both"/>
      </w:pPr>
      <w:r>
        <w:rPr>
          <w:rFonts w:ascii="Times New Roman" w:cs="Times New Roman" w:eastAsia="Times New Roman" w:hAnsi="Times New Roman"/>
          <w:sz w:val="22"/>
          <w:szCs w:val="22"/>
        </w:rPr>
        <w:t xml:space="preserve">This course examines European imperial expansion in Asia from 1450 to 1850 through a bottom-up lens, focusing on the non-European world, precolonial trajectories, and indigenous power dynamics. Rather than viewing European ascendancy as inevitable, the course highlights the contingent and contested nature of imperial encounters. It emphasizes longue durée historical trends, the marginality of European actors, and the interplay of collaboration, resistance, and competition.</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Objectives</w:t>
      </w:r>
    </w:p>
    <w:p>
      <w:pPr>
        <w:spacing w:after="120" w:line="276"/>
        <w:jc w:val="left"/>
      </w:pPr>
      <w:r>
        <w:rPr>
          <w:rFonts w:ascii="Times New Roman" w:cs="Times New Roman" w:eastAsia="Times New Roman" w:hAnsi="Times New Roman"/>
          <w:sz w:val="22"/>
          <w:szCs w:val="22"/>
        </w:rPr>
        <w:t xml:space="preserve">By the end of the course, students will:</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Understand pre-existing economic, political, and cultural conditions in Asia prior to European arrival.</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Analyze the shifting strategies of European trading corporations and imperial states in Asia.</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Evaluate the role of Asian states, merchants, and local intermediaries in shaping imperial encounters.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Assess both the limits of European power and the impact of European economic and military interventions on Asian polities.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Engage critically with past and present historiographical debates.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Develop research skills through primary source analysis and independent projects.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Build technological literacy through engagement with digital humanities tools.</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Assessment</w:t>
      </w:r>
    </w:p>
    <w:p>
      <w:pPr>
        <w:pStyle w:val="ListParagraph"/>
        <w:numPr>
          <w:ilvl w:val="0"/>
          <w:numId w:val="2"/>
        </w:numPr>
        <w:spacing w:after="60" w:line="276"/>
      </w:pPr>
      <w:r>
        <w:rPr>
          <w:rFonts w:ascii="Times New Roman" w:cs="Times New Roman" w:eastAsia="Times New Roman" w:hAnsi="Times New Roman"/>
          <w:b/>
          <w:bCs/>
          <w:i w:val="false"/>
          <w:iCs w:val="false"/>
          <w:sz w:val="22"/>
          <w:szCs w:val="22"/>
        </w:rPr>
        <w:t xml:space="preserve">Participation &amp; Discussion — 25%</w:t>
      </w:r>
      <w:r>
        <w:rPr>
          <w:rFonts w:ascii="Times New Roman" w:cs="Times New Roman" w:eastAsia="Times New Roman" w:hAnsi="Times New Roman"/>
          <w:sz w:val="22"/>
          <w:szCs w:val="22"/>
        </w:rPr>
        <w:br/>
      </w:r>
      <w:r>
        <w:rPr>
          <w:rFonts w:ascii="Times New Roman" w:cs="Times New Roman" w:eastAsia="Times New Roman" w:hAnsi="Times New Roman"/>
          <w:b w:val="false"/>
          <w:bCs w:val="false"/>
          <w:i w:val="false"/>
          <w:iCs w:val="false"/>
          <w:sz w:val="22"/>
          <w:szCs w:val="22"/>
        </w:rPr>
        <w:t xml:space="preserve">Weekly forum post (200–300 words) plus one reply.</w:t>
      </w:r>
    </w:p>
    <w:p>
      <w:pPr>
        <w:pStyle w:val="ListParagraph"/>
        <w:numPr>
          <w:ilvl w:val="0"/>
          <w:numId w:val="2"/>
        </w:numPr>
        <w:spacing w:after="60" w:line="276"/>
      </w:pPr>
      <w:r>
        <w:rPr>
          <w:rFonts w:ascii="Times New Roman" w:cs="Times New Roman" w:eastAsia="Times New Roman" w:hAnsi="Times New Roman"/>
          <w:b/>
          <w:bCs/>
          <w:i w:val="false"/>
          <w:iCs w:val="false"/>
          <w:sz w:val="22"/>
          <w:szCs w:val="22"/>
        </w:rPr>
        <w:t xml:space="preserve">Short Response Brief — 20%</w:t>
      </w:r>
      <w:r>
        <w:rPr>
          <w:rFonts w:ascii="Times New Roman" w:cs="Times New Roman" w:eastAsia="Times New Roman" w:hAnsi="Times New Roman"/>
          <w:sz w:val="22"/>
          <w:szCs w:val="22"/>
        </w:rPr>
        <w:br/>
      </w:r>
      <w:r>
        <w:rPr>
          <w:rFonts w:ascii="Times New Roman" w:cs="Times New Roman" w:eastAsia="Times New Roman" w:hAnsi="Times New Roman"/>
          <w:b w:val="false"/>
          <w:bCs w:val="false"/>
          <w:i w:val="false"/>
          <w:iCs w:val="false"/>
          <w:sz w:val="22"/>
          <w:szCs w:val="22"/>
        </w:rPr>
        <w:t xml:space="preserve">A 1,000-word brief responding to one of the weekly topics. Must be based on one or more new secondary sources and explain how they enrich existing knowledge of the topic.</w:t>
      </w:r>
    </w:p>
    <w:p>
      <w:pPr>
        <w:pStyle w:val="ListParagraph"/>
        <w:numPr>
          <w:ilvl w:val="0"/>
          <w:numId w:val="2"/>
        </w:numPr>
        <w:spacing w:after="60" w:line="276"/>
      </w:pPr>
      <w:r>
        <w:rPr>
          <w:rFonts w:ascii="Times New Roman" w:cs="Times New Roman" w:eastAsia="Times New Roman" w:hAnsi="Times New Roman"/>
          <w:b/>
          <w:bCs/>
          <w:i w:val="false"/>
          <w:iCs w:val="false"/>
          <w:sz w:val="22"/>
          <w:szCs w:val="22"/>
        </w:rPr>
        <w:t xml:space="preserve">Source Evaluation — 25%</w:t>
      </w:r>
      <w:r>
        <w:rPr>
          <w:rFonts w:ascii="Times New Roman" w:cs="Times New Roman" w:eastAsia="Times New Roman" w:hAnsi="Times New Roman"/>
          <w:sz w:val="22"/>
          <w:szCs w:val="22"/>
        </w:rPr>
        <w:br/>
      </w:r>
      <w:r>
        <w:rPr>
          <w:rFonts w:ascii="Times New Roman" w:cs="Times New Roman" w:eastAsia="Times New Roman" w:hAnsi="Times New Roman"/>
          <w:b w:val="false"/>
          <w:bCs w:val="false"/>
          <w:i w:val="false"/>
          <w:iCs w:val="false"/>
          <w:sz w:val="22"/>
          <w:szCs w:val="22"/>
        </w:rPr>
        <w:t xml:space="preserve">A 1,000-word commentary on a chosen bundle of primary sources, evaluating reliability and explaining significance.</w:t>
      </w:r>
    </w:p>
    <w:p>
      <w:pPr>
        <w:pStyle w:val="ListParagraph"/>
        <w:numPr>
          <w:ilvl w:val="0"/>
          <w:numId w:val="2"/>
        </w:numPr>
        <w:spacing w:after="60" w:line="276"/>
      </w:pPr>
      <w:r>
        <w:rPr>
          <w:rFonts w:ascii="Times New Roman" w:cs="Times New Roman" w:eastAsia="Times New Roman" w:hAnsi="Times New Roman"/>
          <w:b/>
          <w:bCs/>
          <w:i w:val="false"/>
          <w:iCs w:val="false"/>
          <w:sz w:val="22"/>
          <w:szCs w:val="22"/>
        </w:rPr>
        <w:t xml:space="preserve">Case Study Presentation — 30%</w:t>
      </w:r>
      <w:r>
        <w:rPr>
          <w:rFonts w:ascii="Times New Roman" w:cs="Times New Roman" w:eastAsia="Times New Roman" w:hAnsi="Times New Roman"/>
          <w:sz w:val="22"/>
          <w:szCs w:val="22"/>
        </w:rPr>
        <w:br/>
      </w:r>
      <w:r>
        <w:rPr>
          <w:rFonts w:ascii="Times New Roman" w:cs="Times New Roman" w:eastAsia="Times New Roman" w:hAnsi="Times New Roman"/>
          <w:b w:val="false"/>
          <w:bCs w:val="false"/>
          <w:i w:val="false"/>
          <w:iCs w:val="false"/>
          <w:sz w:val="22"/>
          <w:szCs w:val="22"/>
        </w:rPr>
        <w:t xml:space="preserve">A 10-minute presentation, live or pre-recorded with slides, on a chosen European–Asian encounter. Must be combined with a peer Q&amp;A and engage with primary sources.</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Weekly Workflow</w:t>
      </w:r>
    </w:p>
    <w:p>
      <w:pPr>
        <w:pStyle w:val="ListParagraph"/>
        <w:numPr>
          <w:ilvl w:val="0"/>
          <w:numId w:val="2"/>
        </w:numPr>
        <w:spacing w:after="60" w:line="276"/>
      </w:pPr>
      <w:r>
        <w:rPr>
          <w:rFonts w:ascii="Times New Roman" w:cs="Times New Roman" w:eastAsia="Times New Roman" w:hAnsi="Times New Roman"/>
          <w:b/>
          <w:bCs/>
          <w:i w:val="false"/>
          <w:iCs w:val="false"/>
          <w:sz w:val="22"/>
          <w:szCs w:val="22"/>
        </w:rPr>
        <w:t xml:space="preserve">Before class:</w:t>
      </w:r>
      <w:r>
        <w:rPr>
          <w:rFonts w:ascii="Times New Roman" w:cs="Times New Roman" w:eastAsia="Times New Roman" w:hAnsi="Times New Roman"/>
          <w:b w:val="false"/>
          <w:bCs w:val="false"/>
          <w:i w:val="false"/>
          <w:iCs w:val="false"/>
          <w:sz w:val="22"/>
          <w:szCs w:val="22"/>
        </w:rPr>
        <w:t xml:space="preserve"> Watch the taped lecture; choose and read enough of one suggested text to support your forum post.</w:t>
      </w:r>
    </w:p>
    <w:p>
      <w:pPr>
        <w:pStyle w:val="ListParagraph"/>
        <w:numPr>
          <w:ilvl w:val="0"/>
          <w:numId w:val="2"/>
        </w:numPr>
        <w:spacing w:after="60" w:line="276"/>
      </w:pPr>
      <w:r>
        <w:rPr>
          <w:rFonts w:ascii="Times New Roman" w:cs="Times New Roman" w:eastAsia="Times New Roman" w:hAnsi="Times New Roman"/>
          <w:b/>
          <w:bCs/>
          <w:i w:val="false"/>
          <w:iCs w:val="false"/>
          <w:sz w:val="22"/>
          <w:szCs w:val="22"/>
        </w:rPr>
        <w:t xml:space="preserve">During class:</w:t>
      </w:r>
      <w:r>
        <w:rPr>
          <w:rFonts w:ascii="Times New Roman" w:cs="Times New Roman" w:eastAsia="Times New Roman" w:hAnsi="Times New Roman"/>
          <w:b w:val="false"/>
          <w:bCs w:val="false"/>
          <w:i w:val="false"/>
          <w:iCs w:val="false"/>
          <w:sz w:val="22"/>
          <w:szCs w:val="22"/>
        </w:rPr>
        <w:t xml:space="preserve"> 90-minute session consisting of an online activity and subsequent discussion.</w:t>
      </w:r>
    </w:p>
    <w:p>
      <w:pPr>
        <w:pStyle w:val="ListParagraph"/>
        <w:numPr>
          <w:ilvl w:val="0"/>
          <w:numId w:val="2"/>
        </w:numPr>
        <w:spacing w:after="60" w:line="276"/>
      </w:pPr>
      <w:r>
        <w:rPr>
          <w:rFonts w:ascii="Times New Roman" w:cs="Times New Roman" w:eastAsia="Times New Roman" w:hAnsi="Times New Roman"/>
          <w:b/>
          <w:bCs/>
          <w:i w:val="false"/>
          <w:iCs w:val="false"/>
          <w:sz w:val="22"/>
          <w:szCs w:val="22"/>
        </w:rPr>
        <w:t xml:space="preserve">After class:</w:t>
      </w:r>
      <w:r>
        <w:rPr>
          <w:rFonts w:ascii="Times New Roman" w:cs="Times New Roman" w:eastAsia="Times New Roman" w:hAnsi="Times New Roman"/>
          <w:b w:val="false"/>
          <w:bCs w:val="false"/>
          <w:i w:val="false"/>
          <w:iCs w:val="false"/>
          <w:sz w:val="22"/>
          <w:szCs w:val="22"/>
        </w:rPr>
        <w:t xml:space="preserve"> Post your forum entry and reply by the deadline.</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Reading &amp; Forum Guide</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Weekly readings are suggested, not mandatory in full.</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Each week, choose one reading to engage with closely; skim others if helpful.</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Your task is to read enough to write a thoughtful forum post (200–300 words) and one reply.</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You are graded on the clarity and accuracy of your post, not on completing every reading.</w:t>
      </w:r>
    </w:p>
    <w:p>
      <w:pPr>
        <w:keepNext/>
        <w:pBdr>
          <w:bottom w:val="single" w:color="AAAAAA" w:sz="4" w:space="4"/>
        </w:pBdr>
        <w:spacing w:after="80" w:before="240"/>
      </w:pPr>
      <w:r>
        <w:rPr>
          <w:rFonts w:ascii="Times New Roman" w:cs="Times New Roman" w:eastAsia="Times New Roman" w:hAnsi="Times New Roman"/>
          <w:b/>
          <w:bCs/>
          <w:color w:val="1F4E79"/>
          <w:sz w:val="24"/>
          <w:szCs w:val="24"/>
        </w:rPr>
        <w:t xml:space="preserve">Course Schedule and Weekly Readings</w:t>
      </w:r>
    </w:p>
    <w:p>
      <w:pPr>
        <w:keepNext/>
        <w:spacing w:after="80" w:before="200"/>
      </w:pPr>
      <w:r>
        <w:rPr>
          <w:rFonts w:ascii="Times New Roman" w:cs="Times New Roman" w:eastAsia="Times New Roman" w:hAnsi="Times New Roman"/>
          <w:b/>
          <w:bCs/>
          <w:color w:val="1F4E79"/>
          <w:sz w:val="24"/>
          <w:szCs w:val="24"/>
        </w:rPr>
        <w:t xml:space="preserve">UNIT 1 — THE ASIAN IMPERIAL AND MARITIME TRADE LANDSCAPE &amp; IBERIAN INVOLVEMENT (1450–1600)</w:t>
      </w:r>
    </w:p>
    <w:p>
      <w:pPr>
        <w:keepNext/>
        <w:spacing w:after="40" w:before="140"/>
      </w:pPr>
      <w:r>
        <w:rPr>
          <w:rFonts w:ascii="Times New Roman" w:cs="Times New Roman" w:eastAsia="Times New Roman" w:hAnsi="Times New Roman"/>
          <w:b/>
          <w:bCs/>
          <w:sz w:val="22"/>
          <w:szCs w:val="22"/>
        </w:rPr>
        <w:t xml:space="preserve">Week 1: The Land-Based Political Order Before European Expansion</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Major Asian empires (Ottoman, Safavid, Mughal, Toungoo, Qing, Tokugawa); political organization and diplomacy; ties between land empires and maritime networks.</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Explore an interactive map showing major imperial formations in the region, identifying places where they overlapped and areas outside of state control.</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Streusand, Douglas E. </w:t>
      </w:r>
      <w:r>
        <w:rPr>
          <w:rFonts w:ascii="Times New Roman" w:cs="Times New Roman" w:eastAsia="Times New Roman" w:hAnsi="Times New Roman"/>
          <w:b w:val="false"/>
          <w:bCs w:val="false"/>
          <w:i/>
          <w:iCs/>
          <w:sz w:val="22"/>
          <w:szCs w:val="22"/>
        </w:rPr>
        <w:t xml:space="preserve">Islamic Gunpowder Empires: Ottomans, Safavids, and Mughals</w:t>
      </w:r>
      <w:r>
        <w:rPr>
          <w:rFonts w:ascii="Times New Roman" w:cs="Times New Roman" w:eastAsia="Times New Roman" w:hAnsi="Times New Roman"/>
          <w:b w:val="false"/>
          <w:bCs w:val="false"/>
          <w:i w:val="false"/>
          <w:iCs w:val="false"/>
          <w:sz w:val="22"/>
          <w:szCs w:val="22"/>
        </w:rPr>
        <w:t xml:space="preserve"> (Westview, 2011).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Kang, David C. </w:t>
      </w:r>
      <w:r>
        <w:rPr>
          <w:rFonts w:ascii="Times New Roman" w:cs="Times New Roman" w:eastAsia="Times New Roman" w:hAnsi="Times New Roman"/>
          <w:b w:val="false"/>
          <w:bCs w:val="false"/>
          <w:i/>
          <w:iCs/>
          <w:sz w:val="22"/>
          <w:szCs w:val="22"/>
        </w:rPr>
        <w:t xml:space="preserve">East Asia Before the West: Five Centuries of Trade and Tribute</w:t>
      </w:r>
      <w:r>
        <w:rPr>
          <w:rFonts w:ascii="Times New Roman" w:cs="Times New Roman" w:eastAsia="Times New Roman" w:hAnsi="Times New Roman"/>
          <w:b w:val="false"/>
          <w:bCs w:val="false"/>
          <w:i w:val="false"/>
          <w:iCs w:val="false"/>
          <w:sz w:val="22"/>
          <w:szCs w:val="22"/>
        </w:rPr>
        <w:t xml:space="preserve"> (Columbia, 2010).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Lieberman, Victor. </w:t>
      </w:r>
      <w:r>
        <w:rPr>
          <w:rFonts w:ascii="Times New Roman" w:cs="Times New Roman" w:eastAsia="Times New Roman" w:hAnsi="Times New Roman"/>
          <w:b w:val="false"/>
          <w:bCs w:val="false"/>
          <w:i/>
          <w:iCs/>
          <w:sz w:val="22"/>
          <w:szCs w:val="22"/>
        </w:rPr>
        <w:t xml:space="preserve">Strange Parallels: Southeast Asia in Global Context, c. 800–1830, Vol. 1: Integration on the Mainland</w:t>
      </w:r>
      <w:r>
        <w:rPr>
          <w:rFonts w:ascii="Times New Roman" w:cs="Times New Roman" w:eastAsia="Times New Roman" w:hAnsi="Times New Roman"/>
          <w:b w:val="false"/>
          <w:bCs w:val="false"/>
          <w:i w:val="false"/>
          <w:iCs w:val="false"/>
          <w:sz w:val="22"/>
          <w:szCs w:val="22"/>
        </w:rPr>
        <w:t xml:space="preserve"> (Cambridge, 2003).</w:t>
      </w:r>
    </w:p>
    <w:p>
      <w:pPr>
        <w:keepNext/>
        <w:spacing w:after="40" w:before="140"/>
      </w:pPr>
      <w:r>
        <w:rPr>
          <w:rFonts w:ascii="Times New Roman" w:cs="Times New Roman" w:eastAsia="Times New Roman" w:hAnsi="Times New Roman"/>
          <w:b/>
          <w:bCs/>
          <w:sz w:val="22"/>
          <w:szCs w:val="22"/>
        </w:rPr>
        <w:t xml:space="preserve">Week 2: Pre-European Maritime Trade Networks</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Indian Ocean and East/Southeast Asian routes; merchant communities (Arab, Chinese, Indian, Armenian); patterns of economic and cultural exchange.</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Examine a network visualization of Indian Ocean trade, interpreting patterns of merchant connectivity and determining which areas saw the highest trade concentration before European entrance.</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Chaudhuri, K. N. </w:t>
      </w:r>
      <w:r>
        <w:rPr>
          <w:rFonts w:ascii="Times New Roman" w:cs="Times New Roman" w:eastAsia="Times New Roman" w:hAnsi="Times New Roman"/>
          <w:b w:val="false"/>
          <w:bCs w:val="false"/>
          <w:i/>
          <w:iCs/>
          <w:sz w:val="22"/>
          <w:szCs w:val="22"/>
        </w:rPr>
        <w:t xml:space="preserve">Trade and Civilisation in the Indian Ocean: An Economic History from the Rise of Islam to 1750</w:t>
      </w:r>
      <w:r>
        <w:rPr>
          <w:rFonts w:ascii="Times New Roman" w:cs="Times New Roman" w:eastAsia="Times New Roman" w:hAnsi="Times New Roman"/>
          <w:b w:val="false"/>
          <w:bCs w:val="false"/>
          <w:i w:val="false"/>
          <w:iCs w:val="false"/>
          <w:sz w:val="22"/>
          <w:szCs w:val="22"/>
        </w:rPr>
        <w:t xml:space="preserve"> (Cambridge, 1985).</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Reid, Anthony. </w:t>
      </w:r>
      <w:r>
        <w:rPr>
          <w:rFonts w:ascii="Times New Roman" w:cs="Times New Roman" w:eastAsia="Times New Roman" w:hAnsi="Times New Roman"/>
          <w:b w:val="false"/>
          <w:bCs w:val="false"/>
          <w:i/>
          <w:iCs/>
          <w:sz w:val="22"/>
          <w:szCs w:val="22"/>
        </w:rPr>
        <w:t xml:space="preserve">Southeast Asia in the Age of Commerce, 1450–1680, Vol. I: The Lands Below the Winds</w:t>
      </w:r>
      <w:r>
        <w:rPr>
          <w:rFonts w:ascii="Times New Roman" w:cs="Times New Roman" w:eastAsia="Times New Roman" w:hAnsi="Times New Roman"/>
          <w:b w:val="false"/>
          <w:bCs w:val="false"/>
          <w:i w:val="false"/>
          <w:iCs w:val="false"/>
          <w:sz w:val="22"/>
          <w:szCs w:val="22"/>
        </w:rPr>
        <w:t xml:space="preserve"> (Yale, 1988).</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Abu-Lughod, Janet L. </w:t>
      </w:r>
      <w:r>
        <w:rPr>
          <w:rFonts w:ascii="Times New Roman" w:cs="Times New Roman" w:eastAsia="Times New Roman" w:hAnsi="Times New Roman"/>
          <w:b w:val="false"/>
          <w:bCs w:val="false"/>
          <w:i/>
          <w:iCs/>
          <w:sz w:val="22"/>
          <w:szCs w:val="22"/>
        </w:rPr>
        <w:t xml:space="preserve">Before European Hegemony: The World System A.D. 1250–1350</w:t>
      </w:r>
      <w:r>
        <w:rPr>
          <w:rFonts w:ascii="Times New Roman" w:cs="Times New Roman" w:eastAsia="Times New Roman" w:hAnsi="Times New Roman"/>
          <w:b w:val="false"/>
          <w:bCs w:val="false"/>
          <w:i w:val="false"/>
          <w:iCs w:val="false"/>
          <w:sz w:val="22"/>
          <w:szCs w:val="22"/>
        </w:rPr>
        <w:t xml:space="preserve"> (Oxford, 1989).</w:t>
      </w:r>
    </w:p>
    <w:p>
      <w:pPr>
        <w:keepNext/>
        <w:spacing w:after="40" w:before="140"/>
      </w:pPr>
      <w:r>
        <w:rPr>
          <w:rFonts w:ascii="Times New Roman" w:cs="Times New Roman" w:eastAsia="Times New Roman" w:hAnsi="Times New Roman"/>
          <w:b/>
          <w:bCs/>
          <w:sz w:val="22"/>
          <w:szCs w:val="22"/>
        </w:rPr>
        <w:t xml:space="preserve">Week 3: Portuguese and Spanish Imperial Dealings with Asian States</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Engagements in India, Southeast Asia, China, Japan; diplomacy, conflict, accommodation; geopolitical impact.</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Review a digital timeline of early Portuguese and Spanish encounters across Asia, identifying turning points and reflecting on how local dynamics influenced outcomes in different contexts.</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Subrahmanyam, Sanjay. </w:t>
      </w:r>
      <w:r>
        <w:rPr>
          <w:rFonts w:ascii="Times New Roman" w:cs="Times New Roman" w:eastAsia="Times New Roman" w:hAnsi="Times New Roman"/>
          <w:b w:val="false"/>
          <w:bCs w:val="false"/>
          <w:i/>
          <w:iCs/>
          <w:sz w:val="22"/>
          <w:szCs w:val="22"/>
        </w:rPr>
        <w:t xml:space="preserve">The Portuguese Empire in Asia, 1500–1700: A Political and Economic History</w:t>
      </w:r>
      <w:r>
        <w:rPr>
          <w:rFonts w:ascii="Times New Roman" w:cs="Times New Roman" w:eastAsia="Times New Roman" w:hAnsi="Times New Roman"/>
          <w:b w:val="false"/>
          <w:bCs w:val="false"/>
          <w:i w:val="false"/>
          <w:iCs w:val="false"/>
          <w:sz w:val="22"/>
          <w:szCs w:val="22"/>
        </w:rPr>
        <w:t xml:space="preserve"> (Longman, 1993).</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Flynn, Dennis O., and Arturo Giráldez. ‘Born with a “Silver Spoon”: The Origin of World Trade in 1571,’ </w:t>
      </w:r>
      <w:r>
        <w:rPr>
          <w:rFonts w:ascii="Times New Roman" w:cs="Times New Roman" w:eastAsia="Times New Roman" w:hAnsi="Times New Roman"/>
          <w:b w:val="false"/>
          <w:bCs w:val="false"/>
          <w:i/>
          <w:iCs/>
          <w:sz w:val="22"/>
          <w:szCs w:val="22"/>
        </w:rPr>
        <w:t xml:space="preserve">Journal of World History</w:t>
      </w:r>
      <w:r>
        <w:rPr>
          <w:rFonts w:ascii="Times New Roman" w:cs="Times New Roman" w:eastAsia="Times New Roman" w:hAnsi="Times New Roman"/>
          <w:b w:val="false"/>
          <w:bCs w:val="false"/>
          <w:i w:val="false"/>
          <w:iCs w:val="false"/>
          <w:sz w:val="22"/>
          <w:szCs w:val="22"/>
        </w:rPr>
        <w:t xml:space="preserve"> 6, no. 2 (1995): 201–221.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Phelan, John L. </w:t>
      </w:r>
      <w:r>
        <w:rPr>
          <w:rFonts w:ascii="Times New Roman" w:cs="Times New Roman" w:eastAsia="Times New Roman" w:hAnsi="Times New Roman"/>
          <w:b w:val="false"/>
          <w:bCs w:val="false"/>
          <w:i/>
          <w:iCs/>
          <w:sz w:val="22"/>
          <w:szCs w:val="22"/>
        </w:rPr>
        <w:t xml:space="preserve">The Hispanization of the Philippines: Spanish Aims and Filipino Responses, 1565–1700</w:t>
      </w:r>
      <w:r>
        <w:rPr>
          <w:rFonts w:ascii="Times New Roman" w:cs="Times New Roman" w:eastAsia="Times New Roman" w:hAnsi="Times New Roman"/>
          <w:b w:val="false"/>
          <w:bCs w:val="false"/>
          <w:i w:val="false"/>
          <w:iCs w:val="false"/>
          <w:sz w:val="22"/>
          <w:szCs w:val="22"/>
        </w:rPr>
        <w:t xml:space="preserve"> (Wisconsin, 1959; reprint 2010).</w:t>
      </w:r>
    </w:p>
    <w:p>
      <w:pPr>
        <w:keepNext/>
        <w:spacing w:after="40" w:before="140"/>
      </w:pPr>
      <w:r>
        <w:rPr>
          <w:rFonts w:ascii="Times New Roman" w:cs="Times New Roman" w:eastAsia="Times New Roman" w:hAnsi="Times New Roman"/>
          <w:b/>
          <w:bCs/>
          <w:sz w:val="22"/>
          <w:szCs w:val="22"/>
        </w:rPr>
        <w:t xml:space="preserve">Week 4: Capturing Maritime Trade through Force — Portuguese and Spanish Naval Dominance and Piracy</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Violence, fortifications, and coercion (Goa, Malacca, Macao, Manila); cartaz </w:t>
      </w:r>
      <w:r>
        <w:rPr>
          <w:rFonts w:ascii="Times New Roman" w:cs="Times New Roman" w:eastAsia="Times New Roman" w:hAnsi="Times New Roman"/>
          <w:b w:val="false"/>
          <w:bCs w:val="false"/>
          <w:sz w:val="22"/>
          <w:szCs w:val="22"/>
        </w:rPr>
        <w:t xml:space="preserve">system, privateering, piracy; resistance and rivalry; limits of Iberian power.</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Play a short web game simulating Portuguese imperial strategy, balancing legitimate trade, coercion, piracy, and smuggling.</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Boxer, Charles Ralph. </w:t>
      </w:r>
      <w:r>
        <w:rPr>
          <w:rFonts w:ascii="Times New Roman" w:cs="Times New Roman" w:eastAsia="Times New Roman" w:hAnsi="Times New Roman"/>
          <w:b w:val="false"/>
          <w:bCs w:val="false"/>
          <w:i/>
          <w:iCs/>
          <w:sz w:val="22"/>
          <w:szCs w:val="22"/>
        </w:rPr>
        <w:t xml:space="preserve">The Christian Century in Japan, 1549–1650</w:t>
      </w:r>
      <w:r>
        <w:rPr>
          <w:rFonts w:ascii="Times New Roman" w:cs="Times New Roman" w:eastAsia="Times New Roman" w:hAnsi="Times New Roman"/>
          <w:b w:val="false"/>
          <w:bCs w:val="false"/>
          <w:i w:val="false"/>
          <w:iCs w:val="false"/>
          <w:sz w:val="22"/>
          <w:szCs w:val="22"/>
        </w:rPr>
        <w:t xml:space="preserve"> (California, 1951).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Flannery, Kristie. </w:t>
      </w:r>
      <w:r>
        <w:rPr>
          <w:rFonts w:ascii="Times New Roman" w:cs="Times New Roman" w:eastAsia="Times New Roman" w:hAnsi="Times New Roman"/>
          <w:b w:val="false"/>
          <w:bCs w:val="false"/>
          <w:i/>
          <w:iCs/>
          <w:sz w:val="22"/>
          <w:szCs w:val="22"/>
        </w:rPr>
        <w:t xml:space="preserve">Piracy and the Making of the Spanish Pacific World</w:t>
      </w:r>
      <w:r>
        <w:rPr>
          <w:rFonts w:ascii="Times New Roman" w:cs="Times New Roman" w:eastAsia="Times New Roman" w:hAnsi="Times New Roman"/>
          <w:b w:val="false"/>
          <w:bCs w:val="false"/>
          <w:i w:val="false"/>
          <w:iCs w:val="false"/>
          <w:sz w:val="22"/>
          <w:szCs w:val="22"/>
        </w:rPr>
        <w:t xml:space="preserve"> (Penn, 2024).</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Mawson, Stephanie J. </w:t>
      </w:r>
      <w:r>
        <w:rPr>
          <w:rFonts w:ascii="Times New Roman" w:cs="Times New Roman" w:eastAsia="Times New Roman" w:hAnsi="Times New Roman"/>
          <w:b w:val="false"/>
          <w:bCs w:val="false"/>
          <w:i/>
          <w:iCs/>
          <w:sz w:val="22"/>
          <w:szCs w:val="22"/>
        </w:rPr>
        <w:t xml:space="preserve">Incomplete Conquests: The Limits of Spanish Empire in the Seventeenth-Century Philippines</w:t>
      </w:r>
      <w:r>
        <w:rPr>
          <w:rFonts w:ascii="Times New Roman" w:cs="Times New Roman" w:eastAsia="Times New Roman" w:hAnsi="Times New Roman"/>
          <w:b w:val="false"/>
          <w:bCs w:val="false"/>
          <w:i w:val="false"/>
          <w:iCs w:val="false"/>
          <w:sz w:val="22"/>
          <w:szCs w:val="22"/>
        </w:rPr>
        <w:t xml:space="preserve"> (Cornell, 2023).</w:t>
      </w:r>
    </w:p>
    <w:p>
      <w:pPr>
        <w:keepNext/>
        <w:spacing w:after="80" w:before="200"/>
      </w:pPr>
      <w:r>
        <w:rPr>
          <w:rFonts w:ascii="Times New Roman" w:cs="Times New Roman" w:eastAsia="Times New Roman" w:hAnsi="Times New Roman"/>
          <w:b/>
          <w:bCs/>
          <w:color w:val="1F4E79"/>
          <w:sz w:val="24"/>
          <w:szCs w:val="24"/>
        </w:rPr>
        <w:t xml:space="preserve">UNIT 2 — THE RISE OF THE TRADE CORPORATIONS (1600–1750)</w:t>
      </w:r>
    </w:p>
    <w:p>
      <w:pPr>
        <w:keepNext/>
        <w:spacing w:after="40" w:before="140"/>
      </w:pPr>
      <w:r>
        <w:rPr>
          <w:rFonts w:ascii="Times New Roman" w:cs="Times New Roman" w:eastAsia="Times New Roman" w:hAnsi="Times New Roman"/>
          <w:b/>
          <w:bCs/>
          <w:sz w:val="22"/>
          <w:szCs w:val="22"/>
        </w:rPr>
        <w:t xml:space="preserve">Week 5: Metropolitan Context of Early Modern Trade Corporations</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VOC/EIC formation, governance, and ideology; sovereignty and monopolies; state–corporate relations.</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Use Voyant Tools to analyze the language of European trading corporation charters, highlighting how early corporate personhood was framed.</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Stern, Philip J. </w:t>
      </w:r>
      <w:r>
        <w:rPr>
          <w:rFonts w:ascii="Times New Roman" w:cs="Times New Roman" w:eastAsia="Times New Roman" w:hAnsi="Times New Roman"/>
          <w:b w:val="false"/>
          <w:bCs w:val="false"/>
          <w:i/>
          <w:iCs/>
          <w:sz w:val="22"/>
          <w:szCs w:val="22"/>
        </w:rPr>
        <w:t xml:space="preserve">The Company-State: Corporate Sovereignty and the Early Modern Foundations of the British Empire in India</w:t>
      </w:r>
      <w:r>
        <w:rPr>
          <w:rFonts w:ascii="Times New Roman" w:cs="Times New Roman" w:eastAsia="Times New Roman" w:hAnsi="Times New Roman"/>
          <w:b w:val="false"/>
          <w:bCs w:val="false"/>
          <w:i w:val="false"/>
          <w:iCs w:val="false"/>
          <w:sz w:val="22"/>
          <w:szCs w:val="22"/>
        </w:rPr>
        <w:t xml:space="preserve"> (Oxford, 2011).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Weststeijn, Arthur. ‘The VOC as a Company-State: Debating Seventeenth-Century Dutch Colonial Expansion,’ </w:t>
      </w:r>
      <w:r>
        <w:rPr>
          <w:rFonts w:ascii="Times New Roman" w:cs="Times New Roman" w:eastAsia="Times New Roman" w:hAnsi="Times New Roman"/>
          <w:b w:val="false"/>
          <w:bCs w:val="false"/>
          <w:i/>
          <w:iCs/>
          <w:sz w:val="22"/>
          <w:szCs w:val="22"/>
        </w:rPr>
        <w:t xml:space="preserve">Itinerario</w:t>
      </w:r>
      <w:r>
        <w:rPr>
          <w:rFonts w:ascii="Times New Roman" w:cs="Times New Roman" w:eastAsia="Times New Roman" w:hAnsi="Times New Roman"/>
          <w:b w:val="false"/>
          <w:bCs w:val="false"/>
          <w:i w:val="false"/>
          <w:iCs w:val="false"/>
          <w:sz w:val="22"/>
          <w:szCs w:val="22"/>
        </w:rPr>
        <w:t xml:space="preserve"> 38, no. 1 (2014): 13–34.</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Boxer, C. R. </w:t>
      </w:r>
      <w:r>
        <w:rPr>
          <w:rFonts w:ascii="Times New Roman" w:cs="Times New Roman" w:eastAsia="Times New Roman" w:hAnsi="Times New Roman"/>
          <w:b w:val="false"/>
          <w:bCs w:val="false"/>
          <w:i/>
          <w:iCs/>
          <w:sz w:val="22"/>
          <w:szCs w:val="22"/>
        </w:rPr>
        <w:t xml:space="preserve">The Dutch Seaborne Empire, 1600–1800</w:t>
      </w:r>
      <w:r>
        <w:rPr>
          <w:rFonts w:ascii="Times New Roman" w:cs="Times New Roman" w:eastAsia="Times New Roman" w:hAnsi="Times New Roman"/>
          <w:b w:val="false"/>
          <w:bCs w:val="false"/>
          <w:i w:val="false"/>
          <w:iCs w:val="false"/>
          <w:sz w:val="22"/>
          <w:szCs w:val="22"/>
        </w:rPr>
        <w:t xml:space="preserve"> (Penguin, 1965).</w:t>
      </w:r>
    </w:p>
    <w:p>
      <w:pPr>
        <w:keepNext/>
        <w:spacing w:after="40" w:before="140"/>
      </w:pPr>
      <w:r>
        <w:rPr>
          <w:rFonts w:ascii="Times New Roman" w:cs="Times New Roman" w:eastAsia="Times New Roman" w:hAnsi="Times New Roman"/>
          <w:b/>
          <w:bCs/>
          <w:sz w:val="22"/>
          <w:szCs w:val="22"/>
        </w:rPr>
        <w:t xml:space="preserve">Week 6: Early Strategies of Interpenetration with Indigenous Orders</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Diplomatic integration, cultural adaptation, alliances; mutual accommodation at Asian courts (Mughal India, Qing China, Tokugawa Japan).</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Read a short interactive narrative in Twine, clicking through the role of an envoy at an Asian court and comparing outcomes across different choices.</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Subrahmanyam, Sanjay. </w:t>
      </w:r>
      <w:r>
        <w:rPr>
          <w:rFonts w:ascii="Times New Roman" w:cs="Times New Roman" w:eastAsia="Times New Roman" w:hAnsi="Times New Roman"/>
          <w:b w:val="false"/>
          <w:bCs w:val="false"/>
          <w:i/>
          <w:iCs/>
          <w:sz w:val="22"/>
          <w:szCs w:val="22"/>
        </w:rPr>
        <w:t xml:space="preserve">Courtly Encounters: Translating Courtliness and Violence in Early Modern Eurasia</w:t>
      </w:r>
      <w:r>
        <w:rPr>
          <w:rFonts w:ascii="Times New Roman" w:cs="Times New Roman" w:eastAsia="Times New Roman" w:hAnsi="Times New Roman"/>
          <w:b w:val="false"/>
          <w:bCs w:val="false"/>
          <w:i w:val="false"/>
          <w:iCs w:val="false"/>
          <w:sz w:val="22"/>
          <w:szCs w:val="22"/>
        </w:rPr>
        <w:t xml:space="preserve"> (Harvard, 2012).</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Veevers, David. </w:t>
      </w:r>
      <w:r>
        <w:rPr>
          <w:rFonts w:ascii="Times New Roman" w:cs="Times New Roman" w:eastAsia="Times New Roman" w:hAnsi="Times New Roman"/>
          <w:b w:val="false"/>
          <w:bCs w:val="false"/>
          <w:i/>
          <w:iCs/>
          <w:sz w:val="22"/>
          <w:szCs w:val="22"/>
        </w:rPr>
        <w:t xml:space="preserve">The Origins of the British Empire in Asia, 1600–1750</w:t>
      </w:r>
      <w:r>
        <w:rPr>
          <w:rFonts w:ascii="Times New Roman" w:cs="Times New Roman" w:eastAsia="Times New Roman" w:hAnsi="Times New Roman"/>
          <w:b w:val="false"/>
          <w:bCs w:val="false"/>
          <w:i w:val="false"/>
          <w:iCs w:val="false"/>
          <w:sz w:val="22"/>
          <w:szCs w:val="22"/>
        </w:rPr>
        <w:t xml:space="preserve"> (Cambridge, 2020).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Clulow, Adam. </w:t>
      </w:r>
      <w:r>
        <w:rPr>
          <w:rFonts w:ascii="Times New Roman" w:cs="Times New Roman" w:eastAsia="Times New Roman" w:hAnsi="Times New Roman"/>
          <w:b w:val="false"/>
          <w:bCs w:val="false"/>
          <w:i/>
          <w:iCs/>
          <w:sz w:val="22"/>
          <w:szCs w:val="22"/>
        </w:rPr>
        <w:t xml:space="preserve">The Company and the Shogun: The Dutch Encounter with Tokugawa Japan</w:t>
      </w:r>
      <w:r>
        <w:rPr>
          <w:rFonts w:ascii="Times New Roman" w:cs="Times New Roman" w:eastAsia="Times New Roman" w:hAnsi="Times New Roman"/>
          <w:b w:val="false"/>
          <w:bCs w:val="false"/>
          <w:i w:val="false"/>
          <w:iCs w:val="false"/>
          <w:sz w:val="22"/>
          <w:szCs w:val="22"/>
        </w:rPr>
        <w:t xml:space="preserve"> (Columbia, 2014).</w:t>
      </w:r>
    </w:p>
    <w:p>
      <w:pPr>
        <w:keepNext/>
        <w:spacing w:after="40" w:before="140"/>
      </w:pPr>
      <w:r>
        <w:rPr>
          <w:rFonts w:ascii="Times New Roman" w:cs="Times New Roman" w:eastAsia="Times New Roman" w:hAnsi="Times New Roman"/>
          <w:b/>
          <w:bCs/>
          <w:sz w:val="22"/>
          <w:szCs w:val="22"/>
        </w:rPr>
        <w:t xml:space="preserve">Week 7: Interimperial Competition in Asia and Increasing Militarization</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British, French, and Dutch rivalry; shift from commercial competition to conflict and conquest; effects on indigenous states and societies.</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Explore an interactive mapping exhibit plotting European battles, analyzing how Anglo–French rivalry reshaped politics across India.</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Marshall, P. J. </w:t>
      </w:r>
      <w:r>
        <w:rPr>
          <w:rFonts w:ascii="Times New Roman" w:cs="Times New Roman" w:eastAsia="Times New Roman" w:hAnsi="Times New Roman"/>
          <w:b w:val="false"/>
          <w:bCs w:val="false"/>
          <w:i/>
          <w:iCs/>
          <w:sz w:val="22"/>
          <w:szCs w:val="22"/>
        </w:rPr>
        <w:t xml:space="preserve">Bengal: The British Bridgehead: Eastern India 1740–1828</w:t>
      </w:r>
      <w:r>
        <w:rPr>
          <w:rFonts w:ascii="Times New Roman" w:cs="Times New Roman" w:eastAsia="Times New Roman" w:hAnsi="Times New Roman"/>
          <w:b w:val="false"/>
          <w:bCs w:val="false"/>
          <w:i w:val="false"/>
          <w:iCs w:val="false"/>
          <w:sz w:val="22"/>
          <w:szCs w:val="22"/>
        </w:rPr>
        <w:t xml:space="preserve"> (Cambridge, 1987).</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Furber, Holden. </w:t>
      </w:r>
      <w:r>
        <w:rPr>
          <w:rFonts w:ascii="Times New Roman" w:cs="Times New Roman" w:eastAsia="Times New Roman" w:hAnsi="Times New Roman"/>
          <w:b w:val="false"/>
          <w:bCs w:val="false"/>
          <w:i/>
          <w:iCs/>
          <w:sz w:val="22"/>
          <w:szCs w:val="22"/>
        </w:rPr>
        <w:t xml:space="preserve">Rival Empires of Trade in the Orient, 1600–1800</w:t>
      </w:r>
      <w:r>
        <w:rPr>
          <w:rFonts w:ascii="Times New Roman" w:cs="Times New Roman" w:eastAsia="Times New Roman" w:hAnsi="Times New Roman"/>
          <w:b w:val="false"/>
          <w:bCs w:val="false"/>
          <w:i w:val="false"/>
          <w:iCs w:val="false"/>
          <w:sz w:val="22"/>
          <w:szCs w:val="22"/>
        </w:rPr>
        <w:t xml:space="preserve"> (Minnesota, 1976).</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Bayly, C. A. </w:t>
      </w:r>
      <w:r>
        <w:rPr>
          <w:rFonts w:ascii="Times New Roman" w:cs="Times New Roman" w:eastAsia="Times New Roman" w:hAnsi="Times New Roman"/>
          <w:b w:val="false"/>
          <w:bCs w:val="false"/>
          <w:i/>
          <w:iCs/>
          <w:sz w:val="22"/>
          <w:szCs w:val="22"/>
        </w:rPr>
        <w:t xml:space="preserve">The Birth of the Modern World, 1780–1914: Global Connections and Comparisons</w:t>
      </w:r>
      <w:r>
        <w:rPr>
          <w:rFonts w:ascii="Times New Roman" w:cs="Times New Roman" w:eastAsia="Times New Roman" w:hAnsi="Times New Roman"/>
          <w:b w:val="false"/>
          <w:bCs w:val="false"/>
          <w:i w:val="false"/>
          <w:iCs w:val="false"/>
          <w:sz w:val="22"/>
          <w:szCs w:val="22"/>
        </w:rPr>
        <w:t xml:space="preserve"> (Blackwell, 2004).</w:t>
      </w:r>
    </w:p>
    <w:p>
      <w:pPr>
        <w:keepNext/>
        <w:spacing w:after="40" w:before="140"/>
      </w:pPr>
      <w:r>
        <w:rPr>
          <w:rFonts w:ascii="Times New Roman" w:cs="Times New Roman" w:eastAsia="Times New Roman" w:hAnsi="Times New Roman"/>
          <w:b/>
          <w:bCs/>
          <w:sz w:val="22"/>
          <w:szCs w:val="22"/>
        </w:rPr>
        <w:t xml:space="preserve">Week 8: Indigenous Responses — Collaboration, Competition, and Resistance</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Collaboration, strategic alliances, competition, resistance, rebellion; case studies: Southeast Asia (Maluku) and South India (Mysore).</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Engage with a multimedia exhibit featuring petitions, letters, and chronicles responding in different ways to increased European power through collaboration, competition, and resistance.</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Andaya, Leonard Y. </w:t>
      </w:r>
      <w:r>
        <w:rPr>
          <w:rFonts w:ascii="Times New Roman" w:cs="Times New Roman" w:eastAsia="Times New Roman" w:hAnsi="Times New Roman"/>
          <w:b w:val="false"/>
          <w:bCs w:val="false"/>
          <w:i/>
          <w:iCs/>
          <w:sz w:val="22"/>
          <w:szCs w:val="22"/>
        </w:rPr>
        <w:t xml:space="preserve">The World of Maluku: Eastern Indonesia in the Early Modern Era</w:t>
      </w:r>
      <w:r>
        <w:rPr>
          <w:rFonts w:ascii="Times New Roman" w:cs="Times New Roman" w:eastAsia="Times New Roman" w:hAnsi="Times New Roman"/>
          <w:b w:val="false"/>
          <w:bCs w:val="false"/>
          <w:i w:val="false"/>
          <w:iCs w:val="false"/>
          <w:sz w:val="22"/>
          <w:szCs w:val="22"/>
        </w:rPr>
        <w:t xml:space="preserve"> (Hawai‘i, 1993).</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Brittlebank, Kate. </w:t>
      </w:r>
      <w:r>
        <w:rPr>
          <w:rFonts w:ascii="Times New Roman" w:cs="Times New Roman" w:eastAsia="Times New Roman" w:hAnsi="Times New Roman"/>
          <w:b w:val="false"/>
          <w:bCs w:val="false"/>
          <w:i/>
          <w:iCs/>
          <w:sz w:val="22"/>
          <w:szCs w:val="22"/>
        </w:rPr>
        <w:t xml:space="preserve">Tipu Sultan’s Search for Legitimacy: Islam and Kingship in a Hindu Domain</w:t>
      </w:r>
      <w:r>
        <w:rPr>
          <w:rFonts w:ascii="Times New Roman" w:cs="Times New Roman" w:eastAsia="Times New Roman" w:hAnsi="Times New Roman"/>
          <w:b w:val="false"/>
          <w:bCs w:val="false"/>
          <w:i w:val="false"/>
          <w:iCs w:val="false"/>
          <w:sz w:val="22"/>
          <w:szCs w:val="22"/>
        </w:rPr>
        <w:t xml:space="preserve"> (Oxford, 1997).</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Bayly, C. A. </w:t>
      </w:r>
      <w:r>
        <w:rPr>
          <w:rFonts w:ascii="Times New Roman" w:cs="Times New Roman" w:eastAsia="Times New Roman" w:hAnsi="Times New Roman"/>
          <w:b w:val="false"/>
          <w:bCs w:val="false"/>
          <w:i/>
          <w:iCs/>
          <w:sz w:val="22"/>
          <w:szCs w:val="22"/>
        </w:rPr>
        <w:t xml:space="preserve">Indian Society and the Making of the British Empire</w:t>
      </w:r>
      <w:r>
        <w:rPr>
          <w:rFonts w:ascii="Times New Roman" w:cs="Times New Roman" w:eastAsia="Times New Roman" w:hAnsi="Times New Roman"/>
          <w:b w:val="false"/>
          <w:bCs w:val="false"/>
          <w:i w:val="false"/>
          <w:iCs w:val="false"/>
          <w:sz w:val="22"/>
          <w:szCs w:val="22"/>
        </w:rPr>
        <w:t xml:space="preserve"> (Cambridge, 1988).</w:t>
      </w:r>
    </w:p>
    <w:p>
      <w:pPr>
        <w:keepNext/>
        <w:spacing w:after="80" w:before="200"/>
      </w:pPr>
      <w:r>
        <w:rPr>
          <w:rFonts w:ascii="Times New Roman" w:cs="Times New Roman" w:eastAsia="Times New Roman" w:hAnsi="Times New Roman"/>
          <w:b/>
          <w:bCs/>
          <w:color w:val="1F4E79"/>
          <w:sz w:val="24"/>
          <w:szCs w:val="24"/>
        </w:rPr>
        <w:t xml:space="preserve">UNIT 3 — DEEPENING IMPERIAL GRASP AND METROPOLITAN INVOLVEMENT (1750–1850)</w:t>
      </w:r>
    </w:p>
    <w:p>
      <w:pPr>
        <w:keepNext/>
        <w:spacing w:after="40" w:before="140"/>
      </w:pPr>
      <w:r>
        <w:rPr>
          <w:rFonts w:ascii="Times New Roman" w:cs="Times New Roman" w:eastAsia="Times New Roman" w:hAnsi="Times New Roman"/>
          <w:b/>
          <w:bCs/>
          <w:sz w:val="22"/>
          <w:szCs w:val="22"/>
        </w:rPr>
        <w:t xml:space="preserve">Week 9: British Expansion in India</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EIC’s transition to territorial rule; Plassey (1757), Diwani (1765), Permanent Settlement (1793); collaboration with indigenous elites; social transformations.</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Examine a curated set of land revenue records and maps from Bengal, considering how the Permanent Settlement reshaped agrarian relations.</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Dirks, Nicholas B. </w:t>
      </w:r>
      <w:r>
        <w:rPr>
          <w:rFonts w:ascii="Times New Roman" w:cs="Times New Roman" w:eastAsia="Times New Roman" w:hAnsi="Times New Roman"/>
          <w:b w:val="false"/>
          <w:bCs w:val="false"/>
          <w:i/>
          <w:iCs/>
          <w:sz w:val="22"/>
          <w:szCs w:val="22"/>
        </w:rPr>
        <w:t xml:space="preserve">The Scandal of Empire: India and the Creation of Imperial Britain</w:t>
      </w:r>
      <w:r>
        <w:rPr>
          <w:rFonts w:ascii="Times New Roman" w:cs="Times New Roman" w:eastAsia="Times New Roman" w:hAnsi="Times New Roman"/>
          <w:b w:val="false"/>
          <w:bCs w:val="false"/>
          <w:i w:val="false"/>
          <w:iCs w:val="false"/>
          <w:sz w:val="22"/>
          <w:szCs w:val="22"/>
        </w:rPr>
        <w:t xml:space="preserve"> (Harvard, 2006).</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Guha, Ranajit. </w:t>
      </w:r>
      <w:r>
        <w:rPr>
          <w:rFonts w:ascii="Times New Roman" w:cs="Times New Roman" w:eastAsia="Times New Roman" w:hAnsi="Times New Roman"/>
          <w:b w:val="false"/>
          <w:bCs w:val="false"/>
          <w:i/>
          <w:iCs/>
          <w:sz w:val="22"/>
          <w:szCs w:val="22"/>
        </w:rPr>
        <w:t xml:space="preserve">A Rule of Property for Bengal: An Essay on the Idea of Permanent Settlement</w:t>
      </w:r>
      <w:r>
        <w:rPr>
          <w:rFonts w:ascii="Times New Roman" w:cs="Times New Roman" w:eastAsia="Times New Roman" w:hAnsi="Times New Roman"/>
          <w:b w:val="false"/>
          <w:bCs w:val="false"/>
          <w:i w:val="false"/>
          <w:iCs w:val="false"/>
          <w:sz w:val="22"/>
          <w:szCs w:val="22"/>
        </w:rPr>
        <w:t xml:space="preserve"> (Duke, 1996 [1963]).</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Bayly, C. A. </w:t>
      </w:r>
      <w:r>
        <w:rPr>
          <w:rFonts w:ascii="Times New Roman" w:cs="Times New Roman" w:eastAsia="Times New Roman" w:hAnsi="Times New Roman"/>
          <w:b w:val="false"/>
          <w:bCs w:val="false"/>
          <w:i/>
          <w:iCs/>
          <w:sz w:val="22"/>
          <w:szCs w:val="22"/>
        </w:rPr>
        <w:t xml:space="preserve">Empire and Information: Intelligence Gathering and Social Communication in India, 1780–1870</w:t>
      </w:r>
      <w:r>
        <w:rPr>
          <w:rFonts w:ascii="Times New Roman" w:cs="Times New Roman" w:eastAsia="Times New Roman" w:hAnsi="Times New Roman"/>
          <w:b w:val="false"/>
          <w:bCs w:val="false"/>
          <w:i w:val="false"/>
          <w:iCs w:val="false"/>
          <w:sz w:val="22"/>
          <w:szCs w:val="22"/>
        </w:rPr>
        <w:t xml:space="preserve"> (Cambridge, 1996).</w:t>
      </w:r>
    </w:p>
    <w:p>
      <w:pPr>
        <w:keepNext/>
        <w:spacing w:after="40" w:before="140"/>
      </w:pPr>
      <w:r>
        <w:rPr>
          <w:rFonts w:ascii="Times New Roman" w:cs="Times New Roman" w:eastAsia="Times New Roman" w:hAnsi="Times New Roman"/>
          <w:b/>
          <w:bCs/>
          <w:sz w:val="22"/>
          <w:szCs w:val="22"/>
        </w:rPr>
        <w:t xml:space="preserve">Week 10: Informal Imperialism in China</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Canton System and opium commerce; diplomacy leading to the First Opium War (1839–1842); Qing resistance and reforms.</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Examine a Tableau dataset of economic statistics related to the Canton trade, interpreting import–export trends.</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Hevia, James L. </w:t>
      </w:r>
      <w:r>
        <w:rPr>
          <w:rFonts w:ascii="Times New Roman" w:cs="Times New Roman" w:eastAsia="Times New Roman" w:hAnsi="Times New Roman"/>
          <w:b w:val="false"/>
          <w:bCs w:val="false"/>
          <w:i/>
          <w:iCs/>
          <w:sz w:val="22"/>
          <w:szCs w:val="22"/>
        </w:rPr>
        <w:t xml:space="preserve">Cherishing Men from Afar: Qing Guest Ritual and the Macartney Embassy of 1793</w:t>
      </w:r>
      <w:r>
        <w:rPr>
          <w:rFonts w:ascii="Times New Roman" w:cs="Times New Roman" w:eastAsia="Times New Roman" w:hAnsi="Times New Roman"/>
          <w:b w:val="false"/>
          <w:bCs w:val="false"/>
          <w:i w:val="false"/>
          <w:iCs w:val="false"/>
          <w:sz w:val="22"/>
          <w:szCs w:val="22"/>
        </w:rPr>
        <w:t xml:space="preserve"> (Duke, 1995).</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Lovell, Julia. </w:t>
      </w:r>
      <w:r>
        <w:rPr>
          <w:rFonts w:ascii="Times New Roman" w:cs="Times New Roman" w:eastAsia="Times New Roman" w:hAnsi="Times New Roman"/>
          <w:b w:val="false"/>
          <w:bCs w:val="false"/>
          <w:i/>
          <w:iCs/>
          <w:sz w:val="22"/>
          <w:szCs w:val="22"/>
        </w:rPr>
        <w:t xml:space="preserve">The Opium War: Drugs, Dreams, and the Making of Modern China</w:t>
      </w:r>
      <w:r>
        <w:rPr>
          <w:rFonts w:ascii="Times New Roman" w:cs="Times New Roman" w:eastAsia="Times New Roman" w:hAnsi="Times New Roman"/>
          <w:b w:val="false"/>
          <w:bCs w:val="false"/>
          <w:i w:val="false"/>
          <w:iCs w:val="false"/>
          <w:sz w:val="22"/>
          <w:szCs w:val="22"/>
        </w:rPr>
        <w:t xml:space="preserve"> (Picador, 2011).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Fairbank, John K., ed. </w:t>
      </w:r>
      <w:r>
        <w:rPr>
          <w:rFonts w:ascii="Times New Roman" w:cs="Times New Roman" w:eastAsia="Times New Roman" w:hAnsi="Times New Roman"/>
          <w:b w:val="false"/>
          <w:bCs w:val="false"/>
          <w:i/>
          <w:iCs/>
          <w:sz w:val="22"/>
          <w:szCs w:val="22"/>
        </w:rPr>
        <w:t xml:space="preserve">The Chinese World Order: Traditional China’s Foreign Relations</w:t>
      </w:r>
      <w:r>
        <w:rPr>
          <w:rFonts w:ascii="Times New Roman" w:cs="Times New Roman" w:eastAsia="Times New Roman" w:hAnsi="Times New Roman"/>
          <w:b w:val="false"/>
          <w:bCs w:val="false"/>
          <w:i w:val="false"/>
          <w:iCs w:val="false"/>
          <w:sz w:val="22"/>
          <w:szCs w:val="22"/>
        </w:rPr>
        <w:t xml:space="preserve"> (Harvard, 1968).</w:t>
      </w:r>
    </w:p>
    <w:p>
      <w:pPr>
        <w:keepNext/>
        <w:spacing w:after="40" w:before="140"/>
      </w:pPr>
      <w:r>
        <w:rPr>
          <w:rFonts w:ascii="Times New Roman" w:cs="Times New Roman" w:eastAsia="Times New Roman" w:hAnsi="Times New Roman"/>
          <w:b/>
          <w:bCs/>
          <w:sz w:val="22"/>
          <w:szCs w:val="22"/>
        </w:rPr>
        <w:t xml:space="preserve">Week 11: French Imperial Expansion in Southeast Asia</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Early French colonialism in Indochina (Vietnam, Cambodia); missionaries, diplomacy, military strategy; local reactions.</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Explore a StoryMapJS exhibit tracing French missionary, military, and diplomatic routes into Indochina, Cambodia, and Laos.</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Brocheux, Pierre, and Daniel Hémery. </w:t>
      </w:r>
      <w:r>
        <w:rPr>
          <w:rFonts w:ascii="Times New Roman" w:cs="Times New Roman" w:eastAsia="Times New Roman" w:hAnsi="Times New Roman"/>
          <w:b w:val="false"/>
          <w:bCs w:val="false"/>
          <w:i/>
          <w:iCs/>
          <w:sz w:val="22"/>
          <w:szCs w:val="22"/>
        </w:rPr>
        <w:t xml:space="preserve">Indochina: An Ambiguous Colonization, 1858–1954</w:t>
      </w:r>
      <w:r>
        <w:rPr>
          <w:rFonts w:ascii="Times New Roman" w:cs="Times New Roman" w:eastAsia="Times New Roman" w:hAnsi="Times New Roman"/>
          <w:b w:val="false"/>
          <w:bCs w:val="false"/>
          <w:i w:val="false"/>
          <w:iCs w:val="false"/>
          <w:sz w:val="22"/>
          <w:szCs w:val="22"/>
        </w:rPr>
        <w:t xml:space="preserve"> (California, 2009).</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McLeod, Mark W. </w:t>
      </w:r>
      <w:r>
        <w:rPr>
          <w:rFonts w:ascii="Times New Roman" w:cs="Times New Roman" w:eastAsia="Times New Roman" w:hAnsi="Times New Roman"/>
          <w:b w:val="false"/>
          <w:bCs w:val="false"/>
          <w:i/>
          <w:iCs/>
          <w:sz w:val="22"/>
          <w:szCs w:val="22"/>
        </w:rPr>
        <w:t xml:space="preserve">The Vietnamese Response to French Intervention, 1862–1874</w:t>
      </w:r>
      <w:r>
        <w:rPr>
          <w:rFonts w:ascii="Times New Roman" w:cs="Times New Roman" w:eastAsia="Times New Roman" w:hAnsi="Times New Roman"/>
          <w:b w:val="false"/>
          <w:bCs w:val="false"/>
          <w:i w:val="false"/>
          <w:iCs w:val="false"/>
          <w:sz w:val="22"/>
          <w:szCs w:val="22"/>
        </w:rPr>
        <w:t xml:space="preserve"> (Praeger, 1991).</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Chandler, David. </w:t>
      </w:r>
      <w:r>
        <w:rPr>
          <w:rFonts w:ascii="Times New Roman" w:cs="Times New Roman" w:eastAsia="Times New Roman" w:hAnsi="Times New Roman"/>
          <w:b w:val="false"/>
          <w:bCs w:val="false"/>
          <w:i/>
          <w:iCs/>
          <w:sz w:val="22"/>
          <w:szCs w:val="22"/>
        </w:rPr>
        <w:t xml:space="preserve">A History of Cambodia</w:t>
      </w:r>
      <w:r>
        <w:rPr>
          <w:rFonts w:ascii="Times New Roman" w:cs="Times New Roman" w:eastAsia="Times New Roman" w:hAnsi="Times New Roman"/>
          <w:b w:val="false"/>
          <w:bCs w:val="false"/>
          <w:i w:val="false"/>
          <w:iCs w:val="false"/>
          <w:sz w:val="22"/>
          <w:szCs w:val="22"/>
        </w:rPr>
        <w:t xml:space="preserve"> (4th ed., Westview, 2007).</w:t>
      </w:r>
    </w:p>
    <w:p>
      <w:pPr>
        <w:keepNext/>
        <w:spacing w:after="40" w:before="140"/>
      </w:pPr>
      <w:r>
        <w:rPr>
          <w:rFonts w:ascii="Times New Roman" w:cs="Times New Roman" w:eastAsia="Times New Roman" w:hAnsi="Times New Roman"/>
          <w:b/>
          <w:bCs/>
          <w:sz w:val="22"/>
          <w:szCs w:val="22"/>
        </w:rPr>
        <w:t xml:space="preserve">Week 12: Russian Imperial Expansion in Asia and the Great Game</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Russia’s expansion across Siberia, the Caucasus, and Central Asia; geopolitical rivalry with Britain (“Great Game”); comparison to Qing borderlands expansion.</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Construct a map of the borderlands between Russia and the Qing dynasty in Inner Asia, examining similarities and differences in strategies of frontier control.</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Khodarkovsky, Michael. </w:t>
      </w:r>
      <w:r>
        <w:rPr>
          <w:rFonts w:ascii="Times New Roman" w:cs="Times New Roman" w:eastAsia="Times New Roman" w:hAnsi="Times New Roman"/>
          <w:b w:val="false"/>
          <w:bCs w:val="false"/>
          <w:i/>
          <w:iCs/>
          <w:sz w:val="22"/>
          <w:szCs w:val="22"/>
        </w:rPr>
        <w:t xml:space="preserve">Russia’s Steppe Frontier: The Making of a Colonial Empire, 1500–1800</w:t>
      </w:r>
      <w:r>
        <w:rPr>
          <w:rFonts w:ascii="Times New Roman" w:cs="Times New Roman" w:eastAsia="Times New Roman" w:hAnsi="Times New Roman"/>
          <w:b w:val="false"/>
          <w:bCs w:val="false"/>
          <w:i w:val="false"/>
          <w:iCs w:val="false"/>
          <w:sz w:val="22"/>
          <w:szCs w:val="22"/>
        </w:rPr>
        <w:t xml:space="preserve"> (Indiana, 2002).</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Hopkirk, Peter. </w:t>
      </w:r>
      <w:r>
        <w:rPr>
          <w:rFonts w:ascii="Times New Roman" w:cs="Times New Roman" w:eastAsia="Times New Roman" w:hAnsi="Times New Roman"/>
          <w:b w:val="false"/>
          <w:bCs w:val="false"/>
          <w:i/>
          <w:iCs/>
          <w:sz w:val="22"/>
          <w:szCs w:val="22"/>
        </w:rPr>
        <w:t xml:space="preserve">The Great Game: The Struggle for Empire in Central Asia</w:t>
      </w:r>
      <w:r>
        <w:rPr>
          <w:rFonts w:ascii="Times New Roman" w:cs="Times New Roman" w:eastAsia="Times New Roman" w:hAnsi="Times New Roman"/>
          <w:b w:val="false"/>
          <w:bCs w:val="false"/>
          <w:i w:val="false"/>
          <w:iCs w:val="false"/>
          <w:sz w:val="22"/>
          <w:szCs w:val="22"/>
        </w:rPr>
        <w:t xml:space="preserve"> (Kodansha, 1992), selected chapters.</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Perdue, Peter C. </w:t>
      </w:r>
      <w:r>
        <w:rPr>
          <w:rFonts w:ascii="Times New Roman" w:cs="Times New Roman" w:eastAsia="Times New Roman" w:hAnsi="Times New Roman"/>
          <w:b w:val="false"/>
          <w:bCs w:val="false"/>
          <w:i/>
          <w:iCs/>
          <w:sz w:val="22"/>
          <w:szCs w:val="22"/>
        </w:rPr>
        <w:t xml:space="preserve">China Marches West: The Qing Conquest of Central Eurasia</w:t>
      </w:r>
      <w:r>
        <w:rPr>
          <w:rFonts w:ascii="Times New Roman" w:cs="Times New Roman" w:eastAsia="Times New Roman" w:hAnsi="Times New Roman"/>
          <w:b w:val="false"/>
          <w:bCs w:val="false"/>
          <w:i w:val="false"/>
          <w:iCs w:val="false"/>
          <w:sz w:val="22"/>
          <w:szCs w:val="22"/>
        </w:rPr>
        <w:t xml:space="preserve"> (Harvard, 2005).</w:t>
      </w:r>
    </w:p>
    <w:p>
      <w:pPr>
        <w:keepNext/>
        <w:spacing w:after="80" w:before="200"/>
      </w:pPr>
      <w:r>
        <w:rPr>
          <w:rFonts w:ascii="Times New Roman" w:cs="Times New Roman" w:eastAsia="Times New Roman" w:hAnsi="Times New Roman"/>
          <w:b/>
          <w:bCs/>
          <w:color w:val="1F4E79"/>
          <w:sz w:val="24"/>
          <w:szCs w:val="24"/>
        </w:rPr>
        <w:t xml:space="preserve">UNIT 4 — THE TRANSITION TO HIGH COLONIALISM AND THE REWRITING OF THE PAST (1850–present)</w:t>
      </w:r>
    </w:p>
    <w:p>
      <w:pPr>
        <w:keepNext/>
        <w:spacing w:after="40" w:before="140"/>
      </w:pPr>
      <w:r>
        <w:rPr>
          <w:rFonts w:ascii="Times New Roman" w:cs="Times New Roman" w:eastAsia="Times New Roman" w:hAnsi="Times New Roman"/>
          <w:b/>
          <w:bCs/>
          <w:sz w:val="22"/>
          <w:szCs w:val="22"/>
        </w:rPr>
        <w:t xml:space="preserve">Week 13: High Colonial Political, Economic, and Cultural Transformations</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Consolidation of formal territorial rule; transformations in political, legal, and administrative structures; economic change (railways, plantations, monopolies); ideologies and racial hierarchies.</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Construct a digital infographic plotting economic transformations in the high colonial period (railways, plantations, shipping routes), discussing who benefited and who was marginalized.</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Metcalf, Thomas R. </w:t>
      </w:r>
      <w:r>
        <w:rPr>
          <w:rFonts w:ascii="Times New Roman" w:cs="Times New Roman" w:eastAsia="Times New Roman" w:hAnsi="Times New Roman"/>
          <w:b w:val="false"/>
          <w:bCs w:val="false"/>
          <w:i/>
          <w:iCs/>
          <w:sz w:val="22"/>
          <w:szCs w:val="22"/>
        </w:rPr>
        <w:t xml:space="preserve">Ideologies of the Raj</w:t>
      </w:r>
      <w:r>
        <w:rPr>
          <w:rFonts w:ascii="Times New Roman" w:cs="Times New Roman" w:eastAsia="Times New Roman" w:hAnsi="Times New Roman"/>
          <w:b w:val="false"/>
          <w:bCs w:val="false"/>
          <w:i w:val="false"/>
          <w:iCs w:val="false"/>
          <w:sz w:val="22"/>
          <w:szCs w:val="22"/>
        </w:rPr>
        <w:t xml:space="preserve"> (Cambridge, 1995).</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Stokes, Eric. </w:t>
      </w:r>
      <w:r>
        <w:rPr>
          <w:rFonts w:ascii="Times New Roman" w:cs="Times New Roman" w:eastAsia="Times New Roman" w:hAnsi="Times New Roman"/>
          <w:b w:val="false"/>
          <w:bCs w:val="false"/>
          <w:i/>
          <w:iCs/>
          <w:sz w:val="22"/>
          <w:szCs w:val="22"/>
        </w:rPr>
        <w:t xml:space="preserve">The English Utilitarians and India</w:t>
      </w:r>
      <w:r>
        <w:rPr>
          <w:rFonts w:ascii="Times New Roman" w:cs="Times New Roman" w:eastAsia="Times New Roman" w:hAnsi="Times New Roman"/>
          <w:b w:val="false"/>
          <w:bCs w:val="false"/>
          <w:i w:val="false"/>
          <w:iCs w:val="false"/>
          <w:sz w:val="22"/>
          <w:szCs w:val="22"/>
        </w:rPr>
        <w:t xml:space="preserve"> (Clarendon, 1959).</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Cannadine, David. ‘Ornamentalism: How the British Saw Their Empire,’ </w:t>
      </w:r>
      <w:r>
        <w:rPr>
          <w:rFonts w:ascii="Times New Roman" w:cs="Times New Roman" w:eastAsia="Times New Roman" w:hAnsi="Times New Roman"/>
          <w:b w:val="false"/>
          <w:bCs w:val="false"/>
          <w:i/>
          <w:iCs/>
          <w:sz w:val="22"/>
          <w:szCs w:val="22"/>
        </w:rPr>
        <w:t xml:space="preserve">History Today</w:t>
      </w:r>
      <w:r>
        <w:rPr>
          <w:rFonts w:ascii="Times New Roman" w:cs="Times New Roman" w:eastAsia="Times New Roman" w:hAnsi="Times New Roman"/>
          <w:b w:val="false"/>
          <w:bCs w:val="false"/>
          <w:i w:val="false"/>
          <w:iCs w:val="false"/>
          <w:sz w:val="22"/>
          <w:szCs w:val="22"/>
        </w:rPr>
        <w:t xml:space="preserve"> 50, no. 9 (2000): 10–17.</w:t>
      </w:r>
    </w:p>
    <w:p>
      <w:pPr>
        <w:keepNext/>
        <w:spacing w:after="40" w:before="140"/>
      </w:pPr>
      <w:r>
        <w:rPr>
          <w:rFonts w:ascii="Times New Roman" w:cs="Times New Roman" w:eastAsia="Times New Roman" w:hAnsi="Times New Roman"/>
          <w:b/>
          <w:bCs/>
          <w:sz w:val="22"/>
          <w:szCs w:val="22"/>
        </w:rPr>
        <w:t xml:space="preserve">Week 14: Historiographical Legacy — Eurocentrism and Postcolonial Critique</w:t>
      </w:r>
    </w:p>
    <w:p>
      <w:pPr>
        <w:spacing w:after="40" w:line="276"/>
      </w:pPr>
      <w:r>
        <w:rPr>
          <w:rFonts w:ascii="Times New Roman" w:cs="Times New Roman" w:eastAsia="Times New Roman" w:hAnsi="Times New Roman"/>
          <w:b/>
          <w:bCs/>
          <w:sz w:val="22"/>
          <w:szCs w:val="22"/>
        </w:rPr>
        <w:t xml:space="preserve">Lecture Topics:</w:t>
      </w:r>
      <w:r>
        <w:rPr>
          <w:rFonts w:ascii="Times New Roman" w:cs="Times New Roman" w:eastAsia="Times New Roman" w:hAnsi="Times New Roman"/>
          <w:b w:val="false"/>
          <w:bCs w:val="false"/>
          <w:sz w:val="22"/>
          <w:szCs w:val="22"/>
        </w:rPr>
        <w:t xml:space="preserve"> Construction of Eurocentric narratives; postcolonial critiques and “provincializing Europe”; contemporary debates in global history.</w:t>
      </w:r>
    </w:p>
    <w:p>
      <w:pPr>
        <w:spacing w:after="40" w:line="276"/>
      </w:pPr>
      <w:r>
        <w:rPr>
          <w:rFonts w:ascii="Times New Roman" w:cs="Times New Roman" w:eastAsia="Times New Roman" w:hAnsi="Times New Roman"/>
          <w:b/>
          <w:bCs/>
          <w:sz w:val="22"/>
          <w:szCs w:val="22"/>
        </w:rPr>
        <w:t xml:space="preserve">Digital Activity:</w:t>
      </w:r>
      <w:r>
        <w:rPr>
          <w:rFonts w:ascii="Times New Roman" w:cs="Times New Roman" w:eastAsia="Times New Roman" w:hAnsi="Times New Roman"/>
          <w:b w:val="false"/>
          <w:bCs w:val="false"/>
          <w:sz w:val="22"/>
          <w:szCs w:val="22"/>
        </w:rPr>
        <w:t xml:space="preserve"> Engage in a collaborative online annotation of imperial-era texts, identifying Eurocentrism and proposing counter-arguments.</w:t>
      </w:r>
    </w:p>
    <w:p>
      <w:pPr>
        <w:spacing w:after="40" w:line="276"/>
      </w:pPr>
      <w:r>
        <w:rPr>
          <w:rFonts w:ascii="Times New Roman" w:cs="Times New Roman" w:eastAsia="Times New Roman" w:hAnsi="Times New Roman"/>
          <w:b/>
          <w:bCs/>
          <w:sz w:val="22"/>
          <w:szCs w:val="22"/>
        </w:rPr>
        <w:t xml:space="preserve">Readings (suggested):</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Chatterjee, Partha. </w:t>
      </w:r>
      <w:r>
        <w:rPr>
          <w:rFonts w:ascii="Times New Roman" w:cs="Times New Roman" w:eastAsia="Times New Roman" w:hAnsi="Times New Roman"/>
          <w:b w:val="false"/>
          <w:bCs w:val="false"/>
          <w:i/>
          <w:iCs/>
          <w:sz w:val="22"/>
          <w:szCs w:val="22"/>
        </w:rPr>
        <w:t xml:space="preserve">The Nation and Its Fragments: Colonial and Postcolonial Histories</w:t>
      </w:r>
      <w:r>
        <w:rPr>
          <w:rFonts w:ascii="Times New Roman" w:cs="Times New Roman" w:eastAsia="Times New Roman" w:hAnsi="Times New Roman"/>
          <w:b w:val="false"/>
          <w:bCs w:val="false"/>
          <w:i w:val="false"/>
          <w:iCs w:val="false"/>
          <w:sz w:val="22"/>
          <w:szCs w:val="22"/>
        </w:rPr>
        <w:t xml:space="preserve"> (Princeton, 1993).</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Chakrabarty, Dipesh. </w:t>
      </w:r>
      <w:r>
        <w:rPr>
          <w:rFonts w:ascii="Times New Roman" w:cs="Times New Roman" w:eastAsia="Times New Roman" w:hAnsi="Times New Roman"/>
          <w:b w:val="false"/>
          <w:bCs w:val="false"/>
          <w:i/>
          <w:iCs/>
          <w:sz w:val="22"/>
          <w:szCs w:val="22"/>
        </w:rPr>
        <w:t xml:space="preserve">Provincializing Europe: Postcolonial Thought and Historical Difference</w:t>
      </w:r>
      <w:r>
        <w:rPr>
          <w:rFonts w:ascii="Times New Roman" w:cs="Times New Roman" w:eastAsia="Times New Roman" w:hAnsi="Times New Roman"/>
          <w:b w:val="false"/>
          <w:bCs w:val="false"/>
          <w:i w:val="false"/>
          <w:iCs w:val="false"/>
          <w:sz w:val="22"/>
          <w:szCs w:val="22"/>
        </w:rPr>
        <w:t xml:space="preserve"> (Princeton, 2000).</w:t>
      </w:r>
    </w:p>
    <w:p>
      <w:pPr>
        <w:pStyle w:val="ListParagraph"/>
        <w:numPr>
          <w:ilvl w:val="0"/>
          <w:numId w:val="2"/>
        </w:numPr>
        <w:spacing w:after="60" w:line="276"/>
      </w:pPr>
      <w:r>
        <w:rPr>
          <w:rFonts w:ascii="Times New Roman" w:cs="Times New Roman" w:eastAsia="Times New Roman" w:hAnsi="Times New Roman"/>
          <w:b w:val="false"/>
          <w:bCs w:val="false"/>
          <w:i w:val="false"/>
          <w:iCs w:val="false"/>
          <w:sz w:val="22"/>
          <w:szCs w:val="22"/>
        </w:rPr>
        <w:t xml:space="preserve">Conrad, Sebastian. </w:t>
      </w:r>
      <w:r>
        <w:rPr>
          <w:rFonts w:ascii="Times New Roman" w:cs="Times New Roman" w:eastAsia="Times New Roman" w:hAnsi="Times New Roman"/>
          <w:b w:val="false"/>
          <w:bCs w:val="false"/>
          <w:i/>
          <w:iCs/>
          <w:sz w:val="22"/>
          <w:szCs w:val="22"/>
        </w:rPr>
        <w:t xml:space="preserve">What Is Global History?</w:t>
      </w:r>
      <w:r>
        <w:rPr>
          <w:rFonts w:ascii="Times New Roman" w:cs="Times New Roman" w:eastAsia="Times New Roman" w:hAnsi="Times New Roman"/>
          <w:b w:val="false"/>
          <w:bCs w:val="false"/>
          <w:i w:val="false"/>
          <w:iCs w:val="false"/>
          <w:sz w:val="22"/>
          <w:szCs w:val="22"/>
        </w:rPr>
        <w:t xml:space="preserve"> (Princeton, 2016).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2026-06-25T21:13:53.302Z</dcterms:created>
  <dcterms:modified xsi:type="dcterms:W3CDTF">2026-06-25T21:13:53.303Z</dcterms:modified>
</cp:coreProperties>
</file>

<file path=docProps/custom.xml><?xml version="1.0" encoding="utf-8"?>
<Properties xmlns="http://schemas.openxmlformats.org/officeDocument/2006/custom-properties" xmlns:vt="http://schemas.openxmlformats.org/officeDocument/2006/docPropsVTypes"/>
</file>