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C1EF" w14:textId="77777777" w:rsidR="005A6D1C" w:rsidRDefault="00000000">
      <w:pPr>
        <w:pStyle w:val="NoteTitle"/>
      </w:pPr>
      <w:r>
        <w:t>Recent Literature Relevant to PetrIUS</w:t>
      </w:r>
    </w:p>
    <w:p w14:paraId="17BFB442" w14:textId="77777777" w:rsidR="005A6D1C" w:rsidRDefault="00000000">
      <w:pPr>
        <w:pStyle w:val="NoteSubtitle"/>
      </w:pPr>
      <w:r>
        <w:t>Methods note  |  References numbered in order of first appearance</w:t>
      </w:r>
    </w:p>
    <w:p w14:paraId="307317ED" w14:textId="77777777" w:rsidR="005A6D1C" w:rsidRDefault="00000000">
      <w:pPr>
        <w:jc w:val="both"/>
      </w:pPr>
      <w:r>
        <w:t>The purpose of this short note is to review some of the recent literature pertinent to my proposal to the PetrIUS project. It does not focus on a single paper because there was no single paper that encapsulated the pipeline I envision, although PereStruct by Shandybo et al.</w:t>
      </w:r>
      <w:r>
        <w:rPr>
          <w:color w:val="30597E"/>
          <w:sz w:val="15"/>
          <w:vertAlign w:val="superscript"/>
        </w:rPr>
        <w:t>[1]</w:t>
      </w:r>
      <w:r>
        <w:t xml:space="preserve"> is the closest, covering four of my six points, which are as follows: Contemporary OCR models fine-tuned on historical texts are already good at Latin recognition. The bottleneck, especially for early modern legal texts, is document layout, which corrupts the quality of subsequent transcription and makes it difficult to do downstream classification. Three related developments are increasingly common in order to solve this problem: firstly, modular pipelines that combine multiple neural networks; secondly, the primacy of smaller specialised models over large generalists; and thirdly, the growing use of synthetic, machine-generated, then human-reviewed data in fine-tuning such models. My final two points concern subsequent NLP work on the corpus that would be produced through these methods: firstly, using multimodal methods that combine vision and text embeddings to perform paratext identification; secondly, using hybrid retrieval methods—keyword- and vector-based—in order to perform systematic comparison.</w:t>
      </w:r>
    </w:p>
    <w:p w14:paraId="4A69B1AB" w14:textId="11AF57D0" w:rsidR="005A6D1C" w:rsidRDefault="00000000">
      <w:pPr>
        <w:jc w:val="both"/>
      </w:pPr>
      <w:r>
        <w:t>The first key finding, in line with my own testing done over the course of preparation for the interview task, is that text recognition is not the problem. Most OCR models trained on large amounts of historical text handle Latin well: Goy et al.</w:t>
      </w:r>
      <w:r>
        <w:rPr>
          <w:color w:val="30597E"/>
          <w:sz w:val="15"/>
          <w:vertAlign w:val="superscript"/>
        </w:rPr>
        <w:t>[2]</w:t>
      </w:r>
      <w:r>
        <w:t>, Hedesan, Pavlas and Kaše</w:t>
      </w:r>
      <w:r>
        <w:rPr>
          <w:color w:val="30597E"/>
          <w:sz w:val="15"/>
          <w:vertAlign w:val="superscript"/>
        </w:rPr>
        <w:t>[3]</w:t>
      </w:r>
      <w:r>
        <w:t xml:space="preserve">, both report very high recognition F1 for Neo-Latin texts; </w:t>
      </w:r>
      <w:r w:rsidR="00725D2A">
        <w:t>such</w:t>
      </w:r>
      <w:r>
        <w:t xml:space="preserve"> papers, however, consistently report difficulties with layout recognition. For example, Wu et al.</w:t>
      </w:r>
      <w:r>
        <w:rPr>
          <w:color w:val="30597E"/>
          <w:sz w:val="15"/>
          <w:vertAlign w:val="superscript"/>
        </w:rPr>
        <w:t>[4]</w:t>
      </w:r>
      <w:r>
        <w:t xml:space="preserve"> noted that contemporary large language models were able to identify Latin passages with a high degree of accuracy but had a very difficult time classifying the functions of different passages through reading text alone. The central takeaway here is that the identification and transcription of Latin is not the difficult problem to solve; it is layout segmentation, which is all the more relevant to this project because paratexts are in part defined by their position on the page and visual characteristics. </w:t>
      </w:r>
    </w:p>
    <w:p w14:paraId="53D1CD67" w14:textId="3D8591B8" w:rsidR="005A6D1C" w:rsidRDefault="00000000">
      <w:pPr>
        <w:jc w:val="both"/>
      </w:pPr>
      <w:r>
        <w:t>The processing of historical documents is often done using a modular approach that combines different pretrained and fine-tuned models to tackle specific problems: locating physical regions on a page, separating them into lines, detecting reading order, recognising the text, and finally performing analytical tasks such as classification. For example, Goy et al.</w:t>
      </w:r>
      <w:r>
        <w:rPr>
          <w:color w:val="30597E"/>
          <w:sz w:val="15"/>
          <w:vertAlign w:val="superscript"/>
        </w:rPr>
        <w:t>[2]</w:t>
      </w:r>
      <w:r>
        <w:t xml:space="preserve"> produced, for Neo-Latin documents, a staged pipeline including layout segmentation and text recognition, followed by normalisation and lemmatisation in preparation for search and comparison. Baloun et al.</w:t>
      </w:r>
      <w:r>
        <w:rPr>
          <w:color w:val="30597E"/>
          <w:sz w:val="15"/>
          <w:vertAlign w:val="superscript"/>
        </w:rPr>
        <w:t>[5]</w:t>
      </w:r>
      <w:r>
        <w:t xml:space="preserve"> similarly separated out these concerns, using a pretrained model for document segmentation and a separate multimodal classifier to tag region categories. Shandybo et al.</w:t>
      </w:r>
      <w:r>
        <w:rPr>
          <w:color w:val="30597E"/>
          <w:sz w:val="15"/>
          <w:vertAlign w:val="superscript"/>
        </w:rPr>
        <w:t>[1]</w:t>
      </w:r>
      <w:r>
        <w:t xml:space="preserve"> again combine a vision model for object detection, OCR and a separate system for identifying the connections between textual blocks. Modular systems are not only more accurate; they are also easier to fine-tune because some components may work out of the box. In my own testing, PERO's Latin recognition appeared good enough to use without fine-tuning, though this was only on a 100-</w:t>
      </w:r>
      <w:r w:rsidR="00762F2A">
        <w:t>book</w:t>
      </w:r>
      <w:r>
        <w:t xml:space="preserve"> sample </w:t>
      </w:r>
      <w:r w:rsidR="00730258">
        <w:t xml:space="preserve">containing </w:t>
      </w:r>
      <w:r>
        <w:t>only two different Latin font types, so its performance on the full corpus is still yet to be determined.</w:t>
      </w:r>
    </w:p>
    <w:p w14:paraId="32C1D1EB" w14:textId="2895D2C2" w:rsidR="005A6D1C" w:rsidRDefault="00000000">
      <w:pPr>
        <w:jc w:val="both"/>
      </w:pPr>
      <w:r>
        <w:t>For these kinds of recognition tasks, lightweight, specially trained models often outperform larger and more powerful generalists while also being faster and more economical. One paper that bears directly on the PetrIUS project is Esuli, Imperia and Puccetti</w:t>
      </w:r>
      <w:r>
        <w:rPr>
          <w:color w:val="30597E"/>
          <w:sz w:val="15"/>
          <w:vertAlign w:val="superscript"/>
        </w:rPr>
        <w:t>[6]</w:t>
      </w:r>
      <w:r>
        <w:t xml:space="preserve">, who tested different approaches to auto-annotation of legal references in the </w:t>
      </w:r>
      <w:r>
        <w:rPr>
          <w:i/>
        </w:rPr>
        <w:t>Liber Extra</w:t>
      </w:r>
      <w:r>
        <w:t xml:space="preserve">. They found that a lightweight CRF model outperformed LatinBERT, at 97.8% against 92.4%. This is likely because the highly structured nature of medieval and early modern legal writing leaves behind many regularities that can be exploited by simple pattern recognisers, </w:t>
      </w:r>
      <w:r w:rsidR="002722ED">
        <w:t>making</w:t>
      </w:r>
      <w:r>
        <w:t xml:space="preserve"> deep linguistic reasoning </w:t>
      </w:r>
      <w:r w:rsidR="002722ED">
        <w:t>un</w:t>
      </w:r>
      <w:r>
        <w:t xml:space="preserve">necessary. One common </w:t>
      </w:r>
      <w:r w:rsidR="00DC2987">
        <w:t>approach</w:t>
      </w:r>
      <w:r>
        <w:t xml:space="preserve"> among these </w:t>
      </w:r>
      <w:r w:rsidR="00EF2DEB">
        <w:t>authors</w:t>
      </w:r>
      <w:r>
        <w:t xml:space="preserve"> is that they generally fine-tuned models to perform domain-specific tasks, increasingly through the use of machine-generated, human-corrected training data, which greatly speeds up the process of annotation and can allow small teams to produce large datasets quickly. For OCR models, synthetic data</w:t>
      </w:r>
      <w:r w:rsidR="000B4751">
        <w:t xml:space="preserve"> </w:t>
      </w:r>
      <w:r>
        <w:t>can be produced by rendering human-written transcriptions in a purposely damaged manner in order to mimic the target domain; the model is pretrained on these and then fine-tuned on a smaller, authentic dataset in order to teach it visual cues that are difficult to reproduce. These findings suggest that the PetrIUS project would benefit from fine-tuned, domain-adapted models</w:t>
      </w:r>
      <w:r w:rsidR="00875F78">
        <w:t xml:space="preserve"> trained</w:t>
      </w:r>
      <w:r>
        <w:t xml:space="preserve"> using high-efficiency modern methods, drawing on the power of frontier LLMs to act as teachers for smaller models.</w:t>
      </w:r>
    </w:p>
    <w:p w14:paraId="509EF49E" w14:textId="77777777" w:rsidR="005A6D1C" w:rsidRDefault="00000000">
      <w:pPr>
        <w:jc w:val="both"/>
      </w:pPr>
      <w:r>
        <w:t>Another important recurring pattern in the literature is an emphasis on multimodality for classification tasks on historical documents. Text is not the only important signal for such tasks: typography, position, font type and colour, and surrounding visual context provide crucial information. The preferred approach is to train encoders for both image and text, combining their representations for an downstream classifier. Barman et al.</w:t>
      </w:r>
      <w:r>
        <w:rPr>
          <w:color w:val="30597E"/>
          <w:sz w:val="15"/>
          <w:vertAlign w:val="superscript"/>
        </w:rPr>
        <w:t>[7]</w:t>
      </w:r>
      <w:r>
        <w:t>, Baloun et al.</w:t>
      </w:r>
      <w:r>
        <w:rPr>
          <w:color w:val="30597E"/>
          <w:sz w:val="15"/>
          <w:vertAlign w:val="superscript"/>
        </w:rPr>
        <w:t>[5]</w:t>
      </w:r>
      <w:r>
        <w:t xml:space="preserve"> both use this multimodal approach; in fact, some results found that visual features alone did much more work than </w:t>
      </w:r>
      <w:r>
        <w:lastRenderedPageBreak/>
        <w:t>the language itself</w:t>
      </w:r>
      <w:r>
        <w:rPr>
          <w:color w:val="30597E"/>
          <w:sz w:val="15"/>
          <w:vertAlign w:val="superscript"/>
        </w:rPr>
        <w:t>[8]</w:t>
      </w:r>
      <w:r>
        <w:t>. These papers support my proposal to use a multimodal classifier similar to the one I trained for the interview task, though its exact final architecture should be determined through experimentation on the full dataset.</w:t>
      </w:r>
    </w:p>
    <w:p w14:paraId="7D1B3FD7" w14:textId="37158DD1" w:rsidR="005A6D1C" w:rsidRDefault="00000000">
      <w:pPr>
        <w:jc w:val="both"/>
      </w:pPr>
      <w:r>
        <w:t>Finally, for systematic comparison of a large corpus after it has been properly</w:t>
      </w:r>
      <w:r w:rsidR="002B1EDE">
        <w:t xml:space="preserve"> segmented,</w:t>
      </w:r>
      <w:r>
        <w:t xml:space="preserve"> OCRed and </w:t>
      </w:r>
      <w:r w:rsidR="002B1EDE">
        <w:t>classified</w:t>
      </w:r>
      <w:r>
        <w:t>, the literature supports a hybrid retrieval approach combining keyword and vector embedding-space search to recover passages with not only similar lexical overlap but also overlap in meaning. Schelb et al.</w:t>
      </w:r>
      <w:r>
        <w:rPr>
          <w:color w:val="30597E"/>
          <w:sz w:val="15"/>
          <w:vertAlign w:val="superscript"/>
        </w:rPr>
        <w:t>[9]</w:t>
      </w:r>
      <w:r>
        <w:t xml:space="preserve">, for example, used keyword search, followed by cross-encoder classification of paired passages, to detect intertextuality in Latin texts, both explicit quotation and heavy influence/allusion. I was not able to find papers discussing agentic retrieval for early modern Latin historical documents, but in private industry it is becoming increasingly common to place an LLM agent inside such a database. Queries would pass through it; it would then transform a particular query into many expanded queries, retrieve and sort through large numbers of documents, and assist with their summarisation, synthesis and final ranking, so that researchers would be presented not just with a text dump but with a curated, roadmapped provisional answer to a research question that they could then build on through further close reading. Such a system in and of itself would be a major research contribution, providing an avenue for future historians working </w:t>
      </w:r>
      <w:r w:rsidR="00446300">
        <w:t xml:space="preserve">with early modern legal texts </w:t>
      </w:r>
      <w:r>
        <w:t>to quickly crawl through a vast archive and locate hundreds of references of use to their research, which they could then work through to formulate an argument while following new leads to extract further useful information.</w:t>
      </w:r>
    </w:p>
    <w:p w14:paraId="196D1145" w14:textId="77777777" w:rsidR="005A6D1C" w:rsidRDefault="00000000">
      <w:pPr>
        <w:pStyle w:val="NoteTitle"/>
      </w:pPr>
      <w:r>
        <w:t>References</w:t>
      </w:r>
    </w:p>
    <w:p w14:paraId="083C48C8" w14:textId="77777777" w:rsidR="005A6D1C" w:rsidRDefault="00000000">
      <w:pPr>
        <w:spacing w:after="120" w:line="252" w:lineRule="auto"/>
        <w:ind w:left="389" w:hanging="389"/>
      </w:pPr>
      <w:r>
        <w:rPr>
          <w:rFonts w:ascii="Calibri" w:hAnsi="Calibri"/>
          <w:b/>
          <w:color w:val="2F5B85"/>
          <w:sz w:val="18"/>
        </w:rPr>
        <w:t xml:space="preserve">[1]  </w:t>
      </w:r>
      <w:r>
        <w:rPr>
          <w:sz w:val="18"/>
        </w:rPr>
        <w:t>Shandybo, M., Bespalov, I., Yefimov, D., Kosheleva, M. and Loukianov, A. (2026). “PereStruct: Multimodal Semantic Assembly for Robust Historical Document Parsing.” arXiv preprint arXiv:2606.07661.</w:t>
      </w:r>
    </w:p>
    <w:p w14:paraId="0BC0C36D" w14:textId="77777777" w:rsidR="005A6D1C" w:rsidRDefault="00000000">
      <w:pPr>
        <w:spacing w:after="120" w:line="252" w:lineRule="auto"/>
        <w:ind w:left="389" w:hanging="389"/>
      </w:pPr>
      <w:r>
        <w:rPr>
          <w:rFonts w:ascii="Calibri" w:hAnsi="Calibri"/>
          <w:b/>
          <w:color w:val="2F5B85"/>
          <w:sz w:val="18"/>
        </w:rPr>
        <w:t xml:space="preserve">[2]  </w:t>
      </w:r>
      <w:r>
        <w:rPr>
          <w:sz w:val="18"/>
        </w:rPr>
        <w:t>Goy, F., Schürmann, N., Manig, B., Colombo, M., Zahnd, U. and Krauter, S. (2026). “Données et modèles pour le traitement des documents en néolatin: le cas Lambert Daneau.” Humanistica 2026, Anthology of Computers and the Humanities, 4, 120–133.</w:t>
      </w:r>
    </w:p>
    <w:p w14:paraId="7D15EADC" w14:textId="77777777" w:rsidR="005A6D1C" w:rsidRDefault="00000000">
      <w:pPr>
        <w:spacing w:after="120" w:line="252" w:lineRule="auto"/>
        <w:ind w:left="389" w:hanging="389"/>
      </w:pPr>
      <w:r>
        <w:rPr>
          <w:rFonts w:ascii="Calibri" w:hAnsi="Calibri"/>
          <w:b/>
          <w:color w:val="2F5B85"/>
          <w:sz w:val="18"/>
        </w:rPr>
        <w:t xml:space="preserve">[3]  </w:t>
      </w:r>
      <w:r>
        <w:rPr>
          <w:sz w:val="18"/>
        </w:rPr>
        <w:t>Hedesan, G. D., Pavlas, P. and Kaše, V. (2026). “An Alchemical Prima Materia for the Digital Age: Making the Early Modern Latin Alchemical Prints (EMLAP) Dataset.” Ambix, 73(2–3), 145–174.</w:t>
      </w:r>
    </w:p>
    <w:p w14:paraId="4CDFF7F3" w14:textId="77777777" w:rsidR="005A6D1C" w:rsidRDefault="00000000">
      <w:pPr>
        <w:spacing w:after="120" w:line="252" w:lineRule="auto"/>
        <w:ind w:left="389" w:hanging="389"/>
      </w:pPr>
      <w:r>
        <w:rPr>
          <w:rFonts w:ascii="Calibri" w:hAnsi="Calibri"/>
          <w:b/>
          <w:color w:val="2F5B85"/>
          <w:sz w:val="18"/>
        </w:rPr>
        <w:t xml:space="preserve">[4]  </w:t>
      </w:r>
      <w:r>
        <w:rPr>
          <w:sz w:val="18"/>
        </w:rPr>
        <w:t>Wu, Y., Shu, K., Fischer, J., Pivovarova, L., Rosson, D., Mäkelä, E. and Tolonen, M. (2026). “Detecting Latin in Historical Books with Large Language Models: A Multimodal Benchmark.” Proceedings of EACL 2026 (Long Papers), 5305–5328.</w:t>
      </w:r>
    </w:p>
    <w:p w14:paraId="47381332" w14:textId="77777777" w:rsidR="005A6D1C" w:rsidRDefault="00000000">
      <w:pPr>
        <w:spacing w:after="120" w:line="252" w:lineRule="auto"/>
        <w:ind w:left="389" w:hanging="389"/>
      </w:pPr>
      <w:r>
        <w:rPr>
          <w:rFonts w:ascii="Calibri" w:hAnsi="Calibri"/>
          <w:b/>
          <w:color w:val="2F5B85"/>
          <w:sz w:val="18"/>
        </w:rPr>
        <w:t xml:space="preserve">[5]  </w:t>
      </w:r>
      <w:r>
        <w:rPr>
          <w:sz w:val="18"/>
        </w:rPr>
        <w:t>Baloun, J., Honzík, V., Lenc, L., Martínek, J. and Král, P. (2024). “Heimatkunde: Dataset for Multi-Modal Historical Document Analysis.” Proceedings of ICAART 2024, vol. 3, 995–1001.</w:t>
      </w:r>
    </w:p>
    <w:p w14:paraId="4D4550E9" w14:textId="77777777" w:rsidR="005A6D1C" w:rsidRDefault="00000000">
      <w:pPr>
        <w:spacing w:after="120" w:line="252" w:lineRule="auto"/>
        <w:ind w:left="389" w:hanging="389"/>
      </w:pPr>
      <w:r>
        <w:rPr>
          <w:rFonts w:ascii="Calibri" w:hAnsi="Calibri"/>
          <w:b/>
          <w:color w:val="2F5B85"/>
          <w:sz w:val="18"/>
        </w:rPr>
        <w:t xml:space="preserve">[6]  </w:t>
      </w:r>
      <w:r>
        <w:rPr>
          <w:sz w:val="18"/>
        </w:rPr>
        <w:t>Esuli, A., Imperia, V. R. and Puccetti, G. (2026). “Automatic Annotation of Legal References (Allegationes) in the Liber Extra’s Ordinary Gloss.” Umanistica Digitale, 10(22), 139–156.</w:t>
      </w:r>
    </w:p>
    <w:p w14:paraId="773DDC20" w14:textId="77777777" w:rsidR="005A6D1C" w:rsidRDefault="00000000">
      <w:pPr>
        <w:spacing w:after="120" w:line="252" w:lineRule="auto"/>
        <w:ind w:left="389" w:hanging="389"/>
      </w:pPr>
      <w:r>
        <w:rPr>
          <w:rFonts w:ascii="Calibri" w:hAnsi="Calibri"/>
          <w:b/>
          <w:color w:val="2F5B85"/>
          <w:sz w:val="18"/>
        </w:rPr>
        <w:t xml:space="preserve">[7]  </w:t>
      </w:r>
      <w:r>
        <w:rPr>
          <w:sz w:val="18"/>
        </w:rPr>
        <w:t>Barman, R., Ehrmann, M., Clematide, S., Ares Oliveira, S. and Kaplan, F. (2021). “Combining Visual and Textual Features for Semantic Segmentation of Historical Newspapers.” Journal of Data Mining &amp; Digital Humanities, HistoInformatics special issue.</w:t>
      </w:r>
    </w:p>
    <w:p w14:paraId="1B329D88" w14:textId="77777777" w:rsidR="005A6D1C" w:rsidRDefault="00000000">
      <w:pPr>
        <w:spacing w:after="120" w:line="252" w:lineRule="auto"/>
        <w:ind w:left="389" w:hanging="389"/>
      </w:pPr>
      <w:r>
        <w:rPr>
          <w:rFonts w:ascii="Calibri" w:hAnsi="Calibri"/>
          <w:b/>
          <w:color w:val="2F5B85"/>
          <w:sz w:val="18"/>
        </w:rPr>
        <w:t xml:space="preserve">[8]  </w:t>
      </w:r>
      <w:r>
        <w:rPr>
          <w:sz w:val="18"/>
        </w:rPr>
        <w:t>Najem-Meyer, S. and Romanello, M. (2022). “Page Layout Analysis of Text-heavy Historical Documents: A Comparison of Textual and Visual Approaches.” Proceedings of the 3rd Conference on Computational Humanities Research (CHR 2022), CEUR Workshop Proceedings, 3290, 36–54.</w:t>
      </w:r>
    </w:p>
    <w:p w14:paraId="168C71FE" w14:textId="77777777" w:rsidR="005A6D1C" w:rsidRDefault="00000000">
      <w:pPr>
        <w:spacing w:after="120" w:line="252" w:lineRule="auto"/>
        <w:ind w:left="389" w:hanging="389"/>
      </w:pPr>
      <w:r>
        <w:rPr>
          <w:rFonts w:ascii="Calibri" w:hAnsi="Calibri"/>
          <w:b/>
          <w:color w:val="2F5B85"/>
          <w:sz w:val="18"/>
        </w:rPr>
        <w:t xml:space="preserve">[9]  </w:t>
      </w:r>
      <w:r>
        <w:rPr>
          <w:sz w:val="18"/>
        </w:rPr>
        <w:t>Schelb, J., Wittweiler, M., Revellio, M., Feichtinger, B. and Spitz, A. (2026). “Loci Similes: A Benchmark for Extracting Intertextualities in Latin Literature.” arXiv preprint arXiv:2601.07533 (v3).</w:t>
      </w:r>
    </w:p>
    <w:sectPr w:rsidR="005A6D1C" w:rsidSect="00034616">
      <w:headerReference w:type="default" r:id="rId8"/>
      <w:footerReference w:type="default" r:id="rId9"/>
      <w:pgSz w:w="11909" w:h="16834"/>
      <w:pgMar w:top="1037" w:right="1051" w:bottom="979" w:left="1051" w:header="504"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16AE4" w14:textId="77777777" w:rsidR="00707B53" w:rsidRDefault="00707B53">
      <w:pPr>
        <w:spacing w:after="0" w:line="240" w:lineRule="auto"/>
      </w:pPr>
      <w:r>
        <w:separator/>
      </w:r>
    </w:p>
  </w:endnote>
  <w:endnote w:type="continuationSeparator" w:id="0">
    <w:p w14:paraId="08C923D3" w14:textId="77777777" w:rsidR="00707B53" w:rsidRDefault="00707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6D2E3" w14:textId="77777777" w:rsidR="005A6D1C" w:rsidRDefault="00000000">
    <w:pPr>
      <w:pStyle w:val="Footer"/>
      <w:jc w:val="center"/>
    </w:pPr>
    <w:r>
      <w:fldChar w:fldCharType="begin"/>
    </w:r>
    <w:r>
      <w:instrText>PAGE</w:instrText>
    </w:r>
    <w:r>
      <w:fldChar w:fldCharType="separate"/>
    </w:r>
    <w:r w:rsidR="007673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9BE35" w14:textId="77777777" w:rsidR="00707B53" w:rsidRDefault="00707B53">
      <w:pPr>
        <w:spacing w:after="0" w:line="240" w:lineRule="auto"/>
      </w:pPr>
      <w:r>
        <w:separator/>
      </w:r>
    </w:p>
  </w:footnote>
  <w:footnote w:type="continuationSeparator" w:id="0">
    <w:p w14:paraId="321F1014" w14:textId="77777777" w:rsidR="00707B53" w:rsidRDefault="00707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C34B" w14:textId="77777777" w:rsidR="005A6D1C" w:rsidRDefault="00000000">
    <w:pPr>
      <w:pStyle w:val="Header"/>
      <w:jc w:val="right"/>
    </w:pPr>
    <w:r>
      <w:rPr>
        <w:rFonts w:ascii="Calibri" w:hAnsi="Calibri"/>
        <w:color w:val="818B97"/>
        <w:sz w:val="16"/>
      </w:rPr>
      <w:t>PetrIUS  /  Research literature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066307">
    <w:abstractNumId w:val="8"/>
  </w:num>
  <w:num w:numId="2" w16cid:durableId="769204826">
    <w:abstractNumId w:val="6"/>
  </w:num>
  <w:num w:numId="3" w16cid:durableId="1716154836">
    <w:abstractNumId w:val="5"/>
  </w:num>
  <w:num w:numId="4" w16cid:durableId="1659267014">
    <w:abstractNumId w:val="4"/>
  </w:num>
  <w:num w:numId="5" w16cid:durableId="713702546">
    <w:abstractNumId w:val="7"/>
  </w:num>
  <w:num w:numId="6" w16cid:durableId="1774352830">
    <w:abstractNumId w:val="3"/>
  </w:num>
  <w:num w:numId="7" w16cid:durableId="256715705">
    <w:abstractNumId w:val="2"/>
  </w:num>
  <w:num w:numId="8" w16cid:durableId="2029718286">
    <w:abstractNumId w:val="1"/>
  </w:num>
  <w:num w:numId="9" w16cid:durableId="111092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51"/>
    <w:rsid w:val="000C4079"/>
    <w:rsid w:val="0015074B"/>
    <w:rsid w:val="002722ED"/>
    <w:rsid w:val="0029639D"/>
    <w:rsid w:val="002B1EDE"/>
    <w:rsid w:val="00326F90"/>
    <w:rsid w:val="003F0072"/>
    <w:rsid w:val="00446300"/>
    <w:rsid w:val="004A1FD0"/>
    <w:rsid w:val="005A6D1C"/>
    <w:rsid w:val="00707B53"/>
    <w:rsid w:val="00725D2A"/>
    <w:rsid w:val="00730258"/>
    <w:rsid w:val="00762F2A"/>
    <w:rsid w:val="007673BC"/>
    <w:rsid w:val="00875F78"/>
    <w:rsid w:val="00AA1D8D"/>
    <w:rsid w:val="00B47730"/>
    <w:rsid w:val="00CB0664"/>
    <w:rsid w:val="00DB70B9"/>
    <w:rsid w:val="00DC2987"/>
    <w:rsid w:val="00DD5F6E"/>
    <w:rsid w:val="00DF4E55"/>
    <w:rsid w:val="00E06527"/>
    <w:rsid w:val="00EF2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E641F"/>
  <w14:defaultImageDpi w14:val="300"/>
  <w15:docId w15:val="{7B692BB7-36BA-41B8-8E8C-17D236E91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3" w:lineRule="auto"/>
    </w:pPr>
    <w:rPr>
      <w:rFonts w:ascii="Cambria" w:hAnsi="Cambria"/>
      <w:color w:val="222B3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Title">
    <w:name w:val="Note Title"/>
    <w:pPr>
      <w:spacing w:after="60"/>
    </w:pPr>
    <w:rPr>
      <w:rFonts w:ascii="Cambria" w:hAnsi="Cambria"/>
      <w:b/>
      <w:color w:val="1B2F47"/>
      <w:sz w:val="29"/>
    </w:rPr>
  </w:style>
  <w:style w:type="paragraph" w:customStyle="1" w:styleId="NoteSubtitle">
    <w:name w:val="Note Subtitle"/>
    <w:pPr>
      <w:spacing w:after="220"/>
    </w:pPr>
    <w:rPr>
      <w:rFonts w:ascii="Calibri" w:hAnsi="Calibri"/>
      <w:color w:val="64707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Recent Literature Relevant to PetrIUS</vt:lpstr>
    </vt:vector>
  </TitlesOfParts>
  <Manager/>
  <Company/>
  <LinksUpToDate>false</LinksUpToDate>
  <CharactersWithSpaces>9449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Recent Literature Relevant to PetrIUS</dc:title>
  <dc:subject>Literature note with references</dc:subject>
  <dc:creator>python-docx</dc:creator>
  <cp:keywords>PetrIUS; historical OCR; Neo-Latin; multimodal classification; retrieval</cp:keywords>
  <dc:description>generated by python-docx</dc:description>
  <cp:lastModifiedBy>Conrad COMPAGNA (Student)</cp:lastModifiedBy>
  <cp:revision>14</cp:revision>
  <dcterms:created xsi:type="dcterms:W3CDTF">2013-12-23T23:15:00Z</dcterms:created>
  <dcterms:modified xsi:type="dcterms:W3CDTF">2026-10-11T16:39:00Z</dcterms:modified>
  <cp:category/>
</cp:coreProperties>
</file>