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437ACA" w14:textId="77777777" w:rsidR="00E26608" w:rsidRDefault="006A229D" w:rsidP="006A229D">
      <w:pPr>
        <w:widowControl w:val="0"/>
        <w:autoSpaceDE w:val="0"/>
        <w:autoSpaceDN w:val="0"/>
        <w:adjustRightInd w:val="0"/>
        <w:spacing w:after="105"/>
        <w:jc w:val="center"/>
        <w:rPr>
          <w:rFonts w:ascii="Georgia" w:hAnsi="Georgia" w:cs="Georgia"/>
          <w:sz w:val="42"/>
          <w:szCs w:val="42"/>
        </w:rPr>
      </w:pPr>
      <w:r>
        <w:rPr>
          <w:rFonts w:ascii="Georgia" w:hAnsi="Georgia" w:cs="Georgia"/>
          <w:sz w:val="42"/>
          <w:szCs w:val="42"/>
        </w:rPr>
        <w:t>Harmonic vs. Morse Potential Energy</w:t>
      </w:r>
    </w:p>
    <w:p w14:paraId="68CA7B8F" w14:textId="77777777" w:rsidR="00E26608" w:rsidRDefault="00E26608" w:rsidP="006A229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1C1C1C"/>
        </w:rPr>
      </w:pPr>
      <w:r>
        <w:rPr>
          <w:rFonts w:ascii="Helvetica" w:hAnsi="Helvetica" w:cs="Helvetica"/>
          <w:noProof/>
          <w:color w:val="092F9D"/>
          <w:sz w:val="26"/>
          <w:szCs w:val="26"/>
        </w:rPr>
        <w:drawing>
          <wp:inline distT="0" distB="0" distL="0" distR="0" wp14:anchorId="37FF0622" wp14:editId="688E3EAF">
            <wp:extent cx="3517900" cy="3242185"/>
            <wp:effectExtent l="0" t="0" r="6350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8488" cy="3242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1788" w14:textId="77777777" w:rsidR="00E26608" w:rsidRDefault="00E26608" w:rsidP="006A229D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092F9D"/>
        </w:rPr>
      </w:pPr>
    </w:p>
    <w:p w14:paraId="1ADA9C8B" w14:textId="77777777" w:rsidR="00E26608" w:rsidRPr="00012102" w:rsidRDefault="00E26608" w:rsidP="00E26608">
      <w:pPr>
        <w:widowControl w:val="0"/>
        <w:autoSpaceDE w:val="0"/>
        <w:autoSpaceDN w:val="0"/>
        <w:adjustRightInd w:val="0"/>
        <w:rPr>
          <w:rFonts w:asciiTheme="majorHAnsi" w:hAnsiTheme="majorHAnsi" w:cs="Helvetica"/>
          <w:color w:val="1C1C1C"/>
          <w:sz w:val="22"/>
          <w:szCs w:val="22"/>
        </w:rPr>
      </w:pPr>
      <w:proofErr w:type="gramStart"/>
      <w:r w:rsidRPr="00012102">
        <w:rPr>
          <w:rFonts w:asciiTheme="majorHAnsi" w:hAnsiTheme="majorHAnsi" w:cs="Helvetica"/>
          <w:color w:val="1C1C1C"/>
          <w:sz w:val="22"/>
          <w:szCs w:val="22"/>
        </w:rPr>
        <w:t xml:space="preserve">The </w:t>
      </w:r>
      <w:r w:rsidRPr="00012102">
        <w:rPr>
          <w:rFonts w:asciiTheme="majorHAnsi" w:hAnsiTheme="majorHAnsi" w:cs="Helvetica"/>
          <w:b/>
          <w:bCs/>
          <w:color w:val="3366FF"/>
          <w:sz w:val="22"/>
          <w:szCs w:val="22"/>
        </w:rPr>
        <w:t>Morse potential</w:t>
      </w:r>
      <w:r w:rsidRPr="00012102">
        <w:rPr>
          <w:rFonts w:asciiTheme="majorHAnsi" w:hAnsiTheme="majorHAnsi" w:cs="Helvetica"/>
          <w:color w:val="3366FF"/>
          <w:sz w:val="22"/>
          <w:szCs w:val="22"/>
        </w:rPr>
        <w:t xml:space="preserve"> (blue</w:t>
      </w:r>
      <w:r w:rsidRPr="00012102">
        <w:rPr>
          <w:rFonts w:asciiTheme="majorHAnsi" w:hAnsiTheme="majorHAnsi" w:cs="Helvetica"/>
          <w:color w:val="1C1C1C"/>
          <w:sz w:val="22"/>
          <w:szCs w:val="22"/>
        </w:rPr>
        <w:t xml:space="preserve">) and </w:t>
      </w:r>
      <w:r w:rsidRPr="00012102">
        <w:rPr>
          <w:rFonts w:asciiTheme="majorHAnsi" w:hAnsiTheme="majorHAnsi" w:cs="Helvetica"/>
          <w:b/>
          <w:color w:val="76923C" w:themeColor="accent3" w:themeShade="BF"/>
          <w:sz w:val="22"/>
          <w:szCs w:val="22"/>
        </w:rPr>
        <w:t>harmonic oscillator potential (green).</w:t>
      </w:r>
      <w:proofErr w:type="gramEnd"/>
      <w:r w:rsidRPr="00012102">
        <w:rPr>
          <w:rFonts w:asciiTheme="majorHAnsi" w:hAnsiTheme="majorHAnsi" w:cs="Helvetica"/>
          <w:color w:val="1C1C1C"/>
          <w:sz w:val="22"/>
          <w:szCs w:val="22"/>
        </w:rPr>
        <w:t xml:space="preserve"> Unlike the energy levels of the harmonic oscillator potential, which are evenly spaced by </w:t>
      </w:r>
      <w:proofErr w:type="spellStart"/>
      <w:r w:rsidRPr="00012102">
        <w:rPr>
          <w:rFonts w:asciiTheme="majorHAnsi" w:hAnsiTheme="majorHAnsi" w:cs="Helvetica"/>
          <w:color w:val="1C1C1C"/>
          <w:sz w:val="22"/>
          <w:szCs w:val="22"/>
        </w:rPr>
        <w:t>ħω</w:t>
      </w:r>
      <w:proofErr w:type="spellEnd"/>
      <w:r w:rsidRPr="00012102">
        <w:rPr>
          <w:rFonts w:asciiTheme="majorHAnsi" w:hAnsiTheme="majorHAnsi" w:cs="Helvetica"/>
          <w:color w:val="1C1C1C"/>
          <w:sz w:val="22"/>
          <w:szCs w:val="22"/>
        </w:rPr>
        <w:t xml:space="preserve">, the Morse potential level spacing decreases as the energy approaches the dissociation energy. The dissociation energy </w:t>
      </w:r>
      <w:r w:rsidRPr="00012102">
        <w:rPr>
          <w:rFonts w:asciiTheme="majorHAnsi" w:hAnsiTheme="majorHAnsi" w:cs="Helvetica"/>
          <w:i/>
          <w:iCs/>
          <w:color w:val="1C1C1C"/>
          <w:sz w:val="22"/>
          <w:szCs w:val="22"/>
        </w:rPr>
        <w:t>D</w:t>
      </w:r>
      <w:r w:rsidRPr="00012102">
        <w:rPr>
          <w:rFonts w:asciiTheme="majorHAnsi" w:hAnsiTheme="majorHAnsi" w:cs="Helvetica"/>
          <w:color w:val="1C1C1C"/>
          <w:sz w:val="22"/>
          <w:szCs w:val="22"/>
          <w:vertAlign w:val="subscript"/>
        </w:rPr>
        <w:t>e</w:t>
      </w:r>
      <w:r w:rsidRPr="00012102">
        <w:rPr>
          <w:rFonts w:asciiTheme="majorHAnsi" w:hAnsiTheme="majorHAnsi" w:cs="Helvetica"/>
          <w:color w:val="1C1C1C"/>
          <w:sz w:val="22"/>
          <w:szCs w:val="22"/>
        </w:rPr>
        <w:t xml:space="preserve"> is larger than the true energy required for dissociation </w:t>
      </w:r>
      <w:r w:rsidRPr="00012102">
        <w:rPr>
          <w:rFonts w:asciiTheme="majorHAnsi" w:hAnsiTheme="majorHAnsi" w:cs="Helvetica"/>
          <w:i/>
          <w:iCs/>
          <w:color w:val="1C1C1C"/>
          <w:sz w:val="22"/>
          <w:szCs w:val="22"/>
        </w:rPr>
        <w:t>D</w:t>
      </w:r>
      <w:r w:rsidRPr="00012102">
        <w:rPr>
          <w:rFonts w:asciiTheme="majorHAnsi" w:hAnsiTheme="majorHAnsi" w:cs="Helvetica"/>
          <w:color w:val="1C1C1C"/>
          <w:sz w:val="22"/>
          <w:szCs w:val="22"/>
          <w:vertAlign w:val="subscript"/>
        </w:rPr>
        <w:t>0</w:t>
      </w:r>
      <w:r w:rsidRPr="00012102">
        <w:rPr>
          <w:rFonts w:asciiTheme="majorHAnsi" w:hAnsiTheme="majorHAnsi" w:cs="Helvetica"/>
          <w:color w:val="1C1C1C"/>
          <w:sz w:val="22"/>
          <w:szCs w:val="22"/>
        </w:rPr>
        <w:t xml:space="preserve"> due to the zero point energy of the lowest (</w:t>
      </w:r>
      <w:r w:rsidRPr="00012102">
        <w:rPr>
          <w:rFonts w:asciiTheme="majorHAnsi" w:hAnsiTheme="majorHAnsi" w:cs="Helvetica"/>
          <w:i/>
          <w:iCs/>
          <w:color w:val="1C1C1C"/>
          <w:sz w:val="22"/>
          <w:szCs w:val="22"/>
        </w:rPr>
        <w:t>v</w:t>
      </w:r>
      <w:r w:rsidRPr="00012102">
        <w:rPr>
          <w:rFonts w:asciiTheme="majorHAnsi" w:hAnsiTheme="majorHAnsi" w:cs="Helvetica"/>
          <w:color w:val="1C1C1C"/>
          <w:sz w:val="22"/>
          <w:szCs w:val="22"/>
        </w:rPr>
        <w:t xml:space="preserve"> = 0) vibrational level.</w:t>
      </w:r>
    </w:p>
    <w:p w14:paraId="4FB435B2" w14:textId="77777777" w:rsidR="00E26608" w:rsidRPr="00012102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Theme="majorHAnsi" w:hAnsiTheme="majorHAnsi" w:cs="Helvetica"/>
          <w:color w:val="1C1C1C"/>
          <w:sz w:val="22"/>
          <w:szCs w:val="22"/>
        </w:rPr>
      </w:pPr>
      <w:r w:rsidRPr="00012102">
        <w:rPr>
          <w:rFonts w:asciiTheme="majorHAnsi" w:hAnsiTheme="majorHAnsi" w:cs="Helvetica"/>
          <w:color w:val="1C1C1C"/>
          <w:sz w:val="22"/>
          <w:szCs w:val="22"/>
        </w:rPr>
        <w:t>The Morse potential energy function is of the form</w:t>
      </w:r>
    </w:p>
    <w:p w14:paraId="4F7CC627" w14:textId="77777777" w:rsidR="00E26608" w:rsidRPr="00E26608" w:rsidRDefault="00E26608" w:rsidP="00BE388B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1C1C1C"/>
        </w:rPr>
      </w:pPr>
      <w:r w:rsidRPr="006A229D">
        <w:rPr>
          <w:rFonts w:ascii="Helvetica" w:hAnsi="Helvetica" w:cs="Helvetica"/>
          <w:noProof/>
          <w:color w:val="1C1C1C"/>
          <w:highlight w:val="yellow"/>
        </w:rPr>
        <w:drawing>
          <wp:inline distT="0" distB="0" distL="0" distR="0" wp14:anchorId="5493396F" wp14:editId="68206090">
            <wp:extent cx="2197100" cy="25785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77" cy="258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AB3DE" w14:textId="77777777" w:rsidR="00E26608" w:rsidRPr="00012102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  <w:sz w:val="22"/>
          <w:szCs w:val="22"/>
        </w:rPr>
      </w:pPr>
      <w:r w:rsidRPr="00012102">
        <w:rPr>
          <w:rFonts w:ascii="Helvetica" w:hAnsi="Helvetica" w:cs="Helvetica"/>
          <w:color w:val="1C1C1C"/>
          <w:sz w:val="22"/>
          <w:szCs w:val="22"/>
        </w:rPr>
        <w:t xml:space="preserve">Here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78B4FDB2" wp14:editId="52759F75">
            <wp:extent cx="84455" cy="844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is the distance between the atoms,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057326D8" wp14:editId="69108041">
            <wp:extent cx="127000" cy="9525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is the equilibrium bond distance,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51F71CC8" wp14:editId="72E45AE2">
            <wp:extent cx="203200" cy="150985"/>
            <wp:effectExtent l="0" t="0" r="635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95" cy="151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is the well depth (defined relative to the dissociated atoms), and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02ED06ED" wp14:editId="5A2F619A">
            <wp:extent cx="93345" cy="8445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controls the 'width' of the potential (the smaller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66C030EE" wp14:editId="7621FF16">
            <wp:extent cx="93345" cy="8445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is, the larger the well). The </w:t>
      </w:r>
      <w:hyperlink r:id="rId12" w:history="1">
        <w:r w:rsidRPr="00012102">
          <w:rPr>
            <w:rFonts w:ascii="Helvetica" w:hAnsi="Helvetica" w:cs="Helvetica"/>
            <w:color w:val="092F9D"/>
            <w:sz w:val="22"/>
            <w:szCs w:val="22"/>
          </w:rPr>
          <w:t>dissociation energy</w:t>
        </w:r>
      </w:hyperlink>
      <w:r w:rsidRPr="00012102">
        <w:rPr>
          <w:rFonts w:ascii="Helvetica" w:hAnsi="Helvetica" w:cs="Helvetica"/>
          <w:color w:val="1C1C1C"/>
          <w:sz w:val="22"/>
          <w:szCs w:val="22"/>
        </w:rPr>
        <w:t xml:space="preserve"> of the bond can be calculated by subtracting the </w:t>
      </w:r>
      <w:hyperlink r:id="rId13" w:history="1">
        <w:r w:rsidRPr="00012102">
          <w:rPr>
            <w:rFonts w:ascii="Helvetica" w:hAnsi="Helvetica" w:cs="Helvetica"/>
            <w:color w:val="092F9D"/>
            <w:sz w:val="22"/>
            <w:szCs w:val="22"/>
          </w:rPr>
          <w:t>zero point energy</w:t>
        </w:r>
      </w:hyperlink>
      <w:r w:rsidRPr="00012102">
        <w:rPr>
          <w:rFonts w:ascii="Helvetica" w:hAnsi="Helvetica" w:cs="Helvetica"/>
          <w:color w:val="1C1C1C"/>
          <w:sz w:val="22"/>
          <w:szCs w:val="22"/>
        </w:rPr>
        <w:t xml:space="preserve">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1143ED06" wp14:editId="33E259D1">
            <wp:extent cx="254000" cy="13557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27" cy="136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from the depth of the well. The </w:t>
      </w:r>
      <w:hyperlink r:id="rId15" w:history="1">
        <w:r w:rsidRPr="00012102">
          <w:rPr>
            <w:rFonts w:ascii="Helvetica" w:hAnsi="Helvetica" w:cs="Helvetica"/>
            <w:color w:val="092F9D"/>
            <w:sz w:val="22"/>
            <w:szCs w:val="22"/>
          </w:rPr>
          <w:t>force constant</w:t>
        </w:r>
      </w:hyperlink>
      <w:r w:rsidRPr="00012102">
        <w:rPr>
          <w:rFonts w:ascii="Helvetica" w:hAnsi="Helvetica" w:cs="Helvetica"/>
          <w:color w:val="1C1C1C"/>
          <w:sz w:val="22"/>
          <w:szCs w:val="22"/>
        </w:rPr>
        <w:t xml:space="preserve"> of the bond can be found by Taylor expansion of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7E1D060A" wp14:editId="3A7DB5A1">
            <wp:extent cx="288052" cy="16086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52" cy="160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around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03ADAF0B" wp14:editId="3920EC66">
            <wp:extent cx="470995" cy="110067"/>
            <wp:effectExtent l="0" t="0" r="1206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33" cy="11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to the second </w:t>
      </w:r>
      <w:hyperlink r:id="rId18" w:history="1">
        <w:r w:rsidRPr="00012102">
          <w:rPr>
            <w:rFonts w:ascii="Helvetica" w:hAnsi="Helvetica" w:cs="Helvetica"/>
            <w:color w:val="092F9D"/>
            <w:sz w:val="22"/>
            <w:szCs w:val="22"/>
          </w:rPr>
          <w:t>derivative</w:t>
        </w:r>
      </w:hyperlink>
      <w:r w:rsidRPr="00012102">
        <w:rPr>
          <w:rFonts w:ascii="Helvetica" w:hAnsi="Helvetica" w:cs="Helvetica"/>
          <w:color w:val="1C1C1C"/>
          <w:sz w:val="22"/>
          <w:szCs w:val="22"/>
        </w:rPr>
        <w:t xml:space="preserve"> of the potential energy function, from which it can be shown that the parameter,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3F19CFC2" wp14:editId="5C4422FC">
            <wp:extent cx="93345" cy="84455"/>
            <wp:effectExtent l="0" t="0" r="825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>, is</w:t>
      </w:r>
    </w:p>
    <w:p w14:paraId="7B62FC20" w14:textId="77777777" w:rsidR="00E26608" w:rsidRPr="00E26608" w:rsidRDefault="00E26608" w:rsidP="00BE388B">
      <w:pPr>
        <w:widowControl w:val="0"/>
        <w:autoSpaceDE w:val="0"/>
        <w:autoSpaceDN w:val="0"/>
        <w:adjustRightInd w:val="0"/>
        <w:jc w:val="center"/>
        <w:rPr>
          <w:rFonts w:ascii="Helvetica" w:hAnsi="Helvetica" w:cs="Helvetica"/>
          <w:color w:val="1C1C1C"/>
        </w:rPr>
      </w:pPr>
      <w:r w:rsidRPr="006A229D">
        <w:rPr>
          <w:rFonts w:ascii="Helvetica" w:hAnsi="Helvetica" w:cs="Helvetica"/>
          <w:noProof/>
          <w:color w:val="1C1C1C"/>
          <w:highlight w:val="yellow"/>
        </w:rPr>
        <w:drawing>
          <wp:inline distT="0" distB="0" distL="0" distR="0" wp14:anchorId="3CFF11C3" wp14:editId="0922FC8C">
            <wp:extent cx="1035050" cy="2749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446" cy="27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F4579" w14:textId="77777777" w:rsidR="00E26608" w:rsidRPr="00012102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  <w:sz w:val="22"/>
          <w:szCs w:val="22"/>
        </w:rPr>
      </w:pPr>
      <w:proofErr w:type="gramStart"/>
      <w:r w:rsidRPr="00012102">
        <w:rPr>
          <w:rFonts w:ascii="Helvetica" w:hAnsi="Helvetica" w:cs="Helvetica"/>
          <w:color w:val="1C1C1C"/>
          <w:sz w:val="22"/>
          <w:szCs w:val="22"/>
        </w:rPr>
        <w:t>where</w:t>
      </w:r>
      <w:proofErr w:type="gramEnd"/>
      <w:r w:rsidRPr="00012102">
        <w:rPr>
          <w:rFonts w:ascii="Helvetica" w:hAnsi="Helvetica" w:cs="Helvetica"/>
          <w:color w:val="1C1C1C"/>
          <w:sz w:val="22"/>
          <w:szCs w:val="22"/>
        </w:rPr>
        <w:t xml:space="preserve">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19577A1F" wp14:editId="05D81627">
            <wp:extent cx="152400" cy="16065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229" cy="162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is the force constant at the minimum of the well.</w:t>
      </w:r>
    </w:p>
    <w:p w14:paraId="0AC8FCEA" w14:textId="77777777" w:rsidR="00E26608" w:rsidRPr="00012102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  <w:sz w:val="22"/>
          <w:szCs w:val="22"/>
        </w:rPr>
      </w:pPr>
      <w:r w:rsidRPr="00012102">
        <w:rPr>
          <w:rFonts w:ascii="Helvetica" w:hAnsi="Helvetica" w:cs="Helvetica"/>
          <w:color w:val="1C1C1C"/>
          <w:sz w:val="22"/>
          <w:szCs w:val="22"/>
        </w:rPr>
        <w:t xml:space="preserve">Since the </w:t>
      </w:r>
      <w:hyperlink r:id="rId21" w:anchor="Relation_between_potential_energy_and_force" w:history="1">
        <w:r w:rsidRPr="00012102">
          <w:rPr>
            <w:rFonts w:ascii="Helvetica" w:hAnsi="Helvetica" w:cs="Helvetica"/>
            <w:color w:val="092F9D"/>
            <w:sz w:val="22"/>
            <w:szCs w:val="22"/>
          </w:rPr>
          <w:t>zero of potential energy is arbitrary</w:t>
        </w:r>
      </w:hyperlink>
      <w:r w:rsidRPr="00012102">
        <w:rPr>
          <w:rFonts w:ascii="Helvetica" w:hAnsi="Helvetica" w:cs="Helvetica"/>
          <w:color w:val="1C1C1C"/>
          <w:sz w:val="22"/>
          <w:szCs w:val="22"/>
        </w:rPr>
        <w:t>, the equation for the Morse potential can be rewritten any number of ways by adding or subtracting a constant value. When it is used to model the atom-surface interaction, the energy zero can be redefined so that the Morse potential becomes</w:t>
      </w:r>
    </w:p>
    <w:p w14:paraId="72068439" w14:textId="25693C68" w:rsidR="00E26608" w:rsidRPr="00E26608" w:rsidRDefault="00E26608" w:rsidP="00D67206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noProof/>
          <w:color w:val="1C1C1C"/>
        </w:rPr>
        <w:drawing>
          <wp:inline distT="0" distB="0" distL="0" distR="0" wp14:anchorId="050D3D6A" wp14:editId="4B133901">
            <wp:extent cx="2603500" cy="248723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1559" cy="248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7206">
        <w:rPr>
          <w:rFonts w:ascii="Helvetica" w:hAnsi="Helvetica" w:cs="Helvetica"/>
          <w:color w:val="1C1C1C"/>
        </w:rPr>
        <w:t xml:space="preserve">              </w:t>
      </w:r>
      <w:proofErr w:type="gramStart"/>
      <w:r w:rsidRPr="00E26608">
        <w:rPr>
          <w:rFonts w:ascii="Helvetica" w:hAnsi="Helvetica" w:cs="Helvetica"/>
          <w:color w:val="1C1C1C"/>
        </w:rPr>
        <w:t>which</w:t>
      </w:r>
      <w:proofErr w:type="gramEnd"/>
      <w:r w:rsidRPr="00E26608">
        <w:rPr>
          <w:rFonts w:ascii="Helvetica" w:hAnsi="Helvetica" w:cs="Helvetica"/>
          <w:color w:val="1C1C1C"/>
        </w:rPr>
        <w:t xml:space="preserve"> is usually written as</w:t>
      </w:r>
    </w:p>
    <w:p w14:paraId="7F0B7098" w14:textId="77777777" w:rsidR="00E26608" w:rsidRPr="00E26608" w:rsidRDefault="00E26608" w:rsidP="00E2660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noProof/>
          <w:color w:val="1C1C1C"/>
        </w:rPr>
        <w:drawing>
          <wp:inline distT="0" distB="0" distL="0" distR="0" wp14:anchorId="70B0D748" wp14:editId="427E5E26">
            <wp:extent cx="2914650" cy="260163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415" cy="262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B7B04" w14:textId="77777777" w:rsidR="00E26608" w:rsidRPr="00012102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  <w:sz w:val="22"/>
          <w:szCs w:val="22"/>
        </w:rPr>
      </w:pPr>
      <w:proofErr w:type="gramStart"/>
      <w:r w:rsidRPr="00012102">
        <w:rPr>
          <w:rFonts w:ascii="Helvetica" w:hAnsi="Helvetica" w:cs="Helvetica"/>
          <w:color w:val="1C1C1C"/>
          <w:sz w:val="22"/>
          <w:szCs w:val="22"/>
        </w:rPr>
        <w:t>where</w:t>
      </w:r>
      <w:proofErr w:type="gramEnd"/>
      <w:r w:rsidRPr="00012102">
        <w:rPr>
          <w:rFonts w:ascii="Helvetica" w:hAnsi="Helvetica" w:cs="Helvetica"/>
          <w:color w:val="1C1C1C"/>
          <w:sz w:val="22"/>
          <w:szCs w:val="22"/>
        </w:rPr>
        <w:t xml:space="preserve">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6946DA85" wp14:editId="5E3A0F5C">
            <wp:extent cx="84455" cy="844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is now the coordinate perpendicular to the surface.</w:t>
      </w:r>
      <w:bookmarkStart w:id="0" w:name="_GoBack"/>
      <w:bookmarkEnd w:id="0"/>
      <w:r w:rsidRPr="00012102">
        <w:rPr>
          <w:rFonts w:ascii="Helvetica" w:hAnsi="Helvetica" w:cs="Helvetica"/>
          <w:color w:val="1C1C1C"/>
          <w:sz w:val="22"/>
          <w:szCs w:val="22"/>
        </w:rPr>
        <w:t xml:space="preserve"> This form approaches zero at infinite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746C1D9A" wp14:editId="72B88D56">
            <wp:extent cx="84455" cy="844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45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and equals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2D1307C4" wp14:editId="4E1DB6DB">
            <wp:extent cx="287867" cy="133721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867" cy="133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at its minimum, i.e.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64FCC26D" wp14:editId="4FBBCBC1">
            <wp:extent cx="470995" cy="110067"/>
            <wp:effectExtent l="0" t="0" r="1206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95" cy="1100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. It clearly shows that the Morse potential is the combination of a short-range repulsion term (the former) and a long-range attractive term (the latter), analogous to the </w:t>
      </w:r>
      <w:hyperlink r:id="rId25" w:history="1">
        <w:proofErr w:type="spellStart"/>
        <w:r w:rsidRPr="00012102">
          <w:rPr>
            <w:rFonts w:ascii="Helvetica" w:hAnsi="Helvetica" w:cs="Helvetica"/>
            <w:color w:val="092F9D"/>
            <w:sz w:val="22"/>
            <w:szCs w:val="22"/>
          </w:rPr>
          <w:t>Lennard</w:t>
        </w:r>
        <w:proofErr w:type="spellEnd"/>
        <w:r w:rsidRPr="00012102">
          <w:rPr>
            <w:rFonts w:ascii="Helvetica" w:hAnsi="Helvetica" w:cs="Helvetica"/>
            <w:color w:val="092F9D"/>
            <w:sz w:val="22"/>
            <w:szCs w:val="22"/>
          </w:rPr>
          <w:t>-Jones potential</w:t>
        </w:r>
      </w:hyperlink>
      <w:r w:rsidRPr="00012102">
        <w:rPr>
          <w:rFonts w:ascii="Helvetica" w:hAnsi="Helvetica" w:cs="Helvetica"/>
          <w:color w:val="1C1C1C"/>
          <w:sz w:val="22"/>
          <w:szCs w:val="22"/>
        </w:rPr>
        <w:t>.</w:t>
      </w:r>
    </w:p>
    <w:p w14:paraId="00CEC42F" w14:textId="77777777" w:rsidR="00012102" w:rsidRDefault="00012102" w:rsidP="00E26608">
      <w:pPr>
        <w:widowControl w:val="0"/>
        <w:autoSpaceDE w:val="0"/>
        <w:autoSpaceDN w:val="0"/>
        <w:adjustRightInd w:val="0"/>
        <w:spacing w:after="105"/>
        <w:rPr>
          <w:rFonts w:ascii="Georgia" w:hAnsi="Georgia" w:cs="Georgia"/>
          <w:b/>
          <w:sz w:val="36"/>
          <w:szCs w:val="36"/>
        </w:rPr>
      </w:pPr>
    </w:p>
    <w:p w14:paraId="401E2409" w14:textId="77777777" w:rsidR="00012102" w:rsidRDefault="00012102" w:rsidP="00E26608">
      <w:pPr>
        <w:widowControl w:val="0"/>
        <w:autoSpaceDE w:val="0"/>
        <w:autoSpaceDN w:val="0"/>
        <w:adjustRightInd w:val="0"/>
        <w:spacing w:after="105"/>
        <w:rPr>
          <w:rFonts w:ascii="Georgia" w:hAnsi="Georgia" w:cs="Georgia"/>
          <w:b/>
          <w:sz w:val="32"/>
          <w:szCs w:val="32"/>
        </w:rPr>
      </w:pPr>
    </w:p>
    <w:p w14:paraId="08DB35C7" w14:textId="77777777" w:rsidR="00E26608" w:rsidRPr="00012102" w:rsidRDefault="00E26608" w:rsidP="00E26608">
      <w:pPr>
        <w:widowControl w:val="0"/>
        <w:autoSpaceDE w:val="0"/>
        <w:autoSpaceDN w:val="0"/>
        <w:adjustRightInd w:val="0"/>
        <w:spacing w:after="105"/>
        <w:rPr>
          <w:rFonts w:ascii="Georgia" w:hAnsi="Georgia" w:cs="Georgia"/>
          <w:b/>
          <w:sz w:val="32"/>
          <w:szCs w:val="32"/>
        </w:rPr>
      </w:pPr>
      <w:r w:rsidRPr="00012102">
        <w:rPr>
          <w:rFonts w:ascii="Georgia" w:hAnsi="Georgia" w:cs="Georgia"/>
          <w:b/>
          <w:sz w:val="32"/>
          <w:szCs w:val="32"/>
        </w:rPr>
        <w:t>Vibrational states and energies</w:t>
      </w:r>
    </w:p>
    <w:p w14:paraId="5CAAC75E" w14:textId="77777777" w:rsidR="00E26608" w:rsidRPr="00012102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  <w:sz w:val="22"/>
          <w:szCs w:val="22"/>
        </w:rPr>
      </w:pPr>
      <w:r w:rsidRPr="00012102">
        <w:rPr>
          <w:rFonts w:ascii="Helvetica" w:hAnsi="Helvetica" w:cs="Helvetica"/>
          <w:color w:val="1C1C1C"/>
          <w:sz w:val="22"/>
          <w:szCs w:val="22"/>
        </w:rPr>
        <w:lastRenderedPageBreak/>
        <w:t xml:space="preserve">Like the </w:t>
      </w:r>
      <w:hyperlink r:id="rId26" w:history="1">
        <w:r w:rsidRPr="00012102">
          <w:rPr>
            <w:rFonts w:ascii="Helvetica" w:hAnsi="Helvetica" w:cs="Helvetica"/>
            <w:color w:val="092F9D"/>
            <w:sz w:val="22"/>
            <w:szCs w:val="22"/>
          </w:rPr>
          <w:t>quantum harmonic oscillator</w:t>
        </w:r>
      </w:hyperlink>
      <w:r w:rsidRPr="00012102">
        <w:rPr>
          <w:rFonts w:ascii="Helvetica" w:hAnsi="Helvetica" w:cs="Helvetica"/>
          <w:color w:val="1C1C1C"/>
          <w:sz w:val="22"/>
          <w:szCs w:val="22"/>
        </w:rPr>
        <w:t>, the energies and eigenstates of the Morse potential can be found using operator methods</w:t>
      </w:r>
      <w:proofErr w:type="gramStart"/>
      <w:r w:rsidRPr="00012102">
        <w:rPr>
          <w:rFonts w:ascii="Helvetica" w:hAnsi="Helvetica" w:cs="Helvetica"/>
          <w:color w:val="1C1C1C"/>
          <w:sz w:val="22"/>
          <w:szCs w:val="22"/>
        </w:rPr>
        <w:t>.</w:t>
      </w:r>
      <w:r w:rsidRPr="00012102">
        <w:rPr>
          <w:rFonts w:ascii="Helvetica" w:hAnsi="Helvetica" w:cs="Helvetica"/>
          <w:color w:val="092F9D"/>
          <w:sz w:val="22"/>
          <w:szCs w:val="22"/>
        </w:rPr>
        <w:t>[</w:t>
      </w:r>
      <w:proofErr w:type="gramEnd"/>
      <w:r w:rsidRPr="00012102">
        <w:rPr>
          <w:rFonts w:ascii="Helvetica" w:hAnsi="Helvetica" w:cs="Helvetica"/>
          <w:color w:val="092F9D"/>
          <w:sz w:val="22"/>
          <w:szCs w:val="22"/>
        </w:rPr>
        <w:t>1]</w:t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One approach involves applying the </w:t>
      </w:r>
      <w:hyperlink r:id="rId27" w:history="1">
        <w:r w:rsidRPr="00012102">
          <w:rPr>
            <w:rFonts w:ascii="Helvetica" w:hAnsi="Helvetica" w:cs="Helvetica"/>
            <w:color w:val="A90003"/>
            <w:sz w:val="22"/>
            <w:szCs w:val="22"/>
          </w:rPr>
          <w:t>factorization method</w:t>
        </w:r>
      </w:hyperlink>
      <w:r w:rsidRPr="00012102">
        <w:rPr>
          <w:rFonts w:ascii="Helvetica" w:hAnsi="Helvetica" w:cs="Helvetica"/>
          <w:color w:val="1C1C1C"/>
          <w:sz w:val="22"/>
          <w:szCs w:val="22"/>
        </w:rPr>
        <w:t xml:space="preserve"> to the Hamiltonian.</w:t>
      </w:r>
    </w:p>
    <w:p w14:paraId="1EAF4435" w14:textId="77777777" w:rsidR="00E26608" w:rsidRPr="00012102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  <w:sz w:val="22"/>
          <w:szCs w:val="22"/>
        </w:rPr>
      </w:pPr>
      <w:r w:rsidRPr="00012102">
        <w:rPr>
          <w:rFonts w:ascii="Helvetica" w:hAnsi="Helvetica" w:cs="Helvetica"/>
          <w:color w:val="1C1C1C"/>
          <w:sz w:val="22"/>
          <w:szCs w:val="22"/>
        </w:rPr>
        <w:t xml:space="preserve">To write the </w:t>
      </w:r>
      <w:hyperlink r:id="rId28" w:history="1">
        <w:r w:rsidRPr="00012102">
          <w:rPr>
            <w:rFonts w:ascii="Helvetica" w:hAnsi="Helvetica" w:cs="Helvetica"/>
            <w:color w:val="092F9D"/>
            <w:sz w:val="22"/>
            <w:szCs w:val="22"/>
          </w:rPr>
          <w:t>stationary states</w:t>
        </w:r>
      </w:hyperlink>
      <w:r w:rsidRPr="00012102">
        <w:rPr>
          <w:rFonts w:ascii="Helvetica" w:hAnsi="Helvetica" w:cs="Helvetica"/>
          <w:color w:val="1C1C1C"/>
          <w:sz w:val="22"/>
          <w:szCs w:val="22"/>
        </w:rPr>
        <w:t xml:space="preserve"> on the Morse potential, i.e. solutions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72848420" wp14:editId="129EA06E">
            <wp:extent cx="406400" cy="228333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" cy="228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and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4F0E87BB" wp14:editId="00333444">
            <wp:extent cx="425450" cy="2308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834" cy="229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of the following </w:t>
      </w:r>
      <w:hyperlink r:id="rId31" w:history="1">
        <w:r w:rsidRPr="00012102">
          <w:rPr>
            <w:rFonts w:ascii="Helvetica" w:hAnsi="Helvetica" w:cs="Helvetica"/>
            <w:color w:val="092F9D"/>
            <w:sz w:val="22"/>
            <w:szCs w:val="22"/>
          </w:rPr>
          <w:t>Schrödinger equation</w:t>
        </w:r>
      </w:hyperlink>
      <w:r w:rsidRPr="00012102">
        <w:rPr>
          <w:rFonts w:ascii="Helvetica" w:hAnsi="Helvetica" w:cs="Helvetica"/>
          <w:color w:val="1C1C1C"/>
          <w:sz w:val="22"/>
          <w:szCs w:val="22"/>
        </w:rPr>
        <w:t>:</w:t>
      </w:r>
    </w:p>
    <w:p w14:paraId="44D85DAD" w14:textId="77777777" w:rsidR="00E26608" w:rsidRPr="00E26608" w:rsidRDefault="00E26608" w:rsidP="00E2660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noProof/>
          <w:color w:val="1C1C1C"/>
        </w:rPr>
        <w:drawing>
          <wp:inline distT="0" distB="0" distL="0" distR="0" wp14:anchorId="0DE02EBC" wp14:editId="77C0F451">
            <wp:extent cx="2374900" cy="381923"/>
            <wp:effectExtent l="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388" cy="384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E8712" w14:textId="77777777" w:rsidR="00E26608" w:rsidRPr="00E26608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</w:rPr>
      </w:pPr>
      <w:proofErr w:type="gramStart"/>
      <w:r w:rsidRPr="00E26608">
        <w:rPr>
          <w:rFonts w:ascii="Helvetica" w:hAnsi="Helvetica" w:cs="Helvetica"/>
          <w:color w:val="1C1C1C"/>
        </w:rPr>
        <w:t>it</w:t>
      </w:r>
      <w:proofErr w:type="gramEnd"/>
      <w:r w:rsidRPr="00E26608">
        <w:rPr>
          <w:rFonts w:ascii="Helvetica" w:hAnsi="Helvetica" w:cs="Helvetica"/>
          <w:color w:val="1C1C1C"/>
        </w:rPr>
        <w:t xml:space="preserve"> is convenient to introduce the new variables:</w:t>
      </w:r>
    </w:p>
    <w:p w14:paraId="65E0937B" w14:textId="77777777" w:rsidR="00E26608" w:rsidRPr="00E26608" w:rsidRDefault="00E26608" w:rsidP="00E2660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noProof/>
          <w:color w:val="1C1C1C"/>
        </w:rPr>
        <w:drawing>
          <wp:inline distT="0" distB="0" distL="0" distR="0" wp14:anchorId="464DB99D" wp14:editId="21E16455">
            <wp:extent cx="2965450" cy="319782"/>
            <wp:effectExtent l="0" t="0" r="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450" cy="3197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6BCA2" w14:textId="77777777" w:rsidR="00E26608" w:rsidRPr="00E26608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color w:val="1C1C1C"/>
        </w:rPr>
        <w:t xml:space="preserve">Then, the </w:t>
      </w:r>
      <w:hyperlink r:id="rId34" w:history="1">
        <w:r w:rsidRPr="00E26608">
          <w:rPr>
            <w:rFonts w:ascii="Helvetica" w:hAnsi="Helvetica" w:cs="Helvetica"/>
            <w:color w:val="092F9D"/>
          </w:rPr>
          <w:t>Schrödinger equation</w:t>
        </w:r>
      </w:hyperlink>
      <w:r w:rsidRPr="00E26608">
        <w:rPr>
          <w:rFonts w:ascii="Helvetica" w:hAnsi="Helvetica" w:cs="Helvetica"/>
          <w:color w:val="1C1C1C"/>
        </w:rPr>
        <w:t xml:space="preserve"> takes the simple form:</w:t>
      </w:r>
    </w:p>
    <w:p w14:paraId="12FF82B9" w14:textId="77777777" w:rsidR="00E26608" w:rsidRPr="00E26608" w:rsidRDefault="00E26608" w:rsidP="00E2660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noProof/>
          <w:color w:val="1C1C1C"/>
          <w:highlight w:val="yellow"/>
        </w:rPr>
        <w:drawing>
          <wp:inline distT="0" distB="0" distL="0" distR="0" wp14:anchorId="7AC77275" wp14:editId="1D21FC3D">
            <wp:extent cx="2597150" cy="453618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150" cy="4536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6AE06" w14:textId="77777777" w:rsidR="00E26608" w:rsidRPr="00E26608" w:rsidRDefault="00E26608" w:rsidP="00E2660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noProof/>
          <w:color w:val="1C1C1C"/>
          <w:highlight w:val="yellow"/>
        </w:rPr>
        <w:drawing>
          <wp:inline distT="0" distB="0" distL="0" distR="0" wp14:anchorId="2D9FC4A1" wp14:editId="06A8A258">
            <wp:extent cx="2717800" cy="29446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392" cy="29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F0C93" w14:textId="77777777" w:rsidR="00E26608" w:rsidRPr="00012102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  <w:sz w:val="22"/>
          <w:szCs w:val="22"/>
        </w:rPr>
      </w:pPr>
      <w:r w:rsidRPr="00012102">
        <w:rPr>
          <w:rFonts w:ascii="Helvetica" w:hAnsi="Helvetica" w:cs="Helvetica"/>
          <w:color w:val="1C1C1C"/>
          <w:sz w:val="22"/>
          <w:szCs w:val="22"/>
        </w:rPr>
        <w:t xml:space="preserve">Its </w:t>
      </w:r>
      <w:hyperlink r:id="rId37" w:history="1">
        <w:r w:rsidRPr="00012102">
          <w:rPr>
            <w:rFonts w:ascii="Helvetica" w:hAnsi="Helvetica" w:cs="Helvetica"/>
            <w:color w:val="092F9D"/>
            <w:sz w:val="22"/>
            <w:szCs w:val="22"/>
          </w:rPr>
          <w:t>eigenvalues</w:t>
        </w:r>
      </w:hyperlink>
      <w:r w:rsidRPr="00012102">
        <w:rPr>
          <w:rFonts w:ascii="Helvetica" w:hAnsi="Helvetica" w:cs="Helvetica"/>
          <w:color w:val="1C1C1C"/>
          <w:sz w:val="22"/>
          <w:szCs w:val="22"/>
        </w:rPr>
        <w:t xml:space="preserve"> and </w:t>
      </w:r>
      <w:hyperlink r:id="rId38" w:history="1">
        <w:r w:rsidRPr="00012102">
          <w:rPr>
            <w:rFonts w:ascii="Helvetica" w:hAnsi="Helvetica" w:cs="Helvetica"/>
            <w:color w:val="092F9D"/>
            <w:sz w:val="22"/>
            <w:szCs w:val="22"/>
          </w:rPr>
          <w:t>eigenstates</w:t>
        </w:r>
      </w:hyperlink>
      <w:r w:rsidRPr="00012102">
        <w:rPr>
          <w:rFonts w:ascii="Helvetica" w:hAnsi="Helvetica" w:cs="Helvetica"/>
          <w:color w:val="1C1C1C"/>
          <w:sz w:val="22"/>
          <w:szCs w:val="22"/>
        </w:rPr>
        <w:t xml:space="preserve"> can be written as:</w:t>
      </w:r>
    </w:p>
    <w:p w14:paraId="5BE2288F" w14:textId="77777777" w:rsidR="00E26608" w:rsidRPr="00E26608" w:rsidRDefault="00E26608" w:rsidP="00E2660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noProof/>
          <w:color w:val="1C1C1C"/>
          <w:highlight w:val="yellow"/>
        </w:rPr>
        <w:drawing>
          <wp:inline distT="0" distB="0" distL="0" distR="0" wp14:anchorId="72EF2A8B" wp14:editId="50FBE9C1">
            <wp:extent cx="1454150" cy="371616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9921" cy="373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E8E5" w14:textId="77777777" w:rsidR="00E26608" w:rsidRPr="00E26608" w:rsidRDefault="00E26608" w:rsidP="00E2660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noProof/>
          <w:color w:val="1C1C1C"/>
        </w:rPr>
        <w:drawing>
          <wp:inline distT="0" distB="0" distL="0" distR="0" wp14:anchorId="20BF4DD8" wp14:editId="04F49B5D">
            <wp:extent cx="2717800" cy="246663"/>
            <wp:effectExtent l="0" t="0" r="6350" b="127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6448" cy="24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053EBC" w14:textId="77777777" w:rsidR="00E26608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</w:rPr>
      </w:pPr>
      <w:proofErr w:type="gramStart"/>
      <w:r w:rsidRPr="00E26608">
        <w:rPr>
          <w:rFonts w:ascii="Helvetica" w:hAnsi="Helvetica" w:cs="Helvetica"/>
          <w:color w:val="1C1C1C"/>
        </w:rPr>
        <w:t>where</w:t>
      </w:r>
      <w:proofErr w:type="gramEnd"/>
      <w:r w:rsidRPr="00E26608">
        <w:rPr>
          <w:rFonts w:ascii="Helvetica" w:hAnsi="Helvetica" w:cs="Helvetica"/>
          <w:color w:val="1C1C1C"/>
        </w:rPr>
        <w:t xml:space="preserve"> </w:t>
      </w:r>
      <w:r w:rsidRPr="00E26608">
        <w:rPr>
          <w:rFonts w:ascii="Helvetica" w:hAnsi="Helvetica" w:cs="Helvetica"/>
          <w:noProof/>
          <w:color w:val="1C1C1C"/>
        </w:rPr>
        <w:drawing>
          <wp:inline distT="0" distB="0" distL="0" distR="0" wp14:anchorId="12E8B7A5" wp14:editId="3D2C8169">
            <wp:extent cx="2990850" cy="42151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6897" cy="42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608">
        <w:rPr>
          <w:rFonts w:ascii="Helvetica" w:hAnsi="Helvetica" w:cs="Helvetica"/>
          <w:color w:val="1C1C1C"/>
        </w:rPr>
        <w:t xml:space="preserve"> </w:t>
      </w:r>
    </w:p>
    <w:p w14:paraId="354465D9" w14:textId="77777777" w:rsidR="00E26608" w:rsidRPr="00E26608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  <w:sz w:val="32"/>
          <w:szCs w:val="32"/>
        </w:rPr>
      </w:pPr>
      <w:proofErr w:type="gramStart"/>
      <w:r w:rsidRPr="00E26608">
        <w:rPr>
          <w:rFonts w:ascii="Helvetica" w:hAnsi="Helvetica" w:cs="Helvetica"/>
          <w:color w:val="1C1C1C"/>
        </w:rPr>
        <w:t>and</w:t>
      </w:r>
      <w:proofErr w:type="gramEnd"/>
      <w:r w:rsidRPr="00E26608">
        <w:rPr>
          <w:rFonts w:ascii="Helvetica" w:hAnsi="Helvetica" w:cs="Helvetica"/>
          <w:color w:val="1C1C1C"/>
        </w:rPr>
        <w:t xml:space="preserve"> </w:t>
      </w:r>
      <w:r w:rsidRPr="00E26608">
        <w:rPr>
          <w:rFonts w:ascii="Helvetica" w:hAnsi="Helvetica" w:cs="Helvetica"/>
          <w:noProof/>
          <w:color w:val="1C1C1C"/>
        </w:rPr>
        <w:drawing>
          <wp:inline distT="0" distB="0" distL="0" distR="0" wp14:anchorId="3953E469" wp14:editId="795A2410">
            <wp:extent cx="311150" cy="14029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465" cy="14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608">
        <w:rPr>
          <w:rFonts w:ascii="Helvetica" w:hAnsi="Helvetica" w:cs="Helvetica"/>
          <w:color w:val="1C1C1C"/>
        </w:rPr>
        <w:t xml:space="preserve"> is </w:t>
      </w:r>
      <w:r>
        <w:rPr>
          <w:rFonts w:ascii="Helvetica" w:hAnsi="Helvetica" w:cs="Helvetica"/>
          <w:color w:val="1C1C1C"/>
        </w:rPr>
        <w:t xml:space="preserve"> the  </w:t>
      </w:r>
      <w:r w:rsidRPr="00012102">
        <w:rPr>
          <w:rFonts w:ascii="Helvetica" w:hAnsi="Helvetica" w:cs="Helvetica"/>
          <w:color w:val="FF6600"/>
          <w:sz w:val="28"/>
          <w:szCs w:val="28"/>
        </w:rPr>
        <w:t>Laguerre Polynomial</w:t>
      </w:r>
    </w:p>
    <w:p w14:paraId="1C040E7A" w14:textId="77777777" w:rsidR="00E26608" w:rsidRPr="00E26608" w:rsidRDefault="00E26608" w:rsidP="00E2660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noProof/>
          <w:color w:val="1C1C1C"/>
        </w:rPr>
        <w:drawing>
          <wp:inline distT="0" distB="0" distL="0" distR="0" wp14:anchorId="40A85CEF" wp14:editId="73E85CCB">
            <wp:extent cx="4197350" cy="33089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1175" cy="33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0D39" w14:textId="77777777" w:rsidR="00E26608" w:rsidRPr="00E26608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color w:val="1C1C1C"/>
        </w:rPr>
        <w:t xml:space="preserve">There also exists the following important analytical expression for </w:t>
      </w:r>
      <w:hyperlink r:id="rId44" w:history="1">
        <w:r w:rsidRPr="00E26608">
          <w:rPr>
            <w:rFonts w:ascii="Helvetica" w:hAnsi="Helvetica" w:cs="Helvetica"/>
            <w:color w:val="092F9D"/>
          </w:rPr>
          <w:t>matrix</w:t>
        </w:r>
      </w:hyperlink>
      <w:r w:rsidRPr="00E26608">
        <w:rPr>
          <w:rFonts w:ascii="Helvetica" w:hAnsi="Helvetica" w:cs="Helvetica"/>
          <w:color w:val="1C1C1C"/>
        </w:rPr>
        <w:t xml:space="preserve"> elements of the coordinate operator (here it is assumed that </w:t>
      </w:r>
      <w:r w:rsidRPr="00E26608">
        <w:rPr>
          <w:rFonts w:ascii="Helvetica" w:hAnsi="Helvetica" w:cs="Helvetica"/>
          <w:noProof/>
          <w:color w:val="1C1C1C"/>
        </w:rPr>
        <w:drawing>
          <wp:inline distT="0" distB="0" distL="0" distR="0" wp14:anchorId="6A939943" wp14:editId="3B6B8EAF">
            <wp:extent cx="525145" cy="118745"/>
            <wp:effectExtent l="0" t="0" r="8255" b="825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608">
        <w:rPr>
          <w:rFonts w:ascii="Helvetica" w:hAnsi="Helvetica" w:cs="Helvetica"/>
          <w:color w:val="1C1C1C"/>
        </w:rPr>
        <w:t xml:space="preserve"> and </w:t>
      </w:r>
      <w:r w:rsidRPr="00E26608">
        <w:rPr>
          <w:rFonts w:ascii="Helvetica" w:hAnsi="Helvetica" w:cs="Helvetica"/>
          <w:noProof/>
          <w:color w:val="1C1C1C"/>
        </w:rPr>
        <w:drawing>
          <wp:inline distT="0" distB="0" distL="0" distR="0" wp14:anchorId="284DA645" wp14:editId="4D5D9175">
            <wp:extent cx="615950" cy="276843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316" cy="278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26608">
        <w:rPr>
          <w:rFonts w:ascii="Helvetica" w:hAnsi="Helvetica" w:cs="Helvetica"/>
          <w:color w:val="1C1C1C"/>
        </w:rPr>
        <w:t xml:space="preserve">) </w:t>
      </w:r>
    </w:p>
    <w:p w14:paraId="7D8438AB" w14:textId="77777777" w:rsidR="00E26608" w:rsidRPr="00E26608" w:rsidRDefault="00E26608" w:rsidP="00E2660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noProof/>
          <w:color w:val="1C1C1C"/>
        </w:rPr>
        <w:drawing>
          <wp:inline distT="0" distB="0" distL="0" distR="0" wp14:anchorId="316A73B2" wp14:editId="67C7ECEC">
            <wp:extent cx="4394200" cy="419828"/>
            <wp:effectExtent l="0" t="0" r="635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01" cy="422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E6B7" w14:textId="77777777" w:rsidR="00E26608" w:rsidRPr="00E26608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color w:val="1C1C1C"/>
        </w:rPr>
        <w:t xml:space="preserve">The </w:t>
      </w:r>
      <w:proofErr w:type="spellStart"/>
      <w:r w:rsidRPr="00E26608">
        <w:rPr>
          <w:rFonts w:ascii="Helvetica" w:hAnsi="Helvetica" w:cs="Helvetica"/>
          <w:color w:val="1C1C1C"/>
        </w:rPr>
        <w:t>eigenenergies</w:t>
      </w:r>
      <w:proofErr w:type="spellEnd"/>
      <w:r w:rsidRPr="00E26608">
        <w:rPr>
          <w:rFonts w:ascii="Helvetica" w:hAnsi="Helvetica" w:cs="Helvetica"/>
          <w:color w:val="1C1C1C"/>
        </w:rPr>
        <w:t xml:space="preserve"> in the initial variables have form:</w:t>
      </w:r>
    </w:p>
    <w:p w14:paraId="2365D838" w14:textId="77777777" w:rsidR="00E26608" w:rsidRPr="00E26608" w:rsidRDefault="00E26608" w:rsidP="00E2660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noProof/>
          <w:color w:val="1C1C1C"/>
          <w:highlight w:val="green"/>
        </w:rPr>
        <w:drawing>
          <wp:inline distT="0" distB="0" distL="0" distR="0" wp14:anchorId="02C1EEBE" wp14:editId="26DC9896">
            <wp:extent cx="2546350" cy="383117"/>
            <wp:effectExtent l="0" t="0" r="635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4339" cy="385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498BD" w14:textId="77777777" w:rsidR="00E26608" w:rsidRPr="00012102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  <w:sz w:val="22"/>
          <w:szCs w:val="22"/>
        </w:rPr>
      </w:pPr>
      <w:proofErr w:type="gramStart"/>
      <w:r w:rsidRPr="00012102">
        <w:rPr>
          <w:rFonts w:ascii="Helvetica" w:hAnsi="Helvetica" w:cs="Helvetica"/>
          <w:color w:val="1C1C1C"/>
          <w:sz w:val="22"/>
          <w:szCs w:val="22"/>
        </w:rPr>
        <w:t>where</w:t>
      </w:r>
      <w:proofErr w:type="gramEnd"/>
      <w:r w:rsidRPr="00012102">
        <w:rPr>
          <w:rFonts w:ascii="Helvetica" w:hAnsi="Helvetica" w:cs="Helvetica"/>
          <w:color w:val="1C1C1C"/>
          <w:sz w:val="22"/>
          <w:szCs w:val="22"/>
        </w:rPr>
        <w:t xml:space="preserve">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7FB92D1C" wp14:editId="7E048155">
            <wp:extent cx="93345" cy="84455"/>
            <wp:effectExtent l="0" t="0" r="825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is the vibrational quantum number, and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0DE284F4" wp14:editId="46134DD8">
            <wp:extent cx="152400" cy="118745"/>
            <wp:effectExtent l="0" t="0" r="0" b="825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has units of frequency, and is mathematically related to the particle mass,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6D9E4310" wp14:editId="6B7FB6B8">
            <wp:extent cx="160655" cy="8445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65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>, and the Morse constants via</w:t>
      </w:r>
    </w:p>
    <w:p w14:paraId="38044D92" w14:textId="77777777" w:rsidR="00E26608" w:rsidRPr="00E26608" w:rsidRDefault="00E26608" w:rsidP="00E2660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noProof/>
          <w:color w:val="1C1C1C"/>
          <w:highlight w:val="yellow"/>
        </w:rPr>
        <w:drawing>
          <wp:inline distT="0" distB="0" distL="0" distR="0" wp14:anchorId="1D919F11" wp14:editId="0EC2B19C">
            <wp:extent cx="952500" cy="22959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309" cy="23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BBC0" w14:textId="77777777" w:rsidR="00E26608" w:rsidRPr="00012102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  <w:sz w:val="22"/>
          <w:szCs w:val="22"/>
        </w:rPr>
      </w:pPr>
      <w:r w:rsidRPr="00012102">
        <w:rPr>
          <w:rFonts w:ascii="Helvetica" w:hAnsi="Helvetica" w:cs="Helvetica"/>
          <w:color w:val="1C1C1C"/>
          <w:sz w:val="22"/>
          <w:szCs w:val="22"/>
        </w:rPr>
        <w:t xml:space="preserve">Whereas the energy spacing between vibrational levels in the </w:t>
      </w:r>
      <w:hyperlink r:id="rId53" w:history="1">
        <w:r w:rsidRPr="00012102">
          <w:rPr>
            <w:rFonts w:ascii="Helvetica" w:hAnsi="Helvetica" w:cs="Helvetica"/>
            <w:color w:val="092F9D"/>
            <w:sz w:val="22"/>
            <w:szCs w:val="22"/>
          </w:rPr>
          <w:t>quantum harmonic oscillator</w:t>
        </w:r>
      </w:hyperlink>
      <w:r w:rsidRPr="00012102">
        <w:rPr>
          <w:rFonts w:ascii="Helvetica" w:hAnsi="Helvetica" w:cs="Helvetica"/>
          <w:color w:val="1C1C1C"/>
          <w:sz w:val="22"/>
          <w:szCs w:val="22"/>
        </w:rPr>
        <w:t xml:space="preserve"> is constant </w:t>
      </w:r>
      <w:proofErr w:type="gramStart"/>
      <w:r w:rsidRPr="00012102">
        <w:rPr>
          <w:rFonts w:ascii="Helvetica" w:hAnsi="Helvetica" w:cs="Helvetica"/>
          <w:color w:val="1C1C1C"/>
          <w:sz w:val="22"/>
          <w:szCs w:val="22"/>
        </w:rPr>
        <w:t xml:space="preserve">at </w:t>
      </w:r>
      <w:proofErr w:type="gramEnd"/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0EE20569" wp14:editId="069EAFD0">
            <wp:extent cx="230229" cy="146050"/>
            <wp:effectExtent l="0" t="0" r="0" b="635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73" cy="14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, the energy between adjacent levels decreases with increasing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7689D4E0" wp14:editId="20B89EB9">
            <wp:extent cx="93345" cy="84455"/>
            <wp:effectExtent l="0" t="0" r="825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" cy="8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in the Morse oscillator. Mathematically, the spacing of Morse levels is</w:t>
      </w:r>
    </w:p>
    <w:p w14:paraId="3ACF62D5" w14:textId="77777777" w:rsidR="00E26608" w:rsidRPr="00E26608" w:rsidRDefault="00E26608" w:rsidP="00E26608">
      <w:pPr>
        <w:widowControl w:val="0"/>
        <w:autoSpaceDE w:val="0"/>
        <w:autoSpaceDN w:val="0"/>
        <w:adjustRightInd w:val="0"/>
        <w:rPr>
          <w:rFonts w:ascii="Helvetica" w:hAnsi="Helvetica" w:cs="Helvetica"/>
          <w:color w:val="1C1C1C"/>
        </w:rPr>
      </w:pPr>
      <w:r w:rsidRPr="00E26608">
        <w:rPr>
          <w:rFonts w:ascii="Helvetica" w:hAnsi="Helvetica" w:cs="Helvetica"/>
          <w:noProof/>
          <w:color w:val="1C1C1C"/>
          <w:highlight w:val="yellow"/>
        </w:rPr>
        <w:drawing>
          <wp:inline distT="0" distB="0" distL="0" distR="0" wp14:anchorId="65ADD0BC" wp14:editId="5BCC808C">
            <wp:extent cx="2870200" cy="177300"/>
            <wp:effectExtent l="0" t="0" r="635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7644" cy="17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F540E" w14:textId="77777777" w:rsidR="00E26608" w:rsidRPr="00012102" w:rsidRDefault="00E26608" w:rsidP="00E26608">
      <w:pPr>
        <w:widowControl w:val="0"/>
        <w:autoSpaceDE w:val="0"/>
        <w:autoSpaceDN w:val="0"/>
        <w:adjustRightInd w:val="0"/>
        <w:spacing w:after="140"/>
        <w:rPr>
          <w:rFonts w:ascii="Helvetica" w:hAnsi="Helvetica" w:cs="Helvetica"/>
          <w:color w:val="1C1C1C"/>
          <w:sz w:val="22"/>
          <w:szCs w:val="22"/>
        </w:rPr>
      </w:pPr>
      <w:r w:rsidRPr="00012102">
        <w:rPr>
          <w:rFonts w:ascii="Helvetica" w:hAnsi="Helvetica" w:cs="Helvetica"/>
          <w:color w:val="1C1C1C"/>
          <w:sz w:val="22"/>
          <w:szCs w:val="22"/>
        </w:rPr>
        <w:t xml:space="preserve">This trend matches the </w:t>
      </w:r>
      <w:proofErr w:type="spellStart"/>
      <w:r w:rsidRPr="00012102">
        <w:rPr>
          <w:rFonts w:ascii="Helvetica" w:hAnsi="Helvetica" w:cs="Helvetica"/>
          <w:color w:val="1C1C1C"/>
          <w:sz w:val="22"/>
          <w:szCs w:val="22"/>
        </w:rPr>
        <w:t>anharmonicity</w:t>
      </w:r>
      <w:proofErr w:type="spellEnd"/>
      <w:r w:rsidRPr="00012102">
        <w:rPr>
          <w:rFonts w:ascii="Helvetica" w:hAnsi="Helvetica" w:cs="Helvetica"/>
          <w:color w:val="1C1C1C"/>
          <w:sz w:val="22"/>
          <w:szCs w:val="22"/>
        </w:rPr>
        <w:t xml:space="preserve"> found in real molecules. However, this equation fails above some value of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68446A1E" wp14:editId="23A7EBC0">
            <wp:extent cx="279400" cy="15240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where </w:t>
      </w:r>
      <w:r w:rsidRPr="00012102">
        <w:rPr>
          <w:rFonts w:ascii="Helvetica" w:hAnsi="Helvetica" w:cs="Helvetica"/>
          <w:noProof/>
          <w:color w:val="1C1C1C"/>
          <w:sz w:val="22"/>
          <w:szCs w:val="22"/>
        </w:rPr>
        <w:drawing>
          <wp:inline distT="0" distB="0" distL="0" distR="0" wp14:anchorId="7C0BD8F9" wp14:editId="4A784783">
            <wp:extent cx="1333500" cy="173599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34" cy="174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12102">
        <w:rPr>
          <w:rFonts w:ascii="Helvetica" w:hAnsi="Helvetica" w:cs="Helvetica"/>
          <w:color w:val="1C1C1C"/>
          <w:sz w:val="22"/>
          <w:szCs w:val="22"/>
        </w:rPr>
        <w:t xml:space="preserve"> is calculated to be zero or negative. Specifically,</w:t>
      </w:r>
    </w:p>
    <w:p w14:paraId="04186C4A" w14:textId="77777777" w:rsidR="005152BC" w:rsidRPr="00E26608" w:rsidRDefault="00E26608" w:rsidP="00E26608">
      <w:r w:rsidRPr="00E26608">
        <w:rPr>
          <w:rFonts w:ascii="Helvetica" w:hAnsi="Helvetica" w:cs="Helvetica"/>
          <w:noProof/>
          <w:color w:val="1C1C1C"/>
          <w:highlight w:val="yellow"/>
        </w:rPr>
        <w:drawing>
          <wp:inline distT="0" distB="0" distL="0" distR="0" wp14:anchorId="3DCA4752" wp14:editId="50819F54">
            <wp:extent cx="1276350" cy="389996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8796" cy="390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152BC" w:rsidRPr="00E26608" w:rsidSect="00012102">
      <w:pgSz w:w="12240" w:h="15840"/>
      <w:pgMar w:top="576" w:right="720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608"/>
    <w:rsid w:val="00012102"/>
    <w:rsid w:val="000754A8"/>
    <w:rsid w:val="005152BC"/>
    <w:rsid w:val="006A229D"/>
    <w:rsid w:val="00BE388B"/>
    <w:rsid w:val="00D67206"/>
    <w:rsid w:val="00E26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ACEC1A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0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210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210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en.wikipedia.org/wiki/Zero_point_energy" TargetMode="External"/><Relationship Id="rId18" Type="http://schemas.openxmlformats.org/officeDocument/2006/relationships/hyperlink" Target="http://en.wikipedia.org/wiki/Derivative" TargetMode="External"/><Relationship Id="rId26" Type="http://schemas.openxmlformats.org/officeDocument/2006/relationships/hyperlink" Target="http://en.wikipedia.org/wiki/Quantum_harmonic_oscillator" TargetMode="External"/><Relationship Id="rId39" Type="http://schemas.openxmlformats.org/officeDocument/2006/relationships/image" Target="media/image21.png"/><Relationship Id="rId21" Type="http://schemas.openxmlformats.org/officeDocument/2006/relationships/hyperlink" Target="http://en.wikipedia.org/wiki/Potential_energy" TargetMode="External"/><Relationship Id="rId34" Type="http://schemas.openxmlformats.org/officeDocument/2006/relationships/hyperlink" Target="http://en.wikipedia.org/wiki/Schr%C3%B6dinger_equation" TargetMode="External"/><Relationship Id="rId42" Type="http://schemas.openxmlformats.org/officeDocument/2006/relationships/image" Target="media/image24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5.png"/><Relationship Id="rId7" Type="http://schemas.openxmlformats.org/officeDocument/2006/relationships/image" Target="media/image2.png"/><Relationship Id="rId12" Type="http://schemas.openxmlformats.org/officeDocument/2006/relationships/hyperlink" Target="http://en.wikipedia.org/wiki/Bond_dissociation_energy" TargetMode="External"/><Relationship Id="rId17" Type="http://schemas.openxmlformats.org/officeDocument/2006/relationships/image" Target="media/image9.png"/><Relationship Id="rId25" Type="http://schemas.openxmlformats.org/officeDocument/2006/relationships/hyperlink" Target="http://en.wikipedia.org/wiki/Lennard-Jones_potential" TargetMode="External"/><Relationship Id="rId33" Type="http://schemas.openxmlformats.org/officeDocument/2006/relationships/image" Target="media/image18.png"/><Relationship Id="rId38" Type="http://schemas.openxmlformats.org/officeDocument/2006/relationships/hyperlink" Target="http://en.wikipedia.org/wiki/Eigenstate" TargetMode="External"/><Relationship Id="rId46" Type="http://schemas.openxmlformats.org/officeDocument/2006/relationships/image" Target="media/image27.png"/><Relationship Id="rId59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5.png"/><Relationship Id="rId41" Type="http://schemas.openxmlformats.org/officeDocument/2006/relationships/image" Target="media/image23.png"/><Relationship Id="rId54" Type="http://schemas.openxmlformats.org/officeDocument/2006/relationships/image" Target="media/image3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4.png"/><Relationship Id="rId32" Type="http://schemas.openxmlformats.org/officeDocument/2006/relationships/image" Target="media/image17.png"/><Relationship Id="rId37" Type="http://schemas.openxmlformats.org/officeDocument/2006/relationships/hyperlink" Target="http://en.wikipedia.org/wiki/Eigenvalue" TargetMode="External"/><Relationship Id="rId40" Type="http://schemas.openxmlformats.org/officeDocument/2006/relationships/image" Target="media/image22.png"/><Relationship Id="rId45" Type="http://schemas.openxmlformats.org/officeDocument/2006/relationships/image" Target="media/image26.png"/><Relationship Id="rId53" Type="http://schemas.openxmlformats.org/officeDocument/2006/relationships/hyperlink" Target="http://en.wikipedia.org/wiki/Quantum_harmonic_oscillator" TargetMode="External"/><Relationship Id="rId58" Type="http://schemas.openxmlformats.org/officeDocument/2006/relationships/image" Target="media/image38.png"/><Relationship Id="rId5" Type="http://schemas.openxmlformats.org/officeDocument/2006/relationships/hyperlink" Target="http://en.wikipedia.org/wiki/File:Morse-potential.png" TargetMode="External"/><Relationship Id="rId15" Type="http://schemas.openxmlformats.org/officeDocument/2006/relationships/hyperlink" Target="http://en.wikipedia.org/wiki/Force_constant" TargetMode="External"/><Relationship Id="rId23" Type="http://schemas.openxmlformats.org/officeDocument/2006/relationships/image" Target="media/image13.png"/><Relationship Id="rId28" Type="http://schemas.openxmlformats.org/officeDocument/2006/relationships/hyperlink" Target="http://en.wikipedia.org/wiki/Stationary_state" TargetMode="External"/><Relationship Id="rId36" Type="http://schemas.openxmlformats.org/officeDocument/2006/relationships/image" Target="media/image20.png"/><Relationship Id="rId49" Type="http://schemas.openxmlformats.org/officeDocument/2006/relationships/image" Target="media/image30.png"/><Relationship Id="rId57" Type="http://schemas.openxmlformats.org/officeDocument/2006/relationships/image" Target="media/image37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hyperlink" Target="http://en.wikipedia.org/wiki/Schr%C3%B6dinger_equation" TargetMode="External"/><Relationship Id="rId44" Type="http://schemas.openxmlformats.org/officeDocument/2006/relationships/hyperlink" Target="http://en.wikipedia.org/wiki/Matrix_(mathematics)" TargetMode="External"/><Relationship Id="rId52" Type="http://schemas.openxmlformats.org/officeDocument/2006/relationships/image" Target="media/image33.png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hyperlink" Target="http://en.wikipedia.org/w/index.php?title=Factorization_method&amp;action=edit&amp;redlink=1" TargetMode="External"/><Relationship Id="rId30" Type="http://schemas.openxmlformats.org/officeDocument/2006/relationships/image" Target="media/image16.png"/><Relationship Id="rId35" Type="http://schemas.openxmlformats.org/officeDocument/2006/relationships/image" Target="media/image19.png"/><Relationship Id="rId43" Type="http://schemas.openxmlformats.org/officeDocument/2006/relationships/image" Target="media/image25.png"/><Relationship Id="rId48" Type="http://schemas.openxmlformats.org/officeDocument/2006/relationships/image" Target="media/image29.png"/><Relationship Id="rId56" Type="http://schemas.openxmlformats.org/officeDocument/2006/relationships/image" Target="media/image36.png"/><Relationship Id="rId8" Type="http://schemas.openxmlformats.org/officeDocument/2006/relationships/image" Target="media/image3.png"/><Relationship Id="rId51" Type="http://schemas.openxmlformats.org/officeDocument/2006/relationships/image" Target="media/image3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Loyola University</Company>
  <LinksUpToDate>false</LinksUpToDate>
  <CharactersWithSpaces>4172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Conrad Naleway</dc:creator>
  <cp:lastModifiedBy>Conrad Naleway</cp:lastModifiedBy>
  <cp:revision>3</cp:revision>
  <dcterms:created xsi:type="dcterms:W3CDTF">2015-03-18T14:37:00Z</dcterms:created>
  <dcterms:modified xsi:type="dcterms:W3CDTF">2015-03-18T14:38:00Z</dcterms:modified>
</cp:coreProperties>
</file>