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937" w:rsidRPr="00CA106D" w:rsidRDefault="00F43937" w:rsidP="00B062CA">
      <w:pPr>
        <w:autoSpaceDE w:val="0"/>
        <w:autoSpaceDN w:val="0"/>
        <w:adjustRightInd w:val="0"/>
        <w:spacing w:after="0" w:line="240" w:lineRule="auto"/>
        <w:contextualSpacing/>
        <w:jc w:val="center"/>
        <w:rPr>
          <w:rFonts w:asciiTheme="minorHAnsi" w:hAnsiTheme="minorHAnsi" w:cstheme="minorHAnsi"/>
          <w:b/>
          <w:bCs/>
          <w:sz w:val="28"/>
          <w:szCs w:val="28"/>
        </w:rPr>
      </w:pPr>
      <w:r w:rsidRPr="00CA106D">
        <w:rPr>
          <w:rFonts w:asciiTheme="minorHAnsi" w:hAnsiTheme="minorHAnsi" w:cstheme="minorHAnsi"/>
          <w:b/>
          <w:bCs/>
          <w:sz w:val="28"/>
          <w:szCs w:val="28"/>
        </w:rPr>
        <w:t>Spectro</w:t>
      </w:r>
      <w:r w:rsidR="00D70134" w:rsidRPr="00CA106D">
        <w:rPr>
          <w:rFonts w:asciiTheme="minorHAnsi" w:hAnsiTheme="minorHAnsi" w:cstheme="minorHAnsi"/>
          <w:b/>
          <w:bCs/>
          <w:sz w:val="28"/>
          <w:szCs w:val="28"/>
        </w:rPr>
        <w:t>photo</w:t>
      </w:r>
      <w:r w:rsidRPr="00CA106D">
        <w:rPr>
          <w:rFonts w:asciiTheme="minorHAnsi" w:hAnsiTheme="minorHAnsi" w:cstheme="minorHAnsi"/>
          <w:b/>
          <w:bCs/>
          <w:sz w:val="28"/>
          <w:szCs w:val="28"/>
        </w:rPr>
        <w:t>metric Determination of Iron</w:t>
      </w:r>
      <w:r w:rsidR="003A2130" w:rsidRPr="00CA106D">
        <w:rPr>
          <w:rFonts w:asciiTheme="minorHAnsi" w:hAnsiTheme="minorHAnsi" w:cstheme="minorHAnsi"/>
          <w:b/>
          <w:bCs/>
          <w:sz w:val="28"/>
          <w:szCs w:val="28"/>
        </w:rPr>
        <w:t xml:space="preserve"> by Standard Additions</w:t>
      </w:r>
    </w:p>
    <w:p w:rsidR="00D70134" w:rsidRPr="00CA106D" w:rsidRDefault="00D70134" w:rsidP="00B062CA">
      <w:pPr>
        <w:autoSpaceDE w:val="0"/>
        <w:autoSpaceDN w:val="0"/>
        <w:adjustRightInd w:val="0"/>
        <w:spacing w:after="0" w:line="240" w:lineRule="auto"/>
        <w:contextualSpacing/>
        <w:jc w:val="center"/>
        <w:rPr>
          <w:rFonts w:asciiTheme="minorHAnsi" w:hAnsiTheme="minorHAnsi" w:cstheme="minorHAnsi"/>
          <w:b/>
          <w:bCs/>
          <w:sz w:val="16"/>
          <w:szCs w:val="16"/>
        </w:rPr>
      </w:pPr>
    </w:p>
    <w:p w:rsidR="0054083D" w:rsidRPr="00CA106D" w:rsidRDefault="006D30A8" w:rsidP="00B062CA">
      <w:p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Spectrophotometry is simply any technique that uses light to measure chemical concentrations.</w:t>
      </w:r>
      <w:r w:rsidR="0054083D" w:rsidRPr="00CA106D">
        <w:rPr>
          <w:rFonts w:asciiTheme="minorHAnsi" w:hAnsiTheme="minorHAnsi" w:cstheme="minorHAnsi"/>
        </w:rPr>
        <w:t xml:space="preserve">  The utilization of spectrophotometry as a quantitative technique relies heavily on the Beer-Lambert Law or simply Beer’s Law which is given by </w:t>
      </w:r>
      <w:r w:rsidR="0054083D" w:rsidRPr="00CA106D">
        <w:rPr>
          <w:rFonts w:asciiTheme="minorHAnsi" w:hAnsiTheme="minorHAnsi" w:cstheme="minorHAnsi"/>
          <w:position w:val="-6"/>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4.25pt" o:ole="">
            <v:imagedata r:id="rId9" o:title=""/>
          </v:shape>
          <o:OLEObject Type="Embed" ProgID="Equation.DSMT4" ShapeID="_x0000_i1025" DrawAspect="Content" ObjectID="_1438591125" r:id="rId10"/>
        </w:object>
      </w:r>
      <w:r w:rsidR="0054083D" w:rsidRPr="00CA106D">
        <w:rPr>
          <w:rFonts w:asciiTheme="minorHAnsi" w:hAnsiTheme="minorHAnsi" w:cstheme="minorHAnsi"/>
        </w:rPr>
        <w:t>, where A is absorbance, ε (epsilon) is molar absorptivity (or extinction coefficient) with unit of M</w:t>
      </w:r>
      <w:r w:rsidR="0054083D" w:rsidRPr="00CA106D">
        <w:rPr>
          <w:rFonts w:asciiTheme="minorHAnsi" w:hAnsiTheme="minorHAnsi" w:cstheme="minorHAnsi"/>
          <w:vertAlign w:val="superscript"/>
        </w:rPr>
        <w:t>-1</w:t>
      </w:r>
      <w:r w:rsidR="0054083D" w:rsidRPr="00CA106D">
        <w:rPr>
          <w:rFonts w:asciiTheme="minorHAnsi" w:hAnsiTheme="minorHAnsi" w:cstheme="minorHAnsi"/>
        </w:rPr>
        <w:t xml:space="preserve"> cm</w:t>
      </w:r>
      <w:r w:rsidR="0054083D" w:rsidRPr="00CA106D">
        <w:rPr>
          <w:rFonts w:asciiTheme="minorHAnsi" w:hAnsiTheme="minorHAnsi" w:cstheme="minorHAnsi"/>
          <w:vertAlign w:val="superscript"/>
        </w:rPr>
        <w:t>-1</w:t>
      </w:r>
      <w:r w:rsidR="0054083D" w:rsidRPr="00CA106D">
        <w:rPr>
          <w:rFonts w:asciiTheme="minorHAnsi" w:hAnsiTheme="minorHAnsi" w:cstheme="minorHAnsi"/>
        </w:rPr>
        <w:t>, b is the path length in cm, and c is the sample concentration in moles per liter.  Note that absorbance is dimensionless.  As may sometimes be seen, transmittance may be used instead of absorbance.  Absorbance is defined as</w:t>
      </w:r>
      <w:r w:rsidR="004C3422" w:rsidRPr="00CA106D">
        <w:rPr>
          <w:rFonts w:asciiTheme="minorHAnsi" w:hAnsiTheme="minorHAnsi" w:cstheme="minorHAnsi"/>
        </w:rPr>
        <w:t xml:space="preserve"> </w:t>
      </w:r>
      <w:r w:rsidR="004C3422" w:rsidRPr="00CA106D">
        <w:rPr>
          <w:rFonts w:asciiTheme="minorHAnsi" w:hAnsiTheme="minorHAnsi" w:cstheme="minorHAnsi"/>
          <w:position w:val="-10"/>
        </w:rPr>
        <w:object w:dxaOrig="1120" w:dyaOrig="320">
          <v:shape id="_x0000_i1026" type="#_x0000_t75" style="width:56.25pt;height:15.75pt" o:ole="">
            <v:imagedata r:id="rId11" o:title=""/>
          </v:shape>
          <o:OLEObject Type="Embed" ProgID="Equation.DSMT4" ShapeID="_x0000_i1026" DrawAspect="Content" ObjectID="_1438591126" r:id="rId12"/>
        </w:object>
      </w:r>
      <w:r w:rsidR="0054083D" w:rsidRPr="00CA106D">
        <w:rPr>
          <w:rFonts w:asciiTheme="minorHAnsi" w:hAnsiTheme="minorHAnsi" w:cstheme="minorHAnsi"/>
        </w:rPr>
        <w:t xml:space="preserve"> </w:t>
      </w:r>
      <w:r w:rsidR="004C3422" w:rsidRPr="00CA106D">
        <w:rPr>
          <w:rFonts w:asciiTheme="minorHAnsi" w:hAnsiTheme="minorHAnsi" w:cstheme="minorHAnsi"/>
        </w:rPr>
        <w:t xml:space="preserve">where T is transmittance and </w:t>
      </w:r>
      <w:r w:rsidR="004C3422" w:rsidRPr="00CA106D">
        <w:rPr>
          <w:rFonts w:asciiTheme="minorHAnsi" w:hAnsiTheme="minorHAnsi" w:cstheme="minorHAnsi"/>
          <w:position w:val="-30"/>
        </w:rPr>
        <w:object w:dxaOrig="720" w:dyaOrig="680">
          <v:shape id="_x0000_i1027" type="#_x0000_t75" style="width:36pt;height:33.75pt" o:ole="">
            <v:imagedata r:id="rId13" o:title=""/>
          </v:shape>
          <o:OLEObject Type="Embed" ProgID="Equation.DSMT4" ShapeID="_x0000_i1027" DrawAspect="Content" ObjectID="_1438591127" r:id="rId14"/>
        </w:object>
      </w:r>
      <w:r w:rsidR="004C3422" w:rsidRPr="00CA106D">
        <w:rPr>
          <w:rFonts w:asciiTheme="minorHAnsi" w:hAnsiTheme="minorHAnsi" w:cstheme="minorHAnsi"/>
        </w:rPr>
        <w:t xml:space="preserve"> (or the fraction of the original light that passes through the sample).</w:t>
      </w:r>
    </w:p>
    <w:p w:rsidR="004C3422" w:rsidRPr="00CA106D" w:rsidRDefault="004C3422" w:rsidP="00B062CA">
      <w:pPr>
        <w:autoSpaceDE w:val="0"/>
        <w:autoSpaceDN w:val="0"/>
        <w:adjustRightInd w:val="0"/>
        <w:spacing w:after="0" w:line="240" w:lineRule="auto"/>
        <w:contextualSpacing/>
        <w:rPr>
          <w:rFonts w:asciiTheme="minorHAnsi" w:hAnsiTheme="minorHAnsi" w:cstheme="minorHAnsi"/>
          <w:sz w:val="16"/>
          <w:szCs w:val="16"/>
        </w:rPr>
      </w:pPr>
    </w:p>
    <w:p w:rsidR="006D30A8" w:rsidRPr="00CA106D" w:rsidRDefault="004C3422" w:rsidP="00B062CA">
      <w:p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Molecules may absorb different wavelengths of light as a result of the present structural features.  Thus in a spectrophotometric analysis, it is important to select the wavelength that will result in the most intense signal.  This is commonly referred to as lambda max (λ</w:t>
      </w:r>
      <w:r w:rsidRPr="00CA106D">
        <w:rPr>
          <w:rFonts w:asciiTheme="minorHAnsi" w:hAnsiTheme="minorHAnsi" w:cstheme="minorHAnsi"/>
          <w:vertAlign w:val="subscript"/>
        </w:rPr>
        <w:t>max</w:t>
      </w:r>
      <w:r w:rsidRPr="00CA106D">
        <w:rPr>
          <w:rFonts w:asciiTheme="minorHAnsi" w:hAnsiTheme="minorHAnsi" w:cstheme="minorHAnsi"/>
        </w:rPr>
        <w:t>).  The selection of this particular wavelength ensures that the molecule is absorbing the greatest amount of light possible leading to a more sensitive analysis.</w:t>
      </w:r>
    </w:p>
    <w:p w:rsidR="006D30A8" w:rsidRPr="00CA106D" w:rsidRDefault="006D30A8" w:rsidP="00B062CA">
      <w:pPr>
        <w:autoSpaceDE w:val="0"/>
        <w:autoSpaceDN w:val="0"/>
        <w:adjustRightInd w:val="0"/>
        <w:spacing w:after="0" w:line="240" w:lineRule="auto"/>
        <w:contextualSpacing/>
        <w:rPr>
          <w:rFonts w:asciiTheme="minorHAnsi" w:hAnsiTheme="minorHAnsi" w:cstheme="minorHAnsi"/>
          <w:sz w:val="16"/>
          <w:szCs w:val="16"/>
        </w:rPr>
      </w:pPr>
    </w:p>
    <w:p w:rsidR="00BD3CCB" w:rsidRPr="00CA106D" w:rsidRDefault="00BD3CCB" w:rsidP="00B062CA">
      <w:p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 xml:space="preserve">The wavelength chosen for this analysis is based on the fact that colors absorb opposite them in the color wheel.  The color of the prepared samples is orange-ish, </w:t>
      </w:r>
      <w:r w:rsidR="004C3422" w:rsidRPr="00CA106D">
        <w:rPr>
          <w:rFonts w:asciiTheme="minorHAnsi" w:hAnsiTheme="minorHAnsi" w:cstheme="minorHAnsi"/>
        </w:rPr>
        <w:t xml:space="preserve">so it is likely that </w:t>
      </w:r>
      <w:r w:rsidRPr="00CA106D">
        <w:rPr>
          <w:rFonts w:asciiTheme="minorHAnsi" w:hAnsiTheme="minorHAnsi" w:cstheme="minorHAnsi"/>
        </w:rPr>
        <w:t>λ</w:t>
      </w:r>
      <w:r w:rsidRPr="00CA106D">
        <w:rPr>
          <w:rFonts w:asciiTheme="minorHAnsi" w:hAnsiTheme="minorHAnsi" w:cstheme="minorHAnsi"/>
          <w:vertAlign w:val="subscript"/>
        </w:rPr>
        <w:t>max</w:t>
      </w:r>
      <w:r w:rsidRPr="00CA106D">
        <w:rPr>
          <w:rFonts w:asciiTheme="minorHAnsi" w:hAnsiTheme="minorHAnsi" w:cstheme="minorHAnsi"/>
        </w:rPr>
        <w:t xml:space="preserve"> is in the region of blue wavelengths.  </w:t>
      </w:r>
      <w:r w:rsidR="004C3422" w:rsidRPr="00CA106D">
        <w:rPr>
          <w:rFonts w:asciiTheme="minorHAnsi" w:hAnsiTheme="minorHAnsi" w:cstheme="minorHAnsi"/>
        </w:rPr>
        <w:t xml:space="preserve">For this complex, </w:t>
      </w:r>
      <w:r w:rsidRPr="00CA106D">
        <w:rPr>
          <w:rFonts w:asciiTheme="minorHAnsi" w:hAnsiTheme="minorHAnsi" w:cstheme="minorHAnsi"/>
        </w:rPr>
        <w:t>λ</w:t>
      </w:r>
      <w:r w:rsidRPr="00CA106D">
        <w:rPr>
          <w:rFonts w:asciiTheme="minorHAnsi" w:hAnsiTheme="minorHAnsi" w:cstheme="minorHAnsi"/>
          <w:vertAlign w:val="subscript"/>
        </w:rPr>
        <w:t>max</w:t>
      </w:r>
      <w:r w:rsidRPr="00CA106D">
        <w:rPr>
          <w:rFonts w:asciiTheme="minorHAnsi" w:hAnsiTheme="minorHAnsi" w:cstheme="minorHAnsi"/>
        </w:rPr>
        <w:t xml:space="preserve"> </w:t>
      </w:r>
      <w:r w:rsidR="004C3422" w:rsidRPr="00CA106D">
        <w:rPr>
          <w:rFonts w:asciiTheme="minorHAnsi" w:hAnsiTheme="minorHAnsi" w:cstheme="minorHAnsi"/>
        </w:rPr>
        <w:t>is found to be around 510 nm</w:t>
      </w:r>
      <w:r w:rsidRPr="00CA106D">
        <w:rPr>
          <w:rFonts w:asciiTheme="minorHAnsi" w:hAnsiTheme="minorHAnsi" w:cstheme="minorHAnsi"/>
        </w:rPr>
        <w:t>.</w:t>
      </w:r>
    </w:p>
    <w:p w:rsidR="00B062CA" w:rsidRPr="00CA106D" w:rsidRDefault="00B062CA" w:rsidP="00B062CA">
      <w:pPr>
        <w:autoSpaceDE w:val="0"/>
        <w:autoSpaceDN w:val="0"/>
        <w:adjustRightInd w:val="0"/>
        <w:spacing w:after="0" w:line="240" w:lineRule="auto"/>
        <w:contextualSpacing/>
        <w:rPr>
          <w:rFonts w:asciiTheme="minorHAnsi" w:hAnsiTheme="minorHAnsi" w:cstheme="minorHAnsi"/>
          <w:sz w:val="16"/>
          <w:szCs w:val="16"/>
        </w:rPr>
      </w:pPr>
    </w:p>
    <w:p w:rsidR="0091440A" w:rsidRPr="00CA106D" w:rsidRDefault="00D72FE4" w:rsidP="00B062CA">
      <w:pPr>
        <w:numPr>
          <w:ilvl w:val="0"/>
          <w:numId w:val="4"/>
        </w:numPr>
        <w:spacing w:before="100" w:beforeAutospacing="1" w:after="100" w:afterAutospacing="1" w:line="240" w:lineRule="auto"/>
        <w:contextualSpacing/>
        <w:rPr>
          <w:rFonts w:asciiTheme="minorHAnsi" w:eastAsia="Times New Roman" w:hAnsiTheme="minorHAnsi" w:cstheme="minorHAnsi"/>
          <w:color w:val="000000"/>
        </w:rPr>
      </w:pPr>
      <w:r w:rsidRPr="00CA106D">
        <w:rPr>
          <w:rFonts w:asciiTheme="minorHAnsi" w:hAnsiTheme="minorHAnsi" w:cstheme="minorHAnsi"/>
          <w:noProof/>
        </w:rPr>
        <w:drawing>
          <wp:anchor distT="0" distB="0" distL="114300" distR="114300" simplePos="0" relativeHeight="251658240" behindDoc="0" locked="0" layoutInCell="1" allowOverlap="1" wp14:anchorId="7D35C3C5" wp14:editId="12A466F7">
            <wp:simplePos x="0" y="0"/>
            <wp:positionH relativeFrom="column">
              <wp:posOffset>2383790</wp:posOffset>
            </wp:positionH>
            <wp:positionV relativeFrom="paragraph">
              <wp:posOffset>27305</wp:posOffset>
            </wp:positionV>
            <wp:extent cx="1386840" cy="1697990"/>
            <wp:effectExtent l="0" t="0" r="381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840" cy="16979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40A" w:rsidRPr="00CA106D">
        <w:rPr>
          <w:rFonts w:asciiTheme="minorHAnsi" w:eastAsia="Times New Roman" w:hAnsiTheme="minorHAnsi" w:cstheme="minorHAnsi"/>
          <w:b/>
          <w:bCs/>
          <w:color w:val="FF00FF"/>
        </w:rPr>
        <w:t>Violet:</w:t>
      </w:r>
      <w:r w:rsidR="0091440A" w:rsidRPr="00CA106D">
        <w:rPr>
          <w:rFonts w:asciiTheme="minorHAnsi" w:eastAsia="Times New Roman" w:hAnsiTheme="minorHAnsi" w:cstheme="minorHAnsi"/>
          <w:color w:val="000000"/>
        </w:rPr>
        <w:t xml:space="preserve">   400 - 420 nm </w:t>
      </w:r>
    </w:p>
    <w:p w:rsidR="0091440A" w:rsidRPr="00CA106D" w:rsidRDefault="00D72FE4" w:rsidP="00B062CA">
      <w:pPr>
        <w:numPr>
          <w:ilvl w:val="0"/>
          <w:numId w:val="4"/>
        </w:numPr>
        <w:spacing w:before="100" w:beforeAutospacing="1" w:after="100" w:afterAutospacing="1" w:line="240" w:lineRule="auto"/>
        <w:contextualSpacing/>
        <w:rPr>
          <w:rFonts w:asciiTheme="minorHAnsi" w:eastAsia="Times New Roman" w:hAnsiTheme="minorHAnsi" w:cstheme="minorHAnsi"/>
          <w:color w:val="000000"/>
        </w:rPr>
      </w:pPr>
      <w:r w:rsidRPr="00CA106D">
        <w:rPr>
          <w:rFonts w:asciiTheme="minorHAnsi" w:hAnsiTheme="minorHAnsi" w:cstheme="minorHAnsi"/>
          <w:noProof/>
        </w:rPr>
        <w:drawing>
          <wp:anchor distT="0" distB="0" distL="114300" distR="114300" simplePos="0" relativeHeight="251657216" behindDoc="0" locked="0" layoutInCell="1" allowOverlap="1" wp14:anchorId="480EC8A7" wp14:editId="7A348DF9">
            <wp:simplePos x="0" y="0"/>
            <wp:positionH relativeFrom="column">
              <wp:posOffset>4251960</wp:posOffset>
            </wp:positionH>
            <wp:positionV relativeFrom="paragraph">
              <wp:posOffset>43180</wp:posOffset>
            </wp:positionV>
            <wp:extent cx="1321435" cy="1513205"/>
            <wp:effectExtent l="0" t="0" r="0" b="0"/>
            <wp:wrapNone/>
            <wp:docPr id="3" name="Picture 2" descr="C:\Documents and Settings\NTUser\Desktop\Complement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TUser\Desktop\Complementary.JP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321435" cy="151320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40A" w:rsidRPr="00CA106D">
        <w:rPr>
          <w:rFonts w:asciiTheme="minorHAnsi" w:eastAsia="Times New Roman" w:hAnsiTheme="minorHAnsi" w:cstheme="minorHAnsi"/>
          <w:b/>
          <w:bCs/>
          <w:color w:val="5511DD"/>
        </w:rPr>
        <w:t>Indigo:</w:t>
      </w:r>
      <w:r w:rsidR="0091440A" w:rsidRPr="00CA106D">
        <w:rPr>
          <w:rFonts w:asciiTheme="minorHAnsi" w:eastAsia="Times New Roman" w:hAnsiTheme="minorHAnsi" w:cstheme="minorHAnsi"/>
          <w:color w:val="000000"/>
        </w:rPr>
        <w:t xml:space="preserve">   420 - 440 nm </w:t>
      </w:r>
    </w:p>
    <w:p w:rsidR="0091440A" w:rsidRPr="00CA106D" w:rsidRDefault="0091440A" w:rsidP="00B062CA">
      <w:pPr>
        <w:numPr>
          <w:ilvl w:val="0"/>
          <w:numId w:val="4"/>
        </w:numPr>
        <w:spacing w:before="100" w:beforeAutospacing="1" w:after="100" w:afterAutospacing="1" w:line="240" w:lineRule="auto"/>
        <w:contextualSpacing/>
        <w:rPr>
          <w:rFonts w:asciiTheme="minorHAnsi" w:eastAsia="Times New Roman" w:hAnsiTheme="minorHAnsi" w:cstheme="minorHAnsi"/>
          <w:color w:val="000000"/>
        </w:rPr>
      </w:pPr>
      <w:r w:rsidRPr="00CA106D">
        <w:rPr>
          <w:rFonts w:asciiTheme="minorHAnsi" w:eastAsia="Times New Roman" w:hAnsiTheme="minorHAnsi" w:cstheme="minorHAnsi"/>
          <w:b/>
          <w:bCs/>
          <w:color w:val="3333FF"/>
        </w:rPr>
        <w:t>Blue:</w:t>
      </w:r>
      <w:r w:rsidRPr="00CA106D">
        <w:rPr>
          <w:rFonts w:asciiTheme="minorHAnsi" w:eastAsia="Times New Roman" w:hAnsiTheme="minorHAnsi" w:cstheme="minorHAnsi"/>
          <w:color w:val="000000"/>
        </w:rPr>
        <w:t xml:space="preserve">   440 - 490 nm </w:t>
      </w:r>
    </w:p>
    <w:p w:rsidR="0091440A" w:rsidRPr="00CA106D" w:rsidRDefault="0091440A" w:rsidP="00B062CA">
      <w:pPr>
        <w:numPr>
          <w:ilvl w:val="0"/>
          <w:numId w:val="4"/>
        </w:numPr>
        <w:spacing w:before="100" w:beforeAutospacing="1" w:after="100" w:afterAutospacing="1" w:line="240" w:lineRule="auto"/>
        <w:contextualSpacing/>
        <w:rPr>
          <w:rFonts w:asciiTheme="minorHAnsi" w:eastAsia="Times New Roman" w:hAnsiTheme="minorHAnsi" w:cstheme="minorHAnsi"/>
          <w:color w:val="000000"/>
        </w:rPr>
      </w:pPr>
      <w:r w:rsidRPr="00CA106D">
        <w:rPr>
          <w:rFonts w:asciiTheme="minorHAnsi" w:eastAsia="Times New Roman" w:hAnsiTheme="minorHAnsi" w:cstheme="minorHAnsi"/>
          <w:b/>
          <w:bCs/>
          <w:color w:val="008000"/>
        </w:rPr>
        <w:t>Green:</w:t>
      </w:r>
      <w:r w:rsidRPr="00CA106D">
        <w:rPr>
          <w:rFonts w:asciiTheme="minorHAnsi" w:eastAsia="Times New Roman" w:hAnsiTheme="minorHAnsi" w:cstheme="minorHAnsi"/>
          <w:color w:val="000000"/>
        </w:rPr>
        <w:t xml:space="preserve">   490 - 570 nm </w:t>
      </w:r>
    </w:p>
    <w:p w:rsidR="0091440A" w:rsidRPr="00CA106D" w:rsidRDefault="0091440A" w:rsidP="00B062CA">
      <w:pPr>
        <w:numPr>
          <w:ilvl w:val="0"/>
          <w:numId w:val="4"/>
        </w:numPr>
        <w:spacing w:before="100" w:beforeAutospacing="1" w:after="100" w:afterAutospacing="1" w:line="240" w:lineRule="auto"/>
        <w:contextualSpacing/>
        <w:rPr>
          <w:rFonts w:asciiTheme="minorHAnsi" w:eastAsia="Times New Roman" w:hAnsiTheme="minorHAnsi" w:cstheme="minorHAnsi"/>
          <w:color w:val="000000"/>
        </w:rPr>
      </w:pPr>
      <w:r w:rsidRPr="00CA106D">
        <w:rPr>
          <w:rFonts w:asciiTheme="minorHAnsi" w:eastAsia="Times New Roman" w:hAnsiTheme="minorHAnsi" w:cstheme="minorHAnsi"/>
          <w:b/>
          <w:bCs/>
          <w:color w:val="E8CB00"/>
        </w:rPr>
        <w:t>Yellow:</w:t>
      </w:r>
      <w:r w:rsidRPr="00CA106D">
        <w:rPr>
          <w:rFonts w:asciiTheme="minorHAnsi" w:eastAsia="Times New Roman" w:hAnsiTheme="minorHAnsi" w:cstheme="minorHAnsi"/>
          <w:color w:val="000000"/>
        </w:rPr>
        <w:t xml:space="preserve">   570 - 585 nm </w:t>
      </w:r>
    </w:p>
    <w:p w:rsidR="0091440A" w:rsidRPr="00CA106D" w:rsidRDefault="0091440A" w:rsidP="00B062CA">
      <w:pPr>
        <w:numPr>
          <w:ilvl w:val="0"/>
          <w:numId w:val="4"/>
        </w:numPr>
        <w:spacing w:before="100" w:beforeAutospacing="1" w:after="100" w:afterAutospacing="1" w:line="240" w:lineRule="auto"/>
        <w:contextualSpacing/>
        <w:rPr>
          <w:rFonts w:asciiTheme="minorHAnsi" w:eastAsia="Times New Roman" w:hAnsiTheme="minorHAnsi" w:cstheme="minorHAnsi"/>
          <w:color w:val="000000"/>
        </w:rPr>
      </w:pPr>
      <w:r w:rsidRPr="00CA106D">
        <w:rPr>
          <w:rFonts w:asciiTheme="minorHAnsi" w:eastAsia="Times New Roman" w:hAnsiTheme="minorHAnsi" w:cstheme="minorHAnsi"/>
          <w:b/>
          <w:bCs/>
          <w:color w:val="FF8000"/>
        </w:rPr>
        <w:t>Orange:</w:t>
      </w:r>
      <w:r w:rsidRPr="00CA106D">
        <w:rPr>
          <w:rFonts w:asciiTheme="minorHAnsi" w:eastAsia="Times New Roman" w:hAnsiTheme="minorHAnsi" w:cstheme="minorHAnsi"/>
          <w:color w:val="000000"/>
        </w:rPr>
        <w:t xml:space="preserve">   585 - 620 nm</w:t>
      </w:r>
    </w:p>
    <w:p w:rsidR="0091440A" w:rsidRPr="00CA106D" w:rsidRDefault="0091440A" w:rsidP="00B062CA">
      <w:pPr>
        <w:numPr>
          <w:ilvl w:val="0"/>
          <w:numId w:val="4"/>
        </w:numPr>
        <w:spacing w:before="100" w:beforeAutospacing="1" w:after="100" w:afterAutospacing="1" w:line="240" w:lineRule="auto"/>
        <w:contextualSpacing/>
        <w:rPr>
          <w:rFonts w:asciiTheme="minorHAnsi" w:eastAsia="Times New Roman" w:hAnsiTheme="minorHAnsi" w:cstheme="minorHAnsi"/>
          <w:color w:val="000000"/>
        </w:rPr>
      </w:pPr>
      <w:r w:rsidRPr="00CA106D">
        <w:rPr>
          <w:rFonts w:asciiTheme="minorHAnsi" w:eastAsia="Times New Roman" w:hAnsiTheme="minorHAnsi" w:cstheme="minorHAnsi"/>
          <w:color w:val="000000"/>
        </w:rPr>
        <w:t xml:space="preserve"> </w:t>
      </w:r>
      <w:r w:rsidRPr="00CA106D">
        <w:rPr>
          <w:rFonts w:asciiTheme="minorHAnsi" w:eastAsia="Times New Roman" w:hAnsiTheme="minorHAnsi" w:cstheme="minorHAnsi"/>
          <w:b/>
          <w:bCs/>
          <w:color w:val="FF0000"/>
        </w:rPr>
        <w:t>Red:</w:t>
      </w:r>
      <w:r w:rsidRPr="00CA106D">
        <w:rPr>
          <w:rFonts w:asciiTheme="minorHAnsi" w:eastAsia="Times New Roman" w:hAnsiTheme="minorHAnsi" w:cstheme="minorHAnsi"/>
          <w:color w:val="000000"/>
        </w:rPr>
        <w:t xml:space="preserve">   620 - 780 nm</w:t>
      </w:r>
    </w:p>
    <w:p w:rsidR="00D72FE4" w:rsidRPr="00CA106D" w:rsidRDefault="00D72FE4" w:rsidP="00B062CA">
      <w:pPr>
        <w:spacing w:before="100" w:beforeAutospacing="1" w:after="100" w:afterAutospacing="1" w:line="240" w:lineRule="auto"/>
        <w:contextualSpacing/>
        <w:rPr>
          <w:rFonts w:asciiTheme="minorHAnsi" w:eastAsia="Times New Roman" w:hAnsiTheme="minorHAnsi" w:cstheme="minorHAnsi"/>
          <w:color w:val="000000"/>
        </w:rPr>
      </w:pPr>
    </w:p>
    <w:p w:rsidR="00B062CA" w:rsidRPr="00CA106D" w:rsidRDefault="00B062CA" w:rsidP="00B062CA">
      <w:pPr>
        <w:spacing w:before="100" w:beforeAutospacing="1" w:after="100" w:afterAutospacing="1" w:line="240" w:lineRule="auto"/>
        <w:contextualSpacing/>
        <w:rPr>
          <w:rFonts w:asciiTheme="minorHAnsi" w:eastAsia="Times New Roman" w:hAnsiTheme="minorHAnsi" w:cstheme="minorHAnsi"/>
          <w:color w:val="000000"/>
        </w:rPr>
      </w:pPr>
    </w:p>
    <w:p w:rsidR="00D72FE4" w:rsidRPr="00CA106D" w:rsidRDefault="00D72FE4" w:rsidP="00B062CA">
      <w:pPr>
        <w:spacing w:before="100" w:beforeAutospacing="1" w:after="100" w:afterAutospacing="1" w:line="240" w:lineRule="auto"/>
        <w:contextualSpacing/>
        <w:rPr>
          <w:rFonts w:asciiTheme="minorHAnsi" w:eastAsia="Times New Roman" w:hAnsiTheme="minorHAnsi" w:cstheme="minorHAnsi"/>
          <w:color w:val="000000"/>
        </w:rPr>
      </w:pPr>
    </w:p>
    <w:p w:rsidR="00AC3064" w:rsidRPr="00CA106D" w:rsidRDefault="00D72FE4" w:rsidP="00B062CA">
      <w:pPr>
        <w:pStyle w:val="ListParagraph"/>
        <w:rPr>
          <w:rFonts w:asciiTheme="minorHAnsi" w:eastAsia="Times New Roman" w:hAnsiTheme="minorHAnsi" w:cstheme="minorHAnsi"/>
          <w:noProof/>
          <w:color w:val="000000"/>
        </w:rPr>
      </w:pPr>
      <w:r w:rsidRPr="00CA106D">
        <w:rPr>
          <w:rFonts w:asciiTheme="minorHAnsi" w:eastAsia="Times New Roman" w:hAnsiTheme="minorHAnsi" w:cstheme="minorHAnsi"/>
          <w:noProof/>
          <w:color w:val="000000"/>
        </w:rPr>
        <w:drawing>
          <wp:inline distT="0" distB="0" distL="0" distR="0" wp14:anchorId="4D378B75" wp14:editId="66EDE709">
            <wp:extent cx="2170430" cy="715645"/>
            <wp:effectExtent l="0" t="0" r="0" b="0"/>
            <wp:docPr id="1" name="Picture 1" descr="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0430" cy="715645"/>
                    </a:xfrm>
                    <a:prstGeom prst="rect">
                      <a:avLst/>
                    </a:prstGeom>
                    <a:noFill/>
                    <a:ln>
                      <a:noFill/>
                    </a:ln>
                  </pic:spPr>
                </pic:pic>
              </a:graphicData>
            </a:graphic>
          </wp:inline>
        </w:drawing>
      </w:r>
      <w:r w:rsidRPr="00CA106D">
        <w:rPr>
          <w:rFonts w:asciiTheme="minorHAnsi" w:eastAsia="Times New Roman" w:hAnsiTheme="minorHAnsi" w:cstheme="minorHAnsi"/>
          <w:noProof/>
          <w:color w:val="000000"/>
        </w:rPr>
        <w:t xml:space="preserve">              </w:t>
      </w:r>
      <w:r w:rsidRPr="00CA106D">
        <w:rPr>
          <w:rFonts w:asciiTheme="minorHAnsi" w:eastAsia="Times New Roman" w:hAnsiTheme="minorHAnsi" w:cstheme="minorHAnsi"/>
          <w:noProof/>
          <w:color w:val="000000"/>
        </w:rPr>
        <w:tab/>
      </w:r>
      <w:r w:rsidRPr="00CA106D">
        <w:rPr>
          <w:rFonts w:asciiTheme="minorHAnsi" w:hAnsiTheme="minorHAnsi"/>
          <w:noProof/>
        </w:rPr>
        <w:drawing>
          <wp:inline distT="0" distB="0" distL="0" distR="0" wp14:anchorId="4FC534D0" wp14:editId="5B87E2A8">
            <wp:extent cx="2536190" cy="803275"/>
            <wp:effectExtent l="0" t="0" r="0" b="0"/>
            <wp:docPr id="2" name="Picture 2" descr="visp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pect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6190" cy="803275"/>
                    </a:xfrm>
                    <a:prstGeom prst="rect">
                      <a:avLst/>
                    </a:prstGeom>
                    <a:noFill/>
                    <a:ln>
                      <a:noFill/>
                    </a:ln>
                  </pic:spPr>
                </pic:pic>
              </a:graphicData>
            </a:graphic>
          </wp:inline>
        </w:drawing>
      </w:r>
    </w:p>
    <w:p w:rsidR="00227061" w:rsidRPr="00CA106D" w:rsidRDefault="00227061" w:rsidP="00227061">
      <w:p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For this lab, the method of standard addition will also be used.  Standard addition is the addition of known quantities of analyte to the unknown</w:t>
      </w:r>
      <w:r w:rsidR="00551FB4" w:rsidRPr="00CA106D">
        <w:rPr>
          <w:rFonts w:asciiTheme="minorHAnsi" w:hAnsiTheme="minorHAnsi" w:cstheme="minorHAnsi"/>
        </w:rPr>
        <w:t xml:space="preserve"> and is commonly used when there is the potential for matrix effects from the sample</w:t>
      </w:r>
      <w:r w:rsidRPr="00CA106D">
        <w:rPr>
          <w:rFonts w:asciiTheme="minorHAnsi" w:hAnsiTheme="minorHAnsi" w:cstheme="minorHAnsi"/>
        </w:rPr>
        <w:t>.  As the concentration of the analyte increases, an increase in signal should be observed.  From the resulting data, a few simple data manipulations</w:t>
      </w:r>
      <w:r w:rsidR="00551FB4" w:rsidRPr="00CA106D">
        <w:rPr>
          <w:rFonts w:asciiTheme="minorHAnsi" w:hAnsiTheme="minorHAnsi" w:cstheme="minorHAnsi"/>
        </w:rPr>
        <w:t xml:space="preserve"> (calculations and graphing)</w:t>
      </w:r>
      <w:r w:rsidRPr="00CA106D">
        <w:rPr>
          <w:rFonts w:asciiTheme="minorHAnsi" w:hAnsiTheme="minorHAnsi" w:cstheme="minorHAnsi"/>
        </w:rPr>
        <w:t xml:space="preserve"> can be done to determine the concentration of the original sample.</w:t>
      </w:r>
    </w:p>
    <w:p w:rsidR="00227061" w:rsidRPr="00CA106D" w:rsidRDefault="00551FB4" w:rsidP="00B062CA">
      <w:p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 xml:space="preserve">You will prepare an unknown sample with no spike and then five (5) additional spiked samples.  The spike volume will be </w:t>
      </w:r>
      <w:r w:rsidR="006E010C" w:rsidRPr="00CA106D">
        <w:rPr>
          <w:rFonts w:asciiTheme="minorHAnsi" w:hAnsiTheme="minorHAnsi" w:cstheme="minorHAnsi"/>
        </w:rPr>
        <w:t xml:space="preserve">in </w:t>
      </w:r>
      <w:r w:rsidRPr="00CA106D">
        <w:rPr>
          <w:rFonts w:asciiTheme="minorHAnsi" w:hAnsiTheme="minorHAnsi" w:cstheme="minorHAnsi"/>
        </w:rPr>
        <w:t>50 µ</w:t>
      </w:r>
      <w:r w:rsidR="006E010C" w:rsidRPr="00CA106D">
        <w:rPr>
          <w:rFonts w:asciiTheme="minorHAnsi" w:hAnsiTheme="minorHAnsi" w:cstheme="minorHAnsi"/>
        </w:rPr>
        <w:t xml:space="preserve">L increments to be </w:t>
      </w:r>
      <w:r w:rsidRPr="00CA106D">
        <w:rPr>
          <w:rFonts w:asciiTheme="minorHAnsi" w:hAnsiTheme="minorHAnsi" w:cstheme="minorHAnsi"/>
        </w:rPr>
        <w:t>delivered using a micropipette</w:t>
      </w:r>
      <w:r w:rsidR="006E010C" w:rsidRPr="00CA106D">
        <w:rPr>
          <w:rFonts w:asciiTheme="minorHAnsi" w:hAnsiTheme="minorHAnsi" w:cstheme="minorHAnsi"/>
        </w:rPr>
        <w:t>.</w:t>
      </w:r>
    </w:p>
    <w:p w:rsidR="00551FB4" w:rsidRDefault="00551FB4" w:rsidP="00B062CA">
      <w:pPr>
        <w:autoSpaceDE w:val="0"/>
        <w:autoSpaceDN w:val="0"/>
        <w:adjustRightInd w:val="0"/>
        <w:spacing w:after="0" w:line="240" w:lineRule="auto"/>
        <w:contextualSpacing/>
        <w:rPr>
          <w:rFonts w:asciiTheme="minorHAnsi" w:hAnsiTheme="minorHAnsi" w:cstheme="minorHAnsi"/>
        </w:rPr>
      </w:pPr>
    </w:p>
    <w:p w:rsidR="00CA106D" w:rsidRDefault="00CA106D" w:rsidP="00B062CA">
      <w:pPr>
        <w:autoSpaceDE w:val="0"/>
        <w:autoSpaceDN w:val="0"/>
        <w:adjustRightInd w:val="0"/>
        <w:spacing w:after="0" w:line="240" w:lineRule="auto"/>
        <w:contextualSpacing/>
        <w:rPr>
          <w:rFonts w:asciiTheme="minorHAnsi" w:hAnsiTheme="minorHAnsi" w:cstheme="minorHAnsi"/>
        </w:rPr>
      </w:pPr>
    </w:p>
    <w:p w:rsidR="00CA106D" w:rsidRPr="00CA106D" w:rsidRDefault="00CA106D" w:rsidP="00B062CA">
      <w:pPr>
        <w:autoSpaceDE w:val="0"/>
        <w:autoSpaceDN w:val="0"/>
        <w:adjustRightInd w:val="0"/>
        <w:spacing w:after="0" w:line="240" w:lineRule="auto"/>
        <w:contextualSpacing/>
        <w:rPr>
          <w:rFonts w:asciiTheme="minorHAnsi" w:hAnsiTheme="minorHAnsi" w:cstheme="minorHAnsi"/>
        </w:rPr>
      </w:pPr>
    </w:p>
    <w:p w:rsidR="006E010C" w:rsidRPr="00CA106D" w:rsidRDefault="006E010C" w:rsidP="00B062CA">
      <w:pPr>
        <w:autoSpaceDE w:val="0"/>
        <w:autoSpaceDN w:val="0"/>
        <w:adjustRightInd w:val="0"/>
        <w:spacing w:after="0" w:line="240" w:lineRule="auto"/>
        <w:contextualSpacing/>
        <w:rPr>
          <w:rFonts w:asciiTheme="minorHAnsi" w:hAnsiTheme="minorHAnsi" w:cstheme="minorHAnsi"/>
          <w:b/>
        </w:rPr>
      </w:pPr>
      <w:r w:rsidRPr="00CA106D">
        <w:rPr>
          <w:rFonts w:asciiTheme="minorHAnsi" w:hAnsiTheme="minorHAnsi" w:cstheme="minorHAnsi"/>
          <w:b/>
        </w:rPr>
        <w:lastRenderedPageBreak/>
        <w:t>Preparing your samples</w:t>
      </w:r>
    </w:p>
    <w:p w:rsidR="006E010C" w:rsidRPr="00CA106D" w:rsidRDefault="006E010C" w:rsidP="006E010C">
      <w:pPr>
        <w:pStyle w:val="ListParagraph"/>
        <w:numPr>
          <w:ilvl w:val="0"/>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 xml:space="preserve">Appropriately label your volumetric flasks to indicate 0, 1, 2, 3, and 4 spikes.  </w:t>
      </w:r>
    </w:p>
    <w:p w:rsidR="00551FB4" w:rsidRPr="00CA106D" w:rsidRDefault="006E010C" w:rsidP="006E010C">
      <w:pPr>
        <w:pStyle w:val="ListParagraph"/>
        <w:numPr>
          <w:ilvl w:val="0"/>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Obtain an unkn</w:t>
      </w:r>
      <w:r w:rsidR="005765A3" w:rsidRPr="00CA106D">
        <w:rPr>
          <w:rFonts w:asciiTheme="minorHAnsi" w:hAnsiTheme="minorHAnsi" w:cstheme="minorHAnsi"/>
        </w:rPr>
        <w:t xml:space="preserve">own </w:t>
      </w:r>
      <w:r w:rsidRPr="00CA106D">
        <w:rPr>
          <w:rFonts w:asciiTheme="minorHAnsi" w:hAnsiTheme="minorHAnsi" w:cstheme="minorHAnsi"/>
        </w:rPr>
        <w:t xml:space="preserve">and add 15 mL to each of five (5) 25 mL </w:t>
      </w:r>
      <w:r w:rsidR="00551FB4" w:rsidRPr="00CA106D">
        <w:rPr>
          <w:rFonts w:asciiTheme="minorHAnsi" w:hAnsiTheme="minorHAnsi" w:cstheme="minorHAnsi"/>
        </w:rPr>
        <w:t xml:space="preserve">volumetric flasks.  </w:t>
      </w:r>
    </w:p>
    <w:p w:rsidR="00551FB4" w:rsidRPr="00CA106D" w:rsidRDefault="006E010C" w:rsidP="00E70E18">
      <w:pPr>
        <w:pStyle w:val="ListParagraph"/>
        <w:numPr>
          <w:ilvl w:val="0"/>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To the 1 spike volumetric flask add 50 µL of the approximately 0.018 M iron stock solution.  Be sure to record the exact concentration of the iron stock solution.  To the 2 spike volumetric flask add two 50 µL spikes of the iron stock solution to the volumetric flask.  Continue this process with all volumetric flasks adding the appropriate number of spikes to the corresponding volumetric flasks.</w:t>
      </w:r>
    </w:p>
    <w:p w:rsidR="006E010C" w:rsidRPr="00CA106D" w:rsidRDefault="006E010C" w:rsidP="006E010C">
      <w:pPr>
        <w:pStyle w:val="ListParagraph"/>
        <w:numPr>
          <w:ilvl w:val="0"/>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 xml:space="preserve">To all five volumetric flasks add the following </w:t>
      </w:r>
      <w:r w:rsidRPr="00CA106D">
        <w:rPr>
          <w:rFonts w:asciiTheme="minorHAnsi" w:hAnsiTheme="minorHAnsi" w:cstheme="minorHAnsi"/>
          <w:b/>
        </w:rPr>
        <w:t>in the order listed</w:t>
      </w:r>
      <w:r w:rsidRPr="00CA106D">
        <w:rPr>
          <w:rFonts w:asciiTheme="minorHAnsi" w:hAnsiTheme="minorHAnsi" w:cstheme="minorHAnsi"/>
        </w:rPr>
        <w:t>:</w:t>
      </w:r>
    </w:p>
    <w:p w:rsidR="006E010C" w:rsidRPr="00CA106D" w:rsidRDefault="006E010C" w:rsidP="006E010C">
      <w:pPr>
        <w:pStyle w:val="ListParagraph"/>
        <w:numPr>
          <w:ilvl w:val="1"/>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2.5 mL hydroxylamine hydrochloride (reducing agent)</w:t>
      </w:r>
    </w:p>
    <w:p w:rsidR="006E010C" w:rsidRPr="00CA106D" w:rsidRDefault="006E010C" w:rsidP="006E010C">
      <w:pPr>
        <w:pStyle w:val="ListParagraph"/>
        <w:numPr>
          <w:ilvl w:val="1"/>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2</w:t>
      </w:r>
      <w:r w:rsidRPr="00CA106D">
        <w:rPr>
          <w:rFonts w:asciiTheme="minorHAnsi" w:hAnsiTheme="minorHAnsi" w:cstheme="minorHAnsi"/>
          <w:b/>
        </w:rPr>
        <w:t>.</w:t>
      </w:r>
      <w:r w:rsidRPr="00CA106D">
        <w:rPr>
          <w:rFonts w:asciiTheme="minorHAnsi" w:hAnsiTheme="minorHAnsi" w:cstheme="minorHAnsi"/>
        </w:rPr>
        <w:t xml:space="preserve">5 mL sodium acetate solution (slightly basic) </w:t>
      </w:r>
    </w:p>
    <w:p w:rsidR="006E010C" w:rsidRPr="00CA106D" w:rsidRDefault="006E010C" w:rsidP="006E010C">
      <w:pPr>
        <w:pStyle w:val="ListParagraph"/>
        <w:numPr>
          <w:ilvl w:val="1"/>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2</w:t>
      </w:r>
      <w:r w:rsidRPr="00CA106D">
        <w:rPr>
          <w:rFonts w:asciiTheme="minorHAnsi" w:hAnsiTheme="minorHAnsi" w:cstheme="minorHAnsi"/>
          <w:b/>
        </w:rPr>
        <w:t>.</w:t>
      </w:r>
      <w:r w:rsidRPr="00CA106D">
        <w:rPr>
          <w:rFonts w:asciiTheme="minorHAnsi" w:hAnsiTheme="minorHAnsi" w:cstheme="minorHAnsi"/>
        </w:rPr>
        <w:t>5 mL orthophenanthroline (Complexing agent)</w:t>
      </w:r>
    </w:p>
    <w:p w:rsidR="006E010C" w:rsidRPr="00CA106D" w:rsidRDefault="006E010C" w:rsidP="006E010C">
      <w:pPr>
        <w:pStyle w:val="ListParagraph"/>
        <w:numPr>
          <w:ilvl w:val="0"/>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Finally bring the samples up to 25 mL by adding DI water to the mark on the volumetric flask.</w:t>
      </w:r>
    </w:p>
    <w:p w:rsidR="006E010C" w:rsidRPr="00CA106D" w:rsidRDefault="006E010C" w:rsidP="006E010C">
      <w:pPr>
        <w:pStyle w:val="ListParagraph"/>
        <w:numPr>
          <w:ilvl w:val="0"/>
          <w:numId w:val="7"/>
        </w:numPr>
        <w:autoSpaceDE w:val="0"/>
        <w:autoSpaceDN w:val="0"/>
        <w:adjustRightInd w:val="0"/>
        <w:spacing w:after="0" w:line="240" w:lineRule="auto"/>
        <w:rPr>
          <w:rFonts w:asciiTheme="minorHAnsi" w:hAnsiTheme="minorHAnsi" w:cstheme="minorHAnsi"/>
        </w:rPr>
      </w:pPr>
      <w:r w:rsidRPr="00CA106D">
        <w:rPr>
          <w:rFonts w:asciiTheme="minorHAnsi" w:hAnsiTheme="minorHAnsi" w:cstheme="minorHAnsi"/>
        </w:rPr>
        <w:t>To a sixth volumetric flask add the three solutions listed above and dilute to the 25 mL mark using DI water.  This will serve as your blank sample.</w:t>
      </w:r>
    </w:p>
    <w:p w:rsidR="006E010C" w:rsidRPr="00CA106D" w:rsidRDefault="006E010C" w:rsidP="006E010C">
      <w:pPr>
        <w:autoSpaceDE w:val="0"/>
        <w:autoSpaceDN w:val="0"/>
        <w:adjustRightInd w:val="0"/>
        <w:spacing w:after="0" w:line="240" w:lineRule="auto"/>
        <w:rPr>
          <w:rFonts w:asciiTheme="minorHAnsi" w:hAnsiTheme="minorHAnsi" w:cstheme="minorHAnsi"/>
          <w:sz w:val="16"/>
          <w:szCs w:val="16"/>
        </w:rPr>
      </w:pPr>
    </w:p>
    <w:p w:rsidR="00551FB4" w:rsidRPr="00CA106D" w:rsidRDefault="006E010C" w:rsidP="00E70E18">
      <w:pPr>
        <w:autoSpaceDE w:val="0"/>
        <w:autoSpaceDN w:val="0"/>
        <w:adjustRightInd w:val="0"/>
        <w:spacing w:after="0" w:line="240" w:lineRule="auto"/>
        <w:rPr>
          <w:rFonts w:asciiTheme="minorHAnsi" w:hAnsiTheme="minorHAnsi" w:cstheme="minorHAnsi"/>
          <w:b/>
        </w:rPr>
      </w:pPr>
      <w:r w:rsidRPr="00CA106D">
        <w:rPr>
          <w:rFonts w:asciiTheme="minorHAnsi" w:hAnsiTheme="minorHAnsi" w:cstheme="minorHAnsi"/>
          <w:b/>
        </w:rPr>
        <w:t>Analyzing your samples</w:t>
      </w:r>
    </w:p>
    <w:p w:rsidR="00D72FE4" w:rsidRPr="00CA106D" w:rsidRDefault="00E70E18" w:rsidP="00B062CA">
      <w:pPr>
        <w:numPr>
          <w:ilvl w:val="0"/>
          <w:numId w:val="2"/>
        </w:num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Set the spectrophotometer to analyze using a wavelength of 510 nm.  F</w:t>
      </w:r>
      <w:r w:rsidR="00D72FE4" w:rsidRPr="00CA106D">
        <w:rPr>
          <w:rFonts w:asciiTheme="minorHAnsi" w:hAnsiTheme="minorHAnsi" w:cstheme="minorHAnsi"/>
        </w:rPr>
        <w:t xml:space="preserve">ill a cuvette </w:t>
      </w:r>
      <w:r w:rsidR="006D30A8" w:rsidRPr="00CA106D">
        <w:rPr>
          <w:rFonts w:asciiTheme="minorHAnsi" w:hAnsiTheme="minorHAnsi" w:cstheme="minorHAnsi"/>
        </w:rPr>
        <w:t xml:space="preserve">at least </w:t>
      </w:r>
      <w:r w:rsidR="00D72FE4" w:rsidRPr="00CA106D">
        <w:rPr>
          <w:rFonts w:asciiTheme="minorHAnsi" w:hAnsiTheme="minorHAnsi" w:cstheme="minorHAnsi"/>
        </w:rPr>
        <w:t>half full with the blank s</w:t>
      </w:r>
      <w:r w:rsidR="007A1ED9" w:rsidRPr="00CA106D">
        <w:rPr>
          <w:rFonts w:asciiTheme="minorHAnsi" w:hAnsiTheme="minorHAnsi" w:cstheme="minorHAnsi"/>
        </w:rPr>
        <w:t>olution, wipe it off with a kimw</w:t>
      </w:r>
      <w:r w:rsidR="00D72FE4" w:rsidRPr="00CA106D">
        <w:rPr>
          <w:rFonts w:asciiTheme="minorHAnsi" w:hAnsiTheme="minorHAnsi" w:cstheme="minorHAnsi"/>
        </w:rPr>
        <w:t xml:space="preserve">ipe, and place it in the cell compartment.  Set the absorbance to zero.  Remove the cuvette and </w:t>
      </w:r>
      <w:r w:rsidR="00B062CA" w:rsidRPr="00CA106D">
        <w:rPr>
          <w:rFonts w:asciiTheme="minorHAnsi" w:hAnsiTheme="minorHAnsi" w:cstheme="minorHAnsi"/>
        </w:rPr>
        <w:t>discard of the solution</w:t>
      </w:r>
      <w:r w:rsidR="00D72FE4" w:rsidRPr="00CA106D">
        <w:rPr>
          <w:rFonts w:asciiTheme="minorHAnsi" w:hAnsiTheme="minorHAnsi" w:cstheme="minorHAnsi"/>
        </w:rPr>
        <w:t>.</w:t>
      </w:r>
    </w:p>
    <w:p w:rsidR="00B062CA" w:rsidRPr="00CA106D" w:rsidRDefault="0091440A" w:rsidP="00B062CA">
      <w:pPr>
        <w:numPr>
          <w:ilvl w:val="0"/>
          <w:numId w:val="2"/>
        </w:num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 xml:space="preserve">Next, using the same cuvette, fill </w:t>
      </w:r>
      <w:r w:rsidR="00B062CA" w:rsidRPr="00CA106D">
        <w:rPr>
          <w:rFonts w:asciiTheme="minorHAnsi" w:hAnsiTheme="minorHAnsi" w:cstheme="minorHAnsi"/>
        </w:rPr>
        <w:t xml:space="preserve">it </w:t>
      </w:r>
      <w:r w:rsidRPr="00CA106D">
        <w:rPr>
          <w:rFonts w:asciiTheme="minorHAnsi" w:hAnsiTheme="minorHAnsi" w:cstheme="minorHAnsi"/>
        </w:rPr>
        <w:t>with the LEAST concentrated solution (this solution will be the lightest orange color), and rinse the cuvette into a waste beaker.  Then refill with this same solution and place the cuvette into the cell compartment, and close the cover.</w:t>
      </w:r>
      <w:r w:rsidR="00B062CA" w:rsidRPr="00CA106D">
        <w:rPr>
          <w:rFonts w:asciiTheme="minorHAnsi" w:hAnsiTheme="minorHAnsi" w:cstheme="minorHAnsi"/>
        </w:rPr>
        <w:t xml:space="preserve">  Record the absorbance.</w:t>
      </w:r>
    </w:p>
    <w:p w:rsidR="0091440A" w:rsidRPr="00CA106D" w:rsidRDefault="00E70E18" w:rsidP="00B062CA">
      <w:pPr>
        <w:numPr>
          <w:ilvl w:val="0"/>
          <w:numId w:val="2"/>
        </w:num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Continue to a</w:t>
      </w:r>
      <w:r w:rsidR="00B062CA" w:rsidRPr="00CA106D">
        <w:rPr>
          <w:rFonts w:asciiTheme="minorHAnsi" w:hAnsiTheme="minorHAnsi" w:cstheme="minorHAnsi"/>
        </w:rPr>
        <w:t xml:space="preserve">nalyze the remaining </w:t>
      </w:r>
      <w:r w:rsidR="00232C66" w:rsidRPr="00CA106D">
        <w:rPr>
          <w:rFonts w:asciiTheme="minorHAnsi" w:hAnsiTheme="minorHAnsi" w:cstheme="minorHAnsi"/>
        </w:rPr>
        <w:t>samples</w:t>
      </w:r>
      <w:r w:rsidR="00B062CA" w:rsidRPr="00CA106D">
        <w:rPr>
          <w:rFonts w:asciiTheme="minorHAnsi" w:hAnsiTheme="minorHAnsi" w:cstheme="minorHAnsi"/>
        </w:rPr>
        <w:t xml:space="preserve"> using this same procedure.  Remember to always analyze </w:t>
      </w:r>
      <w:r w:rsidR="00232C66" w:rsidRPr="00CA106D">
        <w:rPr>
          <w:rFonts w:asciiTheme="minorHAnsi" w:hAnsiTheme="minorHAnsi" w:cstheme="minorHAnsi"/>
        </w:rPr>
        <w:t>samples</w:t>
      </w:r>
      <w:r w:rsidR="00B062CA" w:rsidRPr="00CA106D">
        <w:rPr>
          <w:rFonts w:asciiTheme="minorHAnsi" w:hAnsiTheme="minorHAnsi" w:cstheme="minorHAnsi"/>
        </w:rPr>
        <w:t xml:space="preserve"> from lowest to highest concentration.  </w:t>
      </w:r>
      <w:r w:rsidR="0091440A" w:rsidRPr="00CA106D">
        <w:rPr>
          <w:rFonts w:asciiTheme="minorHAnsi" w:hAnsiTheme="minorHAnsi" w:cstheme="minorHAnsi"/>
        </w:rPr>
        <w:t xml:space="preserve">Also, always fill the cuvette with </w:t>
      </w:r>
      <w:r w:rsidR="00232C66" w:rsidRPr="00CA106D">
        <w:rPr>
          <w:rFonts w:asciiTheme="minorHAnsi" w:hAnsiTheme="minorHAnsi" w:cstheme="minorHAnsi"/>
        </w:rPr>
        <w:t>sample</w:t>
      </w:r>
      <w:r w:rsidR="0091440A" w:rsidRPr="00CA106D">
        <w:rPr>
          <w:rFonts w:asciiTheme="minorHAnsi" w:hAnsiTheme="minorHAnsi" w:cstheme="minorHAnsi"/>
        </w:rPr>
        <w:t xml:space="preserve"> and then rinse the solution into a waste beaker before filling with </w:t>
      </w:r>
      <w:r w:rsidR="00232C66" w:rsidRPr="00CA106D">
        <w:rPr>
          <w:rFonts w:asciiTheme="minorHAnsi" w:hAnsiTheme="minorHAnsi" w:cstheme="minorHAnsi"/>
        </w:rPr>
        <w:t>sample</w:t>
      </w:r>
      <w:r w:rsidR="0091440A" w:rsidRPr="00CA106D">
        <w:rPr>
          <w:rFonts w:asciiTheme="minorHAnsi" w:hAnsiTheme="minorHAnsi" w:cstheme="minorHAnsi"/>
        </w:rPr>
        <w:t xml:space="preserve"> that will be read on the spectrophotometer.   </w:t>
      </w:r>
    </w:p>
    <w:p w:rsidR="00E70E18" w:rsidRPr="00CA106D" w:rsidRDefault="00E70E18" w:rsidP="00B062CA">
      <w:pPr>
        <w:autoSpaceDE w:val="0"/>
        <w:autoSpaceDN w:val="0"/>
        <w:adjustRightInd w:val="0"/>
        <w:spacing w:after="0" w:line="240" w:lineRule="auto"/>
        <w:contextualSpacing/>
        <w:rPr>
          <w:rFonts w:asciiTheme="minorHAnsi" w:hAnsiTheme="minorHAnsi" w:cstheme="minorHAnsi"/>
          <w:sz w:val="16"/>
          <w:szCs w:val="16"/>
        </w:rPr>
      </w:pPr>
    </w:p>
    <w:p w:rsidR="00232C66" w:rsidRPr="00CA106D" w:rsidRDefault="00232C66" w:rsidP="00232C66">
      <w:pPr>
        <w:autoSpaceDE w:val="0"/>
        <w:autoSpaceDN w:val="0"/>
        <w:adjustRightInd w:val="0"/>
        <w:spacing w:after="0" w:line="240" w:lineRule="auto"/>
        <w:contextualSpacing/>
        <w:rPr>
          <w:rFonts w:asciiTheme="minorHAnsi" w:hAnsiTheme="minorHAnsi" w:cstheme="minorHAnsi"/>
        </w:rPr>
      </w:pPr>
      <w:r w:rsidRPr="00CA106D">
        <w:rPr>
          <w:rFonts w:asciiTheme="minorHAnsi" w:hAnsiTheme="minorHAnsi" w:cstheme="minorHAnsi"/>
        </w:rPr>
        <w:t xml:space="preserve">The resulting data should allow you to find the concentration of the original sample either through graphical means or through </w:t>
      </w:r>
      <w:r w:rsidR="005B126B" w:rsidRPr="00CA106D">
        <w:rPr>
          <w:rFonts w:asciiTheme="minorHAnsi" w:hAnsiTheme="minorHAnsi" w:cstheme="minorHAnsi"/>
        </w:rPr>
        <w:t>other</w:t>
      </w:r>
      <w:r w:rsidRPr="00CA106D">
        <w:rPr>
          <w:rFonts w:asciiTheme="minorHAnsi" w:hAnsiTheme="minorHAnsi" w:cstheme="minorHAnsi"/>
        </w:rPr>
        <w:t xml:space="preserve"> calculations.  You may choose which method to use.</w:t>
      </w:r>
      <w:r w:rsidR="005765A3" w:rsidRPr="00CA106D">
        <w:rPr>
          <w:rFonts w:asciiTheme="minorHAnsi" w:hAnsiTheme="minorHAnsi" w:cstheme="minorHAnsi"/>
        </w:rPr>
        <w:t xml:space="preserve">  </w:t>
      </w:r>
      <w:r w:rsidR="005765A3" w:rsidRPr="00CA106D">
        <w:rPr>
          <w:rFonts w:asciiTheme="minorHAnsi" w:hAnsiTheme="minorHAnsi" w:cstheme="minorHAnsi"/>
          <w:b/>
        </w:rPr>
        <w:t>Be sure to account for all dilutions done to samples.</w:t>
      </w:r>
      <w:r w:rsidR="00727264">
        <w:rPr>
          <w:rFonts w:asciiTheme="minorHAnsi" w:hAnsiTheme="minorHAnsi" w:cstheme="minorHAnsi"/>
        </w:rPr>
        <w:t xml:space="preserve"> </w:t>
      </w:r>
      <w:bookmarkStart w:id="0" w:name="_GoBack"/>
      <w:bookmarkEnd w:id="0"/>
    </w:p>
    <w:sectPr w:rsidR="00232C66" w:rsidRPr="00CA106D" w:rsidSect="0009080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6EB" w:rsidRDefault="005506EB" w:rsidP="003A657F">
      <w:pPr>
        <w:spacing w:after="0" w:line="240" w:lineRule="auto"/>
      </w:pPr>
      <w:r>
        <w:separator/>
      </w:r>
    </w:p>
  </w:endnote>
  <w:endnote w:type="continuationSeparator" w:id="0">
    <w:p w:rsidR="005506EB" w:rsidRDefault="005506EB" w:rsidP="003A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6EB" w:rsidRDefault="005506EB" w:rsidP="003A657F">
      <w:pPr>
        <w:spacing w:after="0" w:line="240" w:lineRule="auto"/>
      </w:pPr>
      <w:r>
        <w:separator/>
      </w:r>
    </w:p>
  </w:footnote>
  <w:footnote w:type="continuationSeparator" w:id="0">
    <w:p w:rsidR="005506EB" w:rsidRDefault="005506EB" w:rsidP="003A65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57F" w:rsidRDefault="00BE3040" w:rsidP="00BE3040">
    <w:pPr>
      <w:pStyle w:val="Header"/>
      <w:jc w:val="right"/>
    </w:pPr>
    <w:r>
      <w:t xml:space="preserve">Revised: </w:t>
    </w:r>
    <w:r w:rsidR="00A973FD">
      <w:t>August</w:t>
    </w:r>
    <w:r>
      <w:t xml:space="preserv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920"/>
    <w:multiLevelType w:val="multilevel"/>
    <w:tmpl w:val="91B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0076A"/>
    <w:multiLevelType w:val="hybridMultilevel"/>
    <w:tmpl w:val="29DAE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938D7"/>
    <w:multiLevelType w:val="hybridMultilevel"/>
    <w:tmpl w:val="AB2AEA4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D757C"/>
    <w:multiLevelType w:val="hybridMultilevel"/>
    <w:tmpl w:val="C64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D50A3"/>
    <w:multiLevelType w:val="hybridMultilevel"/>
    <w:tmpl w:val="528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D227F"/>
    <w:multiLevelType w:val="hybridMultilevel"/>
    <w:tmpl w:val="1CECE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214B30"/>
    <w:multiLevelType w:val="hybridMultilevel"/>
    <w:tmpl w:val="702A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937"/>
    <w:rsid w:val="000073C4"/>
    <w:rsid w:val="00090807"/>
    <w:rsid w:val="000932B7"/>
    <w:rsid w:val="000A3D05"/>
    <w:rsid w:val="000B1D6A"/>
    <w:rsid w:val="00104E1F"/>
    <w:rsid w:val="0012675A"/>
    <w:rsid w:val="001C67FD"/>
    <w:rsid w:val="00227061"/>
    <w:rsid w:val="00232C66"/>
    <w:rsid w:val="00280FF2"/>
    <w:rsid w:val="0028721B"/>
    <w:rsid w:val="00356348"/>
    <w:rsid w:val="003A2130"/>
    <w:rsid w:val="003A657F"/>
    <w:rsid w:val="003B1A36"/>
    <w:rsid w:val="003E4969"/>
    <w:rsid w:val="00474067"/>
    <w:rsid w:val="004C3422"/>
    <w:rsid w:val="004F6AC1"/>
    <w:rsid w:val="0053459C"/>
    <w:rsid w:val="0054083D"/>
    <w:rsid w:val="005506EB"/>
    <w:rsid w:val="00551FB4"/>
    <w:rsid w:val="0056487D"/>
    <w:rsid w:val="005765A3"/>
    <w:rsid w:val="005B126B"/>
    <w:rsid w:val="006465DD"/>
    <w:rsid w:val="006D30A8"/>
    <w:rsid w:val="006E010C"/>
    <w:rsid w:val="00727264"/>
    <w:rsid w:val="007A1ED9"/>
    <w:rsid w:val="008F7260"/>
    <w:rsid w:val="009058F4"/>
    <w:rsid w:val="0091440A"/>
    <w:rsid w:val="009305DA"/>
    <w:rsid w:val="00934DAD"/>
    <w:rsid w:val="009F3273"/>
    <w:rsid w:val="00A70A9F"/>
    <w:rsid w:val="00A973FD"/>
    <w:rsid w:val="00AC3064"/>
    <w:rsid w:val="00AD0C25"/>
    <w:rsid w:val="00B062CA"/>
    <w:rsid w:val="00BD3CCB"/>
    <w:rsid w:val="00BE3040"/>
    <w:rsid w:val="00BF134F"/>
    <w:rsid w:val="00C10616"/>
    <w:rsid w:val="00C76447"/>
    <w:rsid w:val="00C96276"/>
    <w:rsid w:val="00CA106D"/>
    <w:rsid w:val="00CB351E"/>
    <w:rsid w:val="00D61AED"/>
    <w:rsid w:val="00D70134"/>
    <w:rsid w:val="00D72FE4"/>
    <w:rsid w:val="00E27CC4"/>
    <w:rsid w:val="00E70E18"/>
    <w:rsid w:val="00E96925"/>
    <w:rsid w:val="00F4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37"/>
    <w:pPr>
      <w:ind w:left="720"/>
      <w:contextualSpacing/>
    </w:pPr>
  </w:style>
  <w:style w:type="paragraph" w:styleId="BalloonText">
    <w:name w:val="Balloon Text"/>
    <w:basedOn w:val="Normal"/>
    <w:link w:val="BalloonTextChar"/>
    <w:uiPriority w:val="99"/>
    <w:semiHidden/>
    <w:unhideWhenUsed/>
    <w:rsid w:val="0028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FF2"/>
    <w:rPr>
      <w:rFonts w:ascii="Tahoma" w:hAnsi="Tahoma" w:cs="Tahoma"/>
      <w:sz w:val="16"/>
      <w:szCs w:val="16"/>
    </w:rPr>
  </w:style>
  <w:style w:type="paragraph" w:styleId="Header">
    <w:name w:val="header"/>
    <w:basedOn w:val="Normal"/>
    <w:link w:val="HeaderChar"/>
    <w:uiPriority w:val="99"/>
    <w:unhideWhenUsed/>
    <w:rsid w:val="003A6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57F"/>
    <w:rPr>
      <w:sz w:val="22"/>
      <w:szCs w:val="22"/>
    </w:rPr>
  </w:style>
  <w:style w:type="paragraph" w:styleId="Footer">
    <w:name w:val="footer"/>
    <w:basedOn w:val="Normal"/>
    <w:link w:val="FooterChar"/>
    <w:uiPriority w:val="99"/>
    <w:unhideWhenUsed/>
    <w:rsid w:val="003A6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57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37"/>
    <w:pPr>
      <w:ind w:left="720"/>
      <w:contextualSpacing/>
    </w:pPr>
  </w:style>
  <w:style w:type="paragraph" w:styleId="BalloonText">
    <w:name w:val="Balloon Text"/>
    <w:basedOn w:val="Normal"/>
    <w:link w:val="BalloonTextChar"/>
    <w:uiPriority w:val="99"/>
    <w:semiHidden/>
    <w:unhideWhenUsed/>
    <w:rsid w:val="0028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FF2"/>
    <w:rPr>
      <w:rFonts w:ascii="Tahoma" w:hAnsi="Tahoma" w:cs="Tahoma"/>
      <w:sz w:val="16"/>
      <w:szCs w:val="16"/>
    </w:rPr>
  </w:style>
  <w:style w:type="paragraph" w:styleId="Header">
    <w:name w:val="header"/>
    <w:basedOn w:val="Normal"/>
    <w:link w:val="HeaderChar"/>
    <w:uiPriority w:val="99"/>
    <w:unhideWhenUsed/>
    <w:rsid w:val="003A6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57F"/>
    <w:rPr>
      <w:sz w:val="22"/>
      <w:szCs w:val="22"/>
    </w:rPr>
  </w:style>
  <w:style w:type="paragraph" w:styleId="Footer">
    <w:name w:val="footer"/>
    <w:basedOn w:val="Normal"/>
    <w:link w:val="FooterChar"/>
    <w:uiPriority w:val="99"/>
    <w:unhideWhenUsed/>
    <w:rsid w:val="003A6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57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8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file:///C:\Documents%20and%20Settings\NTUser\Desktop\Complementary.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CFF7B-23DC-4489-826F-E59209F9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4557</CharactersWithSpaces>
  <SharedDoc>false</SharedDoc>
  <HLinks>
    <vt:vector size="6" baseType="variant">
      <vt:variant>
        <vt:i4>983054</vt:i4>
      </vt:variant>
      <vt:variant>
        <vt:i4>-1</vt:i4>
      </vt:variant>
      <vt:variant>
        <vt:i4>1026</vt:i4>
      </vt:variant>
      <vt:variant>
        <vt:i4>1</vt:i4>
      </vt:variant>
      <vt:variant>
        <vt:lpwstr>C:\Documents and Settings\NTUser\Desktop\Complementary.JPG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Matthew</cp:lastModifiedBy>
  <cp:revision>2</cp:revision>
  <dcterms:created xsi:type="dcterms:W3CDTF">2013-08-21T16:52:00Z</dcterms:created>
  <dcterms:modified xsi:type="dcterms:W3CDTF">2013-08-21T16:52:00Z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