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 w:right="0"/>
        <w:rPr/>
      </w:pPr>
      <w:bookmarkStart w:id="0" w:name="uda-via-per-via"/>
      <w:bookmarkEnd w:id="0"/>
      <w:r>
        <w:rPr/>
        <w:t>UDA — VIA PER VIA</w:t>
      </w:r>
    </w:p>
    <w:p>
      <w:pPr>
        <w:pStyle w:val="Heading2"/>
        <w:bidi w:val="0"/>
        <w:ind w:hanging="0" w:left="0" w:right="0"/>
        <w:rPr/>
      </w:pPr>
      <w:bookmarkStart w:id="1" w:name="memoria-civica-e-identità-territoriale"/>
      <w:bookmarkEnd w:id="1"/>
      <w:r>
        <w:rPr/>
        <w:t>Memoria civica e identità territoriale</w:t>
      </w:r>
    </w:p>
    <w:p>
      <w:pPr>
        <w:pStyle w:val="Heading3"/>
        <w:bidi w:val="0"/>
        <w:ind w:hanging="0" w:left="0" w:right="0"/>
        <w:rPr/>
      </w:pPr>
      <w:bookmarkStart w:id="2" w:name="scuola-secondaria-di-secondo-grado-class"/>
      <w:bookmarkEnd w:id="2"/>
      <w:r>
        <w:rPr/>
        <w:t>Scuola Secondaria di Secondo Grado — Classi 1ª / 2ª (o superiori)</w:t>
      </w:r>
    </w:p>
    <w:p>
      <w:pPr>
        <w:pStyle w:val="BlockQuotation"/>
        <w:bidi w:val="0"/>
        <w:rPr/>
      </w:pPr>
      <w:r>
        <w:rPr>
          <w:rStyle w:val="Strong"/>
        </w:rPr>
        <w:t>Nota per il docente.</w:t>
      </w:r>
      <w:r>
        <w:rPr/>
        <w:t xml:space="preserve"> Questo documento è una base di lavoro: adattalo al tipo di istituto (liceo, istituto tecnico, professionale), alla classe, al consiglio di classe coinvolto e agli obiettivi specifici del percorso. I campi tra parentesi quadre </w:t>
      </w:r>
      <w:r>
        <w:rPr>
          <w:rStyle w:val="SourceText"/>
        </w:rPr>
        <w:t>[...]</w:t>
      </w:r>
      <w:r>
        <w:rPr/>
        <w:t xml:space="preserve"> sono segnaposto da personalizzare. Per le classi del triennio è possibile collegare il progetto a un percorso PCTO. Per quelle del biennio il progetto si presta a essere avviato come attività di orientamento alla ricerca documentale.</w:t>
      </w:r>
    </w:p>
    <w:p>
      <w:pPr>
        <w:pStyle w:val="Heading2"/>
        <w:bidi w:val="0"/>
        <w:ind w:hanging="0" w:left="0" w:right="0"/>
        <w:rPr/>
      </w:pPr>
      <w:bookmarkStart w:id="3" w:name="sezione-1-dati-identificativi"/>
      <w:bookmarkEnd w:id="3"/>
      <w:r>
        <w:rPr/>
        <w:t>SEZIONE 1 — Dati identificativi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61"/>
        <w:gridCol w:w="8144"/>
      </w:tblGrid>
      <w:tr>
        <w:trPr>
          <w:tblHeader w:val="true"/>
        </w:trPr>
        <w:tc>
          <w:tcPr>
            <w:tcW w:w="206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814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Contenuto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Titolo</w:t>
            </w:r>
          </w:p>
        </w:tc>
        <w:tc>
          <w:tcPr>
            <w:tcW w:w="81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Via per Via — Memoria civica e identità territoriale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Destinatari</w:t>
            </w:r>
          </w:p>
        </w:tc>
        <w:tc>
          <w:tcPr>
            <w:tcW w:w="81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Classe [1ª / 2ª / …] [tipo di istituto]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Anno scolastico</w:t>
            </w:r>
          </w:p>
        </w:tc>
        <w:tc>
          <w:tcPr>
            <w:tcW w:w="81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[inserire]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Istituto</w:t>
            </w:r>
          </w:p>
        </w:tc>
        <w:tc>
          <w:tcPr>
            <w:tcW w:w="81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[inserire]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Docenti coinvolti</w:t>
            </w:r>
          </w:p>
        </w:tc>
        <w:tc>
          <w:tcPr>
            <w:tcW w:w="81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[Italiano / Storia / Storia dell’Arte / Informatica / Ed. Civica / Lingue straniere — specificare]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Durata complessiva</w:t>
            </w:r>
          </w:p>
        </w:tc>
        <w:tc>
          <w:tcPr>
            <w:tcW w:w="81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7–8 settimane, 20–25 ore didattiche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Periodo consigliato</w:t>
            </w:r>
          </w:p>
        </w:tc>
        <w:tc>
          <w:tcPr>
            <w:tcW w:w="81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2° o 3° quadrimestre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Modalità di lavoro</w:t>
            </w:r>
          </w:p>
        </w:tc>
        <w:tc>
          <w:tcPr>
            <w:tcW w:w="81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Piccolo gruppo (2–4 studenti) con forte componente individuale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PCTO</w:t>
            </w:r>
          </w:p>
        </w:tc>
        <w:tc>
          <w:tcPr>
            <w:tcW w:w="814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Eventualmente collegabile a percorsi di alternanza / PCTO in ambito culturale o comunicativo</w:t>
            </w:r>
          </w:p>
        </w:tc>
      </w:tr>
    </w:tbl>
    <w:p>
      <w:pPr>
        <w:pStyle w:val="Heading2"/>
        <w:bidi w:val="0"/>
        <w:ind w:hanging="0" w:left="0" w:right="0"/>
        <w:rPr/>
      </w:pPr>
      <w:bookmarkStart w:id="4" w:name="sezione-2-competenze"/>
      <w:bookmarkEnd w:id="4"/>
      <w:r>
        <w:rPr/>
        <w:t>SEZIONE 2 — Competenze</w:t>
      </w:r>
    </w:p>
    <w:p>
      <w:pPr>
        <w:pStyle w:val="Heading3"/>
        <w:bidi w:val="0"/>
        <w:ind w:hanging="0" w:left="0" w:right="0"/>
        <w:rPr/>
      </w:pPr>
      <w:bookmarkStart w:id="5" w:name="competenze-chiave-europee-raccomandazion"/>
      <w:bookmarkEnd w:id="5"/>
      <w:r>
        <w:rPr/>
        <w:t>Competenze chiave europee (Raccomandazione UE 2018)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alfabetica funzionale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multilinguistica (se prevista ricerca in lingua straniera)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digitale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personale, sociale e capacità di imparare a imparare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in materia di cittadinanza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imprenditoriale (pianificazione autonoma, problem solving, gestione del progetto)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Competenza in materia di consapevolezza ed espressione culturali</w:t>
      </w:r>
    </w:p>
    <w:p>
      <w:pPr>
        <w:pStyle w:val="Heading3"/>
        <w:bidi w:val="0"/>
        <w:ind w:hanging="0" w:left="0" w:right="0"/>
        <w:rPr/>
      </w:pPr>
      <w:bookmarkStart w:id="6" w:name="competenze-disciplinari-di-riferimento"/>
      <w:bookmarkEnd w:id="6"/>
      <w:r>
        <w:rPr/>
        <w:t>Competenze disciplinari di riferimento</w:t>
      </w:r>
    </w:p>
    <w:p>
      <w:pPr>
        <w:pStyle w:val="BodyText"/>
        <w:bidi w:val="0"/>
        <w:rPr/>
      </w:pPr>
      <w:r>
        <w:rPr>
          <w:rStyle w:val="Strong"/>
        </w:rPr>
        <w:t>Italiano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Padroneggia le strutture del testo espositivo, argomentativo e divulgativo.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Conduce una ricerca bibliografica e documentale in modo autonomo.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Produce testi scritti corretti, coesi e adeguati al destinatario.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Sa citare le fonti con criteri accademici (nota, bibliografia, link).</w:t>
      </w:r>
    </w:p>
    <w:p>
      <w:pPr>
        <w:pStyle w:val="BodyText"/>
        <w:bidi w:val="0"/>
        <w:rPr/>
      </w:pPr>
      <w:r>
        <w:rPr>
          <w:rStyle w:val="Strong"/>
        </w:rPr>
        <w:t>Storia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Comprende i processi storici che hanno determinato la toponomastica locale e nazionale.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Analizza fonti storiche di diverso tipo con metodo critico.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Sa collocare eventi e personaggi nel contesto storico, politico e culturale di riferimento.</w:t>
      </w:r>
    </w:p>
    <w:p>
      <w:pPr>
        <w:pStyle w:val="BodyText"/>
        <w:bidi w:val="0"/>
        <w:rPr/>
      </w:pPr>
      <w:r>
        <w:rPr>
          <w:rStyle w:val="Strong"/>
        </w:rPr>
        <w:t>Informatica / TIC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Realizza un prodotto digitale strutturato (pagina web) con HTML/CSS base o CMS.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Incorpora contenuti multimediali (mappa interattiva, video, audio) in un documento web.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Conosce i principi dell’usabilità e dell’accessibilità web.</w:t>
      </w:r>
    </w:p>
    <w:p>
      <w:pPr>
        <w:pStyle w:val="BodyText"/>
        <w:bidi w:val="0"/>
        <w:rPr/>
      </w:pPr>
      <w:r>
        <w:rPr>
          <w:rStyle w:val="Strong"/>
        </w:rPr>
        <w:t>Educazione Civica (L. 92/2019 — DM 35/2020)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Conosce il valore giuridico e culturale della toponomastica come forma di memoria pubblica.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Comprende le implicazioni del diritto d’autore e delle licenze aperte (Creative Commons).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Sviluppa consapevolezza del proprio ruolo di cittadino attivo nel territorio.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Conosce il funzionamento delle istituzioni locali (Comune, Pro Loco, archivi storici).</w:t>
      </w:r>
    </w:p>
    <w:p>
      <w:pPr>
        <w:pStyle w:val="BlockQuotation"/>
        <w:bidi w:val="0"/>
        <w:rPr/>
      </w:pPr>
      <w:r>
        <w:rPr>
          <w:rStyle w:val="Strong"/>
        </w:rPr>
        <w:t>Nota:</w:t>
      </w:r>
      <w:r>
        <w:rPr/>
        <w:t xml:space="preserve"> sono in corso di adozione le nuove Indicazioni Nazionali per il secondo ciclo. Questa UDA ne recepisce già l’impianto metodologico (compiti di realtà, pensiero critico, rapporto scuola-territorio, uso critico dell’IA e delle fonti digitali) e sarà aggiornata nei riferimenti alla loro entrata in vigore.</w:t>
      </w:r>
    </w:p>
    <w:p>
      <w:pPr>
        <w:pStyle w:val="Heading2"/>
        <w:bidi w:val="0"/>
        <w:ind w:hanging="0" w:left="0" w:right="0"/>
        <w:rPr/>
      </w:pPr>
      <w:bookmarkStart w:id="7" w:name="sezione-3-obiettivi-di-apprendimento"/>
      <w:bookmarkEnd w:id="7"/>
      <w:r>
        <w:rPr/>
        <w:t>SEZIONE 3 — Obiettivi di apprendimento</w:t>
      </w:r>
    </w:p>
    <w:p>
      <w:pPr>
        <w:pStyle w:val="BodyText"/>
        <w:bidi w:val="0"/>
        <w:rPr/>
      </w:pPr>
      <w:r>
        <w:rPr/>
        <w:t>Al termine del percorso lo studente è in grado di: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Progettare autonomamente un percorso di ricerca: definire la domanda, identificare le fonti, pianificare i tempi.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Raccogliere informazioni da fonti eterogenee (testi accademici, archivi, siti istituzionali, fonti orali, iconografiche).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Valutare criticamente le fonti: attendibilità, pertinenza, aggiornamento, punto di vista dell’autore.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Produrre un testo divulgativo originale (“…per via”), con registro formale, struttura argomentativa e citazione delle fonti.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Pianificare, condurre e montare un’intervista a un esperto locale o testimone (con strumenti digitali).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Realizzare una pagina web funzionale, curata nella struttura e nella presentazione visiva.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Incorporare correttamente una mappa interattiva e contenuti multimediali.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Comprendere le implicazioni del pubblicare contenuti online (privacy, licenze, attribuzione).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Presentare il lavoro in modo efficace davanti a un pubblico (classe, famiglie, comunità locale).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Riflettere criticamente sul processo: autovalutazione, valutazione tra pari, riflessione metacognitiva.</w:t>
      </w:r>
    </w:p>
    <w:p>
      <w:pPr>
        <w:pStyle w:val="Heading2"/>
        <w:bidi w:val="0"/>
        <w:ind w:hanging="0" w:left="0" w:right="0"/>
        <w:rPr/>
      </w:pPr>
      <w:bookmarkStart w:id="8" w:name="sezione-4-contenuti"/>
      <w:bookmarkEnd w:id="8"/>
      <w:r>
        <w:rPr/>
        <w:t>SEZIONE 4 — Contenuti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14"/>
        <w:gridCol w:w="8191"/>
      </w:tblGrid>
      <w:tr>
        <w:trPr>
          <w:tblHeader w:val="true"/>
        </w:trPr>
        <w:tc>
          <w:tcPr>
            <w:tcW w:w="201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Disciplina</w:t>
            </w:r>
          </w:p>
        </w:tc>
        <w:tc>
          <w:tcPr>
            <w:tcW w:w="81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Contenuti specifici</w:t>
            </w:r>
          </w:p>
        </w:tc>
      </w:tr>
      <w:tr>
        <w:trPr/>
        <w:tc>
          <w:tcPr>
            <w:tcW w:w="201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Italiano</w:t>
            </w:r>
          </w:p>
        </w:tc>
        <w:tc>
          <w:tcPr>
            <w:tcW w:w="8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Testo divulgativo e argomentativo. Struttura della ricerca documentale. Nota bibliografica e citazione accademica. Scrittura per il web (chiarezza, sintesi, leggibilità).</w:t>
            </w:r>
          </w:p>
        </w:tc>
      </w:tr>
      <w:tr>
        <w:trPr/>
        <w:tc>
          <w:tcPr>
            <w:tcW w:w="201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Storia</w:t>
            </w:r>
          </w:p>
        </w:tc>
        <w:tc>
          <w:tcPr>
            <w:tcW w:w="8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Toponomastica come fonte storiografica. Il personaggio/evento scelto nel suo contesto storico-politico. Metodo storico: analisi critica delle fonti primarie e secondarie.</w:t>
            </w:r>
          </w:p>
        </w:tc>
      </w:tr>
      <w:tr>
        <w:trPr/>
        <w:tc>
          <w:tcPr>
            <w:tcW w:w="201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Storia dell’Arte / Architettura</w:t>
            </w:r>
          </w:p>
        </w:tc>
        <w:tc>
          <w:tcPr>
            <w:tcW w:w="8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Eventuale approfondimento iconografico (monumenti, lapidi commemorative, architettura del luogo).</w:t>
            </w:r>
          </w:p>
        </w:tc>
      </w:tr>
      <w:tr>
        <w:trPr/>
        <w:tc>
          <w:tcPr>
            <w:tcW w:w="201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Informatica / TIC</w:t>
            </w:r>
          </w:p>
        </w:tc>
        <w:tc>
          <w:tcPr>
            <w:tcW w:w="8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Struttura e semantica HTML base. CSS per la formattazione. Incorporare iframe (mappa, video). Accessibilità e usabilità. Alternativa: CMS semplice (Google Sites, Notion public).</w:t>
            </w:r>
          </w:p>
        </w:tc>
      </w:tr>
      <w:tr>
        <w:trPr/>
        <w:tc>
          <w:tcPr>
            <w:tcW w:w="201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Ed. Civica</w:t>
            </w:r>
          </w:p>
        </w:tc>
        <w:tc>
          <w:tcPr>
            <w:tcW w:w="8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Memoria collettiva e spazio pubblico. Toponomastica controversa (rinominazioni, revisioni storiche). Diritto d’autore e licenze Creative Commons. Privacy nella pubblicazione di immagini e video.</w:t>
            </w:r>
          </w:p>
        </w:tc>
      </w:tr>
      <w:tr>
        <w:trPr/>
        <w:tc>
          <w:tcPr>
            <w:tcW w:w="201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Lingue straniere (eventuale)</w:t>
            </w:r>
          </w:p>
        </w:tc>
        <w:tc>
          <w:tcPr>
            <w:tcW w:w="81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Ricerca di fonti in lingua straniera. Stesura di un abstract in lingua.</w:t>
            </w:r>
          </w:p>
        </w:tc>
      </w:tr>
    </w:tbl>
    <w:p>
      <w:pPr>
        <w:pStyle w:val="Heading2"/>
        <w:bidi w:val="0"/>
        <w:ind w:hanging="0" w:left="0" w:right="0"/>
        <w:rPr/>
      </w:pPr>
      <w:bookmarkStart w:id="9" w:name="sezione-5-articolazione-del-percorso"/>
      <w:bookmarkEnd w:id="9"/>
      <w:r>
        <w:rPr/>
        <w:t>SEZIONE 5 — Articolazione del percorso</w:t>
      </w:r>
    </w:p>
    <w:p>
      <w:pPr>
        <w:pStyle w:val="Heading3"/>
        <w:bidi w:val="0"/>
        <w:ind w:hanging="0" w:left="0" w:right="0"/>
        <w:rPr/>
      </w:pPr>
      <w:bookmarkStart w:id="10" w:name="fase-1-lancio-inquadramento-e-problemati"/>
      <w:bookmarkEnd w:id="10"/>
      <w:r>
        <w:rPr/>
        <w:t>Fase 1 — Lancio, inquadramento e problematizzazione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2–3 ore | </w:t>
      </w:r>
      <w:r>
        <w:rPr>
          <w:rStyle w:val="Strong"/>
        </w:rPr>
        <w:t>Discipline:</w:t>
      </w:r>
      <w:r>
        <w:rPr/>
        <w:t xml:space="preserve"> Italiano, Storia, Ed. Civica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Presentazione del progetto Via per Via: struttura, obiettivi, prodotto atteso, visibilità pubblica su viapervia.education.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Analisi critica di esempi già pubblicati sul sito: cosa funziona? Cosa si potrebbe migliorare?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Discussione problematizzante: la toponomastica come scelta politica e culturale. Esempi di strade rinominate, di figure discusse, di intitolazioni contestate (v. scheda Toponomastica difficile, Tracce 1 e 2, su starter-kit/toponomastica-difficile.html).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Introduzione al metodo della ricerca storica: differenza tra fonte primaria e secondaria, concetto di storiografia.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Formazione dei gruppi e scelta delle vie. Contratto di gruppo (ruoli, tempi, responsabilità).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La classe delibera fin d’ora la forma di restituzione alla comunità (v. Fase finale), così da orientare la raccolta dei materiali.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Contratto di gruppo + documento di avvio ricerca (via scelta, domanda di ricerca, prime ipotesi, fonti previste).</w:t>
      </w:r>
    </w:p>
    <w:p>
      <w:pPr>
        <w:pStyle w:val="Heading3"/>
        <w:bidi w:val="0"/>
        <w:ind w:hanging="0" w:left="0" w:right="0"/>
        <w:rPr/>
      </w:pPr>
      <w:bookmarkStart w:id="11" w:name="fase-2-pianificazione-metodologica"/>
      <w:bookmarkEnd w:id="11"/>
      <w:r>
        <w:rPr/>
        <w:t>Fase 2 — Pianificazione metodologica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2 ore | </w:t>
      </w:r>
      <w:r>
        <w:rPr>
          <w:rStyle w:val="Strong"/>
        </w:rPr>
        <w:t>Discipline:</w:t>
      </w:r>
      <w:r>
        <w:rPr/>
        <w:t xml:space="preserve"> Italiano, Storia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Lezione sul metodo: come si struttura una ricerca documentale? Come si valuta l’attendibilità di una fonte web? Come si cita correttamente?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 gruppi definiscono il piano di ricerca: quali fonti consultare (biblioteca, archivio comunale, siti istituzionali, database storici), chi fa cosa, entro quando.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Eventuale contatto con istituzioni locali (biblioteca, archivio, Pro Loco) per verificare la disponibilità di materiali.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Piano di ricerca strutturato con fonti previste, suddivisione dei compiti e calendario.</w:t>
      </w:r>
    </w:p>
    <w:p>
      <w:pPr>
        <w:pStyle w:val="Heading3"/>
        <w:bidi w:val="0"/>
        <w:ind w:hanging="0" w:left="0" w:right="0"/>
        <w:rPr/>
      </w:pPr>
      <w:bookmarkStart w:id="12" w:name="fase-3-ricerca-e-analisi-delle-fonti"/>
      <w:bookmarkEnd w:id="12"/>
      <w:r>
        <w:rPr/>
        <w:t>Fase 3 — Ricerca e analisi delle fonti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5–6 ore | </w:t>
      </w:r>
      <w:r>
        <w:rPr>
          <w:rStyle w:val="Strong"/>
        </w:rPr>
        <w:t>Discipline:</w:t>
      </w:r>
      <w:r>
        <w:rPr/>
        <w:t xml:space="preserve"> Italiano, Storia, (Lingue straniere)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Lavoro autonomo dei gruppi per la raccolta delle informazioni.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Momenti di confronto in classe: i gruppi condividono le difficoltà incontrate e le soluzioni trovate.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Analisi critica delle fonti trovate: punti di convergenza, contraddizioni, lacune.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Costruzione dello schema di contenuto per il testo finale.</w:t>
      </w:r>
    </w:p>
    <w:p>
      <w:pPr>
        <w:pStyle w:val="BodyText"/>
        <w:bidi w:val="0"/>
        <w:rPr/>
      </w:pPr>
      <w:r>
        <w:rPr>
          <w:rStyle w:val="Strong"/>
        </w:rPr>
        <w:t>Strumenti:</w:t>
      </w:r>
      <w:r>
        <w:rPr/>
        <w:t xml:space="preserve"> Biblioteca, archivi locali, database online, motori di ricerca accademici (Google Scholar, OPAC).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Schema di contenuto con fonti analizzate e valutate (almeno 5 fonti eterogenee).</w:t>
      </w:r>
    </w:p>
    <w:p>
      <w:pPr>
        <w:pStyle w:val="Heading3"/>
        <w:bidi w:val="0"/>
        <w:ind w:hanging="0" w:left="0" w:right="0"/>
        <w:rPr/>
      </w:pPr>
      <w:bookmarkStart w:id="13" w:name="fase-4-intervista-fortemente-consigliata"/>
      <w:bookmarkEnd w:id="13"/>
      <w:r>
        <w:rPr/>
        <w:t>Fase 4 — Intervista (fortemente consigliata)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3–4 ore (parte in orario, parte fuori) | </w:t>
      </w:r>
      <w:r>
        <w:rPr>
          <w:rStyle w:val="Strong"/>
        </w:rPr>
        <w:t>Discipline:</w:t>
      </w:r>
      <w:r>
        <w:rPr/>
        <w:t xml:space="preserve"> Italiano, Storia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Lezione sulle tecniche dell’intervista: struttura (aperta, semi-strutturata, chiusa), formulazione delle domande, gestione dell’interlocutore, aspetti tecnici della registrazione.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 gruppi identificano l’interlocutore (storico locale, archivista, ex sindaco, testimone, esperto del settore).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Preparazione e revisione del questionario in classe.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Svolgimento dell’intervista (video o audio), preferibilmente fuori orario.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Post-produzione: selezione dei passaggi più significativi, montaggio con strumenti gratuiti (CapCut, DaVinci Resolve free, Audacity).</w:t>
      </w:r>
    </w:p>
    <w:p>
      <w:pPr>
        <w:pStyle w:val="BodyText"/>
        <w:bidi w:val="0"/>
        <w:rPr/>
      </w:pPr>
      <w:r>
        <w:rPr>
          <w:rStyle w:val="Strong"/>
        </w:rPr>
        <w:t>Nota:</w:t>
      </w:r>
      <w:r>
        <w:rPr/>
        <w:t xml:space="preserve"> Per i gruppi che non realizzano l’intervista, si prevede un approfondimento archivistico o iconografico equivalente.</w:t>
      </w:r>
    </w:p>
    <w:p>
      <w:pPr>
        <w:pStyle w:val="Heading3"/>
        <w:bidi w:val="0"/>
        <w:ind w:hanging="0" w:left="0" w:right="0"/>
        <w:rPr/>
      </w:pPr>
      <w:bookmarkStart w:id="14" w:name="fase-5-scrittura-del-testo-per-via"/>
      <w:bookmarkEnd w:id="14"/>
      <w:r>
        <w:rPr/>
        <w:t>Fase 5 — Scrittura del testo “…per via”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4–5 ore | </w:t>
      </w:r>
      <w:r>
        <w:rPr>
          <w:rStyle w:val="Strong"/>
        </w:rPr>
        <w:t>Discipline:</w:t>
      </w:r>
      <w:r>
        <w:rPr/>
        <w:t xml:space="preserve"> Italiano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Il testo deve: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Iniziare con “…per via” (esplicitare il motivo dell’intitolazione)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Avere un registro divulgativo: rigoroso ma accessibile a un pubblico ampio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Citare le fonti con nota o link (non plagio)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Includere almeno un link esterno a risorse di approfondimento (Wikipedia non è sufficiente come unica fonte)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/>
        <w:t>Contenere, dove pertinente, un riferimento al contesto storico più ampio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Bozza → revisione incrociata tra gruppi (peer review con griglia) → revisione del docente → stesura definitiva.</w:t>
      </w:r>
    </w:p>
    <w:p>
      <w:pPr>
        <w:pStyle w:val="BodyText"/>
        <w:bidi w:val="0"/>
        <w:rPr/>
      </w:pPr>
      <w:r>
        <w:rPr>
          <w:rStyle w:val="Strong"/>
        </w:rPr>
        <w:t>Lunghezza indicativa:</w:t>
      </w:r>
      <w:r>
        <w:rPr/>
        <w:t xml:space="preserve"> 400–800 parole (adattare al livello e al tipo di istituto).</w:t>
      </w:r>
    </w:p>
    <w:p>
      <w:pPr>
        <w:pStyle w:val="Heading3"/>
        <w:bidi w:val="0"/>
        <w:ind w:hanging="0" w:left="0" w:right="0"/>
        <w:rPr/>
      </w:pPr>
      <w:bookmarkStart w:id="15" w:name="fase-6-diario-visivo-mappa-e-multimedia"/>
      <w:bookmarkEnd w:id="15"/>
      <w:r>
        <w:rPr/>
        <w:t>Fase 6 — Diario visivo, mappa e multimedia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2–3 ore | </w:t>
      </w:r>
      <w:r>
        <w:rPr>
          <w:rStyle w:val="Strong"/>
        </w:rPr>
        <w:t>Discipline:</w:t>
      </w:r>
      <w:r>
        <w:rPr/>
        <w:t xml:space="preserve"> Arte, Informatica, Storia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Produzione degli elaborati grafici originali o selezione di immagini con licenza aperta verificabile: </w:t>
      </w:r>
      <w:r>
        <w:rPr>
          <w:rStyle w:val="Strong"/>
        </w:rPr>
        <w:t>Wikimedia Commons</w:t>
      </w:r>
      <w:r>
        <w:rPr/>
        <w:t xml:space="preserve"> (indicando la licenza specifica dell’immagine), </w:t>
      </w:r>
      <w:r>
        <w:rPr>
          <w:rStyle w:val="Strong"/>
        </w:rPr>
        <w:t>Openverse</w:t>
      </w:r>
      <w:r>
        <w:rPr/>
        <w:t xml:space="preserve"> (motore di ricerca per contenuti CC), </w:t>
      </w:r>
      <w:r>
        <w:rPr>
          <w:rStyle w:val="Strong"/>
        </w:rPr>
        <w:t>Flickr Commons</w:t>
      </w:r>
      <w:r>
        <w:rPr/>
        <w:t xml:space="preserve"> ed </w:t>
      </w:r>
      <w:r>
        <w:rPr>
          <w:rStyle w:val="Strong"/>
        </w:rPr>
        <w:t>Europeana</w:t>
      </w:r>
      <w:r>
        <w:rPr/>
        <w:t xml:space="preserve"> per il materiale fotografico storico. Attenzione: piattaforme come Unsplash o Pixabay usano licenze proprietarie che, pur permettendo molti usi, </w:t>
      </w:r>
      <w:r>
        <w:rPr>
          <w:rStyle w:val="Strong"/>
        </w:rPr>
        <w:t>non sono licenze aperte</w:t>
      </w:r>
      <w:r>
        <w:rPr/>
        <w:t xml:space="preserve"> e non sono compatibili con la ridistribuzione in CC BY-NC-SA: verificare sempre i termini è parte dell’esercizio di cittadinanza digitale.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Localizzazione della via su mappa digitale e generazione dell’iframe.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Integrazione dell’eventuale intervista video/audio.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Curatela visiva dei materiali: proporzioni, qualità, pertinenza.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Gli elaborati confluiscono nel </w:t>
      </w:r>
      <w:r>
        <w:rPr>
          <w:rStyle w:val="Strong"/>
        </w:rPr>
        <w:t>Diario visivo di via</w:t>
      </w:r>
      <w:r>
        <w:rPr/>
        <w:t xml:space="preserve"> e includono anche l’analisi di almeno un elemento di patrimonio presente nella via o nei dintorni (monumento, lapide, edificio storico, decorazione), collegato — dove pertinente — a un riferimento più ampio della storia dell’arte: dal patrimonio locale a quello globale (es. una facciata liberty di quartiere → il Liberty europeo; un’edicola votiva → l’iconografia mariana).</w:t>
      </w:r>
    </w:p>
    <w:p>
      <w:pPr>
        <w:pStyle w:val="Heading3"/>
        <w:bidi w:val="0"/>
        <w:ind w:hanging="0" w:left="0" w:right="0"/>
        <w:rPr/>
      </w:pPr>
      <w:bookmarkStart w:id="16" w:name="fase-7-realizzazione-della-pagina-web"/>
      <w:bookmarkEnd w:id="16"/>
      <w:r>
        <w:rPr/>
        <w:t>Fase 7 — Realizzazione della pagina web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4–5 ore | </w:t>
      </w:r>
      <w:r>
        <w:rPr>
          <w:rStyle w:val="Strong"/>
        </w:rPr>
        <w:t>Discipline:</w:t>
      </w:r>
      <w:r>
        <w:rPr/>
        <w:t xml:space="preserve"> Informatica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Il docente introduce lo strumento scelto: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>
          <w:rStyle w:val="Strong"/>
        </w:rPr>
        <w:t>Opzione A:</w:t>
      </w:r>
      <w:r>
        <w:rPr/>
        <w:t xml:space="preserve"> Google Sites o Notion (nessuna competenza di coding richiesta)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rPr/>
      </w:pPr>
      <w:r>
        <w:rPr>
          <w:rStyle w:val="Strong"/>
        </w:rPr>
        <w:t>Opzione B:</w:t>
      </w:r>
      <w:r>
        <w:rPr/>
        <w:t xml:space="preserve"> HTML/CSS base (per classi con percorso informatico)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La pagina deve rispettare la struttura di progetto e includere tutti gli elementi previsti, comprese le «voci dalla classe».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Attenzione a: privacy (volti di minori, nomi reali), licenze delle immagini, attribuzione dei contenuti.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Tutte le immagini hanno un testo alternativo (attributo </w:t>
      </w:r>
      <w:r>
        <w:rPr>
          <w:rStyle w:val="SourceText"/>
        </w:rPr>
        <w:t>alt</w:t>
      </w:r>
      <w:r>
        <w:rPr/>
        <w:t>) che le descrive brevemente.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Pagina web pubblicata con URL da inviare a viapervia.education.</w:t>
      </w:r>
    </w:p>
    <w:p>
      <w:pPr>
        <w:pStyle w:val="Heading3"/>
        <w:bidi w:val="0"/>
        <w:ind w:hanging="0" w:left="0" w:right="0"/>
        <w:rPr/>
      </w:pPr>
      <w:bookmarkStart w:id="17" w:name="fase-8-presentazione-e-riflessione-criti"/>
      <w:bookmarkEnd w:id="17"/>
      <w:r>
        <w:rPr/>
        <w:t>Fase 8 — Presentazione e riflessione critica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2–3 ore | </w:t>
      </w:r>
      <w:r>
        <w:rPr>
          <w:rStyle w:val="Strong"/>
        </w:rPr>
        <w:t>Discipline:</w:t>
      </w:r>
      <w:r>
        <w:rPr/>
        <w:t xml:space="preserve"> Italiano, Ed. Civica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Presentazione pubblica del lavoro (alla classe, a una classe parallela, a genitori o alla comunità locale — a scelta del docente).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Ogni gruppo dispone di 10–15 minuti: illustra il lavoro, le difficoltà incontrate, le scelte compiute.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Discussione: il vostro lavoro contribuisce alla memoria collettiva della città. Che responsabilità comporta?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Invio delle pagine a viapervia.education.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Autovalutazione individuale e riflessione metacognitiva di gruppo.</w:t>
      </w:r>
    </w:p>
    <w:p>
      <w:pPr>
        <w:pStyle w:val="Heading3"/>
        <w:bidi w:val="0"/>
        <w:ind w:hanging="0" w:left="0" w:right="0"/>
        <w:rPr/>
      </w:pPr>
      <w:bookmarkStart w:id="18" w:name="fase-9-restituzione-pubblica-e-raccordo-"/>
      <w:bookmarkEnd w:id="18"/>
      <w:r>
        <w:rPr/>
        <w:t>Fase 9 — Restituzione pubblica e raccordo istituzionale</w:t>
      </w:r>
    </w:p>
    <w:p>
      <w:pPr>
        <w:pStyle w:val="BodyText"/>
        <w:bidi w:val="0"/>
        <w:rPr/>
      </w:pPr>
      <w:r>
        <w:rPr>
          <w:rStyle w:val="Strong"/>
        </w:rPr>
        <w:t>Durata:</w:t>
      </w:r>
      <w:r>
        <w:rPr/>
        <w:t xml:space="preserve"> 3–4 ore (parte fuori orario) | </w:t>
      </w:r>
      <w:r>
        <w:rPr>
          <w:rStyle w:val="Strong"/>
        </w:rPr>
        <w:t>Discipline:</w:t>
      </w:r>
      <w:r>
        <w:rPr/>
        <w:t xml:space="preserve"> Italiano, Ed. Civica, (Informatica)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La restituzione al territorio si articola in un menu di scelte tra cui la classe sceglie almeno una (obbligatoria):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Presentazione in commissione cultura o consiglio comunale</w:t>
      </w:r>
      <w:r>
        <w:rPr/>
        <w:t xml:space="preserve"> (anche in forma di deposito degli atti: dossier + link);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Comunicato stampa</w:t>
      </w:r>
      <w:r>
        <w:rPr/>
        <w:t xml:space="preserve"> redatto dagli studenti e inviato a testate locali;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Evento pubblico</w:t>
      </w:r>
      <w:r>
        <w:rPr/>
        <w:t xml:space="preserve"> (a scuola, in biblioteca, alla Pro Loco) con presentazione delle pagine e proiezione delle interviste;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Proposta formale al Comune</w:t>
      </w:r>
      <w:r>
        <w:rPr/>
        <w:t xml:space="preserve"> (es. progetto di targhe QR, segnalazione di vie prive di note storiche sul sito comunale).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Collegamento PCTO:</w:t>
      </w:r>
      <w:r>
        <w:rPr/>
        <w:t xml:space="preserve"> per il triennio, la fase può essere riconosciuta come attività PCTO in ambito culturale/comunicativo (relazioni con enti, comunicazione pubblica), con convenzione tra scuola ed ente ospitante. </w:t>
      </w:r>
    </w:p>
    <w:p>
      <w:pPr>
        <w:pStyle w:val="BodyText"/>
        <w:bidi w:val="0"/>
        <w:rPr/>
      </w:pPr>
      <w:r>
        <w:rPr>
          <w:rStyle w:val="Strong"/>
        </w:rPr>
        <w:t>Prodotto di fase:</w:t>
      </w:r>
      <w:r>
        <w:rPr/>
        <w:t xml:space="preserve"> dossier di restituzione (chi è stato contattato, cosa è stato presentato, esiti) + il materiale prodotto (comunicato, slides, proposta).</w:t>
      </w:r>
    </w:p>
    <w:p>
      <w:pPr>
        <w:pStyle w:val="Heading2"/>
        <w:bidi w:val="0"/>
        <w:ind w:hanging="0" w:left="0" w:right="0"/>
        <w:rPr/>
      </w:pPr>
      <w:bookmarkStart w:id="19" w:name="sezione-6-metodologie-e-strumenti"/>
      <w:bookmarkEnd w:id="19"/>
      <w:r>
        <w:rPr/>
        <w:t>SEZIONE 6 — Metodologie e strumenti</w:t>
      </w:r>
    </w:p>
    <w:p>
      <w:pPr>
        <w:pStyle w:val="BodyText"/>
        <w:bidi w:val="0"/>
        <w:rPr/>
      </w:pPr>
      <w:r>
        <w:rPr>
          <w:rStyle w:val="Strong"/>
        </w:rPr>
        <w:t>Metodologie:</w:t>
      </w:r>
      <w:r>
        <w:rPr/>
        <w:t xml:space="preserve"> Project-based learning, flipped classroom (per le parti tecniche), peer review, ricerca documentale autonoma, learning by doing.</w:t>
      </w:r>
    </w:p>
    <w:p>
      <w:pPr>
        <w:pStyle w:val="BodyText"/>
        <w:bidi w:val="0"/>
        <w:rPr/>
      </w:pPr>
      <w:r>
        <w:rPr>
          <w:rStyle w:val="Strong"/>
        </w:rPr>
        <w:t>Strumenti: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Computer con connessione internet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Google Sites, Notion o editor HTML (VS Code, Notepad++)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Google Maps / OpenStreetMap per la mappa embed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Smartphone per foto e video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Strumenti di montaggio audio/video (CapCut, Audacity, DaVinci Resolve free)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Biblioteca scolastica, archivi comunali, database online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Schema di ricerca strutturato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Griglia peer review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Contratto di gruppo</w:t>
      </w:r>
    </w:p>
    <w:p>
      <w:pPr>
        <w:pStyle w:val="Heading2"/>
        <w:bidi w:val="0"/>
        <w:ind w:hanging="0" w:left="0" w:right="0"/>
        <w:rPr/>
      </w:pPr>
      <w:bookmarkStart w:id="20" w:name="sezione-6-bis-personalizzazione-e-inclus"/>
      <w:bookmarkEnd w:id="20"/>
      <w:r>
        <w:rPr/>
        <w:t>SEZIONE 6-bis — Personalizzazione e inclusione (BES e disabilità)</w:t>
      </w:r>
    </w:p>
    <w:p>
      <w:pPr>
        <w:pStyle w:val="BlockQuotation"/>
        <w:bidi w:val="0"/>
        <w:rPr/>
      </w:pPr>
      <w:r>
        <w:rPr/>
        <w:t>Riferimenti: L. 104/1992; D.Lgs. 66/2017 e D.Lgs. 96/2019; D.I. 182/2020 (PEI); L. 170/2010 e D.M. 5669/2011 (DSA); D.M. 27/12/2012 e C.M. 8/2013 (BES).</w:t>
      </w:r>
    </w:p>
    <w:p>
      <w:pPr>
        <w:pStyle w:val="BodyText"/>
        <w:bidi w:val="0"/>
        <w:rPr/>
      </w:pPr>
      <w:r>
        <w:rPr/>
        <w:t>Via Per Via è strutturalmente inclusivo perché la scelta è libera, la profondità adattabile e ogni contributo è valido: questo paragrafo traduce il principio in strumenti operativi, da raccordare con PEI e PDP degli alunni coinvolti.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Formati alternativi del testo “…per via”</w:t>
      </w:r>
      <w:r>
        <w:rPr/>
        <w:t xml:space="preserve">, equivalenti a tutti gli effetti e </w:t>
      </w:r>
      <w:r>
        <w:rPr>
          <w:rStyle w:val="Strong"/>
        </w:rPr>
        <w:t>aperti a tutta la classe</w:t>
      </w:r>
      <w:r>
        <w:rPr/>
        <w:t xml:space="preserve">: chiunque può sceglierli, e per gli alunni con PEI o PDP si indicano nel piano come modalità di verifica personalizzata: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audio</w:t>
      </w:r>
      <w:r>
        <w:rPr/>
        <w:t xml:space="preserve">: il testo registrato con la propria voce (anche a partire da una scaletta), pubblicato come traccia nella pagina; è facoltativo e richiede il consenso dei genitori alla voce (Modulo B del kit privacy);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mappa visuale</w:t>
      </w:r>
      <w:r>
        <w:rPr/>
        <w:t xml:space="preserve">: mappa concettuale o storyboard illustrato che organizza le informazioni per immagini e parole-chiave;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contributo fotografico come prodotto principale</w:t>
      </w:r>
      <w:r>
        <w:rPr/>
        <w:t xml:space="preserve">: un racconto per immagini della via (8–12 foto con didascalie brevi), in cui il testo scritto si riduce alle didascalie;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rong"/>
        </w:rPr>
        <w:t>testo facilitato</w:t>
      </w:r>
      <w:r>
        <w:rPr/>
        <w:t xml:space="preserve">: struttura a domande-guida (Chi? Quando? Perché questa via?), frasi brevi, supporto di un compagno tutor o del docente.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Riservatezza</w:t>
      </w:r>
      <w:r>
        <w:rPr/>
        <w:t xml:space="preserve">: la pagina pubblicata non deve mai far capire quali alunni hanno un PEI o un PDP. Nessun formato, ruolo, didascalia o nota si collega a misure personalizzate: sono informazioni riservate, protette in modo particolare dalla normativa sulla privacy. La redazione lo controlla prima di pubblicare.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Ruoli differenziati nel gruppo</w:t>
      </w:r>
      <w:r>
        <w:rPr/>
        <w:t xml:space="preserve">: fotografo di via, cartografo (mappa e coordinate), intervistatore, illustratore del Diario visivo, ricercatore di fonti, curatore della pagina. Ogni ruolo produce una parte visibile e firmata del risultato: nessuno “aiuta soltanto”, tutti firmano.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Strumenti compensativi</w:t>
      </w:r>
      <w:r>
        <w:rPr/>
        <w:t xml:space="preserve"> ammessi in ogni fase: sintesi vocale e dettatura, mappe e scalette, correttore ortografico, tempi aggiuntivi; </w:t>
      </w:r>
      <w:r>
        <w:rPr>
          <w:rStyle w:val="Strong"/>
        </w:rPr>
        <w:t>misure dispensative</w:t>
      </w:r>
      <w:r>
        <w:rPr/>
        <w:t xml:space="preserve"> coerenti con il PDP (es. dispensa dalla lettura ad alta voce in presentazione, sostituita da supporto visivo).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Valutazione</w:t>
      </w:r>
      <w:r>
        <w:rPr/>
        <w:t xml:space="preserve">: le rubriche si applicano al formato scelto (la rubrica del testo vale per l’audio e per le didascalie del racconto fotografico, con gli stessi indicatori: accuratezza, rielaborazione, chiarezza, fonti). L’obiettivo resta identico per tutti: raccontare con parole — o immagini — proprie. </w:t>
      </w:r>
    </w:p>
    <w:p>
      <w:pPr>
        <w:pStyle w:val="BodyText"/>
        <w:bidi w:val="0"/>
        <w:rPr/>
      </w:pPr>
      <w:r>
        <w:rPr>
          <w:rStyle w:val="Strong"/>
        </w:rPr>
        <w:t>Secondaria di II grado:</w:t>
      </w:r>
      <w:r>
        <w:rPr/>
        <w:t xml:space="preserve"> gli adattamenti si raccordano con il PDP/PEI e, per il triennio, con l’eventuale progetto PCTO; la riflessione metacognitiva finale può essere svolta in colloquio invece che per iscritto.</w:t>
      </w:r>
    </w:p>
    <w:p>
      <w:pPr>
        <w:pStyle w:val="Heading2"/>
        <w:bidi w:val="0"/>
        <w:ind w:hanging="0" w:left="0" w:right="0"/>
        <w:rPr/>
      </w:pPr>
      <w:bookmarkStart w:id="21" w:name="sezione-7-valutazione"/>
      <w:bookmarkEnd w:id="21"/>
      <w:r>
        <w:rPr/>
        <w:t>SEZIONE 7 — Valutazione</w:t>
      </w:r>
    </w:p>
    <w:p>
      <w:pPr>
        <w:pStyle w:val="Heading3"/>
        <w:bidi w:val="0"/>
        <w:ind w:hanging="0" w:left="0" w:right="0"/>
        <w:rPr/>
      </w:pPr>
      <w:bookmarkStart w:id="22" w:name="cosa-si-valuta"/>
      <w:bookmarkEnd w:id="22"/>
      <w:r>
        <w:rPr/>
        <w:t>Cosa si valuta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660"/>
        <w:gridCol w:w="4006"/>
        <w:gridCol w:w="1539"/>
      </w:tblGrid>
      <w:tr>
        <w:trPr>
          <w:tblHeader w:val="true"/>
        </w:trPr>
        <w:tc>
          <w:tcPr>
            <w:tcW w:w="466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Dimensione</w:t>
            </w:r>
          </w:p>
        </w:tc>
        <w:tc>
          <w:tcPr>
            <w:tcW w:w="40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Strumento</w:t>
            </w:r>
          </w:p>
        </w:tc>
        <w:tc>
          <w:tcPr>
            <w:tcW w:w="15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Peso indicativo</w:t>
            </w:r>
          </w:p>
        </w:tc>
      </w:tr>
      <w:tr>
        <w:trPr/>
        <w:tc>
          <w:tcPr>
            <w:tcW w:w="46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Qualità del testo (rielaborazione, fonti, registro, struttura)</w:t>
            </w:r>
          </w:p>
        </w:tc>
        <w:tc>
          <w:tcPr>
            <w:tcW w:w="4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Rubrica analitica</w:t>
            </w:r>
          </w:p>
        </w:tc>
        <w:tc>
          <w:tcPr>
            <w:tcW w:w="1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30%</w:t>
            </w:r>
          </w:p>
        </w:tc>
      </w:tr>
      <w:tr>
        <w:trPr/>
        <w:tc>
          <w:tcPr>
            <w:tcW w:w="46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Qualità della ricerca (metodo, fonti, analisi critica)</w:t>
            </w:r>
          </w:p>
        </w:tc>
        <w:tc>
          <w:tcPr>
            <w:tcW w:w="4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Griglia di processo + schema finale</w:t>
            </w:r>
          </w:p>
        </w:tc>
        <w:tc>
          <w:tcPr>
            <w:tcW w:w="1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20%</w:t>
            </w:r>
          </w:p>
        </w:tc>
      </w:tr>
      <w:tr>
        <w:trPr/>
        <w:tc>
          <w:tcPr>
            <w:tcW w:w="46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Pagina web (struttura, cura visiva, funzionalità)</w:t>
            </w:r>
          </w:p>
        </w:tc>
        <w:tc>
          <w:tcPr>
            <w:tcW w:w="4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Griglia prodotto</w:t>
            </w:r>
          </w:p>
        </w:tc>
        <w:tc>
          <w:tcPr>
            <w:tcW w:w="1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20%</w:t>
            </w:r>
          </w:p>
        </w:tc>
      </w:tr>
      <w:tr>
        <w:trPr/>
        <w:tc>
          <w:tcPr>
            <w:tcW w:w="46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Presentazione orale (chiarezza, efficacia, gestione domande)</w:t>
            </w:r>
          </w:p>
        </w:tc>
        <w:tc>
          <w:tcPr>
            <w:tcW w:w="4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Griglia presentazione</w:t>
            </w:r>
          </w:p>
        </w:tc>
        <w:tc>
          <w:tcPr>
            <w:tcW w:w="1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10%</w:t>
            </w:r>
          </w:p>
        </w:tc>
      </w:tr>
      <w:tr>
        <w:trPr/>
        <w:tc>
          <w:tcPr>
            <w:tcW w:w="46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Lavoro di gruppo e autonomia</w:t>
            </w:r>
          </w:p>
        </w:tc>
        <w:tc>
          <w:tcPr>
            <w:tcW w:w="4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Osservazione + autovalutazione + peer evaluation</w:t>
            </w:r>
          </w:p>
        </w:tc>
        <w:tc>
          <w:tcPr>
            <w:tcW w:w="1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10%</w:t>
            </w:r>
          </w:p>
        </w:tc>
      </w:tr>
      <w:tr>
        <w:trPr/>
        <w:tc>
          <w:tcPr>
            <w:tcW w:w="466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Restituzione pubblica</w:t>
            </w:r>
          </w:p>
        </w:tc>
        <w:tc>
          <w:tcPr>
            <w:tcW w:w="40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Osservazione + prodotto</w:t>
            </w:r>
          </w:p>
        </w:tc>
        <w:tc>
          <w:tcPr>
            <w:tcW w:w="15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10%</w:t>
            </w:r>
          </w:p>
        </w:tc>
      </w:tr>
    </w:tbl>
    <w:p>
      <w:pPr>
        <w:pStyle w:val="BodyText"/>
        <w:bidi w:val="0"/>
        <w:rPr/>
      </w:pPr>
      <w:r>
        <w:rPr/>
        <w:t>Nel livello Avanzato dell’indicatore di completezza della pagina web rientrano anche il testo alternativo su tutte le immagini e la presenza delle «voci dalla classe»; nel livello Base la loro assenza o genericità.</w:t>
      </w:r>
    </w:p>
    <w:p>
      <w:pPr>
        <w:pStyle w:val="Heading3"/>
        <w:bidi w:val="0"/>
        <w:ind w:hanging="0" w:left="0" w:right="0"/>
        <w:rPr/>
      </w:pPr>
      <w:bookmarkStart w:id="23" w:name="rubrica-analitica-testo-per-via"/>
      <w:bookmarkEnd w:id="23"/>
      <w:r>
        <w:rPr/>
        <w:t>Rubrica analitica — Testo “…per via”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718"/>
        <w:gridCol w:w="2137"/>
        <w:gridCol w:w="2006"/>
        <w:gridCol w:w="2290"/>
        <w:gridCol w:w="2054"/>
      </w:tblGrid>
      <w:tr>
        <w:trPr>
          <w:tblHeader w:val="true"/>
        </w:trPr>
        <w:tc>
          <w:tcPr>
            <w:tcW w:w="17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Indicatore</w:t>
            </w:r>
          </w:p>
        </w:tc>
        <w:tc>
          <w:tcPr>
            <w:tcW w:w="213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Avanzato</w:t>
            </w:r>
          </w:p>
        </w:tc>
        <w:tc>
          <w:tcPr>
            <w:tcW w:w="20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Intermedio</w:t>
            </w:r>
          </w:p>
        </w:tc>
        <w:tc>
          <w:tcPr>
            <w:tcW w:w="22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Base</w:t>
            </w:r>
          </w:p>
        </w:tc>
        <w:tc>
          <w:tcPr>
            <w:tcW w:w="205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 via di acquisizione</w:t>
            </w:r>
          </w:p>
        </w:tc>
      </w:tr>
      <w:tr>
        <w:trPr/>
        <w:tc>
          <w:tcPr>
            <w:tcW w:w="17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Accuratezza e profondità</w:t>
            </w:r>
          </w:p>
        </w:tc>
        <w:tc>
          <w:tcPr>
            <w:tcW w:w="21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Informazioni accurate, contestualizzate, con analisi critica delle fonti</w:t>
            </w:r>
          </w:p>
        </w:tc>
        <w:tc>
          <w:tcPr>
            <w:tcW w:w="2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Accurate e contestualizzate, senza analisi critica esplicita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Le informazioni principali sono corrette, scarsa contestualizzazione</w:t>
            </w:r>
          </w:p>
        </w:tc>
        <w:tc>
          <w:tcPr>
            <w:tcW w:w="20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Informazioni imprecise, superficiali o non verificate</w:t>
            </w:r>
          </w:p>
        </w:tc>
      </w:tr>
      <w:tr>
        <w:trPr/>
        <w:tc>
          <w:tcPr>
            <w:tcW w:w="17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Rielaborazione e originalità</w:t>
            </w:r>
          </w:p>
        </w:tc>
        <w:tc>
          <w:tcPr>
            <w:tcW w:w="21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Testo pienamente originale, con elaborazione personale del materiale raccolto</w:t>
            </w:r>
          </w:p>
        </w:tc>
        <w:tc>
          <w:tcPr>
            <w:tcW w:w="2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Prevalentemente rielaborato, con apporti personali riconoscibili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Parzialmente rielaborato; alcune sezioni riproducono le fonti</w:t>
            </w:r>
          </w:p>
        </w:tc>
        <w:tc>
          <w:tcPr>
            <w:tcW w:w="20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Prevalentemente descrittivo o derivato dalle fonti senza elaborazione</w:t>
            </w:r>
          </w:p>
        </w:tc>
      </w:tr>
      <w:tr>
        <w:trPr/>
        <w:tc>
          <w:tcPr>
            <w:tcW w:w="17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Struttura argomentativa</w:t>
            </w:r>
          </w:p>
        </w:tc>
        <w:tc>
          <w:tcPr>
            <w:tcW w:w="21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Struttura chiara, progressione logica, connettivi appropriati</w:t>
            </w:r>
          </w:p>
        </w:tc>
        <w:tc>
          <w:tcPr>
            <w:tcW w:w="2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Struttura presente, con qualche incoerenza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Struttura di base, sequenza non sempre coerente</w:t>
            </w:r>
          </w:p>
        </w:tc>
        <w:tc>
          <w:tcPr>
            <w:tcW w:w="20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Testo frammentato, senza struttura riconoscibile</w:t>
            </w:r>
          </w:p>
        </w:tc>
      </w:tr>
      <w:tr>
        <w:trPr/>
        <w:tc>
          <w:tcPr>
            <w:tcW w:w="17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Citazione e apparato documentario</w:t>
            </w:r>
          </w:p>
        </w:tc>
        <w:tc>
          <w:tcPr>
            <w:tcW w:w="21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5+ fonti eterogenee citate correttamente; link di approfondimento pertinenti</w:t>
            </w:r>
          </w:p>
        </w:tc>
        <w:tc>
          <w:tcPr>
            <w:tcW w:w="2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3–4 fonti citate correttamente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 fonti citate</w:t>
            </w:r>
          </w:p>
        </w:tc>
        <w:tc>
          <w:tcPr>
            <w:tcW w:w="20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0–1 fonti o citazioni assenti</w:t>
            </w:r>
          </w:p>
        </w:tc>
      </w:tr>
      <w:tr>
        <w:trPr/>
        <w:tc>
          <w:tcPr>
            <w:tcW w:w="17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Registro e qualità linguistica</w:t>
            </w:r>
          </w:p>
        </w:tc>
        <w:tc>
          <w:tcPr>
            <w:tcW w:w="213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Registro formale e divulgativo costante; lessico preciso e vario</w:t>
            </w:r>
          </w:p>
        </w:tc>
        <w:tc>
          <w:tcPr>
            <w:tcW w:w="20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Prevalentemente formale; qualche caduta di registro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Registro misto; lessico generico</w:t>
            </w:r>
          </w:p>
        </w:tc>
        <w:tc>
          <w:tcPr>
            <w:tcW w:w="205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Registro inadeguato o colloquiale; lessico impreciso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24" w:name="rubrica-diario-visivo"/>
      <w:bookmarkEnd w:id="24"/>
      <w:r>
        <w:rPr/>
        <w:t>Rubrica — Diario visivo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281"/>
        <w:gridCol w:w="3472"/>
        <w:gridCol w:w="1869"/>
        <w:gridCol w:w="1590"/>
        <w:gridCol w:w="1993"/>
      </w:tblGrid>
      <w:tr>
        <w:trPr>
          <w:tblHeader w:val="true"/>
        </w:trPr>
        <w:tc>
          <w:tcPr>
            <w:tcW w:w="128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Indicatore</w:t>
            </w:r>
          </w:p>
        </w:tc>
        <w:tc>
          <w:tcPr>
            <w:tcW w:w="347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Avanzato</w:t>
            </w:r>
          </w:p>
        </w:tc>
        <w:tc>
          <w:tcPr>
            <w:tcW w:w="186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Intermedio</w:t>
            </w:r>
          </w:p>
        </w:tc>
        <w:tc>
          <w:tcPr>
            <w:tcW w:w="15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Base</w:t>
            </w:r>
          </w:p>
        </w:tc>
        <w:tc>
          <w:tcPr>
            <w:tcW w:w="199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 via di acquisizione</w:t>
            </w:r>
          </w:p>
        </w:tc>
      </w:tr>
      <w:tr>
        <w:trPr/>
        <w:tc>
          <w:tcPr>
            <w:tcW w:w="128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Diario visivo</w:t>
            </w:r>
          </w:p>
        </w:tc>
        <w:tc>
          <w:tcPr>
            <w:tcW w:w="347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Elaborati originali con didascalie complete che integrano emozione, tecnica e contesto</w:t>
            </w:r>
          </w:p>
        </w:tc>
        <w:tc>
          <w:tcPr>
            <w:tcW w:w="186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Didascalie presenti ma parziali</w:t>
            </w:r>
          </w:p>
        </w:tc>
        <w:tc>
          <w:tcPr>
            <w:tcW w:w="15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Elaborati senza didascalie</w:t>
            </w:r>
          </w:p>
        </w:tc>
        <w:tc>
          <w:tcPr>
            <w:tcW w:w="199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Elaborati assenti o non originali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25" w:name="rubrica-presentazione-orale"/>
      <w:bookmarkEnd w:id="25"/>
      <w:r>
        <w:rPr/>
        <w:t>Rubrica — Presentazione orale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22"/>
        <w:gridCol w:w="2432"/>
        <w:gridCol w:w="2076"/>
        <w:gridCol w:w="2117"/>
        <w:gridCol w:w="2058"/>
      </w:tblGrid>
      <w:tr>
        <w:trPr>
          <w:tblHeader w:val="true"/>
        </w:trPr>
        <w:tc>
          <w:tcPr>
            <w:tcW w:w="152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Indicatore</w:t>
            </w:r>
          </w:p>
        </w:tc>
        <w:tc>
          <w:tcPr>
            <w:tcW w:w="243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Avanzato</w:t>
            </w:r>
          </w:p>
        </w:tc>
        <w:tc>
          <w:tcPr>
            <w:tcW w:w="20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Intermedio</w:t>
            </w:r>
          </w:p>
        </w:tc>
        <w:tc>
          <w:tcPr>
            <w:tcW w:w="211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Base</w:t>
            </w:r>
          </w:p>
        </w:tc>
        <w:tc>
          <w:tcPr>
            <w:tcW w:w="205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 via di acquisizione</w:t>
            </w:r>
          </w:p>
        </w:tc>
      </w:tr>
      <w:tr>
        <w:trPr/>
        <w:tc>
          <w:tcPr>
            <w:tcW w:w="15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Chiarezza espositiva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Esposizione fluida, logica, accessibile</w:t>
            </w:r>
          </w:p>
        </w:tc>
        <w:tc>
          <w:tcPr>
            <w:tcW w:w="20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Abbastanza chiara, con qualche incertezza</w:t>
            </w:r>
          </w:p>
        </w:tc>
        <w:tc>
          <w:tcPr>
            <w:tcW w:w="21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Comprensibile ma disorganizzata</w:t>
            </w:r>
          </w:p>
        </w:tc>
        <w:tc>
          <w:tcPr>
            <w:tcW w:w="20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Poco chiara o difficile da seguire</w:t>
            </w:r>
          </w:p>
        </w:tc>
      </w:tr>
      <w:tr>
        <w:trPr/>
        <w:tc>
          <w:tcPr>
            <w:tcW w:w="15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Padronanza dei contenuti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Dimostra piena padronanza; risponde con sicurezza alle domande</w:t>
            </w:r>
          </w:p>
        </w:tc>
        <w:tc>
          <w:tcPr>
            <w:tcW w:w="20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Buona conoscenza; qualche incertezza nelle domande</w:t>
            </w:r>
          </w:p>
        </w:tc>
        <w:tc>
          <w:tcPr>
            <w:tcW w:w="21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Conoscenza essenziale del proprio contributo</w:t>
            </w:r>
          </w:p>
        </w:tc>
        <w:tc>
          <w:tcPr>
            <w:tcW w:w="20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Conoscenza lacunosa anche dei propri contenuti</w:t>
            </w:r>
          </w:p>
        </w:tc>
      </w:tr>
      <w:tr>
        <w:trPr/>
        <w:tc>
          <w:tcPr>
            <w:tcW w:w="152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Uso del prodotto digitale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Integra efficacemente la pagina web nella presentazione</w:t>
            </w:r>
          </w:p>
        </w:tc>
        <w:tc>
          <w:tcPr>
            <w:tcW w:w="20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La usa, ma non in modo pienamente efficace</w:t>
            </w:r>
          </w:p>
        </w:tc>
        <w:tc>
          <w:tcPr>
            <w:tcW w:w="211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La mostra ma non la sfrutta come supporto</w:t>
            </w:r>
          </w:p>
        </w:tc>
        <w:tc>
          <w:tcPr>
            <w:tcW w:w="205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Non la usa o la usa in modo scorretto</w:t>
            </w:r>
          </w:p>
        </w:tc>
      </w:tr>
    </w:tbl>
    <w:p>
      <w:pPr>
        <w:pStyle w:val="Heading3"/>
        <w:bidi w:val="0"/>
        <w:ind w:hanging="0" w:left="0" w:right="0"/>
        <w:rPr/>
      </w:pPr>
      <w:bookmarkStart w:id="26" w:name="riflessione-metacognitiva-da-consegnare-"/>
      <w:bookmarkEnd w:id="26"/>
      <w:r>
        <w:rPr/>
        <w:t>Riflessione metacognitiva (da consegnare a fine percorso)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Qual era la tua domanda di ricerca iniziale? La risposta che hai trovato era quella che ti aspettavi?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Quale fonte ti ha sorpreso di più, e perché?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Hai incontrato informazioni contraddittorie? Come le hai gestite?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Cosa ha funzionato bene nel gruppo? Cosa cambieresti?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Il tuo lavoro è ora visibile a chiunque su viapervia.education. Che cosa provi? Che responsabilità comporta?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hanging="360" w:left="720"/>
        <w:rPr/>
      </w:pPr>
      <w:r>
        <w:rPr/>
        <w:t>In che modo questo percorso ti ha cambiato (o no) il modo di guardare la tua città?</w:t>
      </w:r>
    </w:p>
    <w:p>
      <w:pPr>
        <w:pStyle w:val="Heading2"/>
        <w:bidi w:val="0"/>
        <w:ind w:hanging="0" w:left="0" w:right="0"/>
        <w:rPr/>
      </w:pPr>
      <w:bookmarkStart w:id="27" w:name="allegati-consigliati"/>
      <w:bookmarkEnd w:id="27"/>
      <w:r>
        <w:rPr/>
        <w:t>ALLEGATI CONSIGLIATI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Contratto di gruppo (via, domanda di ricerca, ruoli, calendario)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Schema di ricerca strutturato (con valutazione delle fonti)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Griglia peer review per il testo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Guida tecnica allo strumento web scelto (da predisporre a cura del docente di informatica)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Griglia di valutazione della pagina web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Griglia per la presentazione orale</w:t>
      </w:r>
    </w:p>
    <w:p>
      <w:pPr>
        <w:pStyle w:val="BodyText"/>
        <w:bidi w:val="0"/>
        <w:spacing w:before="0" w:after="140"/>
        <w:rPr/>
      </w:pPr>
      <w:r>
        <w:rPr>
          <w:rStyle w:val="Emphasis"/>
        </w:rPr>
        <w:t>Progetto Via per Via — viapervia.education | Licenza CC BY-NC-SA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it-IT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ans;Arial;sans-serif" w:hAnsi="Liberation Sans;Arial;sans-serif" w:eastAsia="Liberation Sans;Arial;sans-serif" w:cs="Liberation Sans;Arial;sans-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ans;Arial;sans-serif" w:hAnsi="Liberation Sans;Arial;sans-serif" w:eastAsia="Liberation Sans;Arial;sans-serif" w:cs="Liberation Sans;Arial;sans-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ans;Arial;sans-serif" w:hAnsi="Liberation Sans;Arial;sans-serif" w:eastAsia="Liberation Sans;Arial;sans-serif" w:cs="Liberation Sans;Arial;sans-serif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>UDA_ViaPerVia_SecondariaSecondoGrado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initial-scale=1.0, user-scalable=yes</vt:lpwstr>
  </property>
</Properties>
</file>