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&lt;Add Device Name&gt;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1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1. Purpose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purpose of this study is to evaluate the cytotoxicity of a test article extract using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 xml:space="preserve">an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  <w:r>
        <w:rPr>
          <w:rFonts w:ascii="Arial" w:hAnsi="Arial"/>
          <w:rtl w:val="0"/>
          <w:lang w:val="it-IT"/>
        </w:rPr>
        <w:t xml:space="preserve"> mammalian cell culture test.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2. Testing Guidelines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2.1. </w:t>
      </w:r>
      <w:r>
        <w:rPr>
          <w:rFonts w:ascii="Arial" w:hAnsi="Arial"/>
          <w:rtl w:val="0"/>
          <w:lang w:val="en-US"/>
        </w:rPr>
        <w:t>Based on the requirements of the International Organization for Standardization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1"/>
          <w:iCs w:val="1"/>
          <w:rtl w:val="0"/>
        </w:rPr>
      </w:pPr>
      <w:r>
        <w:rPr>
          <w:rFonts w:ascii="Arial" w:hAnsi="Arial"/>
          <w:rtl w:val="0"/>
          <w:lang w:val="en-US"/>
        </w:rPr>
        <w:t xml:space="preserve">10993-5, Biological evaluation of medical devices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 xml:space="preserve">Part 5: Tests for </w:t>
      </w:r>
      <w:r>
        <w:rPr>
          <w:rFonts w:ascii="Arial" w:hAnsi="Arial"/>
          <w:i w:val="1"/>
          <w:iCs w:val="1"/>
          <w:rtl w:val="0"/>
          <w:lang w:val="it-IT"/>
        </w:rPr>
        <w:t>in vitro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cytotoxicity.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b w:val="1"/>
          <w:bCs w:val="1"/>
          <w:rtl w:val="0"/>
        </w:rPr>
        <w:t xml:space="preserve">2.2. </w:t>
      </w:r>
      <w:r>
        <w:rPr>
          <w:rFonts w:ascii="Arial" w:hAnsi="Arial"/>
          <w:rtl w:val="0"/>
          <w:lang w:val="en-US"/>
        </w:rPr>
        <w:t xml:space="preserve">Based on Guidance for Industry and FDA Staff, </w:t>
      </w:r>
      <w:r>
        <w:rPr>
          <w:rFonts w:ascii="Arial" w:hAnsi="Arial" w:hint="default"/>
          <w:rtl w:val="1"/>
          <w:lang w:val="ar-SA" w:bidi="ar-SA"/>
        </w:rPr>
        <w:t>“</w:t>
      </w:r>
      <w:r>
        <w:rPr>
          <w:rFonts w:ascii="Arial" w:hAnsi="Arial"/>
          <w:rtl w:val="0"/>
          <w:lang w:val="en-US"/>
        </w:rPr>
        <w:t>Use of International Standard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ISO 10993-1, "Biological evaluation of medical devices - Part 1: Evaluation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testing within a risk management process", VI. Test-Specific Considerations,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Section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it-IT"/>
        </w:rPr>
        <w:t xml:space="preserve"> Temperature: 37C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</w:rPr>
        <w:t xml:space="preserve"> Duration: 24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72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sym w:font="Arial Unicode MS" w:char="F0B7"/>
      </w:r>
      <w:r>
        <w:rPr>
          <w:rFonts w:ascii="Arial" w:hAnsi="Arial"/>
          <w:rtl w:val="0"/>
          <w:lang w:val="en-US"/>
        </w:rPr>
        <w:t xml:space="preserve"> Vehicle: allow for extraction of both polar and nonpolar constituents from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fr-FR"/>
        </w:rPr>
        <w:t>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Courier New" w:hAnsi="Courier New"/>
          <w:rtl w:val="0"/>
        </w:rPr>
        <w:t>o</w:t>
      </w:r>
      <w:r>
        <w:rPr>
          <w:rFonts w:ascii="Arial" w:hAnsi="Arial"/>
          <w:rtl w:val="0"/>
          <w:lang w:val="en-US"/>
        </w:rPr>
        <w:t xml:space="preserve"> E.g. mammalian cell culture media (e.g., MEM) supplemented with 5-10% serum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pt-PT"/>
        </w:rPr>
        <w:t>3. GLP Compliance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 xml:space="preserve">Good Laboratory Practice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  <w:lang w:val="en-US"/>
        </w:rPr>
        <w:t>This nonclinical laboratory study will be conducted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accordance with the United States Food and Drug Administration Good Laboratory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Practice Regulations, 21 CFR Part 58.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 Identification of Test and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4.1. Test Article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evaluated.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sponsor, &lt;company name&gt; will submit the test articles, &lt;trade name&gt;, to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4.2. Extraction Vehicle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Single strength Minimum Essential medium supplemented with 5% fetal bovine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serum, 2% antibiotics and 1% L-glutamine (1X MEM)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extraction conditions shall attempt to exaggerate the clinical use conditions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so as to define the potential toxicological hazard; however, they should not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any instance cause physical changes such as fusion or melting, which results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Template Number: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da-DK"/>
        </w:rPr>
        <w:t>xxx-xxxx-xx Rev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copies are considered UNCONTROLLED documents after the date printed.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18"/>
          <w:szCs w:val="18"/>
          <w:rtl w:val="0"/>
        </w:rPr>
      </w:pPr>
      <w:r>
        <w:rPr>
          <w:rFonts w:ascii="Arial" w:hAnsi="Arial"/>
          <w:sz w:val="18"/>
          <w:szCs w:val="18"/>
          <w:rtl w:val="0"/>
          <w:lang w:val="en-US"/>
        </w:rPr>
        <w:t>Printed on December 4, 2024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16"/>
          <w:szCs w:val="16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 xml:space="preserve">CONFIDENTIAL- PROPRIETARY INFORMATION </w:t>
      </w:r>
      <w:r>
        <w:rPr>
          <w:rFonts w:ascii="Arial" w:hAnsi="Arial" w:hint="default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Arial" w:hAnsi="Arial"/>
          <w:outline w:val="0"/>
          <w:color w:val="000000"/>
          <w:sz w:val="18"/>
          <w:szCs w:val="18"/>
          <w:rtl w:val="0"/>
          <w:lang w:val="en-US"/>
          <w14:textFill>
            <w14:solidFill>
              <w14:srgbClr w14:val="000000"/>
            </w14:solidFill>
          </w14:textFill>
        </w:rPr>
        <w:t>Company Name</w:t>
      </w:r>
      <w:r>
        <w:rPr>
          <w:rFonts w:ascii="Helvetica" w:hAnsi="Helvetica"/>
          <w:outline w:val="0"/>
          <w:color w:val="000000"/>
          <w:sz w:val="16"/>
          <w:szCs w:val="16"/>
          <w:rtl w:val="0"/>
          <w:lang w:val="en-US"/>
          <w14:textFill>
            <w14:solidFill>
              <w14:srgbClr w14:val="000000"/>
            </w14:solidFill>
          </w14:textFill>
        </w:rPr>
        <w:t>Docusign Envelope ID: 3C4A1291-3BAA-811B-8058-4A739AC01D80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DEMONSTRATION DOCUMENT ONLY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>PROVIDED BY DOCUSIGN ONLINE SIGNING SERVICE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999 3rd Ave, Suite 1700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Seattle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:lang w:val="en-US"/>
          <w14:textFill>
            <w14:solidFill>
              <w14:srgbClr w14:val="EA3323"/>
            </w14:solidFill>
          </w14:textFill>
        </w:rPr>
        <w:t xml:space="preserve">Washington 98104 </w:t>
      </w:r>
      <w:r>
        <w:rPr>
          <w:rFonts w:ascii="Helvetica" w:hAnsi="Helvetica" w:hint="default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(206) 219-0200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Cytotoxicity Test Plan</w:t>
      </w:r>
      <w:r>
        <w:rPr>
          <w:rFonts w:ascii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>
        <w:rPr>
          <w:rFonts w:ascii="Helvetica" w:hAnsi="Helvetica"/>
          <w:b w:val="0"/>
          <w:bCs w:val="0"/>
          <w:outline w:val="0"/>
          <w:color w:val="e93323"/>
          <w:sz w:val="16"/>
          <w:szCs w:val="16"/>
          <w:rtl w:val="0"/>
          <w14:textFill>
            <w14:solidFill>
              <w14:srgbClr w14:val="EA3323"/>
            </w14:solidFill>
          </w14:textFill>
        </w:rPr>
        <w:t>www.docusign.com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Doc #: </w:t>
      </w: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XXXXXX-XX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</w:rPr>
        <w:t>Logo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MEM Elution Method </w:t>
      </w:r>
      <w:r>
        <w:rPr>
          <w:rFonts w:ascii="Arial" w:hAnsi="Arial"/>
          <w:b w:val="1"/>
          <w:bCs w:val="1"/>
          <w:outline w:val="0"/>
          <w:color w:val="93348e"/>
          <w:sz w:val="22"/>
          <w:szCs w:val="22"/>
          <w:rtl w:val="0"/>
          <w:lang w:val="en-US"/>
          <w14:textFill>
            <w14:solidFill>
              <w14:srgbClr w14:val="93358F"/>
            </w14:solidFill>
          </w14:textFill>
        </w:rPr>
        <w:t xml:space="preserve">&lt;Add Device Name&gt; </w:t>
      </w:r>
      <w:r>
        <w:rPr>
          <w:rFonts w:ascii="Arial" w:hAnsi="Arial"/>
          <w:b w:val="0"/>
          <w:bCs w:val="0"/>
          <w:sz w:val="22"/>
          <w:szCs w:val="22"/>
          <w:rtl w:val="0"/>
          <w:lang w:val="it-IT"/>
        </w:rPr>
        <w:t xml:space="preserve">Rev.: Page: </w:t>
      </w:r>
      <w:r>
        <w:rPr>
          <w:rFonts w:ascii="Arial" w:hAnsi="Arial"/>
          <w:b w:val="0"/>
          <w:bCs w:val="0"/>
          <w:outline w:val="0"/>
          <w:color w:val="93348e"/>
          <w:sz w:val="22"/>
          <w:szCs w:val="22"/>
          <w:rtl w:val="0"/>
          <w14:textFill>
            <w14:solidFill>
              <w14:srgbClr w14:val="93358F"/>
            </w14:solidFill>
          </w14:textFill>
        </w:rPr>
        <w:t>XX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sz w:val="22"/>
          <w:szCs w:val="22"/>
          <w:rtl w:val="0"/>
        </w:rPr>
      </w:pPr>
      <w:r>
        <w:rPr>
          <w:rFonts w:ascii="Arial" w:hAnsi="Arial"/>
          <w:sz w:val="22"/>
          <w:szCs w:val="22"/>
          <w:rtl w:val="0"/>
          <w:lang w:val="en-US"/>
        </w:rPr>
        <w:t>2 of 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 decrease in the available surface area. A slight adherence of the pieces can be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tolerated.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Note: the 1X MEM extraction method is conducted in the presence of serum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optimize extraction of both polar and non-polar components.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4.3. Control Articles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5. Test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5.1. Test System and Justification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de-DE"/>
        </w:rPr>
        <w:t>5.2. Test System Management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</w:rPr>
        <w:t>6. Method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6.1. Test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6.2. Control Article Preparation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6.3. Extract Observation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it-IT"/>
        </w:rPr>
        <w:t>6.4. Test Procedure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7. Evaluation and Statistical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8. Report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The final report will include information on the cell line, culture medium methods, test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and control results, and any additional pertinent observations.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rtl w:val="0"/>
        </w:rPr>
      </w:pPr>
      <w:r>
        <w:rPr>
          <w:rFonts w:ascii="Arial" w:hAnsi="Arial"/>
          <w:b w:val="1"/>
          <w:bCs w:val="1"/>
          <w:rtl w:val="0"/>
          <w:lang w:val="en-US"/>
        </w:rPr>
        <w:t>9. Quality Assurance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Inspection will be conducted at intervals adequate to assure the integrity of the study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in conformance with 21 CFR 58.35(b)(3). The final report will also be reviewed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en-US"/>
        </w:rPr>
        <w:t>conformance to Section 58.185, subpart J, of the GLP Regulations.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b w:val="1"/>
          <w:bCs w:val="1"/>
          <w:rtl w:val="0"/>
          <w:lang w:val="fr-FR"/>
        </w:rPr>
        <w:t>10. References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