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Times New Roman" w:cs="Times New Roman" w:eastAsia="Times New Roman" w:hAnsi="Times New Roman"/>
          <w:sz w:val="92"/>
          <w:szCs w:val="92"/>
        </w:rPr>
      </w:pPr>
      <w:r w:rsidDel="00000000" w:rsidR="00000000" w:rsidRPr="00000000">
        <w:rPr>
          <w:rtl w:val="0"/>
        </w:rPr>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92"/>
          <w:szCs w:val="92"/>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92"/>
          <w:szCs w:val="92"/>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b w:val="1"/>
          <w:i w:val="1"/>
          <w:sz w:val="92"/>
          <w:szCs w:val="92"/>
        </w:rPr>
      </w:pPr>
      <w:r w:rsidDel="00000000" w:rsidR="00000000" w:rsidRPr="00000000">
        <w:rPr>
          <w:rFonts w:ascii="Times New Roman" w:cs="Times New Roman" w:eastAsia="Times New Roman" w:hAnsi="Times New Roman"/>
          <w:b w:val="1"/>
          <w:i w:val="1"/>
          <w:sz w:val="92"/>
          <w:szCs w:val="92"/>
          <w:rtl w:val="0"/>
        </w:rPr>
        <w:t xml:space="preserve">Initial Business Case</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color="808080" w:space="0" w:sz="36" w:val="single"/>
        </w:pBd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pBdr>
          <w:top w:color="808080" w:space="0" w:sz="36" w:val="single"/>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Graphing for Change</w:t>
      </w:r>
    </w:p>
    <w:p w:rsidR="00000000" w:rsidDel="00000000" w:rsidP="00000000" w:rsidRDefault="00000000" w:rsidRPr="00000000" w14:paraId="00000007">
      <w:pPr>
        <w:pBdr>
          <w:top w:color="808080" w:space="0" w:sz="36" w:val="single"/>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Reece Walsh</w:t>
      </w:r>
    </w:p>
    <w:p w:rsidR="00000000" w:rsidDel="00000000" w:rsidP="00000000" w:rsidRDefault="00000000" w:rsidRPr="00000000" w14:paraId="00000008">
      <w:pPr>
        <w:pBdr>
          <w:top w:color="808080" w:space="0" w:sz="36" w:val="single"/>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2/21/18</w:t>
      </w:r>
    </w:p>
    <w:p w:rsidR="00000000" w:rsidDel="00000000" w:rsidP="00000000" w:rsidRDefault="00000000" w:rsidRPr="00000000" w14:paraId="00000009">
      <w:pPr>
        <w:pBdr>
          <w:top w:color="808080" w:space="0" w:sz="36" w:val="single"/>
        </w:pBd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A">
      <w:pPr>
        <w:pBdr>
          <w:top w:color="808080" w:space="0" w:sz="36" w:val="single"/>
        </w:pBd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______________________________</w:t>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28"/>
          <w:szCs w:val="28"/>
          <w:rtl w:val="0"/>
        </w:rPr>
        <w:t xml:space="preserve">[SCM Lead Signature Block]</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______________________________</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28"/>
          <w:szCs w:val="28"/>
          <w:rtl w:val="0"/>
        </w:rPr>
        <w:t xml:space="preserve">[Project Lead Signature Block]</w:t>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______________________________</w:t>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28"/>
          <w:szCs w:val="28"/>
          <w:rtl w:val="0"/>
        </w:rPr>
        <w:t xml:space="preserve">[Project Manager Signature Block]</w:t>
      </w:r>
    </w:p>
    <w:p w:rsidR="00000000" w:rsidDel="00000000" w:rsidP="00000000" w:rsidRDefault="00000000" w:rsidRPr="00000000" w14:paraId="0000001C">
      <w:pPr>
        <w:spacing w:line="240" w:lineRule="auto"/>
        <w:ind w:left="4320" w:right="360" w:firstLine="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spacing w:line="240" w:lineRule="auto"/>
        <w:ind w:left="4320" w:right="360" w:firstLine="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spacing w:line="240" w:lineRule="auto"/>
        <w:ind w:left="4320" w:right="360" w:firstLine="0"/>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bottom w:color="000000" w:space="1" w:sz="12" w:val="single"/>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Revision Sheet           </w:t>
      </w: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538"/>
        <w:gridCol w:w="2430"/>
        <w:gridCol w:w="4608"/>
        <w:tblGridChange w:id="0">
          <w:tblGrid>
            <w:gridCol w:w="2538"/>
            <w:gridCol w:w="2430"/>
            <w:gridCol w:w="4608"/>
          </w:tblGrid>
        </w:tblGridChange>
      </w:tblGrid>
      <w:tr>
        <w:tc>
          <w:tcPr>
            <w:vAlign w:val="top"/>
          </w:tcPr>
          <w:p w:rsidR="00000000" w:rsidDel="00000000" w:rsidP="00000000" w:rsidRDefault="00000000" w:rsidRPr="00000000" w14:paraId="00000023">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w:t>
            </w:r>
          </w:p>
        </w:tc>
        <w:tc>
          <w:tcPr>
            <w:vAlign w:val="top"/>
          </w:tcPr>
          <w:p w:rsidR="00000000" w:rsidDel="00000000" w:rsidP="00000000" w:rsidRDefault="00000000" w:rsidRPr="00000000" w14:paraId="0000002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vAlign w:val="top"/>
          </w:tcPr>
          <w:p w:rsidR="00000000" w:rsidDel="00000000" w:rsidP="00000000" w:rsidRDefault="00000000" w:rsidRPr="00000000" w14:paraId="00000025">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Summary of Changes</w:t>
            </w:r>
          </w:p>
        </w:tc>
      </w:tr>
      <w:tr>
        <w:tc>
          <w:tcPr>
            <w:vAlign w:val="top"/>
          </w:tcPr>
          <w:p w:rsidR="00000000" w:rsidDel="00000000" w:rsidP="00000000" w:rsidRDefault="00000000" w:rsidRPr="00000000" w14:paraId="00000026">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c>
          <w:tcPr>
            <w:vAlign w:val="top"/>
          </w:tcPr>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2/21/18</w:t>
            </w:r>
          </w:p>
        </w:tc>
        <w:tc>
          <w:tcPr>
            <w:vAlign w:val="top"/>
          </w:tcPr>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version</w:t>
            </w:r>
          </w:p>
        </w:tc>
      </w:tr>
      <w:tr>
        <w:tc>
          <w:tcPr>
            <w:vAlign w:val="top"/>
          </w:tcPr>
          <w:p w:rsidR="00000000" w:rsidDel="00000000" w:rsidP="00000000" w:rsidRDefault="00000000" w:rsidRPr="00000000" w14:paraId="00000029">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2A">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after="120" w:before="120" w:line="240" w:lineRule="auto"/>
        <w:contextualSpacing w:val="0"/>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2"/>
        <w:widowControl w:val="0"/>
        <w:contextualSpacing w:val="0"/>
        <w:rPr/>
      </w:pPr>
      <w:bookmarkStart w:colFirst="0" w:colLast="0" w:name="_perosa781tev" w:id="0"/>
      <w:bookmarkEnd w:id="0"/>
      <w:r w:rsidDel="00000000" w:rsidR="00000000" w:rsidRPr="00000000">
        <w:rPr>
          <w:rtl w:val="0"/>
        </w:rPr>
        <w:t xml:space="preserve">Initial Business Case:</w:t>
      </w:r>
    </w:p>
    <w:p w:rsidR="00000000" w:rsidDel="00000000" w:rsidP="00000000" w:rsidRDefault="00000000" w:rsidRPr="00000000" w14:paraId="0000004D">
      <w:pPr>
        <w:contextualSpacing w:val="0"/>
        <w:rPr/>
      </w:pPr>
      <w:r w:rsidDel="00000000" w:rsidR="00000000" w:rsidRPr="00000000">
        <w:rPr>
          <w:rtl w:val="0"/>
        </w:rPr>
        <w:t xml:space="preserve">Notable similarities in collections of data for special housing have been noticed by Journey Home and other interest groups in Kelowna, which led to the exploration of ideas for a collected resource to find and research these housing options. As part of this overall project, a smaller project to create tools for visualizing and analysing the data was identified. These tools would be targeted primarily towards city planners or resource workers who need to understand the intricacies of the collection of data in order to inform their work. These tools should also be able to be used to aid in presentation of the data to government or other parties interested in investing in new special housing projects in Kelowna.</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Mapping for Change seeks to provide a solution to this subproject. A web-based service is proposed, wherein users could view and create graphs, charts, maps, and other data visualizations. These graphs, charts, and maps aim to provide easy-to-use options that help streamline workflow for users looking to understand and communicate the current state of special housing in Kelowna. At a minimum, the site would have a number of default graphs to present to users upon entry, in order to provide a quick understanding of the data. Some other features, dependant on available development time, are the ability for users to create their own collections of graphs as a presentation, or the ability for users to create their own specialized graphs from a set of available templates.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