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4057"/>
          <w:sz w:val="44"/>
          <w:szCs w:val="44"/>
        </w:rPr>
        <w:t xml:space="preserve">EMPIRICAL COMPENDIUM</w:t>
      </w:r>
    </w:p>
    <w:p>
      <w:pPr>
        <w:spacing w:after="120"/>
        <w:jc w:val="center"/>
      </w:pPr>
      <w:r>
        <w:rPr>
          <w:rFonts w:ascii="Arial" w:cs="Arial" w:eastAsia="Arial" w:hAnsi="Arial"/>
          <w:b/>
          <w:bCs/>
          <w:color w:val="2E4057"/>
          <w:sz w:val="32"/>
          <w:szCs w:val="32"/>
        </w:rPr>
        <w:t xml:space="preserve">Naturally Evolved Balance Processes</w:t>
      </w:r>
    </w:p>
    <w:p>
      <w:pPr>
        <w:spacing w:after="120"/>
        <w:jc w:val="center"/>
      </w:pPr>
      <w:r>
        <w:rPr>
          <w:rFonts w:ascii="Arial" w:cs="Arial" w:eastAsia="Arial" w:hAnsi="Arial"/>
          <w:i/>
          <w:iCs/>
          <w:color w:val="666666"/>
          <w:sz w:val="22"/>
          <w:szCs w:val="22"/>
        </w:rPr>
        <w:t xml:space="preserve">Companion to the Perpetuation Framework v3.2</w:t>
      </w:r>
    </w:p>
    <w:p>
      <w:pPr>
        <w:spacing w:after="480"/>
        <w:jc w:val="center"/>
      </w:pPr>
      <w:r>
        <w:rPr>
          <w:rFonts w:ascii="Arial" w:cs="Arial" w:eastAsia="Arial" w:hAnsi="Arial"/>
          <w:i/>
          <w:iCs/>
          <w:color w:val="666666"/>
          <w:sz w:val="22"/>
          <w:szCs w:val="22"/>
        </w:rPr>
        <w:t xml:space="preserve">Version 1.1</w:t>
      </w:r>
    </w:p>
    <w:p>
      <w:pPr>
        <w:pStyle w:val="Heading1"/>
      </w:pPr>
      <w:r>
        <w:rPr>
          <w:rFonts w:ascii="Arial" w:cs="Arial" w:eastAsia="Arial" w:hAnsi="Arial"/>
          <w:b/>
          <w:bCs/>
          <w:sz w:val="32"/>
          <w:szCs w:val="32"/>
        </w:rPr>
        <w:t xml:space="preserve">I. PURPOSE AND THE SCALE-INVARIANT PATTERN</w:t>
      </w:r>
    </w:p>
    <w:p>
      <w:pPr>
        <w:spacing w:after="160"/>
      </w:pPr>
      <w:r>
        <w:rPr>
          <w:rFonts w:ascii="Arial" w:cs="Arial" w:eastAsia="Arial" w:hAnsi="Arial"/>
          <w:sz w:val="22"/>
          <w:szCs w:val="22"/>
        </w:rPr>
        <w:t xml:space="preserve">This compendium collects naturally evolved balance processes — biological, physiological, cognitive, and ecological — and maps each onto the recursive pattern the Perpetuation Framework identifies as operating at every scale. None of these examples are human-engineered or designed. All arise from biological or ecological evolution without central design, and all are empirically documented in established literature.</w:t>
      </w:r>
    </w:p>
    <w:p>
      <w:pPr>
        <w:spacing w:after="80"/>
      </w:pPr>
      <w:r>
        <w:t xml:space="preserve"/>
      </w:r>
    </w:p>
    <w:p>
      <w:pPr>
        <w:spacing w:after="160"/>
      </w:pPr>
      <w:r>
        <w:rPr>
          <w:rFonts w:ascii="Arial" w:cs="Arial" w:eastAsia="Arial" w:hAnsi="Arial"/>
          <w:sz w:val="22"/>
          <w:szCs w:val="22"/>
        </w:rPr>
        <w:t xml:space="preserve">Each entry is mapped onto seven fields that together constitute the scale-invariant pattern:</w:t>
      </w:r>
    </w:p>
    <w:p>
      <w:pPr>
        <w:spacing w:after="80"/>
      </w:pPr>
      <w:r>
        <w:t xml:space="preserve"/>
      </w:r>
    </w:p>
    <w:p>
      <w:pPr>
        <w:pStyle w:val="ListParagraph"/>
        <w:numPr>
          <w:ilvl w:val="0"/>
          <w:numId w:val="2"/>
        </w:numPr>
        <w:spacing w:after="100"/>
      </w:pPr>
      <w:r>
        <w:rPr>
          <w:rFonts w:ascii="Arial" w:cs="Arial" w:eastAsia="Arial" w:hAnsi="Arial"/>
          <w:sz w:val="22"/>
          <w:szCs w:val="22"/>
        </w:rPr>
        <w:t xml:space="preserve">Sovereign Inputs — the opposing processes or populations, each an independent and complete contribution to the system, not a sub-component of a single controller.</w:t>
      </w:r>
    </w:p>
    <w:p>
      <w:pPr>
        <w:pStyle w:val="ListParagraph"/>
        <w:numPr>
          <w:ilvl w:val="0"/>
          <w:numId w:val="2"/>
        </w:numPr>
        <w:spacing w:after="100"/>
      </w:pPr>
      <w:r>
        <w:rPr>
          <w:rFonts w:ascii="Arial" w:cs="Arial" w:eastAsia="Arial" w:hAnsi="Arial"/>
          <w:sz w:val="22"/>
          <w:szCs w:val="22"/>
        </w:rPr>
        <w:t xml:space="preserve">Axis Explored — the contraction/expansion dimension along which the system's state varies.</w:t>
      </w:r>
    </w:p>
    <w:p>
      <w:pPr>
        <w:pStyle w:val="ListParagraph"/>
        <w:numPr>
          <w:ilvl w:val="0"/>
          <w:numId w:val="2"/>
        </w:numPr>
        <w:spacing w:after="100"/>
      </w:pPr>
      <w:r>
        <w:rPr>
          <w:rFonts w:ascii="Arial" w:cs="Arial" w:eastAsia="Arial" w:hAnsi="Arial"/>
          <w:sz w:val="22"/>
          <w:szCs w:val="22"/>
        </w:rPr>
        <w:t xml:space="preserve">Balance Point — the configuration of optimal dynamic resistance where the system stabilizes, quantified where established values exist.</w:t>
      </w:r>
    </w:p>
    <w:p>
      <w:pPr>
        <w:pStyle w:val="ListParagraph"/>
        <w:numPr>
          <w:ilvl w:val="0"/>
          <w:numId w:val="2"/>
        </w:numPr>
        <w:spacing w:after="100"/>
      </w:pPr>
      <w:r>
        <w:rPr>
          <w:rFonts w:ascii="Arial" w:cs="Arial" w:eastAsia="Arial" w:hAnsi="Arial"/>
          <w:sz w:val="22"/>
          <w:szCs w:val="22"/>
        </w:rPr>
        <w:t xml:space="preserve">Contracted Failure — the failure mode where one input suppresses or dominates the other, or the system rigidifies against further calibration.</w:t>
      </w:r>
    </w:p>
    <w:p>
      <w:pPr>
        <w:pStyle w:val="ListParagraph"/>
        <w:numPr>
          <w:ilvl w:val="0"/>
          <w:numId w:val="2"/>
        </w:numPr>
        <w:spacing w:after="100"/>
      </w:pPr>
      <w:r>
        <w:rPr>
          <w:rFonts w:ascii="Arial" w:cs="Arial" w:eastAsia="Arial" w:hAnsi="Arial"/>
          <w:sz w:val="22"/>
          <w:szCs w:val="22"/>
        </w:rPr>
        <w:t xml:space="preserve">Expanded Failure — the failure mode where inputs remain unintegrated, producing fragmentation, oscillation without bound, or loss of coherent regulation.</w:t>
      </w:r>
    </w:p>
    <w:p>
      <w:pPr>
        <w:pStyle w:val="ListParagraph"/>
        <w:numPr>
          <w:ilvl w:val="0"/>
          <w:numId w:val="2"/>
        </w:numPr>
        <w:spacing w:after="100"/>
      </w:pPr>
      <w:r>
        <w:rPr>
          <w:rFonts w:ascii="Arial" w:cs="Arial" w:eastAsia="Arial" w:hAnsi="Arial"/>
          <w:sz w:val="22"/>
          <w:szCs w:val="22"/>
        </w:rPr>
        <w:t xml:space="preserve">Higher-Order Pattern — the capacity or property that exists only at the level of the balanced system, absent from either input alone.</w:t>
      </w:r>
    </w:p>
    <w:p>
      <w:pPr>
        <w:pStyle w:val="ListParagraph"/>
        <w:numPr>
          <w:ilvl w:val="0"/>
          <w:numId w:val="2"/>
        </w:numPr>
        <w:spacing w:after="100"/>
      </w:pPr>
      <w:r>
        <w:rPr>
          <w:rFonts w:ascii="Arial" w:cs="Arial" w:eastAsia="Arial" w:hAnsi="Arial"/>
          <w:sz w:val="22"/>
          <w:szCs w:val="22"/>
        </w:rPr>
        <w:t xml:space="preserve">Epistemic Status — descriptive (established empirical mechanism) throughout this compendium.</w:t>
      </w:r>
    </w:p>
    <w:p>
      <w:pPr>
        <w:spacing w:after="80"/>
      </w:pPr>
      <w:r>
        <w:t xml:space="preserve"/>
      </w:r>
    </w:p>
    <w:p>
      <w:pPr>
        <w:spacing w:after="160"/>
      </w:pPr>
      <w:r>
        <w:rPr>
          <w:rFonts w:ascii="Arial" w:cs="Arial" w:eastAsia="Arial" w:hAnsi="Arial"/>
          <w:sz w:val="22"/>
          <w:szCs w:val="22"/>
        </w:rPr>
        <w:t xml:space="preserve">Every entry in this compendium is descriptive. These are not predictions or scaffolds — they are documented mechanisms, included because they instantiate the same structure the framework identifies as operating at higher and less-confirmed levels (the meta-organism, the consciousness axis). Their cumulative weight is what gives the framework's higher-level scaffolds their plausibility: if the same structural pattern recurs without exception from molecular regulation to ecosystem dynamics, its extension to consciousness and collective intelligence is a continuation of an established regularity rather than a novel claim requiring independent justification.</w:t>
      </w:r>
    </w:p>
    <w:p>
      <w:pPr>
        <w:spacing w:after="80"/>
      </w:pPr>
      <w:r>
        <w:t xml:space="preserve"/>
      </w:r>
    </w:p>
    <w:p>
      <w:pPr>
        <w:spacing w:after="160"/>
      </w:pPr>
      <w:r>
        <w:rPr>
          <w:rFonts w:ascii="Arial" w:cs="Arial" w:eastAsia="Arial" w:hAnsi="Arial"/>
          <w:sz w:val="22"/>
          <w:szCs w:val="22"/>
        </w:rPr>
        <w:t xml:space="preserve">This compendium is a living document. It is organized by scale — molecular and cellular, developmental, physiological and systemic, cognitive and neural, ecological — and welcomes additional entries that strengthen or test the pattern. A genuine counter-example would be a stable, naturally evolved biological pattern that emerged and persists through pure one-sided suppression, with no balance point, no calibration, and no higher-order capacity distinct from its dominant input. No such example is currently known to the compendium's authors.</w:t>
      </w:r>
    </w:p>
    <w:p>
      <w:pPr>
        <w:spacing w:after="80"/>
      </w:pPr>
      <w:r>
        <w:t xml:space="preserve"/>
      </w:r>
    </w:p>
    <w:p>
      <w:pPr>
        <w:spacing w:after="160"/>
      </w:pPr>
      <w:r>
        <w:rPr>
          <w:rFonts w:ascii="Arial" w:cs="Arial" w:eastAsia="Arial" w:hAnsi="Arial"/>
          <w:sz w:val="22"/>
          <w:szCs w:val="22"/>
        </w:rPr>
        <w:t xml:space="preserve">The dyadic format used throughout most of this compendium — two sovereign inputs forming a single axis — is a simplification for clarity, not a claim that balance is fundamentally bilateral. The framework's claim is that constellations of balance points, potentially involving many independently-necessary components, are the actual mechanism. The complement cascade entry (Section II) illustrates an N-body case: multiple independent components, each with independent regulatory checks, where no pair is sufficient to produce the higher-order pattern. Most balance processes are likely N-body at a finer grain of analysis; the dyadic framing captures the dominant axis without exhausting the full constellation.</w:t>
      </w:r>
    </w:p>
    <w:p>
      <w:pPr>
        <w:spacing w:after="80"/>
      </w:pPr>
      <w:r>
        <w:t xml:space="preserve"/>
      </w:r>
    </w:p>
    <w:p>
      <w:pPr>
        <w:pStyle w:val="Heading1"/>
      </w:pPr>
      <w:r>
        <w:rPr>
          <w:rFonts w:ascii="Arial" w:cs="Arial" w:eastAsia="Arial" w:hAnsi="Arial"/>
          <w:b/>
          <w:bCs/>
          <w:sz w:val="32"/>
          <w:szCs w:val="32"/>
        </w:rPr>
        <w:t xml:space="preserve">II. MOLECULAR AND CELLULAR SCALE</w:t>
      </w:r>
    </w:p>
    <w:p>
      <w:pPr>
        <w:spacing w:after="100" w:before="200"/>
      </w:pPr>
      <w:r>
        <w:rPr>
          <w:rFonts w:ascii="Arial" w:cs="Arial" w:eastAsia="Arial" w:hAnsi="Arial"/>
          <w:b/>
          <w:bCs/>
          <w:color w:val="2E4057"/>
          <w:sz w:val="23"/>
          <w:szCs w:val="23"/>
        </w:rPr>
        <w:t xml:space="preserve">Synaptic Plasticity (LTP vs. LTD)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Sovereign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Long-term potentiation (synaptic strengthening) and long-term depression (synaptic weakening), each independently capable of adjusting synaptic weight in either direction.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Axis Explored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Synaptic weight regulation — from saturation (weights driven to ceiling, no further adjustment possible) to unconstrained fluctuation (weights never stabilize).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Metaplasticity — a sliding modification threshold (BCM theory) that keeps synaptic weights within a dynamically adaptive range responsive to activity history.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Contracted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Saturation / excitotoxicity — synaptic weights driven to their ceiling, the synapse can no longer encode new information, and sustained over-activation can damage the cell.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Expanded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Chaotic noise — weights fluctuate without consolidating into stable patterns; no learned representation persists.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Higher-Order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yet plastic neural circuits — a substrate that can learn (encode new associations) without either freezing or dissolving into noise.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Epistemic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established in cellular neuroscience.</w:t>
            </w:r>
          </w:p>
        </w:tc>
      </w:tr>
    </w:tbl>
    <w:p>
      <w:pPr>
        <w:spacing w:after="80"/>
      </w:pPr>
      <w:r>
        <w:t xml:space="preserve"/>
      </w:r>
    </w:p>
    <w:p>
      <w:pPr>
        <w:spacing w:after="100" w:before="200"/>
      </w:pPr>
      <w:r>
        <w:rPr>
          <w:rFonts w:ascii="Arial" w:cs="Arial" w:eastAsia="Arial" w:hAnsi="Arial"/>
          <w:b/>
          <w:bCs/>
          <w:color w:val="2E4057"/>
          <w:sz w:val="23"/>
          <w:szCs w:val="23"/>
        </w:rPr>
        <w:t xml:space="preserve">Thymic T-Cell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Sovereign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 selection (weak-affinity self-MHC recognition, a survival signal) and negative selection (strong-affinity self-antigen recognition, a death signal), each acting on the same population of developing T cells.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Axis Explored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Self-tolerance calibration — from over-stringent selection (eliminating too many cells) to under-stringent selection (allowing self-reactive cells to survive).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'Goldilocks' affinity window — T cells surviving selection recognize self-MHC well enough to be useful but not so strongly as to attack host tissue.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Contracted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Severe combined immunodeficiency (SCID)-like outcomes — selection pressure too stringent, insufficient T cells survive, the repertoire collapses.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Expanded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Autoimmunity — self-reactive T cells escape negative selection and attack host tissue; the regulatory boundary is unintegrated.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Higher-Order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functional adaptive immune repertoire — capable of recognizing a vast range of pathogens while leaving healthy tissue largely unattacked.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Epistemic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established in immunology.</w:t>
            </w:r>
          </w:p>
        </w:tc>
      </w:tr>
    </w:tbl>
    <w:p>
      <w:pPr>
        <w:spacing w:after="80"/>
      </w:pPr>
      <w:r>
        <w:t xml:space="preserve"/>
      </w:r>
    </w:p>
    <w:p>
      <w:pPr>
        <w:spacing w:after="100" w:before="200"/>
      </w:pPr>
      <w:r>
        <w:rPr>
          <w:rFonts w:ascii="Arial" w:cs="Arial" w:eastAsia="Arial" w:hAnsi="Arial"/>
          <w:b/>
          <w:bCs/>
          <w:color w:val="2E4057"/>
          <w:sz w:val="23"/>
          <w:szCs w:val="23"/>
        </w:rPr>
        <w:t xml:space="preserve">Immune Response (T-Cell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Sovereign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Activation signals (antigen recognition, co-stimulation, cytokine signaling) and regulatory signals (checkpoint inhibition, regulatory T-cell suppression).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Axis Explored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Immune activation — from anergy (activation suppressed) to uncontrolled activation (autoimmunity, cytokine storm).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Multi-signal requirement with regulatory dampening — activation requires concurrent signals and remains subject to ongoing regulatory feedback.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Contracted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Anergy — activation pathways suppressed; the immune system fails to respond even to genuine threats.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Expanded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Autoimmunity or cytokine storm — activation proceeds without integration from regulatory signals, producing self-damage or systemic inflammatory collapse.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Higher-Order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Adaptive immunity — pathogen-specific defense that activates proportionately and resolves without persistent self-damage.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Epistemic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established in immunology.</w:t>
            </w:r>
          </w:p>
        </w:tc>
      </w:tr>
    </w:tbl>
    <w:p>
      <w:pPr>
        <w:spacing w:after="80"/>
      </w:pPr>
      <w:r>
        <w:t xml:space="preserve"/>
      </w:r>
    </w:p>
    <w:p>
      <w:pPr>
        <w:spacing w:after="100" w:before="200"/>
      </w:pPr>
      <w:r>
        <w:rPr>
          <w:rFonts w:ascii="Arial" w:cs="Arial" w:eastAsia="Arial" w:hAnsi="Arial"/>
          <w:b/>
          <w:bCs/>
          <w:color w:val="2E4057"/>
          <w:sz w:val="23"/>
          <w:szCs w:val="23"/>
        </w:rPr>
        <w:t xml:space="preserve">Mutation Rate vs. DNA Repair Fidelity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Sovereign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Mutation-generating processes (replication error, environmental mutagens) and repair processes (proofreading polymerases, mismatch repair, damage response pathways), each operating continuously on the genome.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Axis Explored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Genomic stability vs. evolvability — from mutational suppression (genome stable but unable to generate adaptive variation) to genomic instability (variation generated faster than selection or repair can integrate 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mutation rate calibrated such that heritable variation arises at a rate compatible with selection's ability to test it, while core functional sequences remain intact across generations.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Contracted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Mutation suppression / stagnation — repair fidelity so high that heritable variation is too rare to track environmental change; the lineage cannot adapt.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Expanded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Genomic instability / hypermutation — mutation rate exceeds what repair and selection can integrate; damage accumulates faster than it can be tested or corrected (e.g., cellular outcomes resembling cancer, lineage-level mutational meltdown).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Higher-Order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evolving lineage — heritable variation sufficient for adaptation across generations without loss of functional coherence within any one generation.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Epistemic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established in molecular evolution and genetics.</w:t>
            </w:r>
          </w:p>
        </w:tc>
      </w:tr>
    </w:tbl>
    <w:p>
      <w:pPr>
        <w:spacing w:after="80"/>
      </w:pPr>
      <w:r>
        <w:t xml:space="preserve"/>
      </w:r>
    </w:p>
    <w:p>
      <w:pPr>
        <w:spacing w:after="100" w:before="200"/>
      </w:pPr>
      <w:r>
        <w:rPr>
          <w:rFonts w:ascii="Arial" w:cs="Arial" w:eastAsia="Arial" w:hAnsi="Arial"/>
          <w:b/>
          <w:bCs/>
          <w:color w:val="2E4057"/>
          <w:sz w:val="23"/>
          <w:szCs w:val="23"/>
        </w:rPr>
        <w:t xml:space="preserve">Bone Remodeling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Sovereign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Osteoblasts (bone formation) and osteoclasts (bone resorption), coupled through signaling pathways (including RANKL/OPG) that allow each to respond to the other's activity and to mechanical and metabolic signals.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Axis Explored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Skeletal structure regulation — from over-rigidity (resorption suppressed, remodeling halted) to structural dissolution (resorption outpacing formation).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Coupled remodeling — bone mineral density and architecture are maintained while the skeleton continues to repair microdamage and adapt to mechanical load throughout life.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Contracted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Osteopetrosis — resorption is suppressed, bone becomes overly dense and brittle, and the skeleton loses the capacity to remodel in response to damage or changing load.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Expanded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Osteoporosis — resorption outpaces formation, bone density and structural integrity progressively decline.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Higher-Order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skeleton that is simultaneously load-bearing and adaptive — structure that persists across a lifetime while continuously responding to use, repair needs, and metabolic demand.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Epistemic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established in bone physiology.</w:t>
            </w:r>
          </w:p>
        </w:tc>
      </w:tr>
    </w:tbl>
    <w:p>
      <w:pPr>
        <w:spacing w:after="80"/>
      </w:pPr>
      <w:r>
        <w:t xml:space="preserve"/>
      </w:r>
    </w:p>
    <w:p>
      <w:pPr>
        <w:spacing w:after="100" w:before="200"/>
      </w:pPr>
      <w:r>
        <w:rPr>
          <w:rFonts w:ascii="Arial" w:cs="Arial" w:eastAsia="Arial" w:hAnsi="Arial"/>
          <w:b/>
          <w:bCs/>
          <w:color w:val="2E4057"/>
          <w:sz w:val="23"/>
          <w:szCs w:val="23"/>
        </w:rPr>
        <w:t xml:space="preserve">Cancer — Cellular Sovereignty Without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Sovereign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Cell-intrinsic proliferation and survival signaling (growth factor pathways, cell-cycle drivers) and tissue-level regulatory signaling (tumor suppressor pathways, contact inhibition, apoptotic triggers, immune surveillance), each independently capable of influencing whether a cell divides, differentiates, or dies.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Axis Explored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Cellular renewal vs. tissue integration — from suppressed renewal (proliferative signaling dampened below tissue maintenance needs, contracted) to unintegrated proliferation (proliferative programs continue regardless of tissue-level regulatory signals, expanded).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Regulated cell turnover — proliferation, differentiation, and apoptosis occurring in patterns calibrated to tissue need, integrating cellular capacity with organism-level signals.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Contracted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Degenerative tissue loss — proliferative and survival signaling suppressed below what tissue maintenance requires, producing progressive loss of cell number and function.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Expanded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Cancer — proliferative programs continue regardless of growth-suppressive signaling, contact inhibition, apoptotic triggers, and immune surveillance. The cell remains 'sovereign' at its own level — acting from its own proliferative program — but loses resonance with the organism's higher-order regulation. Frequently accompanied by dedifferentiation, in which the cell's specific tissue function is lost as it reverts toward a more generic, proliferative state — a modular participation collapse alongside the integration failure.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Higher-Order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tissue or organ maintaining structural and functional integrity across a lifetime — a capacity requiring both ongoing cellular renewal capacity and organism-level integration of that renewal, neither sufficient alone.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Epistemic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established in cell biology and oncology.</w:t>
            </w:r>
          </w:p>
        </w:tc>
      </w:tr>
    </w:tbl>
    <w:p>
      <w:pPr>
        <w:spacing w:after="80"/>
      </w:pPr>
      <w:r>
        <w:t xml:space="preserve"/>
      </w:r>
    </w:p>
    <w:p>
      <w:pPr>
        <w:spacing w:after="100" w:before="200"/>
      </w:pPr>
      <w:r>
        <w:rPr>
          <w:rFonts w:ascii="Arial" w:cs="Arial" w:eastAsia="Arial" w:hAnsi="Arial"/>
          <w:b/>
          <w:bCs/>
          <w:color w:val="2E4057"/>
          <w:sz w:val="23"/>
          <w:szCs w:val="23"/>
        </w:rPr>
        <w:t xml:space="preserve">The Complement Cascade — N-Body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Sovereign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independent protease components activated in sequence (e.g., C1 through C9 and associated factors), with regulatory proteins (e.g., factor H, decay-accelerating factor) independently capable of inhibiting activation at multiple points in the sequence.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Axis Explored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Cascade regulation — from insufficient activation (regulatory inhibition dominates at one or more steps, the cascade fails to complete) to uncontrolled amplification (activation proceeds without regulatory check at any step).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calibrated cascade in which sequential activation of multiple independent components, each subject to independent regulatory checkpoints, produces a targeted response only when amplification at each step is independently confirmed.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Contracted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Complement deficiency — regulatory inhibition or component insufficiency prevents cascade completion, leaving the host without this defense (recurrent infection).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Expanded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Uncontrolled complement activation — regulatory checks fail at one or more points, the cascade amplifies without restraint, producing host tissue damage.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Higher-Order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Targeted membrane attack — a precise, localized destructive capacity against pathogens requiring sequential, independently-checked activation of multiple components. No single component, or pair of components, is sufficient to produce this capacity.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Epistemic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established in immunology. This entry is structurally distinct from others in the compendium: rather than a single dyadic axis, it involves multiple independently-necessary activation steps with independent regulatory checks — illustrating that 'constellation of balance points' describes the actual mechanism more accurately than a single dyadic balance.</w:t>
            </w:r>
          </w:p>
        </w:tc>
      </w:tr>
    </w:tbl>
    <w:p>
      <w:pPr>
        <w:spacing w:after="80"/>
      </w:pPr>
      <w:r>
        <w:t xml:space="preserve"/>
      </w:r>
    </w:p>
    <w:p>
      <w:pPr>
        <w:pStyle w:val="Heading1"/>
      </w:pPr>
      <w:r>
        <w:rPr>
          <w:rFonts w:ascii="Arial" w:cs="Arial" w:eastAsia="Arial" w:hAnsi="Arial"/>
          <w:b/>
          <w:bCs/>
          <w:sz w:val="32"/>
          <w:szCs w:val="32"/>
        </w:rPr>
        <w:t xml:space="preserve">III. DEVELOPMENTAL SCALE</w:t>
      </w:r>
    </w:p>
    <w:p>
      <w:pPr>
        <w:spacing w:after="100" w:before="200"/>
      </w:pPr>
      <w:r>
        <w:rPr>
          <w:rFonts w:ascii="Arial" w:cs="Arial" w:eastAsia="Arial" w:hAnsi="Arial"/>
          <w:b/>
          <w:bCs/>
          <w:color w:val="2E4057"/>
          <w:sz w:val="23"/>
          <w:szCs w:val="23"/>
        </w:rPr>
        <w:t xml:space="preserve">Embryogenesis (Self-Renewal vs.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Sovereign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Self-renewal signaling (maintains proliferative, pluripotent cell populations) and differentiation/patterning signaling (morphogen gradients and fate-determination pathways committing cells to spatially organized lineages), acting on the same developing cell population.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Axis Explored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Developmental commitment and patterning — from differentiation suppressed (cells remain proliferative and pluripotent without committing to organized fates, contracted) to differentiation unintegrated (cells commit to diverse fates without coordinated spatial patterning, expanded).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Gastrulation and subsequent patterning — self-renewal and differentiation signaling operate in coordinated spatial and temporal sequence, producing a body plan in which fate commitment is organized relative to position.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Contracted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Failure of gastrulation — self-renewal signaling dominates; cells remain pluripotent and proliferative but never commit to organized fates, and no body plan forms.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Expanded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Teratoma — differentiation proceeds into multiple tissue types, but without the coordinated patterning that organizes them into a body plan; a disorganized mixture of differentiated tissues results.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Higher-Order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patterned body plan — spatial organization of differentiated tissues into a functional organism, present in neither unconstrained proliferation nor uncoordinated differentiation alone.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Epistemic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established in developmental biology.</w:t>
            </w:r>
          </w:p>
        </w:tc>
      </w:tr>
    </w:tbl>
    <w:p>
      <w:pPr>
        <w:spacing w:after="80"/>
      </w:pPr>
      <w:r>
        <w:t xml:space="preserve"/>
      </w:r>
    </w:p>
    <w:p>
      <w:pPr>
        <w:pStyle w:val="Heading1"/>
      </w:pPr>
      <w:r>
        <w:rPr>
          <w:rFonts w:ascii="Arial" w:cs="Arial" w:eastAsia="Arial" w:hAnsi="Arial"/>
          <w:b/>
          <w:bCs/>
          <w:sz w:val="32"/>
          <w:szCs w:val="32"/>
        </w:rPr>
        <w:t xml:space="preserve">IV. PHYSIOLOGICAL AND SYSTEMIC SCALE</w:t>
      </w:r>
    </w:p>
    <w:p>
      <w:pPr>
        <w:spacing w:after="100" w:before="200"/>
      </w:pPr>
      <w:r>
        <w:rPr>
          <w:rFonts w:ascii="Arial" w:cs="Arial" w:eastAsia="Arial" w:hAnsi="Arial"/>
          <w:b/>
          <w:bCs/>
          <w:color w:val="2E4057"/>
          <w:sz w:val="23"/>
          <w:szCs w:val="23"/>
        </w:rPr>
        <w:t xml:space="preserve">Blood pH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Sovereign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respiratory system (CO2 elimination via ventilation) and the renal system (HCO3-/H+ excretion), each independently capable of shifting blood pH, plus chemical buffer systems operating on a faster timescale.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Axis Explored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Acid-base balance — from over-correction by one system (e.g., respiratory alkalosis from excessive ventilation) to uncoupled oscillation between the two regulators.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Blood pH maintained at approximately 7.35-7.40, achieved through buffer systems operating immediately and respiratory/renal systems operating over minutes to days.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Contracted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Respiratory alkalosis (or analogous over-correction) — one regulator dominates and overcorrects beyond the functional range before the other can compensate.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Expanded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Uncoupled swings — the two regulatory systems are not integrated, and pH oscillates without settling into the functional range.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Higher-Order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stable internal chemical environment — enzymatic and cellular function across the entire organism depends on this narrow range being maintained despite continuously varying metabolic and respiratory demands.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Epistemic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established in physiology.</w:t>
            </w:r>
          </w:p>
        </w:tc>
      </w:tr>
    </w:tbl>
    <w:p>
      <w:pPr>
        <w:spacing w:after="80"/>
      </w:pPr>
      <w:r>
        <w:t xml:space="preserve"/>
      </w:r>
    </w:p>
    <w:p>
      <w:pPr>
        <w:spacing w:after="100" w:before="200"/>
      </w:pPr>
      <w:r>
        <w:rPr>
          <w:rFonts w:ascii="Arial" w:cs="Arial" w:eastAsia="Arial" w:hAnsi="Arial"/>
          <w:b/>
          <w:bCs/>
          <w:color w:val="2E4057"/>
          <w:sz w:val="23"/>
          <w:szCs w:val="23"/>
        </w:rPr>
        <w:t xml:space="preserve">Blood Pressure Regulation (Baroreflex)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Sovereign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Cardiac output (heart rate and contractility) and vascular resistance (vessel tone), each independently adjustable and each affecting arterial pressure.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Axis Explored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Pressure regulation — from rigid over-constriction (insufficient compensatory range) to labile, poorly damped oscillation.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arterial pressure maintained in the range of approximately 70-100 mmHg via baroreceptor feedback adjusting both heart rate and vascular tone in response to pressure changes.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Contracted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Orthostatic hypotension — compensatory response insufficient on postural change, pressure drops and perfusion to the brain falls.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Expanded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Labile blood pressure — swings occur without settling into a stable regulated range, often reflecting failure of the feedback coupling between cardiac and vascular components.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Higher-Order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perfusion across postures and activity levels — organism-wide circulatory adequacy maintained despite continuously varying demand and position.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Epistemic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established in cardiovascular physiology.</w:t>
            </w:r>
          </w:p>
        </w:tc>
      </w:tr>
    </w:tbl>
    <w:p>
      <w:pPr>
        <w:spacing w:after="80"/>
      </w:pPr>
      <w:r>
        <w:t xml:space="preserve"/>
      </w:r>
    </w:p>
    <w:p>
      <w:pPr>
        <w:spacing w:after="100" w:before="200"/>
      </w:pPr>
      <w:r>
        <w:rPr>
          <w:rFonts w:ascii="Arial" w:cs="Arial" w:eastAsia="Arial" w:hAnsi="Arial"/>
          <w:b/>
          <w:bCs/>
          <w:color w:val="2E4057"/>
          <w:sz w:val="23"/>
          <w:szCs w:val="23"/>
        </w:rPr>
        <w:t xml:space="preserve">Blood Glucose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Sovereign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Insulin (secreted by pancreatic beta cells, lowers blood glucose) and glucagon (secreted by alpha cells, raises blood glucose), each responding to glucose levels and to each other.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Axis Explored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Glucose regulation — from a locked-high state (insulin signaling insufficient) to uncoordinated swings between extremes.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Fasting blood glucose maintained at approximately 4-6 mM (70-110 mg/dL) through reciprocal hormone feedback between alpha and beta cells.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Contracted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Hyperglycemia — insulin signaling insufficient (relative or absolute), glucose regulation becomes locked at elevated levels.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Expanded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Brittle glycemic control — reciprocal regulation breaks down, glucose swings unpredictably between hyperglycemia and hypoglycemia without settling.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Higher-Order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metabolic fuel availability — supporting energy demands of every tissue in the organism despite highly variable intake (meals) and expenditure (activity).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Epistemic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established in endocrinology.</w:t>
            </w:r>
          </w:p>
        </w:tc>
      </w:tr>
    </w:tbl>
    <w:p>
      <w:pPr>
        <w:spacing w:after="80"/>
      </w:pPr>
      <w:r>
        <w:t xml:space="preserve"/>
      </w:r>
    </w:p>
    <w:p>
      <w:pPr>
        <w:spacing w:after="100" w:before="200"/>
      </w:pPr>
      <w:r>
        <w:rPr>
          <w:rFonts w:ascii="Arial" w:cs="Arial" w:eastAsia="Arial" w:hAnsi="Arial"/>
          <w:b/>
          <w:bCs/>
          <w:color w:val="2E4057"/>
          <w:sz w:val="23"/>
          <w:szCs w:val="23"/>
        </w:rPr>
        <w:t xml:space="preserve">Autonomic Nervous System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Sovereign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sympathetic branch (mobilization, arousal, energy expenditure) and the parasympathetic branch (recovery, restoration, energy conservation), each independently capable of shifting physiological state across nearly every organ system.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Axis Explored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Physiological responsiveness — from chronic sympathetic dominance (persistent mobilization regardless of actual demand) to parasympathetic collapse (persistent shutdown regardless of actual safety).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flexible baseline, often indexed by heart rate variability, from which the system shifts rapidly and proportionately toward either branch as conditions actually require, then returns.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Contracted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Chronic sympathetic dominance — hypervigilance and mobilization persist even in safe conditions; the system cannot downregulate.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Expanded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Parasympathetic collapse / shutdown — responsiveness and engagement are lost even when engagement would be adaptive; the system cannot mobilize when needed.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Higher-Order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Proportionate physiological adaptation — an organism that mobilizes and recovers in keeping with actual conditions rather than a fixed setpoint.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Epistemic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established in autonomic physiology.</w:t>
            </w:r>
          </w:p>
        </w:tc>
      </w:tr>
    </w:tbl>
    <w:p>
      <w:pPr>
        <w:spacing w:after="80"/>
      </w:pPr>
      <w:r>
        <w:t xml:space="preserve"/>
      </w:r>
    </w:p>
    <w:p>
      <w:pPr>
        <w:spacing w:after="100" w:before="200"/>
      </w:pPr>
      <w:r>
        <w:rPr>
          <w:rFonts w:ascii="Arial" w:cs="Arial" w:eastAsia="Arial" w:hAnsi="Arial"/>
          <w:b/>
          <w:bCs/>
          <w:color w:val="2E4057"/>
          <w:sz w:val="23"/>
          <w:szCs w:val="23"/>
        </w:rPr>
        <w:t xml:space="preserve">Sleep-Wake Regulation (Flip-Flop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Sovereign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Sleep-promoting circuits (including the ventrolateral preoptic nucleus and homeostatic sleep pressure driven by adenosine accumulation) and wake-promoting circuits (including orexinergic and monoaminergic arousal systems), each capable of suppressing the other.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Axis Explored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Arousal state regulation — from a wake-locked state (the switch cannot release into sleep even under high sleep pressure) to an unstable, rapidly oscillating state (the switch cannot hold either state).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bistable 'flip-flop' switch producing consolidated, stable sleep and wake states with relatively rapid, clean transitions between them.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Contracted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Insomnia-type dysregulation — wake-promoting circuits chronically suppress the transition into sleep even as homeostatic sleep pressure accumulates.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Expanded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Narcolepsy-type dysregulation / fragmented sleep — the switch fails to hold either state stably, with sleep intruding into wakefulness and wakefulness intruding into sleep.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Higher-Order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Consolidated rest-activity cycles — enabling processes dependent on sleep (memory consolidation, metabolic and tissue restoration) without compromising waking function, and vice versa.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Epistemic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established in sleep neuroscience.</w:t>
            </w:r>
          </w:p>
        </w:tc>
      </w:tr>
    </w:tbl>
    <w:p>
      <w:pPr>
        <w:spacing w:after="80"/>
      </w:pPr>
      <w:r>
        <w:t xml:space="preserve"/>
      </w:r>
    </w:p>
    <w:p>
      <w:pPr>
        <w:spacing w:after="100" w:before="200"/>
      </w:pPr>
      <w:r>
        <w:rPr>
          <w:rFonts w:ascii="Arial" w:cs="Arial" w:eastAsia="Arial" w:hAnsi="Arial"/>
          <w:b/>
          <w:bCs/>
          <w:color w:val="2E4057"/>
          <w:sz w:val="23"/>
          <w:szCs w:val="23"/>
        </w:rPr>
        <w:t xml:space="preserve">Hand Grasp (Muscle Synergies)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Sovereign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Flexor and extensor muscle groups acting on the hand and fingers, each independently capable of activation and each opposing the other's mechanical effect.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Axis Explored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Co-contraction regulation — from extensor suppression (flexors dominate unopposed) to undifferentiated co-activation (both groups fire without functional differentiation).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Reciprocal inhibition combined with calibrated co-contraction, enabling graded grip force appropriate to the object and task.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Contracted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Claw hand — extensor activity is suppressed, flexor activity dominates, the hand locks into a flexed posture and loses graded control.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Expanded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Stiff, functionally useless hand — both muscle groups co-activate without the differentiation needed for graded movement, producing rigidity without function.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Higher-Order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Graded, adaptive grasp — a manipulation capacity (variable grip force matched to object and task) that neither muscle group alone could produce.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Epistemic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established in motor physiology.</w:t>
            </w:r>
          </w:p>
        </w:tc>
      </w:tr>
    </w:tbl>
    <w:p>
      <w:pPr>
        <w:spacing w:after="80"/>
      </w:pPr>
      <w:r>
        <w:t xml:space="preserve"/>
      </w:r>
    </w:p>
    <w:p>
      <w:pPr>
        <w:pStyle w:val="Heading1"/>
      </w:pPr>
      <w:r>
        <w:rPr>
          <w:rFonts w:ascii="Arial" w:cs="Arial" w:eastAsia="Arial" w:hAnsi="Arial"/>
          <w:b/>
          <w:bCs/>
          <w:sz w:val="32"/>
          <w:szCs w:val="32"/>
        </w:rPr>
        <w:t xml:space="preserve">V. COGNITIVE AND NEURAL SCALE</w:t>
      </w:r>
    </w:p>
    <w:p>
      <w:pPr>
        <w:spacing w:after="100" w:before="200"/>
      </w:pPr>
      <w:r>
        <w:rPr>
          <w:rFonts w:ascii="Arial" w:cs="Arial" w:eastAsia="Arial" w:hAnsi="Arial"/>
          <w:b/>
          <w:bCs/>
          <w:color w:val="2E4057"/>
          <w:sz w:val="23"/>
          <w:szCs w:val="23"/>
        </w:rPr>
        <w:t xml:space="preserve">Stereopsis (Binocular Disparity)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Sovereign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left-eye and right-eye retinal images — two complete, independent visual samples of the scene from slightly different vantage points.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Axis Explored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Disparity integration — from suppression (one eye's image discarded) to diplopia (both images held, unintegrated, producing double vision).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Vergence eye movements achieving near-zero disparity at the point of fixation, allowing the two images to be fused into a single depth-resolved percept.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Contracted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Suppression / amblyopia — one eye's signal is chronically discarded, typically during development, and binocular depth perception is lost.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Expanded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Diplopia — both images remain present but unintegrated, producing persistent double vision.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Higher-Order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Stereoscopic depth perception — a dimension of the visual world (depth from disparity) that is invisible to either eye's image alone and exists only in the relationship between them.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Epistemic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established in visual neuroscience.</w:t>
            </w:r>
          </w:p>
        </w:tc>
      </w:tr>
    </w:tbl>
    <w:p>
      <w:pPr>
        <w:spacing w:after="80"/>
      </w:pPr>
      <w:r>
        <w:t xml:space="preserve"/>
      </w:r>
    </w:p>
    <w:p>
      <w:pPr>
        <w:spacing w:after="100" w:before="200"/>
      </w:pPr>
      <w:r>
        <w:rPr>
          <w:rFonts w:ascii="Arial" w:cs="Arial" w:eastAsia="Arial" w:hAnsi="Arial"/>
          <w:b/>
          <w:bCs/>
          <w:color w:val="2E4057"/>
          <w:sz w:val="23"/>
          <w:szCs w:val="23"/>
        </w:rPr>
        <w:t xml:space="preserve">Predictive Coding (Perception)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Sovereign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Top-down prior expectation (the brain's current model of what is present) and bottom-up sensory input (the current evidence from the senses), each contributing independently to the resulting percept.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Axis Explored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Prediction error integration — from over-reliance on priors (perception dominated by expectation regardless of input) to failure to integrate priors with input (perception fragmenting between competing interpretations).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Precision-weighted integration of prior and sensory evidence, minimizing prediction error while remaining continuously updatable by new evidence.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Contracted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Hallucination-type dysregulation — prior expectation dominates the percept regardless of what sensory input actually indicates.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Expanded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Binocular rivalry / perceptual fragmentation — competing interpretations of ambiguous input remain unintegrated, and the percept fractures or alternates between them rather than resolving.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Higher-Order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updatable perception — a model of the world that is neither fixed regardless of evidence nor in constant flux, but continuously calibrated against incoming sensory data.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Epistemic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established in computational and cognitive neuroscience.</w:t>
            </w:r>
          </w:p>
        </w:tc>
      </w:tr>
    </w:tbl>
    <w:p>
      <w:pPr>
        <w:spacing w:after="80"/>
      </w:pPr>
      <w:r>
        <w:t xml:space="preserve"/>
      </w:r>
    </w:p>
    <w:p>
      <w:pPr>
        <w:spacing w:after="100" w:before="200"/>
      </w:pPr>
      <w:r>
        <w:rPr>
          <w:rFonts w:ascii="Arial" w:cs="Arial" w:eastAsia="Arial" w:hAnsi="Arial"/>
          <w:b/>
          <w:bCs/>
          <w:color w:val="2E4057"/>
          <w:sz w:val="23"/>
          <w:szCs w:val="23"/>
        </w:rPr>
        <w:t xml:space="preserve">Working Memory (Maintenance vs.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Sovereign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 processes (holding information active via rehearsal or sustained activity) and manipulation processes (actively transforming or reordering held information), operating on the same held content.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Axis Explored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Cognitive control — from perseveration (content held but never updated) to content drift (held information degrading or being overwritten without coherent transformation).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Coordinated control allowing held information to be actively transformed in the service of a task while remaining available and intact.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Contracted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Perseveration — content is locked in place; the system cannot update or transform what it is holding even when the task requires 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Expanded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drift — held information degrades, is overwritten, or transforms incoherently, losing the connection to the original content.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Higher-Order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Flexible reasoning — the capacity to hold information in mind while actively working with it (e.g., mental arithmetic, multi-step planning), a capacity absent from either pure maintenance or pure transformation alone.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Epistemic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established in cognitive psychology and neuroscience.</w:t>
            </w:r>
          </w:p>
        </w:tc>
      </w:tr>
    </w:tbl>
    <w:p>
      <w:pPr>
        <w:spacing w:after="80"/>
      </w:pPr>
      <w:r>
        <w:t xml:space="preserve"/>
      </w:r>
    </w:p>
    <w:p>
      <w:pPr>
        <w:spacing w:after="100" w:before="200"/>
      </w:pPr>
      <w:r>
        <w:rPr>
          <w:rFonts w:ascii="Arial" w:cs="Arial" w:eastAsia="Arial" w:hAnsi="Arial"/>
          <w:b/>
          <w:bCs/>
          <w:color w:val="2E4057"/>
          <w:sz w:val="23"/>
          <w:szCs w:val="23"/>
        </w:rPr>
        <w:t xml:space="preserve">Episodic Memory (Pattern Separation vs.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Sovereign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Pattern separation (dentate gyrus — encoding similar experiences as distinct memory traces) and pattern completion (CA3 — retrieving a full memory from a partial cue), operating on overlapping hippocampal circuitry.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Axis Explored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specificity — from over-separation (similar experiences never associated, no generalization) to over-completion (distinct experiences blur together, producing false memories).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Hippocampal subfield interaction balancing distinctiveness of encoding with the ability to retrieve and generalize from partial information.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Contracted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Over-fragmented memory — experiences are encoded so distinctly that related events cannot be associated, retrieved by a common cue, or generalized from.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Expanded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memories — pattern completion dominates, distinct events blur into a generalized or incorrect recollection.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Higher-Order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Reliable, generalizable episodic recall — the capacity to distinguish similar experiences from one another while also extracting useful regularities across them.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Epistemic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established in memory neuroscience.</w:t>
            </w:r>
          </w:p>
        </w:tc>
      </w:tr>
    </w:tbl>
    <w:p>
      <w:pPr>
        <w:spacing w:after="80"/>
      </w:pPr>
      <w:r>
        <w:t xml:space="preserve"/>
      </w:r>
    </w:p>
    <w:p>
      <w:pPr>
        <w:pStyle w:val="Heading1"/>
      </w:pPr>
      <w:r>
        <w:rPr>
          <w:rFonts w:ascii="Arial" w:cs="Arial" w:eastAsia="Arial" w:hAnsi="Arial"/>
          <w:b/>
          <w:bCs/>
          <w:sz w:val="32"/>
          <w:szCs w:val="32"/>
        </w:rPr>
        <w:t xml:space="preserve">VI. ECOLOGICAL SCALE</w:t>
      </w:r>
    </w:p>
    <w:p>
      <w:pPr>
        <w:spacing w:after="100" w:before="200"/>
      </w:pPr>
      <w:r>
        <w:rPr>
          <w:rFonts w:ascii="Arial" w:cs="Arial" w:eastAsia="Arial" w:hAnsi="Arial"/>
          <w:b/>
          <w:bCs/>
          <w:color w:val="2E4057"/>
          <w:sz w:val="23"/>
          <w:szCs w:val="23"/>
        </w:rPr>
        <w:t xml:space="preserve">Ecological Succession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Sovereign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Pioneer species (rapid colonizers, tolerant of harsh or disturbed conditions) and competitive species (slower-establishing, but outcompeting pioneers once conditions stabilize), each an independently evolving population.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Axis Explored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development — from arrested succession (one stage persists indefinitely, blocking further development) to alternate stable states (the community shifts to a different stable configuration without returning).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climax community — a relatively stable, diverse species assemblage reflecting long-term equilibrium between the community and its environment, while remaining responsive to disturbance.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Contracted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Arrested succession — e.g., an invasive monoculture suppresses further compositional change, halting community development at an early stage indefinitely.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Expanded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Alternate stable states — e.g., a shallow lake ecosystem 'flips' from a clear, vegetated state to a turbid, algae-dominated state and does not return even when the original disturbance is removed.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Higher-Order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self-sustaining ecosystem — diversity, stability, and resilience to disturbance emerging from the sequence of species interactions over time, not present in any single species or successional stage.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Epistemic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established in community ecology (multi-species biological process).</w:t>
            </w:r>
          </w:p>
        </w:tc>
      </w:tr>
    </w:tbl>
    <w:p>
      <w:pPr>
        <w:spacing w:after="80"/>
      </w:pPr>
      <w:r>
        <w:t xml:space="preserve"/>
      </w:r>
    </w:p>
    <w:p>
      <w:pPr>
        <w:spacing w:after="100" w:before="200"/>
      </w:pPr>
      <w:r>
        <w:rPr>
          <w:rFonts w:ascii="Arial" w:cs="Arial" w:eastAsia="Arial" w:hAnsi="Arial"/>
          <w:b/>
          <w:bCs/>
          <w:color w:val="2E4057"/>
          <w:sz w:val="23"/>
          <w:szCs w:val="23"/>
        </w:rPr>
        <w:t xml:space="preserve">Predator-Prey Population Dynamics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Sovereign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predator population (growth dependent on prey availability) and a prey population (growth dependent on resource availability and predation pressure), each following independent population dynamics that affect the other.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Axis Explored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Population regulation — from extinction cascade (one population suppresses the other past recovery) to unchecked oscillation and collapse (feedback coupling between the populations weakens or is lost).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Coupled oscillation around a dynamic equilibrium — both populations persist indefinitely, fluctuating in relation to each other (classically documented in predator-prey cycles such as lynx and hare populations).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Contracted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Extinction cascade — the predator overexploits the prey population, causing its collapse; the predator population then collapses or must shift to alternative prey, simplifying the community.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Expanded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Unchecked oscillation / collapse — the feedback coupling between the populations weakens (often due to external disturbance), oscillation amplitude grows without bound, and one or both populations collapse.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Higher-Order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stable multi-species community — sustained biodiversity and energy flow across trophic levels, a property of the predator-prey relationship rather than of either population alone.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Epistemic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established in population ecology.</w:t>
            </w:r>
          </w:p>
        </w:tc>
      </w:tr>
    </w:tbl>
    <w:p>
      <w:pPr>
        <w:spacing w:after="80"/>
      </w:pPr>
      <w:r>
        <w:t xml:space="preserve"/>
      </w:r>
    </w:p>
    <w:p>
      <w:pPr>
        <w:spacing w:after="100" w:before="200"/>
      </w:pPr>
      <w:r>
        <w:rPr>
          <w:rFonts w:ascii="Arial" w:cs="Arial" w:eastAsia="Arial" w:hAnsi="Arial"/>
          <w:b/>
          <w:bCs/>
          <w:color w:val="2E4057"/>
          <w:sz w:val="23"/>
          <w:szCs w:val="23"/>
        </w:rPr>
        <w:t xml:space="preserve">Gut Microbiome – Host Immune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Sovereign 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immune surveillance (recognition and regulation of microbial populations in the gut) and the microbial community (competition, colonization, and metabolic activity among commensal and potentially pathogenic species), each an independently dynamic population.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Axis Explored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Host-microbe regulation — from excessive immune suppression of the microbial community (reduced diversity and function) to loss of regulatory boundary (dysbiosis, pathogen overgrowth).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Eubiosis — a diverse, stable commensal community maintained through host immune tolerance calibrated to permit beneficial colonization while constraining pathogenic overgrowth.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Contracted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Excessive immune suppression of commensal flora — microbial diversity is reduced and microbiome-dependent host functions decline (e.g., the dysbiosis that follows broad-spectrum antibiotic use, considered from the host-regulation side).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Expanded Failure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Dysbiosis / pathogen overgrowth — the regulatory boundary between host and microbiome breaks down, opportunistic or pathogenic species dominate, often with inflammatory consequences for the host.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Higher-Order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host-microbiome superorganism — metabolic, immune, and neurological functions (including gut-brain axis signaling) that arise from the host-microbiome relationship and that neither the host nor the microbiome produces alone.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Epistemic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established in microbiome research.</w:t>
            </w:r>
          </w:p>
        </w:tc>
      </w:tr>
    </w:tbl>
    <w:p>
      <w:pPr>
        <w:spacing w:after="80"/>
      </w:pPr>
      <w:r>
        <w:t xml:space="preserve"/>
      </w:r>
    </w:p>
    <w:p>
      <w:pPr>
        <w:pStyle w:val="Heading1"/>
      </w:pPr>
      <w:r>
        <w:rPr>
          <w:rFonts w:ascii="Arial" w:cs="Arial" w:eastAsia="Arial" w:hAnsi="Arial"/>
          <w:b/>
          <w:bCs/>
          <w:sz w:val="32"/>
          <w:szCs w:val="32"/>
        </w:rPr>
        <w:t xml:space="preserve">VII. WHAT THE COMPENDIUM REVEALS</w:t>
      </w:r>
    </w:p>
    <w:p>
      <w:pPr>
        <w:pStyle w:val="Heading2"/>
      </w:pPr>
      <w:r>
        <w:rPr>
          <w:rFonts w:ascii="Arial" w:cs="Arial" w:eastAsia="Arial" w:hAnsi="Arial"/>
          <w:b/>
          <w:bCs/>
          <w:sz w:val="26"/>
          <w:szCs w:val="26"/>
        </w:rPr>
        <w:t xml:space="preserve">The Pattern Is Exceptionless Across Scale</w:t>
      </w:r>
    </w:p>
    <w:p>
      <w:pPr>
        <w:spacing w:after="160"/>
      </w:pPr>
      <w:r>
        <w:rPr>
          <w:rFonts w:ascii="Arial" w:cs="Arial" w:eastAsia="Arial" w:hAnsi="Arial"/>
          <w:sz w:val="22"/>
          <w:szCs w:val="22"/>
        </w:rPr>
        <w:t xml:space="preserve">Twenty-one entries, spanning six orders of magnitude from synaptic weights to multi-species populations, all instantiate the same structure without exception: independently capable processes or populations, a contraction/expansion axis between them, a balance point at optimal dynamic resistance (frequently a quantifiable physiological setpoint), two distinguishable failure modes corresponding to the two poles, and a higher-order capacity present only in the balanced configuration. Twenty of the twenty-one entries are dyadic; the complement cascade demonstrates that the same structure holds when the constellation involves more than two independently-necessary components.</w:t>
      </w:r>
    </w:p>
    <w:p>
      <w:pPr>
        <w:spacing w:after="80"/>
      </w:pPr>
      <w:r>
        <w:t xml:space="preserve"/>
      </w:r>
    </w:p>
    <w:p>
      <w:pPr>
        <w:spacing w:after="160"/>
      </w:pPr>
      <w:r>
        <w:rPr>
          <w:rFonts w:ascii="Arial" w:cs="Arial" w:eastAsia="Arial" w:hAnsi="Arial"/>
          <w:sz w:val="22"/>
          <w:szCs w:val="22"/>
        </w:rPr>
        <w:t xml:space="preserve">No entry required a third party to impose the balance from outside. In every case, the balance point is a property of the relationship between the two inputs — recursive stabilization, in the framework's terms, rather than enforcement.</w:t>
      </w:r>
    </w:p>
    <w:p>
      <w:pPr>
        <w:spacing w:after="80"/>
      </w:pPr>
      <w:r>
        <w:t xml:space="preserve"/>
      </w:r>
    </w:p>
    <w:p>
      <w:pPr>
        <w:pStyle w:val="Heading2"/>
      </w:pPr>
      <w:r>
        <w:rPr>
          <w:rFonts w:ascii="Arial" w:cs="Arial" w:eastAsia="Arial" w:hAnsi="Arial"/>
          <w:b/>
          <w:bCs/>
          <w:sz w:val="26"/>
          <w:szCs w:val="26"/>
        </w:rPr>
        <w:t xml:space="preserve">Failure Modes Are Always Paired and Asymmetric in Character</w:t>
      </w:r>
    </w:p>
    <w:p>
      <w:pPr>
        <w:spacing w:after="160"/>
      </w:pPr>
      <w:r>
        <w:rPr>
          <w:rFonts w:ascii="Arial" w:cs="Arial" w:eastAsia="Arial" w:hAnsi="Arial"/>
          <w:sz w:val="22"/>
          <w:szCs w:val="22"/>
        </w:rPr>
        <w:t xml:space="preserve">In every entry, the contracted failure involves one process suppressing, dominating, or rigidifying against the other — and the expanded failure involves loss of the coupling itself, producing oscillation, fragmentation, or drift without bound. This pairing is consistent with the framework's claim that control appears at both poles through the same underlying mechanism (loss of calibration to the actual state of the coupled system), expressed differently depending on which direction the system has drifted.</w:t>
      </w:r>
    </w:p>
    <w:p>
      <w:pPr>
        <w:spacing w:after="80"/>
      </w:pPr>
      <w:r>
        <w:t xml:space="preserve"/>
      </w:r>
    </w:p>
    <w:p>
      <w:pPr>
        <w:pStyle w:val="Heading2"/>
      </w:pPr>
      <w:r>
        <w:rPr>
          <w:rFonts w:ascii="Arial" w:cs="Arial" w:eastAsia="Arial" w:hAnsi="Arial"/>
          <w:b/>
          <w:bCs/>
          <w:sz w:val="26"/>
          <w:szCs w:val="26"/>
        </w:rPr>
        <w:t xml:space="preserve">The Higher-Order Pattern Is Never Reducible to Either Input</w:t>
      </w:r>
    </w:p>
    <w:p>
      <w:pPr>
        <w:spacing w:after="160"/>
      </w:pPr>
      <w:r>
        <w:rPr>
          <w:rFonts w:ascii="Arial" w:cs="Arial" w:eastAsia="Arial" w:hAnsi="Arial"/>
          <w:sz w:val="22"/>
          <w:szCs w:val="22"/>
        </w:rPr>
        <w:t xml:space="preserve">Stereoscopic depth is not in either retinal image. Adaptive immunity is not in activation signals or regulatory signals alone. A stable predator-prey community is not a property of either population in isolation. In every entry, the emergent capacity exists only in the coupled, balanced system — directly supporting the framework's claim that higher-order patterns are orthogonal to their constituents rather than a sum of them.</w:t>
      </w:r>
    </w:p>
    <w:p>
      <w:pPr>
        <w:spacing w:after="80"/>
      </w:pPr>
      <w:r>
        <w:t xml:space="preserve"/>
      </w:r>
    </w:p>
    <w:p>
      <w:pPr>
        <w:pStyle w:val="Heading2"/>
      </w:pPr>
      <w:r>
        <w:rPr>
          <w:rFonts w:ascii="Arial" w:cs="Arial" w:eastAsia="Arial" w:hAnsi="Arial"/>
          <w:b/>
          <w:bCs/>
          <w:sz w:val="26"/>
          <w:szCs w:val="26"/>
        </w:rPr>
        <w:t xml:space="preserve">Modular Participation Is Visible in Several Entries</w:t>
      </w:r>
    </w:p>
    <w:p>
      <w:pPr>
        <w:spacing w:after="160"/>
      </w:pPr>
      <w:r>
        <w:rPr>
          <w:rFonts w:ascii="Arial" w:cs="Arial" w:eastAsia="Arial" w:hAnsi="Arial"/>
          <w:sz w:val="22"/>
          <w:szCs w:val="22"/>
        </w:rPr>
        <w:t xml:space="preserve">Several of the processes here are not single-purpose. Autonomic tone affects nearly every organ system simultaneously. The hippocampal pattern separation/completion balance supports episodic memory, spatial navigation, and predictive modeling concurrently — the same circuit-level balance point participating in multiple higher-order cognitive processes. Calcium-dependent signaling, referenced in the framework's modular participation subsection, underlies several of the cellular-scale entries here (synaptic plasticity, immune activation) without being a separate entry itself. This suggests that modular participation may be detectable not only in individual molecules but in balance points themselves — the same calibrated relationship reused across multiple higher-order systems.</w:t>
      </w:r>
    </w:p>
    <w:p>
      <w:pPr>
        <w:spacing w:after="80"/>
      </w:pPr>
      <w:r>
        <w:t xml:space="preserve"/>
      </w:r>
    </w:p>
    <w:p>
      <w:pPr>
        <w:pStyle w:val="Heading2"/>
      </w:pPr>
      <w:r>
        <w:rPr>
          <w:rFonts w:ascii="Arial" w:cs="Arial" w:eastAsia="Arial" w:hAnsi="Arial"/>
          <w:b/>
          <w:bCs/>
          <w:sz w:val="26"/>
          <w:szCs w:val="26"/>
        </w:rPr>
        <w:t xml:space="preserve">How This Compendium Supports the Framework's Epistemic Status</w:t>
      </w:r>
    </w:p>
    <w:p>
      <w:pPr>
        <w:spacing w:after="160"/>
      </w:pPr>
      <w:r>
        <w:rPr>
          <w:rFonts w:ascii="Arial" w:cs="Arial" w:eastAsia="Arial" w:hAnsi="Arial"/>
          <w:sz w:val="22"/>
          <w:szCs w:val="22"/>
        </w:rPr>
        <w:t xml:space="preserve">The framework distinguishes descriptive claims (verifiable, covering completed transitions) from predictive scaffolds (the meta-organism, the consciousness axis balance point). Every entry in this compendium falls in the descriptive category. Their function is not to prove the predictive scaffolds — that would overstate what they show. Their function is to establish that the mechanism the scaffolds extrapolate from is not a single observation, an analogy, or a metaphor borrowed from one domain and applied to another. It is the same structural pattern, independently documented, recurring without exception across every scale of biological organization examined so far. The predictive scaffolds extend a pattern with this density of independent confirmation — which is a different epistemic position than extending a pattern observed once or twice.</w:t>
      </w:r>
    </w:p>
    <w:p>
      <w:pPr>
        <w:spacing w:after="80"/>
      </w:pPr>
      <w:r>
        <w:t xml:space="preserve"/>
      </w:r>
    </w:p>
    <w:p>
      <w:pPr>
        <w:spacing w:after="160"/>
        <w:jc w:val="center"/>
      </w:pPr>
      <w:r>
        <w:rPr>
          <w:rFonts w:ascii="Arial" w:cs="Arial" w:eastAsia="Arial" w:hAnsi="Arial"/>
          <w:i/>
          <w:iCs/>
          <w:sz w:val="22"/>
          <w:szCs w:val="22"/>
        </w:rPr>
        <w:t xml:space="preserve">This compendium is a living document. Additional entries — particularly any that would constitute a genuine counter-example — are welcomed.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405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4A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2026-06-14T13:08:40.473Z</dcterms:created>
  <dcterms:modified xsi:type="dcterms:W3CDTF">2026-06-14T13:08:40.474Z</dcterms:modified>
</cp:coreProperties>
</file>

<file path=docProps/custom.xml><?xml version="1.0" encoding="utf-8"?>
<Properties xmlns="http://schemas.openxmlformats.org/officeDocument/2006/custom-properties" xmlns:vt="http://schemas.openxmlformats.org/officeDocument/2006/docPropsVTypes"/>
</file>