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6E" w:rsidRDefault="00714A6E"/>
    <w:p w:rsidR="005A1005" w:rsidRPr="005A1005" w:rsidRDefault="005A1005" w:rsidP="005A100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PROMPT para Generar Documento de Familiarización del Proyecto “Core de Seguros Grupo INS” (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Kickoff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) - V2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Instrucción General: Eres un gestor de proyectos experimentado </w:t>
      </w:r>
      <w:r w:rsidR="00E33D2C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en Seguros </w:t>
      </w:r>
      <w:bookmarkStart w:id="0" w:name="_GoBack"/>
      <w:bookmarkEnd w:id="0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y altamente organizado. Tu tarea es redactar un documento de familiarización para el nuevo personal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que se incorpora al proyecto “Core de Seguros Grupo INS”. El objetivo es proporcionar una visión clara y concisa del proyecto, sus objetivos, alcance, requisitos clave, la relación con el cliente (Grupo INS) y las expectativas para el equipo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. El documento debe ser informativo, profesional y estar estructurado para facilitar la comprensión rápida de roles como Director de Proyecto, PMO, Personal de QA y Consultores de Productos y Técnicos.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Estructura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 xml:space="preserve"> del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Documento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Solicitado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: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Título del Documento: Familiarización del Proyecto: Implementación de la Solución Core de Seguros para el Grupo INS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Introducción y Propósito: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Bienvenida al nuevo personal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Objetivo de este documento: Proporcionar una visión general y contextualizar su rol dentro del proyecto “Adquisición de Servicios para el Análisis, Diseño, Implementación, Operación, Puesta en Producción, Migración de Datos, Post-Implementación, Mantenimiento, Suscripción y Soporte para una Solución o Conjunto de Soluciones Core de Seguros para el Grupo INS”.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</w:r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 xml:space="preserve">◦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Importancia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 xml:space="preserve">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su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rol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 xml:space="preserve"> para el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éxito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 xml:space="preserve"> del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proyecto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</w:rPr>
        <w:t>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Visión General del Proyecto: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Cliente: Grupo INS (Instituto Nacional de Seguros).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Objetivo Principal del Grupo INS: Contratar una empresa o consorcio que brinde los servicios para el análisis, diseño, implementación, operación, puesta en producción, migración de datos, post-implementación, mantenimiento, suscripción y soporte para una solución Core de Seguros, enmarcado en su estrategia de modernización para un mercado competitivo.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La Solución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: Se implementará una solución o conjunto de soluciones Core de S</w:t>
      </w:r>
      <w:r w:rsidR="00343EA9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eguros de </w:t>
      </w:r>
      <w:proofErr w:type="spellStart"/>
      <w:r w:rsidR="00343EA9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="00343EA9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, como 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Acsel</w:t>
      </w:r>
      <w:proofErr w:type="spellEnd"/>
      <w:r w:rsidR="00193CB0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Suite, que incluye configuración y administración de productos </w:t>
      </w:r>
      <w:r w:rsidR="00343EA9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como:</w:t>
      </w:r>
      <w:r w:rsidR="00193CB0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Incendio, Salud, Vida, AP, RC, Transporte, Agrícolas y Pecuarios, Caución y Protección de Crédito. Además de transversales como: Reaseguro, Cobranza, Asientos Contables y Reporteria.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International cuenta con más de 36 años de experiencia y más de 100 despliegues a nivel mundial.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Alcance del Proyecto y Líneas de Servicio (Pliego de Condiciones):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Describir brevemente cada línea de servicio que cubre el proyecto: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Línea N°1: Servicios para el análisis de brechas entre la solución Core de Seguros y los procesos de negocio, y análisis de necesidades de migración.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Línea N°2: Servicio técnico (hora técnica) para la implementación, operación, puesta en producción, migración de datos, post-implementación y atención de necesidades adicionales.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Línea N°3: Servicio por demanda para actividades de capacitación.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Líneas N°4 a N°15: Adquisición y renovación de suscripciones para soluciones Core de Seguros Generales, Seguros Personales Vida y Seguros Personales No Vida.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Procesos de Negocio a Abordar: Configuración de Productos, Contabilidad, Gestión Actuarial, Selección de Riesgos, Reaseguros, Suscripción, Administración de Pólizas, Cobranza/Facturación/Pagos, Gestión de Siniestros y Reclamos, Subrogaciones, Cumplimiento Normativo (nacional e internacional), Procesos de Apoyo e Integración con sistemas empresariales.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Integraciones Clave: La solución debe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interoperar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con otras soluciones institucionales del Grupo INS, como MDM, CRM, BI, y un HIS (de la Red de Servicios de Salud).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lastRenderedPageBreak/>
        <w:t>Glosario y Terminología Clave (Anexo N°6):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Es imperativo que todo el personal se familiarice con la terminología específica utilizada en el proyecto y en la industria aseguradora de Costa Rica, tal como se define en el Anexo N°6 Glosario.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Este glosario proporciona definiciones cruciales para comprender los “Seguros de Daños”, “Seguros Personales”, “Seguros Solidarios” (incluyendo riesgos del trabajo y seguro obligatorio automotor), “Seguro de Vida”, “Ramos de Productos”, “Solución base” y “Solución complementaria”, entre otros términos técnicos y de negocio.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La comprensión de estos términos es fundamental para una comunicación efectiva y para el desarrollo y la implementación exitosa de la solución.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Entregables Clave (Anexo N°21):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Mencionar la importancia de referirse al Anexo N°21 Detalle de Entregables para conocer los detalles de todos los entregables requeridos para cada línea de servicio.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Ejemplos de Entregables (específicos para Capacitación): Plan de Estrategia de Capacitación y Plan de Ejecución de la Capacitación.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Metodología y Estándares de Trabajo: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Enfoque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: Posibilidad de utilizar metodologías probadas, incluyendo marcos de trabajo ágiles que permitan salidas incrementales para la implementación de funcionalidades.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Estándares del Grupo INS: El Grupo INS cuenta con una Metodología de Administración de Proyectos (MAP) y estándares para la Construcción y Liberación de Soluciones Tecnológicas (BAI03 y BAI07), a los cuales la persona adjudicataria debe ajustarse, sin perjuicio de que se valide la metodología propia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Documentación: Todos los documentos generados durante el proyecto serán propiedad absoluta del Instituto Nacional de Seguros y no deberán contener marcas de “propiedad de la empresa adjudicada”. La documentación funcional y de usuario final debe presentarse en idioma español.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Roles Clave del Equipo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y Expectativas: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General: El equipo de trabajo debe adaptarse a la zona horaria de Costa Rica (GMT-6) y al idioma español. Se espera una dedicación del 100% para el equipo base, salvo indicación contraria. La Persona Adjudicataria debe mantener la continuidad del equipo de trabajo base.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Director de Proyecto: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▪ Certificaciones valoradas: PMI Project Management Professional (PMP), PMI Agile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Certified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Professional (ACP), PRINCE2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Practitioner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Responsable de asistir a reuniones periódicas con la contraparte del INS para coordinar avances y cumplimiento.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Responsable del levantamiento de minutas para todas las sesiones de trabajo.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PMO (Oficina de Gestión de Proyectos):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Asegurar la adherencia a la metodología de proyecto definida y los estándares de documentación del Grupo INS.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Gestionar y actualizar cronogramas y reportes de avance.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Personal de QA (Aseguramiento de Calidad):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Participar activamente en la fase de pruebas, comunicando errores e incidencias.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Colaborar en las pruebas y revisiones de seguridad de la solución que el Grupo INS realice.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Consultores de Productos y Técnicos: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Experiencia en implementaciones de soluciones Core de Seguros, ERP o CRM en aseguradoras.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▪ Capacidad de operar en entornos de nube pública (Amazon AWS, Microsoft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Azure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, Google Cloud, IBM Cloud u Oracle Cloud) y de integrar la solución con sistemas empresariales.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Familiaridad con la configuración de productos, reglas de negocio y administración de pólizas en la solución.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lastRenderedPageBreak/>
        <w:t>▪ Participación activa en el análisis de brechas, diseño de arquitectura de implementación en la nube.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Formación Obligatoria para el Personal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(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University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):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Para asegurar un conocimiento profundo de nuestras herramientas y procesos, y para una integración efectiva con el cliente, el personal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asignado al proyecto deberá completar los siguientes cursos en línea, disponibles a través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University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(nuestra plataforma Moodle):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Perfiles de Cargos (Obligatorio para todos)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▪ Código de Ética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(Obligatorio para todos)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Comunicación Efectiva (Obligatorio para todos)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Inducción Básica de Seguros (Si aplica a su rol)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Atención al Cliente (Si aplica a su rol)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▪ Conociendo Jira Cloud (Obligatorio para roles técnicos y de gestión)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▪ Levantamiento de Requerimientos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Acsel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Suite (Si aplica a su rol)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La finalización de estos cursos es crucial para el desempeño en el proyecto y la adhesión a los estándares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y del cliente.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Seguridad de la Información y Confidencialidad: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Acuerdo de Confidencialidad: Todo el personal de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deberá firmar un “Acuerdo de Confidencialidad” del Grupo INS, comprometiéndose a mantener la absoluta confidencialidad e integridad de toda la información del proyecto y del Grupo INS, incluyendo infraestructura, diseño, funcionamiento, datos y estrategias comerciales.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Protección de Datos: Prohibida la divulgación o fuga de información. La información debe ser protegida contra creación, duplicación, acceso, modificación, procesamiento, almacenamiento, transmisión, eliminación y destrucción no autorizada.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Estándares de Seguridad: Aplicar controles de seguridad conforme a leyes, estándares y buenas prácticas como ISO/IEC 27001, NIST, COBIT, y Ley 8968.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Monitoreo de Accesos: Los accesos a la red y sistemas de información del Grupo INS serán restringidos y monitoreados.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Capacitación del Personal del Grupo INS: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será responsable de ejecutar la estrategia de capacitación definida, cubriendo la funcionalidad de la solución (operativa para usuario final) y aspectos técnicos (herramientas de desarrollo, estructura de base de datos, integraciones, etc.).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Las capacitaciones serán evaluadas por el Grupo INS, considerando la cobertura de temas, profundidad, dinamismo, dominio del capacitador, calidad del material y metodología. Se espera una calificación mínima; de no alcanzarse,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deberá coordinar acciones correctivas.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Requisitos de Migración de Datos: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deberá proponer al menos dos estrategias viables para la migración de datos de las carteras existentes de los sistemas legados hacia la nueva solución, abarcando Seguros Personales, Generales y Solidarios (Riesgos del Trabajo y Obligatorio de Automóviles).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La estrategia debe incluir el tratamiento de reclamos y siniestros en gestión, y el mantenimiento del historial de siniestralidad de los clientes.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Consis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proveerá personal y herramientas para la extracción, homologación, conversión, traslado y carga de datos.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Comunicación y Coordinación: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Mantener reuniones periódicas con las contrapartes del INS.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Uso de herramientas de comunicación institucional del Grupo INS (ej. Microsoft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Teams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) para sesiones remotas. Las sesiones serán grabadas.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 xml:space="preserve">◦ Contacto principal para la coordinación del servicio: Yolanda </w:t>
      </w:r>
      <w:proofErr w:type="spellStart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>Ceciliano</w:t>
      </w:r>
      <w:proofErr w:type="spellEnd"/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t xml:space="preserve"> Jiménez. Otros administradores de contrato incluyen a Marvin Avendaño Guzmán, Gustavo Calderón Miranda, María Umaña Rodríguez, Shirley Chaves Marín y Katty Ramírez Hernández.</w:t>
      </w:r>
    </w:p>
    <w:p w:rsidR="005A1005" w:rsidRPr="005A1005" w:rsidRDefault="005A1005" w:rsidP="005A1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</w:pP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lastRenderedPageBreak/>
        <w:t>Consideraciones Adicionales y Compromiso: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Este proyecto es una pieza clave en la modernización del Grupo INS.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Se espera una colaboración estrecha y un compromiso con la excelencia y el cumplimiento de los más altos estándares de calidad y seguridad.</w:t>
      </w:r>
      <w:r w:rsidRPr="005A1005">
        <w:rPr>
          <w:rFonts w:ascii="Georgia" w:eastAsia="Times New Roman" w:hAnsi="Georgia" w:cs="Times New Roman"/>
          <w:color w:val="373D49"/>
          <w:sz w:val="21"/>
          <w:szCs w:val="21"/>
          <w:lang w:val="es-VE"/>
        </w:rPr>
        <w:br/>
        <w:t>◦ Familiarizarse con el organigrama del Grupo INS y la descripción de funciones de sus departamentos (Dirección de Riesgos Corporativa, Dirección de Planificación Corporativa, Dirección de Tecnologías de Información, entre otros) para entender mejor su estructura y las necesidades del cliente.</w:t>
      </w:r>
    </w:p>
    <w:p w:rsidR="005A1005" w:rsidRPr="005A1005" w:rsidRDefault="005A1005">
      <w:pPr>
        <w:rPr>
          <w:lang w:val="es-VE"/>
        </w:rPr>
      </w:pPr>
    </w:p>
    <w:sectPr w:rsidR="005A1005" w:rsidRPr="005A1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6E3"/>
    <w:multiLevelType w:val="multilevel"/>
    <w:tmpl w:val="78B4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3E"/>
    <w:rsid w:val="00193CB0"/>
    <w:rsid w:val="00343EA9"/>
    <w:rsid w:val="005A1005"/>
    <w:rsid w:val="00714A6E"/>
    <w:rsid w:val="00CB143E"/>
    <w:rsid w:val="00E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FBB5"/>
  <w15:chartTrackingRefBased/>
  <w15:docId w15:val="{E25C0477-A91B-4EDA-83C9-B4F3F5F0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as-line-data">
    <w:name w:val="has-line-data"/>
    <w:basedOn w:val="Normal"/>
    <w:rsid w:val="005A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pc-i5</dc:creator>
  <cp:keywords/>
  <dc:description/>
  <cp:lastModifiedBy>pc-i5</cp:lastModifiedBy>
  <cp:revision>4</cp:revision>
  <dcterms:created xsi:type="dcterms:W3CDTF">2025-07-28T15:36:00Z</dcterms:created>
  <dcterms:modified xsi:type="dcterms:W3CDTF">2025-07-28T15:52:00Z</dcterms:modified>
</cp:coreProperties>
</file>