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9A02" w14:textId="77777777" w:rsidR="00C67091" w:rsidRDefault="00C67091" w:rsidP="00C67091">
      <w:pPr>
        <w:jc w:val="both"/>
        <w:rPr>
          <w:rFonts w:ascii="Aptos Display" w:eastAsia="Times New Roman" w:hAnsi="Aptos Display"/>
          <w:b/>
          <w:bCs/>
          <w:spacing w:val="-10"/>
          <w:sz w:val="32"/>
          <w:szCs w:val="32"/>
        </w:rPr>
      </w:pPr>
      <w:r w:rsidRPr="00C67091">
        <w:rPr>
          <w:rFonts w:ascii="Aptos Display" w:eastAsia="Times New Roman" w:hAnsi="Aptos Display"/>
          <w:b/>
          <w:bCs/>
          <w:spacing w:val="-10"/>
          <w:sz w:val="32"/>
          <w:szCs w:val="32"/>
        </w:rPr>
        <w:t>Hautes-Pyrénées (65) : Portrait démographique et défis socio-économiques</w:t>
      </w:r>
    </w:p>
    <w:p w14:paraId="6A319F4C" w14:textId="2AADE533" w:rsidR="00C67091" w:rsidRPr="00C67091" w:rsidRDefault="00C67091" w:rsidP="00C67091">
      <w:pPr>
        <w:jc w:val="both"/>
      </w:pPr>
      <w:r w:rsidRPr="00C67091">
        <w:t xml:space="preserve">Lors des dernières élections législatives, le Nouveau Front Populaire (NFP) a réalisé un grand chelem dans trois départements français, dont les Hautes-Pyrénées (65). En vue des prochaines échéances électorales, le bureau de campagne du NFP s’interroge sur les raisons de ce succès. À sa demande, nous avons donc mené une étude approfondie visant à mieux comprendre la situation du département des Hautes-Pyrénées sous </w:t>
      </w:r>
      <w:proofErr w:type="gramStart"/>
      <w:r w:rsidRPr="00C67091">
        <w:t>les angles démographique</w:t>
      </w:r>
      <w:proofErr w:type="gramEnd"/>
      <w:r w:rsidRPr="00C67091">
        <w:t>, de l’emploi et du chômage. Ce travail porte plus précisément sur un échantillon représentatif de 24 communes du département. La plupart des données utilisées et valorisées dans cette étude proviennent du recensement de la population de 2021 réalisé par l’INSEE.</w:t>
      </w:r>
    </w:p>
    <w:p w14:paraId="0CB90912" w14:textId="77777777" w:rsidR="00C67091" w:rsidRPr="00C67091" w:rsidRDefault="00C67091" w:rsidP="00C67091">
      <w:pPr>
        <w:jc w:val="both"/>
      </w:pPr>
      <w:r w:rsidRPr="00C67091">
        <w:t>Le département illustre un phénomène de vieillissement de la population. En effet, les personnes âgées de 60 ans et plus représentent 35 % de la population (soit plus d’un tiers des habitants), un chiffre nettement supérieur à la moyenne nationale, qui s’élève à 27 % en 2021. Par ailleurs, on observe que les femmes constituent 53 % de la population du département. Elles sont légèrement plus nombreuses que les hommes dans les tranches d’âge les plus élevées (par exemple : 11 % contre 9 % chez les 60-74 ans, 7 % contre 5 % chez les 75-89 ans, etc.).</w:t>
      </w:r>
    </w:p>
    <w:p w14:paraId="319D9E94" w14:textId="77777777" w:rsidR="00C67091" w:rsidRPr="00C67091" w:rsidRDefault="00C67091" w:rsidP="00C67091">
      <w:pPr>
        <w:jc w:val="both"/>
      </w:pPr>
      <w:r w:rsidRPr="00C67091">
        <w:t>Cette tendance peut s’expliquer par une espérance de vie plus élevée chez les femmes au niveau national. Ce léger excédent féminin dans les classes d’âge les plus avancées contribue à tirer la répartition par âge vers les tranches les plus élevées (90 ans et plus).</w:t>
      </w:r>
    </w:p>
    <w:p w14:paraId="07D4A1AE" w14:textId="567BE4A4" w:rsidR="00F8277A" w:rsidRDefault="00F8277A" w:rsidP="006E47F1">
      <w:pPr>
        <w:jc w:val="both"/>
        <w:rPr>
          <w:b/>
          <w:bCs/>
          <w:sz w:val="28"/>
          <w:szCs w:val="28"/>
        </w:rPr>
      </w:pPr>
      <w:r w:rsidRPr="0002290C">
        <w:rPr>
          <w:b/>
          <w:bCs/>
          <w:sz w:val="28"/>
          <w:szCs w:val="28"/>
        </w:rPr>
        <w:t>Une part des</w:t>
      </w:r>
      <w:r>
        <w:rPr>
          <w:b/>
          <w:bCs/>
          <w:sz w:val="28"/>
          <w:szCs w:val="28"/>
        </w:rPr>
        <w:t xml:space="preserve"> séniors</w:t>
      </w:r>
      <w:r w:rsidRPr="0002290C">
        <w:rPr>
          <w:b/>
          <w:bCs/>
          <w:sz w:val="28"/>
          <w:szCs w:val="28"/>
        </w:rPr>
        <w:t xml:space="preserve"> qui tend à être prépondérant</w:t>
      </w:r>
      <w:r w:rsidR="007D1B2E">
        <w:rPr>
          <w:b/>
          <w:bCs/>
          <w:sz w:val="28"/>
          <w:szCs w:val="28"/>
        </w:rPr>
        <w:t>e</w:t>
      </w:r>
    </w:p>
    <w:p w14:paraId="42B58606" w14:textId="2FF673F5" w:rsidR="00167C6C" w:rsidRDefault="00AB23F0">
      <w:pPr>
        <w:jc w:val="both"/>
        <w:rPr>
          <w:b/>
          <w:bCs/>
          <w:sz w:val="28"/>
          <w:szCs w:val="28"/>
        </w:rPr>
      </w:pPr>
      <w:r>
        <w:rPr>
          <w:noProof/>
        </w:rPr>
        <w:drawing>
          <wp:anchor distT="0" distB="0" distL="114300" distR="114300" simplePos="0" relativeHeight="251658240" behindDoc="1" locked="0" layoutInCell="1" allowOverlap="1" wp14:anchorId="249AAA38" wp14:editId="0C8CB939">
            <wp:simplePos x="0" y="0"/>
            <wp:positionH relativeFrom="column">
              <wp:posOffset>-24130</wp:posOffset>
            </wp:positionH>
            <wp:positionV relativeFrom="paragraph">
              <wp:posOffset>323215</wp:posOffset>
            </wp:positionV>
            <wp:extent cx="4259580" cy="2438400"/>
            <wp:effectExtent l="0" t="0" r="7620" b="0"/>
            <wp:wrapSquare wrapText="bothSides"/>
            <wp:docPr id="234991072" name="Graphique 1">
              <a:extLst xmlns:a="http://schemas.openxmlformats.org/drawingml/2006/main">
                <a:ext uri="{FF2B5EF4-FFF2-40B4-BE49-F238E27FC236}">
                  <a16:creationId xmlns:a16="http://schemas.microsoft.com/office/drawing/2014/main" id="{E93E05AA-CE8D-045B-226D-3B2882A7A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2B5B516" w14:textId="77777777" w:rsidR="00167C6C" w:rsidRDefault="00167C6C">
      <w:pPr>
        <w:jc w:val="both"/>
      </w:pPr>
    </w:p>
    <w:p w14:paraId="5CB32DDE" w14:textId="77777777" w:rsidR="00777F76" w:rsidRDefault="00777F76">
      <w:pPr>
        <w:jc w:val="both"/>
      </w:pPr>
    </w:p>
    <w:p w14:paraId="176C5316" w14:textId="77777777" w:rsidR="00F8277A" w:rsidRDefault="00F8277A">
      <w:pPr>
        <w:jc w:val="both"/>
        <w:rPr>
          <w:b/>
          <w:bCs/>
          <w:sz w:val="28"/>
          <w:szCs w:val="28"/>
        </w:rPr>
      </w:pPr>
    </w:p>
    <w:p w14:paraId="1AEB91F5" w14:textId="77777777" w:rsidR="00F8277A" w:rsidRDefault="00F8277A">
      <w:pPr>
        <w:jc w:val="both"/>
        <w:rPr>
          <w:b/>
          <w:bCs/>
          <w:sz w:val="28"/>
          <w:szCs w:val="28"/>
        </w:rPr>
      </w:pPr>
    </w:p>
    <w:p w14:paraId="0AAA76B2" w14:textId="6F3EED1E" w:rsidR="008E45C9" w:rsidRPr="00043260" w:rsidRDefault="00043260" w:rsidP="00167C6C">
      <w:pPr>
        <w:pBdr>
          <w:top w:val="single" w:sz="4" w:space="1" w:color="auto"/>
          <w:bottom w:val="single" w:sz="4" w:space="1" w:color="auto"/>
        </w:pBdr>
        <w:jc w:val="center"/>
        <w:rPr>
          <w:b/>
          <w:bCs/>
          <w:sz w:val="28"/>
          <w:szCs w:val="28"/>
        </w:rPr>
      </w:pPr>
      <w:r w:rsidRPr="00043260">
        <w:rPr>
          <w:b/>
          <w:bCs/>
          <w:sz w:val="28"/>
          <w:szCs w:val="28"/>
        </w:rPr>
        <w:lastRenderedPageBreak/>
        <w:t xml:space="preserve">Un </w:t>
      </w:r>
      <w:r>
        <w:rPr>
          <w:b/>
          <w:bCs/>
          <w:sz w:val="28"/>
          <w:szCs w:val="28"/>
        </w:rPr>
        <w:t>t</w:t>
      </w:r>
      <w:r w:rsidRPr="00043260">
        <w:rPr>
          <w:b/>
          <w:bCs/>
          <w:sz w:val="28"/>
          <w:szCs w:val="28"/>
        </w:rPr>
        <w:t xml:space="preserve">aux de dépendance économique </w:t>
      </w:r>
      <w:r w:rsidR="00777F76">
        <w:rPr>
          <w:b/>
          <w:bCs/>
          <w:sz w:val="28"/>
          <w:szCs w:val="28"/>
        </w:rPr>
        <w:t>largement supérieur à la moyenne nationale</w:t>
      </w:r>
    </w:p>
    <w:p w14:paraId="2BA34344" w14:textId="5C1B7CAD" w:rsidR="00777F76" w:rsidRDefault="009E5406">
      <w:pPr>
        <w:jc w:val="both"/>
      </w:pPr>
      <w:r>
        <w:rPr>
          <w:noProof/>
        </w:rPr>
        <w:drawing>
          <wp:anchor distT="0" distB="0" distL="114300" distR="114300" simplePos="0" relativeHeight="251659264" behindDoc="0" locked="0" layoutInCell="1" allowOverlap="1" wp14:anchorId="34F8D317" wp14:editId="51B48261">
            <wp:simplePos x="0" y="0"/>
            <wp:positionH relativeFrom="column">
              <wp:posOffset>-168910</wp:posOffset>
            </wp:positionH>
            <wp:positionV relativeFrom="paragraph">
              <wp:posOffset>328295</wp:posOffset>
            </wp:positionV>
            <wp:extent cx="4220210" cy="2532380"/>
            <wp:effectExtent l="0" t="0" r="8890" b="1270"/>
            <wp:wrapSquare wrapText="bothSides"/>
            <wp:docPr id="1966770434" name="Graphique 1">
              <a:extLst xmlns:a="http://schemas.openxmlformats.org/drawingml/2006/main">
                <a:ext uri="{FF2B5EF4-FFF2-40B4-BE49-F238E27FC236}">
                  <a16:creationId xmlns:a16="http://schemas.microsoft.com/office/drawing/2014/main" id="{5C2C1756-BA1C-1221-B06F-2890D9876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20E8D3D5" w14:textId="77777777" w:rsidR="00F8277A" w:rsidRDefault="00F8277A">
      <w:pPr>
        <w:jc w:val="both"/>
      </w:pPr>
    </w:p>
    <w:p w14:paraId="6F0FE54E" w14:textId="090A8CDA" w:rsidR="00777F76" w:rsidRDefault="00777F76">
      <w:pPr>
        <w:jc w:val="both"/>
      </w:pPr>
    </w:p>
    <w:p w14:paraId="649D814B" w14:textId="78F750C7" w:rsidR="00777F76" w:rsidRDefault="00777F76">
      <w:pPr>
        <w:jc w:val="both"/>
      </w:pPr>
    </w:p>
    <w:p w14:paraId="10383E1A" w14:textId="77777777" w:rsidR="00777F76" w:rsidRDefault="00777F76">
      <w:pPr>
        <w:jc w:val="both"/>
      </w:pPr>
    </w:p>
    <w:p w14:paraId="6D4857CA" w14:textId="77777777" w:rsidR="00777F76" w:rsidRDefault="00777F76">
      <w:pPr>
        <w:jc w:val="both"/>
      </w:pPr>
    </w:p>
    <w:p w14:paraId="33380046" w14:textId="77777777" w:rsidR="00F52B04" w:rsidRDefault="00F52B04">
      <w:pPr>
        <w:jc w:val="both"/>
      </w:pPr>
    </w:p>
    <w:p w14:paraId="75DBC19C" w14:textId="77777777" w:rsidR="00F52B04" w:rsidRDefault="00F52B04">
      <w:pPr>
        <w:jc w:val="both"/>
      </w:pPr>
    </w:p>
    <w:p w14:paraId="228A7943" w14:textId="77777777" w:rsidR="00F52B04" w:rsidRDefault="00F52B04">
      <w:pPr>
        <w:jc w:val="both"/>
      </w:pPr>
    </w:p>
    <w:p w14:paraId="45F73C46" w14:textId="68607DCE" w:rsidR="0078167E" w:rsidRDefault="00043260">
      <w:pPr>
        <w:jc w:val="both"/>
      </w:pPr>
      <w:r>
        <w:t>D’autre part, on remarque que le</w:t>
      </w:r>
      <w:r w:rsidR="00E81056">
        <w:t xml:space="preserve"> ratio</w:t>
      </w:r>
      <w:r w:rsidR="00777F76">
        <w:t xml:space="preserve"> moyen</w:t>
      </w:r>
      <w:r w:rsidR="00E81056">
        <w:t xml:space="preserve"> de dépendance économique</w:t>
      </w:r>
      <w:r w:rsidR="008875B8">
        <w:t xml:space="preserve"> </w:t>
      </w:r>
      <w:r w:rsidR="00777F76">
        <w:t>du département des Hautes-Pyrénées est de 66</w:t>
      </w:r>
      <w:r w:rsidR="00C403A9">
        <w:t xml:space="preserve"> </w:t>
      </w:r>
      <w:r w:rsidR="00777F76">
        <w:t xml:space="preserve">% (en </w:t>
      </w:r>
      <w:r w:rsidR="00167C6C">
        <w:t>marron</w:t>
      </w:r>
      <w:r w:rsidR="00777F76">
        <w:t>)</w:t>
      </w:r>
      <w:r w:rsidR="00FD1DFC">
        <w:t xml:space="preserve">. C’est-à-dire que pour 100 personnes en âge de </w:t>
      </w:r>
      <w:r w:rsidR="00C403A9">
        <w:t>travailler, 66</w:t>
      </w:r>
      <w:r w:rsidR="00777F76">
        <w:t xml:space="preserve"> </w:t>
      </w:r>
      <w:r w:rsidR="00FD1DFC">
        <w:t xml:space="preserve">personnes de plus de 65ans sont économiquement </w:t>
      </w:r>
      <w:r w:rsidR="004407EE">
        <w:t>dépendante</w:t>
      </w:r>
      <w:r w:rsidR="00B643F9">
        <w:t>s</w:t>
      </w:r>
      <w:r w:rsidR="004407EE">
        <w:t>. On observe</w:t>
      </w:r>
      <w:r w:rsidR="00777F76">
        <w:t xml:space="preserve"> donc</w:t>
      </w:r>
      <w:r w:rsidR="004407EE">
        <w:t xml:space="preserve"> </w:t>
      </w:r>
      <w:r w:rsidR="00777F76">
        <w:t>13 points de différence entre le taux national (37</w:t>
      </w:r>
      <w:r w:rsidR="00C403A9">
        <w:t xml:space="preserve"> </w:t>
      </w:r>
      <w:r w:rsidR="00777F76">
        <w:t>%, en bleu) et le taux du département. On en déduit qu’il y a une plus forte pression sur les jeunes générations dans le département</w:t>
      </w:r>
      <w:r w:rsidR="00F52B04">
        <w:t>. Comme nous pouvons le voir sur le graphique (échantillon non exhaustif de 11 villes parmi les plus importantes du département) le taux de dépendance économique est toujours supérieur à 50</w:t>
      </w:r>
      <w:r w:rsidR="00C403A9">
        <w:t xml:space="preserve"> </w:t>
      </w:r>
      <w:r w:rsidR="00F52B04">
        <w:t>%. Le cas de Argelès-Gazost est préoccupant car son Ratio de dépendance économique est égal à 120. Or, cela signifie qu’il y a plus de personnes économiquement dépendantes que de personnes en âges de travaillé. La jeune génération subi</w:t>
      </w:r>
      <w:r w:rsidR="00855B87">
        <w:t>t</w:t>
      </w:r>
      <w:r w:rsidR="00F52B04">
        <w:t xml:space="preserve"> alors une</w:t>
      </w:r>
      <w:r w:rsidR="00B7215F">
        <w:t xml:space="preserve"> forte</w:t>
      </w:r>
      <w:r w:rsidR="00F52B04">
        <w:t xml:space="preserve"> pression qui surpasse son effectif.</w:t>
      </w:r>
    </w:p>
    <w:p w14:paraId="3997553F" w14:textId="77777777" w:rsidR="009E5406" w:rsidRDefault="009E5406">
      <w:pPr>
        <w:jc w:val="both"/>
      </w:pPr>
    </w:p>
    <w:p w14:paraId="74D37551" w14:textId="75FA357D" w:rsidR="00427098" w:rsidRDefault="00427098"/>
    <w:p w14:paraId="46AA17D6" w14:textId="77777777" w:rsidR="00F8277A" w:rsidRDefault="00F8277A"/>
    <w:p w14:paraId="5BD7FF91" w14:textId="77777777" w:rsidR="00F8277A" w:rsidRDefault="00F8277A"/>
    <w:p w14:paraId="7351167C" w14:textId="77777777" w:rsidR="00693A7C" w:rsidRDefault="00693A7C" w:rsidP="00693A7C">
      <w:pPr>
        <w:jc w:val="both"/>
      </w:pPr>
    </w:p>
    <w:p w14:paraId="75038DAF" w14:textId="77777777" w:rsidR="00693A7C" w:rsidRDefault="00693A7C" w:rsidP="00693A7C">
      <w:pPr>
        <w:jc w:val="both"/>
      </w:pPr>
    </w:p>
    <w:p w14:paraId="20759006" w14:textId="77777777" w:rsidR="00EC3151" w:rsidRDefault="00EC3151" w:rsidP="00693A7C">
      <w:pPr>
        <w:jc w:val="both"/>
      </w:pPr>
    </w:p>
    <w:p w14:paraId="2F196B09" w14:textId="4AA3417A" w:rsidR="00693A7C" w:rsidRPr="00167C6C" w:rsidRDefault="00693A7C" w:rsidP="00693A7C">
      <w:pPr>
        <w:jc w:val="both"/>
      </w:pPr>
      <w:r>
        <w:t>L</w:t>
      </w:r>
      <w:r w:rsidRPr="00167C6C">
        <w:t>a suite de notre étude s'intéresse au taux de chômage. Nous allons nous intéresse</w:t>
      </w:r>
      <w:r w:rsidR="00746C13">
        <w:t>r</w:t>
      </w:r>
      <w:r w:rsidRPr="00167C6C">
        <w:t xml:space="preserve"> à plusieurs facteurs explicatifs, tel</w:t>
      </w:r>
      <w:r w:rsidR="007F1F0C">
        <w:t>s</w:t>
      </w:r>
      <w:r w:rsidRPr="00167C6C">
        <w:t xml:space="preserve"> que l’âge, le sexe, le niveau de diplôme…)</w:t>
      </w:r>
    </w:p>
    <w:p w14:paraId="1B63CF39" w14:textId="77777777" w:rsidR="00EC3151" w:rsidRDefault="00EC3151" w:rsidP="009141F7">
      <w:pPr>
        <w:jc w:val="both"/>
      </w:pPr>
    </w:p>
    <w:p w14:paraId="55B74C93" w14:textId="58C743EA" w:rsidR="009141F7" w:rsidRDefault="009141F7" w:rsidP="009141F7">
      <w:pPr>
        <w:jc w:val="both"/>
      </w:pPr>
      <w:r w:rsidRPr="00167C6C">
        <w:t>Tout d'abord, nous remarquons que le taux de chômage du département est largement supérieur au taux de chômage national</w:t>
      </w:r>
      <w:r w:rsidR="000B134E">
        <w:t xml:space="preserve">. Soit </w:t>
      </w:r>
      <w:r w:rsidRPr="00167C6C">
        <w:t>16</w:t>
      </w:r>
      <w:r w:rsidR="00C403A9">
        <w:t xml:space="preserve"> </w:t>
      </w:r>
      <w:r w:rsidRPr="00167C6C">
        <w:t>% pour le département contre 8% au niveau national.</w:t>
      </w:r>
    </w:p>
    <w:p w14:paraId="37BEE72C" w14:textId="540DF7DE" w:rsidR="00AB23F0" w:rsidRDefault="009141F7" w:rsidP="00167C6C">
      <w:pPr>
        <w:jc w:val="both"/>
      </w:pPr>
      <w:r w:rsidRPr="00167C6C">
        <w:t>Cette tendance s'observe d’autant plus chez les jeunes (15-24</w:t>
      </w:r>
      <w:r w:rsidR="00B612F4">
        <w:t xml:space="preserve"> </w:t>
      </w:r>
      <w:r w:rsidRPr="00167C6C">
        <w:t>ans) avec un taux de chômage qui s’élève à 26,42</w:t>
      </w:r>
      <w:r w:rsidR="00C403A9">
        <w:t xml:space="preserve"> </w:t>
      </w:r>
      <w:r w:rsidRPr="00167C6C">
        <w:t>%. Comme on peut le voir sur le graphique ci-dessus, aucune commune n’est épargnée (en bleu).</w:t>
      </w:r>
    </w:p>
    <w:p w14:paraId="462D0FD4" w14:textId="1BC121D2" w:rsidR="00EC3151" w:rsidRDefault="00EC3151" w:rsidP="00167C6C">
      <w:pPr>
        <w:jc w:val="both"/>
      </w:pPr>
    </w:p>
    <w:p w14:paraId="7AC0AFEA" w14:textId="77777777" w:rsidR="00E218F7" w:rsidRDefault="00E218F7" w:rsidP="00167C6C">
      <w:pPr>
        <w:jc w:val="both"/>
      </w:pPr>
    </w:p>
    <w:p w14:paraId="2FDD3D6D" w14:textId="77777777" w:rsidR="009141F7" w:rsidRDefault="009141F7" w:rsidP="00167C6C">
      <w:pPr>
        <w:jc w:val="both"/>
      </w:pPr>
    </w:p>
    <w:p w14:paraId="047EF798" w14:textId="77777777" w:rsidR="009141F7" w:rsidRDefault="009141F7" w:rsidP="00167C6C">
      <w:pPr>
        <w:jc w:val="both"/>
      </w:pPr>
    </w:p>
    <w:p w14:paraId="479F25EE" w14:textId="77777777" w:rsidR="009141F7" w:rsidRDefault="009141F7" w:rsidP="00167C6C">
      <w:pPr>
        <w:jc w:val="both"/>
      </w:pPr>
    </w:p>
    <w:p w14:paraId="07445DBD" w14:textId="77777777" w:rsidR="009141F7" w:rsidRDefault="009141F7" w:rsidP="00167C6C">
      <w:pPr>
        <w:jc w:val="both"/>
      </w:pPr>
    </w:p>
    <w:p w14:paraId="3404B8E6" w14:textId="77777777" w:rsidR="009141F7" w:rsidRDefault="009141F7" w:rsidP="00167C6C">
      <w:pPr>
        <w:jc w:val="both"/>
      </w:pPr>
    </w:p>
    <w:p w14:paraId="15FAD93D" w14:textId="02D017BF" w:rsidR="0047765E" w:rsidRPr="00693A7C" w:rsidRDefault="00EC3151" w:rsidP="00693A7C">
      <w:pPr>
        <w:pBdr>
          <w:top w:val="single" w:sz="4" w:space="1" w:color="auto"/>
          <w:bottom w:val="single" w:sz="4" w:space="1" w:color="auto"/>
        </w:pBdr>
        <w:jc w:val="center"/>
        <w:rPr>
          <w:b/>
          <w:bCs/>
          <w:sz w:val="28"/>
          <w:szCs w:val="28"/>
        </w:rPr>
      </w:pPr>
      <w:r>
        <w:rPr>
          <w:noProof/>
        </w:rPr>
        <w:drawing>
          <wp:anchor distT="0" distB="0" distL="114300" distR="114300" simplePos="0" relativeHeight="251662336" behindDoc="0" locked="0" layoutInCell="1" allowOverlap="1" wp14:anchorId="536CBE65" wp14:editId="042BAF97">
            <wp:simplePos x="0" y="0"/>
            <wp:positionH relativeFrom="margin">
              <wp:align>right</wp:align>
            </wp:positionH>
            <wp:positionV relativeFrom="paragraph">
              <wp:posOffset>724535</wp:posOffset>
            </wp:positionV>
            <wp:extent cx="4220210" cy="3406140"/>
            <wp:effectExtent l="0" t="0" r="8890" b="3810"/>
            <wp:wrapSquare wrapText="bothSides"/>
            <wp:docPr id="1076410117" name="Graphique 1">
              <a:extLst xmlns:a="http://schemas.openxmlformats.org/drawingml/2006/main">
                <a:ext uri="{FF2B5EF4-FFF2-40B4-BE49-F238E27FC236}">
                  <a16:creationId xmlns:a16="http://schemas.microsoft.com/office/drawing/2014/main" id="{B7252296-0EF0-8355-5AF9-FF6734269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47765E">
        <w:rPr>
          <w:b/>
          <w:bCs/>
          <w:sz w:val="28"/>
          <w:szCs w:val="28"/>
        </w:rPr>
        <w:t>L</w:t>
      </w:r>
      <w:r w:rsidR="0047765E" w:rsidRPr="00F8277A">
        <w:rPr>
          <w:b/>
          <w:bCs/>
          <w:sz w:val="28"/>
          <w:szCs w:val="28"/>
        </w:rPr>
        <w:t>es jeunes durement touchés par le chômage</w:t>
      </w:r>
    </w:p>
    <w:p w14:paraId="1D2AA1BE" w14:textId="48F1E44C" w:rsidR="00167C6C" w:rsidRDefault="00167C6C" w:rsidP="00BA506D">
      <w:pPr>
        <w:rPr>
          <w:sz w:val="28"/>
          <w:szCs w:val="28"/>
        </w:rPr>
      </w:pPr>
    </w:p>
    <w:p w14:paraId="5769C641" w14:textId="77777777" w:rsidR="00167C6C" w:rsidRDefault="00167C6C" w:rsidP="00BA506D">
      <w:pPr>
        <w:rPr>
          <w:sz w:val="28"/>
          <w:szCs w:val="28"/>
        </w:rPr>
      </w:pPr>
    </w:p>
    <w:p w14:paraId="073BBD04" w14:textId="77777777" w:rsidR="002265C9" w:rsidRDefault="002265C9" w:rsidP="00BA506D">
      <w:pPr>
        <w:rPr>
          <w:sz w:val="28"/>
          <w:szCs w:val="28"/>
        </w:rPr>
      </w:pPr>
    </w:p>
    <w:p w14:paraId="363020F1" w14:textId="77777777" w:rsidR="002265C9" w:rsidRDefault="002265C9" w:rsidP="00BA506D">
      <w:pPr>
        <w:rPr>
          <w:sz w:val="28"/>
          <w:szCs w:val="28"/>
        </w:rPr>
      </w:pPr>
    </w:p>
    <w:p w14:paraId="31804574" w14:textId="77777777" w:rsidR="002265C9" w:rsidRDefault="002265C9" w:rsidP="00BA506D">
      <w:pPr>
        <w:rPr>
          <w:sz w:val="28"/>
          <w:szCs w:val="28"/>
        </w:rPr>
      </w:pPr>
    </w:p>
    <w:p w14:paraId="7B6F23AF" w14:textId="77777777" w:rsidR="002265C9" w:rsidRDefault="002265C9" w:rsidP="00BA506D">
      <w:pPr>
        <w:rPr>
          <w:sz w:val="28"/>
          <w:szCs w:val="28"/>
        </w:rPr>
      </w:pPr>
    </w:p>
    <w:p w14:paraId="5CC0ADA5" w14:textId="0CA19D59" w:rsidR="002265C9" w:rsidRPr="00022298" w:rsidRDefault="002265C9" w:rsidP="00022298">
      <w:pPr>
        <w:pBdr>
          <w:top w:val="single" w:sz="4" w:space="1" w:color="auto"/>
          <w:bottom w:val="single" w:sz="4" w:space="1" w:color="auto"/>
        </w:pBdr>
        <w:jc w:val="center"/>
        <w:rPr>
          <w:b/>
          <w:bCs/>
          <w:sz w:val="28"/>
          <w:szCs w:val="28"/>
        </w:rPr>
      </w:pPr>
      <w:r w:rsidRPr="00022298">
        <w:rPr>
          <w:b/>
          <w:bCs/>
          <w:sz w:val="28"/>
          <w:szCs w:val="28"/>
        </w:rPr>
        <w:lastRenderedPageBreak/>
        <w:t>Un</w:t>
      </w:r>
      <w:r w:rsidR="005E2297">
        <w:rPr>
          <w:b/>
          <w:bCs/>
          <w:sz w:val="28"/>
          <w:szCs w:val="28"/>
        </w:rPr>
        <w:t xml:space="preserve"> </w:t>
      </w:r>
      <w:r w:rsidR="008C627F">
        <w:rPr>
          <w:b/>
          <w:bCs/>
          <w:sz w:val="28"/>
          <w:szCs w:val="28"/>
        </w:rPr>
        <w:t>lien entre le diplôme et « être au chômage »</w:t>
      </w:r>
    </w:p>
    <w:p w14:paraId="0342E796" w14:textId="4751A0D2" w:rsidR="00BA506D" w:rsidRPr="00BA506D" w:rsidRDefault="00BA506D" w:rsidP="00022298">
      <w:pPr>
        <w:jc w:val="both"/>
        <w:rPr>
          <w:sz w:val="28"/>
          <w:szCs w:val="28"/>
        </w:rPr>
      </w:pPr>
    </w:p>
    <w:p w14:paraId="7D7973BA" w14:textId="1A6DA3C7" w:rsidR="00F94B76" w:rsidRDefault="004E032A" w:rsidP="009E5406">
      <w:pPr>
        <w:rPr>
          <w:b/>
          <w:bCs/>
          <w:sz w:val="28"/>
          <w:szCs w:val="28"/>
        </w:rPr>
      </w:pPr>
      <w:r>
        <w:rPr>
          <w:noProof/>
        </w:rPr>
        <w:drawing>
          <wp:inline distT="0" distB="0" distL="0" distR="0" wp14:anchorId="1B14F250" wp14:editId="6DA013C5">
            <wp:extent cx="4380230" cy="3223260"/>
            <wp:effectExtent l="0" t="0" r="1270" b="15240"/>
            <wp:docPr id="1166590821" name="Graphique 1">
              <a:extLst xmlns:a="http://schemas.openxmlformats.org/drawingml/2006/main">
                <a:ext uri="{FF2B5EF4-FFF2-40B4-BE49-F238E27FC236}">
                  <a16:creationId xmlns:a16="http://schemas.microsoft.com/office/drawing/2014/main" id="{CC5D2E56-758E-BFEF-2595-B784289C57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297028" w14:textId="77777777" w:rsidR="00C7482D" w:rsidRDefault="00C7482D" w:rsidP="009E5406">
      <w:pPr>
        <w:rPr>
          <w:b/>
          <w:bCs/>
          <w:sz w:val="28"/>
          <w:szCs w:val="28"/>
        </w:rPr>
      </w:pPr>
    </w:p>
    <w:p w14:paraId="642C7BFD" w14:textId="77777777" w:rsidR="00C7482D" w:rsidRDefault="00C7482D" w:rsidP="009E5406">
      <w:pPr>
        <w:rPr>
          <w:b/>
          <w:bCs/>
          <w:sz w:val="28"/>
          <w:szCs w:val="28"/>
        </w:rPr>
      </w:pPr>
    </w:p>
    <w:p w14:paraId="4DD121AA" w14:textId="77777777" w:rsidR="00C7482D" w:rsidRDefault="00C7482D" w:rsidP="009E5406">
      <w:pPr>
        <w:rPr>
          <w:b/>
          <w:bCs/>
          <w:sz w:val="28"/>
          <w:szCs w:val="28"/>
        </w:rPr>
      </w:pPr>
    </w:p>
    <w:p w14:paraId="461CED50" w14:textId="77777777" w:rsidR="00C7482D" w:rsidRDefault="00C7482D" w:rsidP="009E5406">
      <w:pPr>
        <w:rPr>
          <w:b/>
          <w:bCs/>
          <w:sz w:val="28"/>
          <w:szCs w:val="28"/>
        </w:rPr>
      </w:pPr>
    </w:p>
    <w:p w14:paraId="5FD5E980" w14:textId="77777777" w:rsidR="00C7482D" w:rsidRDefault="00C7482D" w:rsidP="009E5406">
      <w:pPr>
        <w:rPr>
          <w:b/>
          <w:bCs/>
          <w:sz w:val="28"/>
          <w:szCs w:val="28"/>
        </w:rPr>
      </w:pPr>
    </w:p>
    <w:p w14:paraId="3AC02A73" w14:textId="77777777" w:rsidR="00C7482D" w:rsidRDefault="00C7482D" w:rsidP="009E5406">
      <w:pPr>
        <w:rPr>
          <w:b/>
          <w:bCs/>
          <w:sz w:val="28"/>
          <w:szCs w:val="28"/>
        </w:rPr>
      </w:pPr>
    </w:p>
    <w:p w14:paraId="411065B6" w14:textId="77777777" w:rsidR="00C7482D" w:rsidRDefault="00C7482D" w:rsidP="009E5406">
      <w:pPr>
        <w:rPr>
          <w:b/>
          <w:bCs/>
          <w:sz w:val="28"/>
          <w:szCs w:val="28"/>
        </w:rPr>
      </w:pPr>
    </w:p>
    <w:p w14:paraId="76D52F6F" w14:textId="661CF666" w:rsidR="00C7482D" w:rsidRPr="001B1AEF" w:rsidRDefault="00D54169" w:rsidP="00AD4A94">
      <w:pPr>
        <w:jc w:val="both"/>
      </w:pPr>
      <w:r w:rsidRPr="001B1AEF">
        <w:t xml:space="preserve">Selon le niveau de diplôme </w:t>
      </w:r>
      <w:r w:rsidR="00626148" w:rsidRPr="001B1AEF">
        <w:t>nous pouvons</w:t>
      </w:r>
      <w:r w:rsidRPr="001B1AEF">
        <w:t xml:space="preserve"> exploiter quel</w:t>
      </w:r>
      <w:r w:rsidR="00626148" w:rsidRPr="001B1AEF">
        <w:t xml:space="preserve">ques informations. </w:t>
      </w:r>
    </w:p>
    <w:p w14:paraId="3B48A1E5" w14:textId="22E45FB8" w:rsidR="009B6DDD" w:rsidRPr="001B1AEF" w:rsidRDefault="009B6DDD" w:rsidP="00AD4A94">
      <w:pPr>
        <w:jc w:val="both"/>
      </w:pPr>
      <w:r w:rsidRPr="001B1AEF">
        <w:t xml:space="preserve">Comme </w:t>
      </w:r>
      <w:r w:rsidR="006F24E1">
        <w:t>nous</w:t>
      </w:r>
      <w:r w:rsidRPr="001B1AEF">
        <w:t xml:space="preserve"> p</w:t>
      </w:r>
      <w:r w:rsidR="006F24E1">
        <w:t>ouvons</w:t>
      </w:r>
      <w:r w:rsidRPr="001B1AEF">
        <w:t xml:space="preserve"> le voir sur le graphique</w:t>
      </w:r>
      <w:r w:rsidR="00475976" w:rsidRPr="001B1AEF">
        <w:t xml:space="preserve"> ci-contre, </w:t>
      </w:r>
      <w:r w:rsidR="00B612F4" w:rsidRPr="001B1AEF">
        <w:t>35</w:t>
      </w:r>
      <w:r w:rsidR="00B612F4">
        <w:t xml:space="preserve"> %</w:t>
      </w:r>
      <w:r w:rsidR="009C7A2B" w:rsidRPr="001B1AEF">
        <w:t xml:space="preserve"> des chômeurs </w:t>
      </w:r>
      <w:r w:rsidR="005F33D0" w:rsidRPr="001B1AEF">
        <w:t>ont</w:t>
      </w:r>
      <w:r w:rsidR="00CA647C" w:rsidRPr="001B1AEF">
        <w:t xml:space="preserve"> un niveau de diplôme équivalent au CAP ou BEP (+1/3 </w:t>
      </w:r>
      <w:r w:rsidR="006F7886" w:rsidRPr="001B1AEF">
        <w:t>chômeurs</w:t>
      </w:r>
      <w:r w:rsidR="00CA647C" w:rsidRPr="001B1AEF">
        <w:t xml:space="preserve">). </w:t>
      </w:r>
      <w:r w:rsidR="00225B64" w:rsidRPr="001B1AEF">
        <w:t xml:space="preserve">Excepté la classe sans diplôme ou CEP, plus le niveau de diplôme est </w:t>
      </w:r>
      <w:r w:rsidR="006F7886" w:rsidRPr="001B1AEF">
        <w:t>élevé</w:t>
      </w:r>
      <w:r w:rsidR="00225B64" w:rsidRPr="001B1AEF">
        <w:t xml:space="preserve">, </w:t>
      </w:r>
      <w:r w:rsidR="00B654A9">
        <w:t>plus faible</w:t>
      </w:r>
      <w:r w:rsidR="00225B64" w:rsidRPr="001B1AEF">
        <w:t xml:space="preserve"> </w:t>
      </w:r>
      <w:r w:rsidR="009A1D84" w:rsidRPr="001B1AEF">
        <w:t xml:space="preserve">est la part de </w:t>
      </w:r>
      <w:r w:rsidR="00512E12" w:rsidRPr="001B1AEF">
        <w:t>chômeurs (6</w:t>
      </w:r>
      <w:r w:rsidR="00092AD5" w:rsidRPr="001B1AEF">
        <w:t>,</w:t>
      </w:r>
      <w:r w:rsidR="00763A9C" w:rsidRPr="001B1AEF">
        <w:t>09</w:t>
      </w:r>
      <w:r w:rsidR="00581094">
        <w:t xml:space="preserve"> </w:t>
      </w:r>
      <w:r w:rsidR="00763A9C" w:rsidRPr="001B1AEF">
        <w:t xml:space="preserve">% des chômeurs </w:t>
      </w:r>
      <w:r w:rsidR="00036364" w:rsidRPr="001B1AEF">
        <w:t>ont un niveau de diplôme</w:t>
      </w:r>
      <w:r w:rsidR="00DF2ECD" w:rsidRPr="001B1AEF">
        <w:t xml:space="preserve"> égal</w:t>
      </w:r>
      <w:r w:rsidR="00036364" w:rsidRPr="001B1AEF">
        <w:t xml:space="preserve"> BAC +3</w:t>
      </w:r>
      <w:r w:rsidR="009374C8" w:rsidRPr="001B1AEF">
        <w:t xml:space="preserve"> ou 4 et 4,55</w:t>
      </w:r>
      <w:r w:rsidR="00581094">
        <w:t xml:space="preserve"> </w:t>
      </w:r>
      <w:r w:rsidR="009374C8" w:rsidRPr="001B1AEF">
        <w:t xml:space="preserve">% des chômeurs ont un niveau de diplôme </w:t>
      </w:r>
      <w:r w:rsidR="00DF2ECD" w:rsidRPr="001B1AEF">
        <w:t xml:space="preserve">supérieur ou égal </w:t>
      </w:r>
      <w:r w:rsidR="00512E12" w:rsidRPr="001B1AEF">
        <w:t>à BAC+ 5)</w:t>
      </w:r>
      <w:r w:rsidR="009A1D84" w:rsidRPr="001B1AEF">
        <w:t xml:space="preserve">. On en déduit donc qu’il existe une corrélation négative entre le niveau de diplôme et le taux de </w:t>
      </w:r>
      <w:r w:rsidR="006F7886" w:rsidRPr="001B1AEF">
        <w:t>chômage</w:t>
      </w:r>
      <w:r w:rsidR="00040535" w:rsidRPr="001B1AEF">
        <w:t>.</w:t>
      </w:r>
    </w:p>
    <w:p w14:paraId="16FA8C6C" w14:textId="77777777" w:rsidR="00F94B76" w:rsidRDefault="00F94B76" w:rsidP="00AD4A94">
      <w:pPr>
        <w:jc w:val="both"/>
        <w:rPr>
          <w:sz w:val="28"/>
          <w:szCs w:val="28"/>
        </w:rPr>
      </w:pPr>
    </w:p>
    <w:p w14:paraId="39D274EC" w14:textId="77777777" w:rsidR="00F94B76" w:rsidRDefault="00F94B76" w:rsidP="00AD4A94">
      <w:pPr>
        <w:jc w:val="both"/>
        <w:rPr>
          <w:sz w:val="28"/>
          <w:szCs w:val="28"/>
        </w:rPr>
      </w:pPr>
    </w:p>
    <w:p w14:paraId="75F1253A" w14:textId="77777777" w:rsidR="00F94B76" w:rsidRDefault="00F94B76" w:rsidP="00AD4A94">
      <w:pPr>
        <w:jc w:val="both"/>
        <w:rPr>
          <w:sz w:val="28"/>
          <w:szCs w:val="28"/>
        </w:rPr>
      </w:pPr>
    </w:p>
    <w:p w14:paraId="65BDC201" w14:textId="77777777" w:rsidR="00F94B76" w:rsidRDefault="00F94B76" w:rsidP="00AD4A94">
      <w:pPr>
        <w:jc w:val="both"/>
        <w:rPr>
          <w:sz w:val="28"/>
          <w:szCs w:val="28"/>
        </w:rPr>
      </w:pPr>
    </w:p>
    <w:p w14:paraId="1AC287C8" w14:textId="77777777" w:rsidR="009946EF" w:rsidRDefault="009946EF" w:rsidP="00AD4A94">
      <w:pPr>
        <w:jc w:val="both"/>
        <w:rPr>
          <w:sz w:val="28"/>
          <w:szCs w:val="28"/>
        </w:rPr>
        <w:sectPr w:rsidR="009946EF" w:rsidSect="00C67091">
          <w:pgSz w:w="16838" w:h="11906" w:orient="landscape"/>
          <w:pgMar w:top="1418" w:right="1418" w:bottom="1418" w:left="1418" w:header="720" w:footer="720" w:gutter="0"/>
          <w:cols w:num="2" w:space="709"/>
        </w:sectPr>
      </w:pPr>
    </w:p>
    <w:p w14:paraId="18CD2A88" w14:textId="77777777" w:rsidR="008B63C7" w:rsidRDefault="008B63C7" w:rsidP="00AD4A94">
      <w:pPr>
        <w:jc w:val="both"/>
        <w:rPr>
          <w:sz w:val="28"/>
          <w:szCs w:val="28"/>
        </w:rPr>
      </w:pPr>
    </w:p>
    <w:p w14:paraId="1996D9EE" w14:textId="48046E38" w:rsidR="00F94B76" w:rsidRPr="001B1AEF" w:rsidRDefault="006202AC" w:rsidP="00AD4A94">
      <w:pPr>
        <w:jc w:val="both"/>
      </w:pPr>
      <w:r w:rsidRPr="001B1AEF">
        <w:lastRenderedPageBreak/>
        <w:t>En somme nous avons décompos</w:t>
      </w:r>
      <w:r w:rsidR="006A4DB3">
        <w:t>é</w:t>
      </w:r>
      <w:r w:rsidRPr="001B1AEF">
        <w:t xml:space="preserve"> la population </w:t>
      </w:r>
      <w:r w:rsidR="002579E0" w:rsidRPr="001B1AEF">
        <w:t xml:space="preserve">du département des </w:t>
      </w:r>
      <w:r w:rsidR="006C44A3" w:rsidRPr="001B1AEF">
        <w:t>Hautes-Pyrénées</w:t>
      </w:r>
      <w:r w:rsidR="002579E0" w:rsidRPr="001B1AEF">
        <w:t xml:space="preserve"> selon différents critères explicatifs tels que (le sexe, </w:t>
      </w:r>
      <w:r w:rsidR="006C44A3" w:rsidRPr="001B1AEF">
        <w:t>l’âge</w:t>
      </w:r>
      <w:r w:rsidR="0047010A" w:rsidRPr="001B1AEF">
        <w:t>, le ratio de dépendance</w:t>
      </w:r>
      <w:r w:rsidR="006C44A3" w:rsidRPr="001B1AEF">
        <w:t xml:space="preserve"> économique,</w:t>
      </w:r>
      <w:r w:rsidR="0047010A" w:rsidRPr="001B1AEF">
        <w:t xml:space="preserve"> le taux de chômage</w:t>
      </w:r>
      <w:r w:rsidR="006C44A3" w:rsidRPr="001B1AEF">
        <w:t xml:space="preserve">, </w:t>
      </w:r>
      <w:r w:rsidR="0047010A" w:rsidRPr="001B1AEF">
        <w:t xml:space="preserve">le niveau de </w:t>
      </w:r>
      <w:r w:rsidR="006C44A3" w:rsidRPr="001B1AEF">
        <w:t>diplôme…).</w:t>
      </w:r>
    </w:p>
    <w:p w14:paraId="32EA5D1C" w14:textId="774A27B4" w:rsidR="00F7012A" w:rsidRPr="001B1AEF" w:rsidRDefault="00E60A92" w:rsidP="00AD4A94">
      <w:pPr>
        <w:jc w:val="both"/>
      </w:pPr>
      <w:r w:rsidRPr="001B1AEF">
        <w:t>Nous avons pu constater la situation,</w:t>
      </w:r>
      <w:r w:rsidR="00F7012A" w:rsidRPr="001B1AEF">
        <w:t xml:space="preserve"> élaborer un</w:t>
      </w:r>
      <w:r w:rsidRPr="001B1AEF">
        <w:t xml:space="preserve"> portrait du territoire</w:t>
      </w:r>
      <w:r w:rsidR="00F7012A" w:rsidRPr="001B1AEF">
        <w:t>.</w:t>
      </w:r>
      <w:r w:rsidR="0018098A" w:rsidRPr="001B1AEF">
        <w:t xml:space="preserve"> </w:t>
      </w:r>
      <w:r w:rsidR="00F7012A" w:rsidRPr="001B1AEF">
        <w:t xml:space="preserve">La population du département </w:t>
      </w:r>
      <w:r w:rsidR="00D86333" w:rsidRPr="001B1AEF">
        <w:t>vieilli</w:t>
      </w:r>
      <w:r w:rsidR="00BA6E8A">
        <w:t>t</w:t>
      </w:r>
      <w:r w:rsidR="00C624D6" w:rsidRPr="001B1AEF">
        <w:t>, le poids des générations précédentes pèsent de plus en plus sur les nouvelles générations</w:t>
      </w:r>
      <w:r w:rsidR="00C047A1" w:rsidRPr="001B1AEF">
        <w:t>.</w:t>
      </w:r>
      <w:r w:rsidR="00D86333" w:rsidRPr="001B1AEF">
        <w:t xml:space="preserve"> D</w:t>
      </w:r>
      <w:r w:rsidR="00687ACA" w:rsidRPr="001B1AEF">
        <w:t xml:space="preserve">e plus </w:t>
      </w:r>
      <w:r w:rsidR="00C047A1" w:rsidRPr="001B1AEF">
        <w:t>le département</w:t>
      </w:r>
      <w:r w:rsidR="00687ACA" w:rsidRPr="001B1AEF">
        <w:t xml:space="preserve"> affiche un taux de chômage très élevé</w:t>
      </w:r>
      <w:r w:rsidR="00C047A1" w:rsidRPr="001B1AEF">
        <w:t xml:space="preserve">, </w:t>
      </w:r>
      <w:r w:rsidR="00687ACA" w:rsidRPr="001B1AEF">
        <w:t xml:space="preserve">notamment chez les jeunes. </w:t>
      </w:r>
      <w:r w:rsidR="0018098A" w:rsidRPr="001B1AEF">
        <w:t>Ajouter à</w:t>
      </w:r>
      <w:r w:rsidR="007E3173">
        <w:t xml:space="preserve"> cela</w:t>
      </w:r>
      <w:r w:rsidR="0018098A" w:rsidRPr="001B1AEF">
        <w:t xml:space="preserve"> </w:t>
      </w:r>
      <w:r w:rsidR="00DB4AB4" w:rsidRPr="001B1AEF">
        <w:t>« être chômeur »</w:t>
      </w:r>
      <w:r w:rsidR="0018098A" w:rsidRPr="001B1AEF">
        <w:t xml:space="preserve"> semble lié </w:t>
      </w:r>
      <w:r w:rsidR="00DB4AB4" w:rsidRPr="001B1AEF">
        <w:t>au niveau de diplôme.</w:t>
      </w:r>
    </w:p>
    <w:p w14:paraId="3FF486FA" w14:textId="37B48AEC" w:rsidR="00DB4AB4" w:rsidRPr="001B1AEF" w:rsidRDefault="004F31BE" w:rsidP="00AD4A94">
      <w:pPr>
        <w:jc w:val="both"/>
      </w:pPr>
      <w:r w:rsidRPr="001B1AEF">
        <w:t xml:space="preserve">Pour </w:t>
      </w:r>
      <w:r w:rsidR="00874B9B" w:rsidRPr="001B1AEF">
        <w:t>inverser la tendance du vieillissement de la population il serait possible d’opter pour une politique nataliste ayant pour but de relancer la natalité.</w:t>
      </w:r>
      <w:r w:rsidR="0074745E" w:rsidRPr="001B1AEF">
        <w:t xml:space="preserve"> A long terme cela peut contribuer à </w:t>
      </w:r>
      <w:r w:rsidR="00F0347B" w:rsidRPr="001B1AEF">
        <w:t xml:space="preserve">la diminution du ratio de dépendance économique et donc </w:t>
      </w:r>
      <w:r w:rsidR="001B1AEF" w:rsidRPr="001B1AEF">
        <w:t>relâcher</w:t>
      </w:r>
      <w:r w:rsidR="00F0347B" w:rsidRPr="001B1AEF">
        <w:t xml:space="preserve"> la pression sur les jeunes générations.</w:t>
      </w:r>
    </w:p>
    <w:p w14:paraId="63060EF9" w14:textId="12AC06A7" w:rsidR="00F0347B" w:rsidRPr="001B1AEF" w:rsidRDefault="00F0347B" w:rsidP="00AD4A94">
      <w:pPr>
        <w:jc w:val="both"/>
      </w:pPr>
      <w:r w:rsidRPr="001B1AEF">
        <w:t>D’autre</w:t>
      </w:r>
      <w:r w:rsidR="00644FDC">
        <w:t xml:space="preserve"> </w:t>
      </w:r>
      <w:r w:rsidRPr="001B1AEF">
        <w:t xml:space="preserve">part, </w:t>
      </w:r>
      <w:r w:rsidR="00CB0705" w:rsidRPr="001B1AEF">
        <w:t xml:space="preserve">il serait intéressant de </w:t>
      </w:r>
      <w:r w:rsidR="008B63C7" w:rsidRPr="001B1AEF">
        <w:t>faciliter</w:t>
      </w:r>
      <w:r w:rsidR="00CB0705" w:rsidRPr="001B1AEF">
        <w:t xml:space="preserve"> l’insertion professionnelle des jeunes</w:t>
      </w:r>
      <w:r w:rsidR="00906624" w:rsidRPr="001B1AEF">
        <w:t xml:space="preserve"> n’ayant pas de diplôme.</w:t>
      </w:r>
    </w:p>
    <w:p w14:paraId="4DE9ED45" w14:textId="77777777" w:rsidR="008B63C7" w:rsidRDefault="008B63C7" w:rsidP="00AD4A94">
      <w:pPr>
        <w:jc w:val="both"/>
        <w:rPr>
          <w:sz w:val="28"/>
          <w:szCs w:val="28"/>
        </w:rPr>
      </w:pPr>
    </w:p>
    <w:p w14:paraId="2F05CBF6" w14:textId="77777777" w:rsidR="008B63C7" w:rsidRDefault="008B63C7" w:rsidP="00AD4A94">
      <w:pPr>
        <w:jc w:val="both"/>
        <w:rPr>
          <w:sz w:val="28"/>
          <w:szCs w:val="28"/>
        </w:rPr>
      </w:pPr>
    </w:p>
    <w:p w14:paraId="07BFC125" w14:textId="77777777" w:rsidR="00F94B76" w:rsidRPr="00AD4A94" w:rsidRDefault="00F94B76" w:rsidP="00AD4A94">
      <w:pPr>
        <w:jc w:val="both"/>
        <w:rPr>
          <w:sz w:val="28"/>
          <w:szCs w:val="28"/>
        </w:rPr>
      </w:pPr>
    </w:p>
    <w:sectPr w:rsidR="00F94B76" w:rsidRPr="00AD4A94" w:rsidSect="009946EF">
      <w:type w:val="continuous"/>
      <w:pgSz w:w="16838" w:h="11906" w:orient="landscape"/>
      <w:pgMar w:top="1418"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FF614" w14:textId="77777777" w:rsidR="00950F49" w:rsidRDefault="00950F49">
      <w:pPr>
        <w:spacing w:after="0" w:line="240" w:lineRule="auto"/>
      </w:pPr>
      <w:r>
        <w:separator/>
      </w:r>
    </w:p>
  </w:endnote>
  <w:endnote w:type="continuationSeparator" w:id="0">
    <w:p w14:paraId="2560F142" w14:textId="77777777" w:rsidR="00950F49" w:rsidRDefault="0095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3154A" w14:textId="77777777" w:rsidR="00950F49" w:rsidRDefault="00950F49">
      <w:pPr>
        <w:spacing w:after="0" w:line="240" w:lineRule="auto"/>
      </w:pPr>
      <w:r>
        <w:rPr>
          <w:color w:val="000000"/>
        </w:rPr>
        <w:separator/>
      </w:r>
    </w:p>
  </w:footnote>
  <w:footnote w:type="continuationSeparator" w:id="0">
    <w:p w14:paraId="1F07BA69" w14:textId="77777777" w:rsidR="00950F49" w:rsidRDefault="00950F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098"/>
    <w:rsid w:val="00022298"/>
    <w:rsid w:val="0002290C"/>
    <w:rsid w:val="00036364"/>
    <w:rsid w:val="00040535"/>
    <w:rsid w:val="00043260"/>
    <w:rsid w:val="00072CBC"/>
    <w:rsid w:val="00092AD5"/>
    <w:rsid w:val="000A6006"/>
    <w:rsid w:val="000B134E"/>
    <w:rsid w:val="000C30F4"/>
    <w:rsid w:val="001350B9"/>
    <w:rsid w:val="00167C6C"/>
    <w:rsid w:val="001727CD"/>
    <w:rsid w:val="0018098A"/>
    <w:rsid w:val="001A7868"/>
    <w:rsid w:val="001B1AEF"/>
    <w:rsid w:val="001F5BC6"/>
    <w:rsid w:val="00211573"/>
    <w:rsid w:val="00225B64"/>
    <w:rsid w:val="002265C9"/>
    <w:rsid w:val="002579E0"/>
    <w:rsid w:val="0027078B"/>
    <w:rsid w:val="00293541"/>
    <w:rsid w:val="002C22CB"/>
    <w:rsid w:val="002D713B"/>
    <w:rsid w:val="0030129F"/>
    <w:rsid w:val="00324A3D"/>
    <w:rsid w:val="0033240E"/>
    <w:rsid w:val="0036138E"/>
    <w:rsid w:val="003C2FE7"/>
    <w:rsid w:val="003D3907"/>
    <w:rsid w:val="003E301A"/>
    <w:rsid w:val="00422203"/>
    <w:rsid w:val="00427098"/>
    <w:rsid w:val="004407EE"/>
    <w:rsid w:val="0047010A"/>
    <w:rsid w:val="00475976"/>
    <w:rsid w:val="0047765E"/>
    <w:rsid w:val="00491632"/>
    <w:rsid w:val="004B2FA0"/>
    <w:rsid w:val="004E032A"/>
    <w:rsid w:val="004F31BE"/>
    <w:rsid w:val="00512E12"/>
    <w:rsid w:val="00581094"/>
    <w:rsid w:val="005E2297"/>
    <w:rsid w:val="005F33D0"/>
    <w:rsid w:val="005F5352"/>
    <w:rsid w:val="006202AC"/>
    <w:rsid w:val="00622ED9"/>
    <w:rsid w:val="00626148"/>
    <w:rsid w:val="00644FDC"/>
    <w:rsid w:val="00650713"/>
    <w:rsid w:val="00661737"/>
    <w:rsid w:val="00687ACA"/>
    <w:rsid w:val="00693A7C"/>
    <w:rsid w:val="006A4DB3"/>
    <w:rsid w:val="006C44A3"/>
    <w:rsid w:val="006E47F1"/>
    <w:rsid w:val="006F24E1"/>
    <w:rsid w:val="006F7886"/>
    <w:rsid w:val="007176D6"/>
    <w:rsid w:val="00746C13"/>
    <w:rsid w:val="0074745E"/>
    <w:rsid w:val="00751898"/>
    <w:rsid w:val="007573C9"/>
    <w:rsid w:val="00763A9C"/>
    <w:rsid w:val="00777F76"/>
    <w:rsid w:val="0078167E"/>
    <w:rsid w:val="007B7E2B"/>
    <w:rsid w:val="007D1B2E"/>
    <w:rsid w:val="007E3173"/>
    <w:rsid w:val="007F1F0C"/>
    <w:rsid w:val="00826932"/>
    <w:rsid w:val="00854852"/>
    <w:rsid w:val="00855B87"/>
    <w:rsid w:val="008644D9"/>
    <w:rsid w:val="00874B9B"/>
    <w:rsid w:val="008875B8"/>
    <w:rsid w:val="008B63C7"/>
    <w:rsid w:val="008C627F"/>
    <w:rsid w:val="008D7064"/>
    <w:rsid w:val="008D7170"/>
    <w:rsid w:val="008E45C9"/>
    <w:rsid w:val="008F3811"/>
    <w:rsid w:val="00906624"/>
    <w:rsid w:val="009141F7"/>
    <w:rsid w:val="009374C8"/>
    <w:rsid w:val="00947045"/>
    <w:rsid w:val="00950F49"/>
    <w:rsid w:val="0095762F"/>
    <w:rsid w:val="009946EF"/>
    <w:rsid w:val="009A1D84"/>
    <w:rsid w:val="009B6DDD"/>
    <w:rsid w:val="009C7A2B"/>
    <w:rsid w:val="009D672A"/>
    <w:rsid w:val="009E5406"/>
    <w:rsid w:val="00A74B72"/>
    <w:rsid w:val="00AB23F0"/>
    <w:rsid w:val="00AC05E5"/>
    <w:rsid w:val="00AC21EA"/>
    <w:rsid w:val="00AD4A94"/>
    <w:rsid w:val="00AD713E"/>
    <w:rsid w:val="00AD7720"/>
    <w:rsid w:val="00AF7C46"/>
    <w:rsid w:val="00B13838"/>
    <w:rsid w:val="00B612F4"/>
    <w:rsid w:val="00B643F9"/>
    <w:rsid w:val="00B654A9"/>
    <w:rsid w:val="00B7215F"/>
    <w:rsid w:val="00BA506D"/>
    <w:rsid w:val="00BA6E8A"/>
    <w:rsid w:val="00C047A1"/>
    <w:rsid w:val="00C403A9"/>
    <w:rsid w:val="00C43572"/>
    <w:rsid w:val="00C624D6"/>
    <w:rsid w:val="00C67091"/>
    <w:rsid w:val="00C7482D"/>
    <w:rsid w:val="00CA647C"/>
    <w:rsid w:val="00CB0705"/>
    <w:rsid w:val="00D10C41"/>
    <w:rsid w:val="00D442D4"/>
    <w:rsid w:val="00D54169"/>
    <w:rsid w:val="00D616A2"/>
    <w:rsid w:val="00D70F63"/>
    <w:rsid w:val="00D7489D"/>
    <w:rsid w:val="00D86333"/>
    <w:rsid w:val="00D953D4"/>
    <w:rsid w:val="00DB1D56"/>
    <w:rsid w:val="00DB4AB4"/>
    <w:rsid w:val="00DD6F12"/>
    <w:rsid w:val="00DF2ECD"/>
    <w:rsid w:val="00E20BB8"/>
    <w:rsid w:val="00E218F7"/>
    <w:rsid w:val="00E60A92"/>
    <w:rsid w:val="00E66D4C"/>
    <w:rsid w:val="00E81056"/>
    <w:rsid w:val="00E83BF4"/>
    <w:rsid w:val="00EC3151"/>
    <w:rsid w:val="00F0347B"/>
    <w:rsid w:val="00F52B04"/>
    <w:rsid w:val="00F7012A"/>
    <w:rsid w:val="00F8277A"/>
    <w:rsid w:val="00F94B76"/>
    <w:rsid w:val="00FD1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7548"/>
  <w15:docId w15:val="{ACC03C11-4CB7-42F0-8003-160877A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fr-FR"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re7">
    <w:name w:val="heading 7"/>
    <w:basedOn w:val="Normal"/>
    <w:next w:val="Normal"/>
    <w:pPr>
      <w:keepNext/>
      <w:keepLines/>
      <w:spacing w:before="40" w:after="0"/>
      <w:outlineLvl w:val="6"/>
    </w:pPr>
    <w:rPr>
      <w:rFonts w:eastAsia="Times New Roman"/>
      <w:color w:val="595959"/>
    </w:rPr>
  </w:style>
  <w:style w:type="paragraph" w:styleId="Titre8">
    <w:name w:val="heading 8"/>
    <w:basedOn w:val="Normal"/>
    <w:next w:val="Normal"/>
    <w:pPr>
      <w:keepNext/>
      <w:keepLines/>
      <w:spacing w:after="0"/>
      <w:outlineLvl w:val="7"/>
    </w:pPr>
    <w:rPr>
      <w:rFonts w:eastAsia="Times New Roman"/>
      <w:i/>
      <w:iCs/>
      <w:color w:val="272727"/>
    </w:rPr>
  </w:style>
  <w:style w:type="paragraph" w:styleId="Titre9">
    <w:name w:val="heading 9"/>
    <w:basedOn w:val="Normal"/>
    <w:next w:val="Normal"/>
    <w:pPr>
      <w:keepNext/>
      <w:keepLines/>
      <w:spacing w:after="0"/>
      <w:outlineLvl w:val="8"/>
    </w:pPr>
    <w:rPr>
      <w:rFonts w:eastAsia="Times New Roman"/>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17024">
      <w:bodyDiv w:val="1"/>
      <w:marLeft w:val="0"/>
      <w:marRight w:val="0"/>
      <w:marTop w:val="0"/>
      <w:marBottom w:val="0"/>
      <w:divBdr>
        <w:top w:val="none" w:sz="0" w:space="0" w:color="auto"/>
        <w:left w:val="none" w:sz="0" w:space="0" w:color="auto"/>
        <w:bottom w:val="none" w:sz="0" w:space="0" w:color="auto"/>
        <w:right w:val="none" w:sz="0" w:space="0" w:color="auto"/>
      </w:divBdr>
    </w:div>
    <w:div w:id="173592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etuunivpoitiersfr-my.sharepoint.com/personal/constant_audibert_etu_univ-poitiers_fr/Documents/SAE%20Apprendre%20en%20situation%20la%20production%20de%20donn&#233;es%20en%20entreprise/Hautes-Pyr&#233;n&#233;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tuunivpoitiersfr-my.sharepoint.com/personal/constant_audibert_etu_univ-poitiers_fr/Documents/SAE%20Apprendre%20en%20situation%20la%20production%20de%20donn&#233;es%20en%20entreprise/Hautes-Pyr&#233;n&#233;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tuunivpoitiersfr-my.sharepoint.com/personal/constant_audibert_etu_univ-poitiers_fr/Documents/SAE%20Apprendre%20en%20situation%20la%20production%20de%20donn&#233;es%20en%20entreprise/emplo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tuunivpoitiersfr-my.sharepoint.com/personal/constant_audibert_etu_univ-poitiers_fr/Documents/SAE%20Apprendre%20en%20situation%20la%20production%20de%20donn&#233;es%20en%20entreprise/emplo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Pyramides</a:t>
            </a:r>
            <a:r>
              <a:rPr lang="fr-FR" baseline="0"/>
              <a:t> des âges du département des Hautes-Pyrénées(65)</a:t>
            </a:r>
            <a:endParaRPr lang="fr-FR"/>
          </a:p>
        </c:rich>
      </c:tx>
      <c:layout>
        <c:manualLayout>
          <c:xMode val="edge"/>
          <c:yMode val="edge"/>
          <c:x val="0.1618611111111111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tx>
            <c:v>Hommes</c:v>
          </c:tx>
          <c:spPr>
            <a:solidFill>
              <a:schemeClr val="accent2">
                <a:shade val="76000"/>
              </a:schemeClr>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'[Hautes-Pyrénées.xlsx]échantillon représentatif HP 21'!$F$33:$L$33</c:f>
              <c:strCache>
                <c:ptCount val="7"/>
                <c:pt idx="0">
                  <c:v> 0-14 ans</c:v>
                </c:pt>
                <c:pt idx="1">
                  <c:v> 15-29 ans </c:v>
                </c:pt>
                <c:pt idx="2">
                  <c:v> 30-44 ans </c:v>
                </c:pt>
                <c:pt idx="3">
                  <c:v> 45-59 ans</c:v>
                </c:pt>
                <c:pt idx="4">
                  <c:v> 60-74 ans</c:v>
                </c:pt>
                <c:pt idx="5">
                  <c:v> 75-89 ans</c:v>
                </c:pt>
                <c:pt idx="6">
                  <c:v> 90 ans ou +</c:v>
                </c:pt>
              </c:strCache>
            </c:strRef>
          </c:cat>
          <c:val>
            <c:numRef>
              <c:f>'[Hautes-Pyrénées.xlsx]échantillon représentatif HP 21'!$C$71:$I$71</c:f>
              <c:numCache>
                <c:formatCode>0%</c:formatCode>
                <c:ptCount val="7"/>
                <c:pt idx="0">
                  <c:v>-7.1165142819715144E-2</c:v>
                </c:pt>
                <c:pt idx="1">
                  <c:v>-9.28695656497949E-2</c:v>
                </c:pt>
                <c:pt idx="2">
                  <c:v>-7.4256746254801193E-2</c:v>
                </c:pt>
                <c:pt idx="3">
                  <c:v>-9.0462768204880112E-2</c:v>
                </c:pt>
                <c:pt idx="4">
                  <c:v>-9.0903910474972136E-2</c:v>
                </c:pt>
                <c:pt idx="5">
                  <c:v>-4.5794422419819618E-2</c:v>
                </c:pt>
                <c:pt idx="6">
                  <c:v>-5.7270318146658639E-3</c:v>
                </c:pt>
              </c:numCache>
            </c:numRef>
          </c:val>
          <c:extLst>
            <c:ext xmlns:c16="http://schemas.microsoft.com/office/drawing/2014/chart" uri="{C3380CC4-5D6E-409C-BE32-E72D297353CC}">
              <c16:uniqueId val="{00000000-0985-4A0E-8B3D-C1EEECEF3CA2}"/>
            </c:ext>
          </c:extLst>
        </c:ser>
        <c:ser>
          <c:idx val="1"/>
          <c:order val="1"/>
          <c:tx>
            <c:v>Femmes</c:v>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'[Hautes-Pyrénées.xlsx]échantillon représentatif HP 21'!$F$33:$L$33</c:f>
              <c:strCache>
                <c:ptCount val="7"/>
                <c:pt idx="0">
                  <c:v> 0-14 ans</c:v>
                </c:pt>
                <c:pt idx="1">
                  <c:v> 15-29 ans </c:v>
                </c:pt>
                <c:pt idx="2">
                  <c:v> 30-44 ans </c:v>
                </c:pt>
                <c:pt idx="3">
                  <c:v> 45-59 ans</c:v>
                </c:pt>
                <c:pt idx="4">
                  <c:v> 60-74 ans</c:v>
                </c:pt>
                <c:pt idx="5">
                  <c:v> 75-89 ans</c:v>
                </c:pt>
                <c:pt idx="6">
                  <c:v> 90 ans ou +</c:v>
                </c:pt>
              </c:strCache>
            </c:strRef>
          </c:cat>
          <c:val>
            <c:numRef>
              <c:f>'[Hautes-Pyrénées.xlsx]échantillon représentatif HP 21'!$C$70:$I$70</c:f>
              <c:numCache>
                <c:formatCode>0%</c:formatCode>
                <c:ptCount val="7"/>
                <c:pt idx="0">
                  <c:v>6.7018436501407597E-2</c:v>
                </c:pt>
                <c:pt idx="1">
                  <c:v>7.9662964784683057E-2</c:v>
                </c:pt>
                <c:pt idx="2">
                  <c:v>7.7873891553175437E-2</c:v>
                </c:pt>
                <c:pt idx="3">
                  <c:v>0.10390831759119085</c:v>
                </c:pt>
                <c:pt idx="4">
                  <c:v>0.10932526365511289</c:v>
                </c:pt>
                <c:pt idx="5">
                  <c:v>7.2795358563886844E-2</c:v>
                </c:pt>
                <c:pt idx="6">
                  <c:v>1.8236179711894483E-2</c:v>
                </c:pt>
              </c:numCache>
            </c:numRef>
          </c:val>
          <c:extLst>
            <c:ext xmlns:c16="http://schemas.microsoft.com/office/drawing/2014/chart" uri="{C3380CC4-5D6E-409C-BE32-E72D297353CC}">
              <c16:uniqueId val="{00000001-0985-4A0E-8B3D-C1EEECEF3CA2}"/>
            </c:ext>
          </c:extLst>
        </c:ser>
        <c:dLbls>
          <c:showLegendKey val="0"/>
          <c:showVal val="0"/>
          <c:showCatName val="0"/>
          <c:showSerName val="0"/>
          <c:showPercent val="0"/>
          <c:showBubbleSize val="0"/>
        </c:dLbls>
        <c:gapWidth val="182"/>
        <c:overlap val="100"/>
        <c:axId val="1203466944"/>
        <c:axId val="1203463584"/>
      </c:barChart>
      <c:catAx>
        <c:axId val="1203466944"/>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03463584"/>
        <c:crosses val="autoZero"/>
        <c:auto val="1"/>
        <c:lblAlgn val="ctr"/>
        <c:lblOffset val="100"/>
        <c:noMultiLvlLbl val="0"/>
      </c:catAx>
      <c:valAx>
        <c:axId val="1203463584"/>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03466944"/>
        <c:crosses val="autoZero"/>
        <c:crossBetween val="between"/>
      </c:valAx>
      <c:spPr>
        <a:noFill/>
        <a:ln>
          <a:noFill/>
        </a:ln>
        <a:effectLst/>
      </c:spPr>
    </c:plotArea>
    <c:legend>
      <c:legendPos val="b"/>
      <c:layout>
        <c:manualLayout>
          <c:xMode val="edge"/>
          <c:yMode val="edge"/>
          <c:x val="0.39917388451443564"/>
          <c:y val="0.85492745698454364"/>
          <c:w val="0.32387423447069119"/>
          <c:h val="0.13118365412656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400" b="0" i="0" u="none" strike="noStrike" kern="1200" spc="0" baseline="0">
                <a:solidFill>
                  <a:sysClr val="windowText" lastClr="000000">
                    <a:lumMod val="65000"/>
                    <a:lumOff val="35000"/>
                  </a:sysClr>
                </a:solidFill>
              </a:rPr>
              <a:t>Taux de dépendance économique de 11 villes du département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fr-F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barChart>
        <c:barDir val="bar"/>
        <c:grouping val="clustered"/>
        <c:varyColors val="0"/>
        <c:ser>
          <c:idx val="0"/>
          <c:order val="0"/>
          <c:spPr>
            <a:solidFill>
              <a:schemeClr val="accent2"/>
            </a:solidFill>
            <a:ln>
              <a:noFill/>
            </a:ln>
            <a:effectLst/>
          </c:spPr>
          <c:invertIfNegative val="0"/>
          <c:dPt>
            <c:idx val="20"/>
            <c:invertIfNegative val="0"/>
            <c:bubble3D val="0"/>
            <c:spPr>
              <a:solidFill>
                <a:schemeClr val="accent2">
                  <a:lumMod val="75000"/>
                </a:schemeClr>
              </a:solidFill>
              <a:ln>
                <a:noFill/>
              </a:ln>
              <a:effectLst/>
            </c:spPr>
            <c:extLst>
              <c:ext xmlns:c16="http://schemas.microsoft.com/office/drawing/2014/chart" uri="{C3380CC4-5D6E-409C-BE32-E72D297353CC}">
                <c16:uniqueId val="{00000001-F190-49A3-B22A-A195BE3318F7}"/>
              </c:ext>
            </c:extLst>
          </c:dPt>
          <c:dPt>
            <c:idx val="24"/>
            <c:invertIfNegative val="0"/>
            <c:bubble3D val="0"/>
            <c:spPr>
              <a:solidFill>
                <a:srgbClr val="002060"/>
              </a:solidFill>
              <a:ln>
                <a:noFill/>
              </a:ln>
              <a:effectLst/>
            </c:spPr>
            <c:extLst>
              <c:ext xmlns:c16="http://schemas.microsoft.com/office/drawing/2014/chart" uri="{C3380CC4-5D6E-409C-BE32-E72D297353CC}">
                <c16:uniqueId val="{00000003-F190-49A3-B22A-A195BE3318F7}"/>
              </c:ext>
            </c:extLst>
          </c:dPt>
          <c:cat>
            <c:strRef>
              <c:f>'[Hautes-Pyrénées.xlsx]Feuil1'!$A$1:$A$25</c:f>
              <c:strCache>
                <c:ptCount val="25"/>
                <c:pt idx="0">
                  <c:v>Argelès-Gazost</c:v>
                </c:pt>
                <c:pt idx="2">
                  <c:v>Maubourguet</c:v>
                </c:pt>
                <c:pt idx="4">
                  <c:v>Lourdes</c:v>
                </c:pt>
                <c:pt idx="6">
                  <c:v>Rabastens-de-Bigorre</c:v>
                </c:pt>
                <c:pt idx="8">
                  <c:v>Odos</c:v>
                </c:pt>
                <c:pt idx="10">
                  <c:v>Lannemezan</c:v>
                </c:pt>
                <c:pt idx="12">
                  <c:v>Séméac</c:v>
                </c:pt>
                <c:pt idx="14">
                  <c:v>Bazet</c:v>
                </c:pt>
                <c:pt idx="16">
                  <c:v>Juillan</c:v>
                </c:pt>
                <c:pt idx="18">
                  <c:v>La Barthe-de-Neste</c:v>
                </c:pt>
                <c:pt idx="20">
                  <c:v>Département</c:v>
                </c:pt>
                <c:pt idx="22">
                  <c:v>Laloubère</c:v>
                </c:pt>
                <c:pt idx="24">
                  <c:v>Nationale</c:v>
                </c:pt>
              </c:strCache>
            </c:strRef>
          </c:cat>
          <c:val>
            <c:numRef>
              <c:f>'[Hautes-Pyrénées.xlsx]Feuil1'!$B$1:$B$25</c:f>
              <c:numCache>
                <c:formatCode>General</c:formatCode>
                <c:ptCount val="25"/>
                <c:pt idx="0" formatCode="0.00%">
                  <c:v>1.1948657704404222</c:v>
                </c:pt>
                <c:pt idx="2" formatCode="0.00%">
                  <c:v>0.91700444917668933</c:v>
                </c:pt>
                <c:pt idx="4" formatCode="0.00%">
                  <c:v>0.8351874501568477</c:v>
                </c:pt>
                <c:pt idx="6" formatCode="0.00%">
                  <c:v>0.81981686093385986</c:v>
                </c:pt>
                <c:pt idx="8" formatCode="0.00%">
                  <c:v>0.74775927243957163</c:v>
                </c:pt>
                <c:pt idx="10" formatCode="0.00%">
                  <c:v>0.72772396584994448</c:v>
                </c:pt>
                <c:pt idx="12" formatCode="0.00%">
                  <c:v>0.71282381012068574</c:v>
                </c:pt>
                <c:pt idx="14" formatCode="0.00%">
                  <c:v>0.69415413411154936</c:v>
                </c:pt>
                <c:pt idx="16" formatCode="0.00%">
                  <c:v>0.68350674396825506</c:v>
                </c:pt>
                <c:pt idx="18" formatCode="0.00%">
                  <c:v>0.67005635291752674</c:v>
                </c:pt>
                <c:pt idx="20" formatCode="0.00%">
                  <c:v>0.66042301442191242</c:v>
                </c:pt>
                <c:pt idx="22" formatCode="0.00%">
                  <c:v>0.64132597652999057</c:v>
                </c:pt>
                <c:pt idx="24" formatCode="0.00%">
                  <c:v>0.374</c:v>
                </c:pt>
              </c:numCache>
            </c:numRef>
          </c:val>
          <c:extLst>
            <c:ext xmlns:c16="http://schemas.microsoft.com/office/drawing/2014/chart" uri="{C3380CC4-5D6E-409C-BE32-E72D297353CC}">
              <c16:uniqueId val="{00000004-F190-49A3-B22A-A195BE3318F7}"/>
            </c:ext>
          </c:extLst>
        </c:ser>
        <c:dLbls>
          <c:showLegendKey val="0"/>
          <c:showVal val="0"/>
          <c:showCatName val="0"/>
          <c:showSerName val="0"/>
          <c:showPercent val="0"/>
          <c:showBubbleSize val="0"/>
        </c:dLbls>
        <c:gapWidth val="182"/>
        <c:axId val="1066051807"/>
        <c:axId val="1066047007"/>
      </c:barChart>
      <c:catAx>
        <c:axId val="1066051807"/>
        <c:scaling>
          <c:orientation val="minMax"/>
        </c:scaling>
        <c:delete val="0"/>
        <c:axPos val="l"/>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6047007"/>
        <c:crosses val="autoZero"/>
        <c:auto val="1"/>
        <c:lblAlgn val="ctr"/>
        <c:lblOffset val="100"/>
        <c:noMultiLvlLbl val="0"/>
      </c:catAx>
      <c:valAx>
        <c:axId val="1066047007"/>
        <c:scaling>
          <c:orientation val="minMax"/>
          <c:max val="1.2"/>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66051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a:t>
            </a:r>
            <a:r>
              <a:rPr lang="fr-FR" baseline="0"/>
              <a:t> de chômage en fonction de la tranche d'âge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Feuil2!$Q$32</c:f>
              <c:strCache>
                <c:ptCount val="1"/>
                <c:pt idx="0">
                  <c:v>15-24</c:v>
                </c:pt>
              </c:strCache>
            </c:strRef>
          </c:tx>
          <c:spPr>
            <a:solidFill>
              <a:schemeClr val="accent2">
                <a:tint val="65000"/>
              </a:schemeClr>
            </a:solidFill>
            <a:ln>
              <a:noFill/>
            </a:ln>
            <a:effectLst/>
          </c:spPr>
          <c:invertIfNegative val="0"/>
          <c:cat>
            <c:strRef>
              <c:f>Feuil2!$P$33:$P$57</c:f>
              <c:strCache>
                <c:ptCount val="25"/>
                <c:pt idx="0">
                  <c:v>Tarbes</c:v>
                </c:pt>
                <c:pt idx="1">
                  <c:v>Lourdes</c:v>
                </c:pt>
                <c:pt idx="2">
                  <c:v>Aureilhan</c:v>
                </c:pt>
                <c:pt idx="3">
                  <c:v>Bagnères-de-Bigorre</c:v>
                </c:pt>
                <c:pt idx="4">
                  <c:v>Lannemezan</c:v>
                </c:pt>
                <c:pt idx="5">
                  <c:v>Vic-en-Bigorre</c:v>
                </c:pt>
                <c:pt idx="6">
                  <c:v>Bordères-sur-l'Échez</c:v>
                </c:pt>
                <c:pt idx="7">
                  <c:v>Séméac</c:v>
                </c:pt>
                <c:pt idx="8">
                  <c:v>Juillan</c:v>
                </c:pt>
                <c:pt idx="9">
                  <c:v>Barbazan-Debat</c:v>
                </c:pt>
                <c:pt idx="10">
                  <c:v>Odos</c:v>
                </c:pt>
                <c:pt idx="11">
                  <c:v>Soues</c:v>
                </c:pt>
                <c:pt idx="12">
                  <c:v>Argelès-Gazost</c:v>
                </c:pt>
                <c:pt idx="13">
                  <c:v>Ibos</c:v>
                </c:pt>
                <c:pt idx="14">
                  <c:v>Maubourguet</c:v>
                </c:pt>
                <c:pt idx="15">
                  <c:v>Ossun</c:v>
                </c:pt>
                <c:pt idx="16">
                  <c:v>Orleix</c:v>
                </c:pt>
                <c:pt idx="17">
                  <c:v>Laloubère</c:v>
                </c:pt>
                <c:pt idx="18">
                  <c:v>Bazet</c:v>
                </c:pt>
                <c:pt idx="19">
                  <c:v>Rabastens-de-Bigorre</c:v>
                </c:pt>
                <c:pt idx="20">
                  <c:v>Campan</c:v>
                </c:pt>
                <c:pt idx="21">
                  <c:v>Capvern</c:v>
                </c:pt>
                <c:pt idx="22">
                  <c:v>Tournay</c:v>
                </c:pt>
                <c:pt idx="23">
                  <c:v>La Barthe-de-Neste</c:v>
                </c:pt>
                <c:pt idx="24">
                  <c:v>Oursbelille</c:v>
                </c:pt>
              </c:strCache>
            </c:strRef>
          </c:cat>
          <c:val>
            <c:numRef>
              <c:f>Feuil2!$Q$33:$Q$57</c:f>
              <c:numCache>
                <c:formatCode>0.00%</c:formatCode>
                <c:ptCount val="25"/>
                <c:pt idx="0">
                  <c:v>0.25033450152497982</c:v>
                </c:pt>
                <c:pt idx="1">
                  <c:v>0.29387541809102374</c:v>
                </c:pt>
                <c:pt idx="2">
                  <c:v>0.26515383637395235</c:v>
                </c:pt>
                <c:pt idx="3">
                  <c:v>0.29527949189986696</c:v>
                </c:pt>
                <c:pt idx="4">
                  <c:v>0.22221876433451562</c:v>
                </c:pt>
                <c:pt idx="5">
                  <c:v>0.33469408912719495</c:v>
                </c:pt>
                <c:pt idx="6">
                  <c:v>0.20202399245808123</c:v>
                </c:pt>
                <c:pt idx="7">
                  <c:v>0.31294522733051111</c:v>
                </c:pt>
                <c:pt idx="8">
                  <c:v>0.23659710361966985</c:v>
                </c:pt>
                <c:pt idx="9">
                  <c:v>0.276830290650667</c:v>
                </c:pt>
                <c:pt idx="10">
                  <c:v>0.28176608362601474</c:v>
                </c:pt>
                <c:pt idx="11">
                  <c:v>0.20523118612081478</c:v>
                </c:pt>
                <c:pt idx="12">
                  <c:v>0.29993531538491586</c:v>
                </c:pt>
                <c:pt idx="13">
                  <c:v>0.22940023013913302</c:v>
                </c:pt>
                <c:pt idx="14">
                  <c:v>0.33154093345773911</c:v>
                </c:pt>
                <c:pt idx="15">
                  <c:v>0.20987483882056118</c:v>
                </c:pt>
                <c:pt idx="16">
                  <c:v>0.18086673472450959</c:v>
                </c:pt>
                <c:pt idx="17">
                  <c:v>0.16645619667217301</c:v>
                </c:pt>
                <c:pt idx="18">
                  <c:v>0.19278956139209497</c:v>
                </c:pt>
                <c:pt idx="19">
                  <c:v>0.32423306305503202</c:v>
                </c:pt>
                <c:pt idx="20">
                  <c:v>0.26239389011536896</c:v>
                </c:pt>
                <c:pt idx="21">
                  <c:v>0.18502601669533295</c:v>
                </c:pt>
                <c:pt idx="22">
                  <c:v>0.30723829814139458</c:v>
                </c:pt>
                <c:pt idx="23">
                  <c:v>0.30877734834930926</c:v>
                </c:pt>
                <c:pt idx="24">
                  <c:v>0.21251418855953272</c:v>
                </c:pt>
              </c:numCache>
            </c:numRef>
          </c:val>
          <c:extLst>
            <c:ext xmlns:c16="http://schemas.microsoft.com/office/drawing/2014/chart" uri="{C3380CC4-5D6E-409C-BE32-E72D297353CC}">
              <c16:uniqueId val="{00000000-0F8E-4240-8F67-4735706D0C20}"/>
            </c:ext>
          </c:extLst>
        </c:ser>
        <c:ser>
          <c:idx val="1"/>
          <c:order val="1"/>
          <c:tx>
            <c:strRef>
              <c:f>Feuil2!$R$32</c:f>
              <c:strCache>
                <c:ptCount val="1"/>
                <c:pt idx="0">
                  <c:v>25-54</c:v>
                </c:pt>
              </c:strCache>
            </c:strRef>
          </c:tx>
          <c:spPr>
            <a:solidFill>
              <a:schemeClr val="accent2"/>
            </a:solidFill>
            <a:ln>
              <a:noFill/>
            </a:ln>
            <a:effectLst/>
          </c:spPr>
          <c:invertIfNegative val="0"/>
          <c:cat>
            <c:strRef>
              <c:f>Feuil2!$P$33:$P$57</c:f>
              <c:strCache>
                <c:ptCount val="25"/>
                <c:pt idx="0">
                  <c:v>Tarbes</c:v>
                </c:pt>
                <c:pt idx="1">
                  <c:v>Lourdes</c:v>
                </c:pt>
                <c:pt idx="2">
                  <c:v>Aureilhan</c:v>
                </c:pt>
                <c:pt idx="3">
                  <c:v>Bagnères-de-Bigorre</c:v>
                </c:pt>
                <c:pt idx="4">
                  <c:v>Lannemezan</c:v>
                </c:pt>
                <c:pt idx="5">
                  <c:v>Vic-en-Bigorre</c:v>
                </c:pt>
                <c:pt idx="6">
                  <c:v>Bordères-sur-l'Échez</c:v>
                </c:pt>
                <c:pt idx="7">
                  <c:v>Séméac</c:v>
                </c:pt>
                <c:pt idx="8">
                  <c:v>Juillan</c:v>
                </c:pt>
                <c:pt idx="9">
                  <c:v>Barbazan-Debat</c:v>
                </c:pt>
                <c:pt idx="10">
                  <c:v>Odos</c:v>
                </c:pt>
                <c:pt idx="11">
                  <c:v>Soues</c:v>
                </c:pt>
                <c:pt idx="12">
                  <c:v>Argelès-Gazost</c:v>
                </c:pt>
                <c:pt idx="13">
                  <c:v>Ibos</c:v>
                </c:pt>
                <c:pt idx="14">
                  <c:v>Maubourguet</c:v>
                </c:pt>
                <c:pt idx="15">
                  <c:v>Ossun</c:v>
                </c:pt>
                <c:pt idx="16">
                  <c:v>Orleix</c:v>
                </c:pt>
                <c:pt idx="17">
                  <c:v>Laloubère</c:v>
                </c:pt>
                <c:pt idx="18">
                  <c:v>Bazet</c:v>
                </c:pt>
                <c:pt idx="19">
                  <c:v>Rabastens-de-Bigorre</c:v>
                </c:pt>
                <c:pt idx="20">
                  <c:v>Campan</c:v>
                </c:pt>
                <c:pt idx="21">
                  <c:v>Capvern</c:v>
                </c:pt>
                <c:pt idx="22">
                  <c:v>Tournay</c:v>
                </c:pt>
                <c:pt idx="23">
                  <c:v>La Barthe-de-Neste</c:v>
                </c:pt>
                <c:pt idx="24">
                  <c:v>Oursbelille</c:v>
                </c:pt>
              </c:strCache>
            </c:strRef>
          </c:cat>
          <c:val>
            <c:numRef>
              <c:f>Feuil2!$R$33:$R$57</c:f>
              <c:numCache>
                <c:formatCode>0.00%</c:formatCode>
                <c:ptCount val="25"/>
                <c:pt idx="0">
                  <c:v>0.19716451576622093</c:v>
                </c:pt>
                <c:pt idx="1">
                  <c:v>0.23280547190717338</c:v>
                </c:pt>
                <c:pt idx="2">
                  <c:v>0.11590140832413991</c:v>
                </c:pt>
                <c:pt idx="3">
                  <c:v>0.14226520945043669</c:v>
                </c:pt>
                <c:pt idx="4">
                  <c:v>0.11738610600217528</c:v>
                </c:pt>
                <c:pt idx="5">
                  <c:v>0.15418738105932503</c:v>
                </c:pt>
                <c:pt idx="6">
                  <c:v>7.9667500708957256E-2</c:v>
                </c:pt>
                <c:pt idx="7">
                  <c:v>0.11840141705803126</c:v>
                </c:pt>
                <c:pt idx="8">
                  <c:v>7.3298759039454292E-2</c:v>
                </c:pt>
                <c:pt idx="9">
                  <c:v>0.11547205056909073</c:v>
                </c:pt>
                <c:pt idx="10">
                  <c:v>9.062525478920315E-2</c:v>
                </c:pt>
                <c:pt idx="11">
                  <c:v>0.11356575092292551</c:v>
                </c:pt>
                <c:pt idx="12">
                  <c:v>0.10002216152108397</c:v>
                </c:pt>
                <c:pt idx="13">
                  <c:v>6.3195780918437972E-2</c:v>
                </c:pt>
                <c:pt idx="14">
                  <c:v>0.13643224577816671</c:v>
                </c:pt>
                <c:pt idx="15">
                  <c:v>8.0893040930599833E-2</c:v>
                </c:pt>
                <c:pt idx="16">
                  <c:v>7.3916950989812463E-2</c:v>
                </c:pt>
                <c:pt idx="17">
                  <c:v>9.0610651229278819E-2</c:v>
                </c:pt>
                <c:pt idx="18">
                  <c:v>7.8798585432162588E-2</c:v>
                </c:pt>
                <c:pt idx="19">
                  <c:v>0.13438917782160806</c:v>
                </c:pt>
                <c:pt idx="20">
                  <c:v>7.1199643281995281E-2</c:v>
                </c:pt>
                <c:pt idx="21">
                  <c:v>7.3742081738806475E-2</c:v>
                </c:pt>
                <c:pt idx="22">
                  <c:v>8.7622510131838416E-2</c:v>
                </c:pt>
                <c:pt idx="23">
                  <c:v>7.313675337816461E-2</c:v>
                </c:pt>
                <c:pt idx="24">
                  <c:v>4.6542186035647734E-2</c:v>
                </c:pt>
              </c:numCache>
            </c:numRef>
          </c:val>
          <c:extLst>
            <c:ext xmlns:c16="http://schemas.microsoft.com/office/drawing/2014/chart" uri="{C3380CC4-5D6E-409C-BE32-E72D297353CC}">
              <c16:uniqueId val="{00000001-0F8E-4240-8F67-4735706D0C20}"/>
            </c:ext>
          </c:extLst>
        </c:ser>
        <c:ser>
          <c:idx val="2"/>
          <c:order val="2"/>
          <c:tx>
            <c:strRef>
              <c:f>Feuil2!$S$32</c:f>
              <c:strCache>
                <c:ptCount val="1"/>
                <c:pt idx="0">
                  <c:v>55-64</c:v>
                </c:pt>
              </c:strCache>
            </c:strRef>
          </c:tx>
          <c:spPr>
            <a:solidFill>
              <a:schemeClr val="accent2">
                <a:shade val="65000"/>
              </a:schemeClr>
            </a:solidFill>
            <a:ln>
              <a:noFill/>
            </a:ln>
            <a:effectLst/>
          </c:spPr>
          <c:invertIfNegative val="0"/>
          <c:cat>
            <c:strRef>
              <c:f>Feuil2!$P$33:$P$57</c:f>
              <c:strCache>
                <c:ptCount val="25"/>
                <c:pt idx="0">
                  <c:v>Tarbes</c:v>
                </c:pt>
                <c:pt idx="1">
                  <c:v>Lourdes</c:v>
                </c:pt>
                <c:pt idx="2">
                  <c:v>Aureilhan</c:v>
                </c:pt>
                <c:pt idx="3">
                  <c:v>Bagnères-de-Bigorre</c:v>
                </c:pt>
                <c:pt idx="4">
                  <c:v>Lannemezan</c:v>
                </c:pt>
                <c:pt idx="5">
                  <c:v>Vic-en-Bigorre</c:v>
                </c:pt>
                <c:pt idx="6">
                  <c:v>Bordères-sur-l'Échez</c:v>
                </c:pt>
                <c:pt idx="7">
                  <c:v>Séméac</c:v>
                </c:pt>
                <c:pt idx="8">
                  <c:v>Juillan</c:v>
                </c:pt>
                <c:pt idx="9">
                  <c:v>Barbazan-Debat</c:v>
                </c:pt>
                <c:pt idx="10">
                  <c:v>Odos</c:v>
                </c:pt>
                <c:pt idx="11">
                  <c:v>Soues</c:v>
                </c:pt>
                <c:pt idx="12">
                  <c:v>Argelès-Gazost</c:v>
                </c:pt>
                <c:pt idx="13">
                  <c:v>Ibos</c:v>
                </c:pt>
                <c:pt idx="14">
                  <c:v>Maubourguet</c:v>
                </c:pt>
                <c:pt idx="15">
                  <c:v>Ossun</c:v>
                </c:pt>
                <c:pt idx="16">
                  <c:v>Orleix</c:v>
                </c:pt>
                <c:pt idx="17">
                  <c:v>Laloubère</c:v>
                </c:pt>
                <c:pt idx="18">
                  <c:v>Bazet</c:v>
                </c:pt>
                <c:pt idx="19">
                  <c:v>Rabastens-de-Bigorre</c:v>
                </c:pt>
                <c:pt idx="20">
                  <c:v>Campan</c:v>
                </c:pt>
                <c:pt idx="21">
                  <c:v>Capvern</c:v>
                </c:pt>
                <c:pt idx="22">
                  <c:v>Tournay</c:v>
                </c:pt>
                <c:pt idx="23">
                  <c:v>La Barthe-de-Neste</c:v>
                </c:pt>
                <c:pt idx="24">
                  <c:v>Oursbelille</c:v>
                </c:pt>
              </c:strCache>
            </c:strRef>
          </c:cat>
          <c:val>
            <c:numRef>
              <c:f>Feuil2!$S$33:$S$57</c:f>
              <c:numCache>
                <c:formatCode>0.00%</c:formatCode>
                <c:ptCount val="25"/>
                <c:pt idx="0">
                  <c:v>0.15677478792919447</c:v>
                </c:pt>
                <c:pt idx="1">
                  <c:v>0.20388208328819951</c:v>
                </c:pt>
                <c:pt idx="2">
                  <c:v>9.0032991238213164E-2</c:v>
                </c:pt>
                <c:pt idx="3">
                  <c:v>0.13075071699751639</c:v>
                </c:pt>
                <c:pt idx="4">
                  <c:v>9.6322721658207724E-2</c:v>
                </c:pt>
                <c:pt idx="5">
                  <c:v>0.10332215919210717</c:v>
                </c:pt>
                <c:pt idx="6">
                  <c:v>7.6733292064627506E-2</c:v>
                </c:pt>
                <c:pt idx="7">
                  <c:v>0.10500876352954046</c:v>
                </c:pt>
                <c:pt idx="8">
                  <c:v>6.5569793983512703E-2</c:v>
                </c:pt>
                <c:pt idx="9">
                  <c:v>9.5514610425500426E-2</c:v>
                </c:pt>
                <c:pt idx="10">
                  <c:v>5.9941239272713005E-2</c:v>
                </c:pt>
                <c:pt idx="11">
                  <c:v>5.635844951811414E-2</c:v>
                </c:pt>
                <c:pt idx="12">
                  <c:v>0.11282328883209566</c:v>
                </c:pt>
                <c:pt idx="13">
                  <c:v>7.1971423948149968E-2</c:v>
                </c:pt>
                <c:pt idx="14">
                  <c:v>0.12875155786621162</c:v>
                </c:pt>
                <c:pt idx="15">
                  <c:v>7.9437198939370166E-2</c:v>
                </c:pt>
                <c:pt idx="16">
                  <c:v>7.2194390208018752E-2</c:v>
                </c:pt>
                <c:pt idx="17">
                  <c:v>4.9445105876101986E-2</c:v>
                </c:pt>
                <c:pt idx="18">
                  <c:v>0.10190354680442769</c:v>
                </c:pt>
                <c:pt idx="19">
                  <c:v>0.12384951390429391</c:v>
                </c:pt>
                <c:pt idx="20">
                  <c:v>9.5399208674877417E-2</c:v>
                </c:pt>
                <c:pt idx="21">
                  <c:v>0.1079932636428594</c:v>
                </c:pt>
                <c:pt idx="22">
                  <c:v>7.5338968925600491E-2</c:v>
                </c:pt>
                <c:pt idx="23">
                  <c:v>6.4003059240562057E-2</c:v>
                </c:pt>
                <c:pt idx="24">
                  <c:v>0.10334813892663991</c:v>
                </c:pt>
              </c:numCache>
            </c:numRef>
          </c:val>
          <c:extLst>
            <c:ext xmlns:c16="http://schemas.microsoft.com/office/drawing/2014/chart" uri="{C3380CC4-5D6E-409C-BE32-E72D297353CC}">
              <c16:uniqueId val="{00000002-0F8E-4240-8F67-4735706D0C20}"/>
            </c:ext>
          </c:extLst>
        </c:ser>
        <c:dLbls>
          <c:showLegendKey val="0"/>
          <c:showVal val="0"/>
          <c:showCatName val="0"/>
          <c:showSerName val="0"/>
          <c:showPercent val="0"/>
          <c:showBubbleSize val="0"/>
        </c:dLbls>
        <c:gapWidth val="219"/>
        <c:overlap val="-27"/>
        <c:axId val="1187174256"/>
        <c:axId val="1187183376"/>
      </c:barChart>
      <c:catAx>
        <c:axId val="118717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87183376"/>
        <c:crosses val="autoZero"/>
        <c:auto val="1"/>
        <c:lblAlgn val="ctr"/>
        <c:lblOffset val="100"/>
        <c:noMultiLvlLbl val="0"/>
      </c:catAx>
      <c:valAx>
        <c:axId val="1187183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8717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Répartition</a:t>
            </a:r>
            <a:r>
              <a:rPr lang="fr-FR" baseline="0"/>
              <a:t> des chômeurs selon le niveau de dîplome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2"/>
            </a:solidFill>
            <a:ln>
              <a:noFill/>
            </a:ln>
            <a:effectLst/>
          </c:spPr>
          <c:invertIfNegative val="0"/>
          <c:cat>
            <c:strRef>
              <c:f>Feuil2!$G$94:$M$94</c:f>
              <c:strCache>
                <c:ptCount val="7"/>
                <c:pt idx="0">
                  <c:v>CAP-BEP ou équiv</c:v>
                </c:pt>
                <c:pt idx="1">
                  <c:v>Bac, brevet pro. ou équiv</c:v>
                </c:pt>
                <c:pt idx="2">
                  <c:v>Sans diplôme ou CEP</c:v>
                </c:pt>
                <c:pt idx="3">
                  <c:v>Enseignement sup de niveau bac + 2</c:v>
                </c:pt>
                <c:pt idx="4">
                  <c:v>BEPC, brevet des collèges, DNB</c:v>
                </c:pt>
                <c:pt idx="5">
                  <c:v>Enseignement sup de niveau bac + 3 ou 4</c:v>
                </c:pt>
                <c:pt idx="6">
                  <c:v>Enseignement sup de niveau bac + 5 ou +</c:v>
                </c:pt>
              </c:strCache>
            </c:strRef>
          </c:cat>
          <c:val>
            <c:numRef>
              <c:f>Feuil2!$G$95:$M$95</c:f>
              <c:numCache>
                <c:formatCode>0.00%</c:formatCode>
                <c:ptCount val="7"/>
                <c:pt idx="0">
                  <c:v>0.34664981923999333</c:v>
                </c:pt>
                <c:pt idx="1">
                  <c:v>0.21627686736045337</c:v>
                </c:pt>
                <c:pt idx="2">
                  <c:v>0.17283464418404429</c:v>
                </c:pt>
                <c:pt idx="3">
                  <c:v>9.4871652534638182E-2</c:v>
                </c:pt>
                <c:pt idx="4">
                  <c:v>6.2946067970544403E-2</c:v>
                </c:pt>
                <c:pt idx="5">
                  <c:v>6.0936934056342096E-2</c:v>
                </c:pt>
                <c:pt idx="6">
                  <c:v>4.5484014653983579E-2</c:v>
                </c:pt>
              </c:numCache>
            </c:numRef>
          </c:val>
          <c:extLst>
            <c:ext xmlns:c16="http://schemas.microsoft.com/office/drawing/2014/chart" uri="{C3380CC4-5D6E-409C-BE32-E72D297353CC}">
              <c16:uniqueId val="{00000000-2DBA-46AA-A9AF-687B86E6B8DF}"/>
            </c:ext>
          </c:extLst>
        </c:ser>
        <c:dLbls>
          <c:showLegendKey val="0"/>
          <c:showVal val="0"/>
          <c:showCatName val="0"/>
          <c:showSerName val="0"/>
          <c:showPercent val="0"/>
          <c:showBubbleSize val="0"/>
        </c:dLbls>
        <c:gapWidth val="219"/>
        <c:overlap val="-27"/>
        <c:axId val="994647664"/>
        <c:axId val="994661584"/>
      </c:barChart>
      <c:catAx>
        <c:axId val="99464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94661584"/>
        <c:crosses val="autoZero"/>
        <c:auto val="1"/>
        <c:lblAlgn val="ctr"/>
        <c:lblOffset val="100"/>
        <c:noMultiLvlLbl val="0"/>
      </c:catAx>
      <c:valAx>
        <c:axId val="994661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9464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756</Words>
  <Characters>4162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 Audibert</dc:creator>
  <cp:keywords/>
  <dc:description/>
  <cp:lastModifiedBy>Constant Audibert</cp:lastModifiedBy>
  <cp:revision>108</cp:revision>
  <cp:lastPrinted>2024-12-02T22:17:00Z</cp:lastPrinted>
  <dcterms:created xsi:type="dcterms:W3CDTF">2024-12-02T21:05:00Z</dcterms:created>
  <dcterms:modified xsi:type="dcterms:W3CDTF">2025-06-09T18:34:00Z</dcterms:modified>
</cp:coreProperties>
</file>