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</w:rPr>
        <w:t>油品“扫一扫”业务</w:t>
      </w:r>
      <w:r>
        <w:rPr>
          <w:rFonts w:hint="eastAsia"/>
          <w:b/>
          <w:sz w:val="36"/>
          <w:szCs w:val="36"/>
          <w:lang w:eastAsia="zh-CN"/>
        </w:rPr>
        <w:t>方案</w:t>
      </w:r>
    </w:p>
    <w:p>
      <w:pPr>
        <w:pStyle w:val="2"/>
        <w:numPr>
          <w:ilvl w:val="0"/>
          <w:numId w:val="1"/>
        </w:num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产品介绍</w:t>
      </w:r>
    </w:p>
    <w:p>
      <w:pPr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油品“扫一扫”业务是我司自主开发的油站，通过</w:t>
      </w:r>
      <w:r>
        <w:rPr>
          <w:rFonts w:hint="eastAsia" w:asciiTheme="minorEastAsia" w:hAnsiTheme="minorEastAsia"/>
          <w:sz w:val="24"/>
          <w:szCs w:val="24"/>
          <w:lang w:eastAsia="zh-CN"/>
        </w:rPr>
        <w:t>开发中储智运商户端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app互扫和</w:t>
      </w:r>
      <w:r>
        <w:rPr>
          <w:rFonts w:hint="eastAsia" w:asciiTheme="minorEastAsia" w:hAnsiTheme="minorEastAsia"/>
          <w:sz w:val="24"/>
          <w:szCs w:val="24"/>
        </w:rPr>
        <w:t>布置能被我司app识别的二维码完成油费支付的一项产品业务，适用于我司自主开发的所有加油站，相较于pos机而言，我司可自主开发且节约成本、方便、快捷。</w:t>
      </w:r>
    </w:p>
    <w:p>
      <w:pPr>
        <w:pStyle w:val="2"/>
        <w:numPr>
          <w:ilvl w:val="0"/>
          <w:numId w:val="1"/>
        </w:num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实施方案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（一）APP互扫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object>
          <v:shape id="_x0000_i1027" o:spt="75" alt="" type="#_x0000_t75" style="height:34.3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7" DrawAspect="Content" ObjectID="_1468075725" r:id="rId4">
            <o:LockedField>false</o:LockedField>
          </o:OLEObject>
        </w:object>
      </w:r>
    </w:p>
    <w:p>
      <w:pPr>
        <w:adjustRightInd w:val="0"/>
        <w:snapToGrid w:val="0"/>
        <w:ind w:firstLine="482" w:firstLine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eastAsia="zh-CN"/>
        </w:rPr>
        <w:t>操作</w:t>
      </w:r>
      <w:r>
        <w:rPr>
          <w:rFonts w:hint="eastAsia" w:asciiTheme="minorEastAsia" w:hAnsiTheme="minorEastAsia"/>
          <w:b/>
          <w:sz w:val="24"/>
          <w:szCs w:val="24"/>
        </w:rPr>
        <w:t>流程简介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pStyle w:val="18"/>
        <w:numPr>
          <w:numId w:val="0"/>
        </w:numPr>
        <w:adjustRightInd w:val="0"/>
        <w:snapToGrid w:val="0"/>
        <w:spacing w:line="360" w:lineRule="auto"/>
        <w:ind w:left="480" w:leftChars="0"/>
        <w:jc w:val="lef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/>
          <w:sz w:val="24"/>
          <w:szCs w:val="24"/>
        </w:rPr>
        <w:t>客户经理开发油站，要求叠加扫一扫功能；</w:t>
      </w:r>
    </w:p>
    <w:p>
      <w:pPr>
        <w:pStyle w:val="18"/>
        <w:numPr>
          <w:numId w:val="0"/>
        </w:numPr>
        <w:adjustRightInd w:val="0"/>
        <w:snapToGrid w:val="0"/>
        <w:spacing w:line="360" w:lineRule="auto"/>
        <w:ind w:left="480" w:leftChars="0"/>
        <w:jc w:val="lef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2、客户经理指导油站下载注册app，除了正常注册app资料还需以下内容：</w:t>
      </w:r>
    </w:p>
    <w:p>
      <w:pPr>
        <w:adjustRightInd w:val="0"/>
        <w:snapToGrid w:val="0"/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①油站名称：准确填写油站名称；</w:t>
      </w:r>
    </w:p>
    <w:p>
      <w:pPr>
        <w:adjustRightInd w:val="0"/>
        <w:snapToGrid w:val="0"/>
        <w:ind w:firstLine="480" w:firstLine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②证件信息：根据油站资质信息准确填写，身份证信息为必须；</w:t>
      </w:r>
    </w:p>
    <w:p>
      <w:pPr>
        <w:adjustRightInd w:val="0"/>
        <w:snapToGrid w:val="0"/>
        <w:ind w:firstLine="480" w:firstLine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③油站码：根据油站设置准确的油站类别码；</w:t>
      </w:r>
    </w:p>
    <w:p>
      <w:pPr>
        <w:adjustRightInd w:val="0"/>
        <w:snapToGrid w:val="0"/>
        <w:ind w:firstLine="480" w:firstLine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④结算信息：正确录入油站结算账户、结算帐号名、清算行行名、清算行行名等结算信息；</w:t>
      </w:r>
    </w:p>
    <w:p>
      <w:pPr>
        <w:adjustRightInd w:val="0"/>
        <w:snapToGrid w:val="0"/>
        <w:ind w:firstLine="480" w:firstLineChars="200"/>
        <w:jc w:val="lef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⑤根据油站门店信息，准确录入相关分店联系信息。</w:t>
      </w:r>
    </w:p>
    <w:p>
      <w:pPr>
        <w:pStyle w:val="18"/>
        <w:numPr>
          <w:numId w:val="0"/>
        </w:numPr>
        <w:adjustRightInd w:val="0"/>
        <w:snapToGrid w:val="0"/>
        <w:spacing w:line="360" w:lineRule="auto"/>
        <w:ind w:left="480" w:leftChars="0"/>
        <w:jc w:val="lef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/>
          <w:sz w:val="24"/>
          <w:szCs w:val="24"/>
        </w:rPr>
        <w:t>风控审核油站资质，通过后受理油站要求；</w:t>
      </w:r>
    </w:p>
    <w:p>
      <w:pPr>
        <w:pStyle w:val="21"/>
        <w:adjustRightInd w:val="0"/>
        <w:snapToGrid w:val="0"/>
        <w:ind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4、</w:t>
      </w:r>
      <w:r>
        <w:rPr>
          <w:rFonts w:hint="eastAsia" w:asciiTheme="minorEastAsia" w:hAnsiTheme="minorEastAsia"/>
          <w:sz w:val="24"/>
          <w:szCs w:val="24"/>
          <w:lang w:eastAsia="zh-CN"/>
        </w:rPr>
        <w:t>审核通过之后，油站端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app可实现主扫和被扫功能，同时记录消费明细，每个油站具有唯一的二维码，通过编号进行区分。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object>
          <v:shape id="_x0000_i1029" o:spt="75" alt="" type="#_x0000_t75" style="height:404.55pt;width:415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9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（二）二维码台牌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object>
          <v:shape id="_x0000_i1026" o:spt="75" type="#_x0000_t75" style="height:34.3pt;width:414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7" r:id="rId8">
            <o:LockedField>false</o:LockedField>
          </o:OLEObject>
        </w:object>
      </w:r>
    </w:p>
    <w:p>
      <w:pPr>
        <w:adjustRightInd w:val="0"/>
        <w:snapToGrid w:val="0"/>
        <w:ind w:firstLine="482" w:firstLine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入网流程简介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pStyle w:val="18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客户经理开发油站，要求叠加扫一扫功能；</w:t>
      </w:r>
    </w:p>
    <w:p>
      <w:pPr>
        <w:pStyle w:val="18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风控审核油站资质，通过后受理油站要求；</w:t>
      </w:r>
    </w:p>
    <w:p>
      <w:pPr>
        <w:pStyle w:val="18"/>
        <w:adjustRightInd w:val="0"/>
        <w:snapToGrid w:val="0"/>
        <w:spacing w:line="360" w:lineRule="auto"/>
        <w:ind w:left="480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3、运营根据签约采集的“油品扫一扫支付合同”油站信息，在系统中建立油站档案信息，主要填写内容如下：</w:t>
      </w:r>
    </w:p>
    <w:p>
      <w:pPr>
        <w:adjustRightInd w:val="0"/>
        <w:snapToGrid w:val="0"/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①油站名称：准确填写油站名称；</w:t>
      </w:r>
    </w:p>
    <w:p>
      <w:pPr>
        <w:adjustRightInd w:val="0"/>
        <w:snapToGrid w:val="0"/>
        <w:ind w:firstLine="480" w:firstLine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②证件信息：根据油站资质信息准确填写，身份证信息为必须；</w:t>
      </w:r>
    </w:p>
    <w:p>
      <w:pPr>
        <w:adjustRightInd w:val="0"/>
        <w:snapToGrid w:val="0"/>
        <w:ind w:firstLine="480" w:firstLine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③油站码：根据油站设置准确的油站类别码；</w:t>
      </w:r>
    </w:p>
    <w:p>
      <w:pPr>
        <w:adjustRightInd w:val="0"/>
        <w:snapToGrid w:val="0"/>
        <w:ind w:firstLine="480" w:firstLine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④结算信息：正确录入油站结算账户、结算帐号名、清算行行名、清算行行名等结算信息；</w:t>
      </w:r>
    </w:p>
    <w:p>
      <w:pPr>
        <w:adjustRightInd w:val="0"/>
        <w:snapToGrid w:val="0"/>
        <w:ind w:firstLine="480" w:firstLine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⑤根据油站门店信息，准确录入相关分店联系信息。</w:t>
      </w:r>
    </w:p>
    <w:p>
      <w:pPr>
        <w:adjustRightInd w:val="0"/>
        <w:snapToGrid w:val="0"/>
        <w:ind w:firstLine="480" w:firstLine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4、系统根据录入的信息生成包含油站账户信息的二维码</w:t>
      </w:r>
      <w:r>
        <w:rPr>
          <w:rFonts w:hint="eastAsia" w:asciiTheme="minorEastAsia" w:hAnsi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每个油站具有唯一的二维码，通过编号进行区分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21"/>
        <w:adjustRightInd w:val="0"/>
        <w:snapToGrid w:val="0"/>
        <w:ind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5、广告公司根据二维码图片制作成台牌。</w:t>
      </w:r>
    </w:p>
    <w:p>
      <w:pPr>
        <w:pStyle w:val="21"/>
        <w:adjustRightInd w:val="0"/>
        <w:snapToGrid w:val="0"/>
        <w:ind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6、将二维码台牌分发给客户经理</w:t>
      </w:r>
    </w:p>
    <w:p>
      <w:pPr>
        <w:pStyle w:val="21"/>
        <w:adjustRightInd w:val="0"/>
        <w:snapToGrid w:val="0"/>
        <w:ind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7、客户经理扫码验证二维码与油站信息无误后，上门布放台牌，并上传照片回系统。</w:t>
      </w:r>
    </w:p>
    <w:p>
      <w:pPr>
        <w:pStyle w:val="21"/>
        <w:adjustRightInd w:val="0"/>
        <w:snapToGrid w:val="0"/>
        <w:ind w:left="0" w:leftChars="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8" o:spt="75" alt="" type="#_x0000_t75" style="height:404.55pt;width:415.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油站对账</w:t>
      </w:r>
    </w:p>
    <w:p>
      <w:pPr>
        <w:ind w:firstLine="482" w:firstLineChars="200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（一）交易查询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油站</w:t>
      </w:r>
      <w:r>
        <w:rPr>
          <w:rFonts w:hint="eastAsia" w:asciiTheme="minorEastAsia" w:hAnsiTheme="minorEastAsia"/>
          <w:sz w:val="24"/>
          <w:szCs w:val="24"/>
          <w:lang w:eastAsia="zh-CN"/>
        </w:rPr>
        <w:t>可通过中储智运商户端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APP或者</w:t>
      </w:r>
      <w:r>
        <w:rPr>
          <w:rFonts w:hint="eastAsia" w:asciiTheme="minorEastAsia" w:hAnsiTheme="minorEastAsia"/>
          <w:sz w:val="24"/>
          <w:szCs w:val="24"/>
        </w:rPr>
        <w:t>微信关注“中储智运”公众号</w:t>
      </w:r>
      <w:r>
        <w:rPr>
          <w:rFonts w:hint="eastAsia" w:asciiTheme="minorEastAsia" w:hAnsiTheme="minorEastAsia"/>
          <w:sz w:val="24"/>
          <w:szCs w:val="24"/>
          <w:lang w:eastAsia="zh-CN"/>
        </w:rPr>
        <w:t>进行交易明细查询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  <w:lang w:eastAsia="zh-CN"/>
        </w:rPr>
        <w:t>通过输入订单号或者油站编号查询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cr/>
      </w:r>
      <w: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84325" cy="2807970"/>
            <wp:effectExtent l="19050" t="0" r="0" b="0"/>
            <wp:docPr id="561" name="图片 561" descr="C:\Users\Administrator\AppData\Roaming\Tencent\Users\1012238397\QQ\WinTemp\RichOle\KG5}_H$H)57F0SEWG~GJ@%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图片 561" descr="C:\Users\Administrator\AppData\Roaming\Tencent\Users\1012238397\QQ\WinTemp\RichOle\KG5}_H$H)57F0SEWG~GJ@%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778" cy="28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86865" cy="2807970"/>
            <wp:effectExtent l="19050" t="0" r="0" b="0"/>
            <wp:docPr id="565" name="图片 565" descr="C:\Users\Administrator\AppData\Roaming\Tencent\Users\1012238397\QQ\WinTemp\RichOle\{K8QLQ3ZLG5K7P]{RST{3[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图片 565" descr="C:\Users\Administrator\AppData\Roaming\Tencent\Users\1012238397\QQ\WinTemp\RichOle\{K8QLQ3ZLG5K7P]{RST{3[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979" cy="28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86865" cy="2807970"/>
            <wp:effectExtent l="19050" t="0" r="0" b="0"/>
            <wp:docPr id="569" name="图片 569" descr="C:\Users\Administrator\AppData\Roaming\Tencent\Users\1012238397\QQ\WinTemp\RichOle\U5OZ@Z{$OK6O%L6K2T)CQ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569" descr="C:\Users\Administrator\AppData\Roaming\Tencent\Users\1012238397\QQ\WinTemp\RichOle\U5OZ@Z{$OK6O%L6K2T)CQA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280" cy="28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（二）异常交易查询</w:t>
      </w:r>
    </w:p>
    <w:p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油站打开</w:t>
      </w:r>
      <w:r>
        <w:rPr>
          <w:rFonts w:hint="eastAsia" w:asciiTheme="minorEastAsia" w:hAnsiTheme="minorEastAsia"/>
          <w:sz w:val="24"/>
          <w:szCs w:val="24"/>
          <w:lang w:eastAsia="zh-CN"/>
        </w:rPr>
        <w:t>中储智运商户端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APP或者</w:t>
      </w:r>
      <w:r>
        <w:rPr>
          <w:rFonts w:hint="eastAsia" w:ascii="宋体" w:hAnsi="宋体" w:eastAsia="宋体" w:cs="宋体"/>
          <w:kern w:val="0"/>
          <w:sz w:val="24"/>
          <w:szCs w:val="24"/>
        </w:rPr>
        <w:t>中储智运商户公众号，提供商户订单号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或油站编号</w:t>
      </w:r>
      <w:r>
        <w:rPr>
          <w:rFonts w:hint="eastAsia" w:ascii="宋体" w:hAnsi="宋体" w:eastAsia="宋体" w:cs="宋体"/>
          <w:kern w:val="0"/>
          <w:sz w:val="24"/>
          <w:szCs w:val="24"/>
        </w:rPr>
        <w:t>供商户查询交易状态。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77340" cy="2807970"/>
            <wp:effectExtent l="19050" t="0" r="3209" b="0"/>
            <wp:docPr id="573" name="图片 573" descr="C:\Users\Administrator\AppData\Roaming\Tencent\Users\1012238397\QQ\WinTemp\RichOle\M35@7~TPL}$AR$L3XSZN4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573" descr="C:\Users\Administrator\AppData\Roaming\Tencent\Users\1012238397\QQ\WinTemp\RichOle\M35@7~TPL}$AR$L3XSZN4I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941" cy="28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77975" cy="2807970"/>
            <wp:effectExtent l="19050" t="0" r="2986" b="0"/>
            <wp:docPr id="575" name="图片 575" descr="C:\Users\Administrator\AppData\Roaming\Tencent\Users\1012238397\QQ\WinTemp\RichOle\~~H15HSY8$02Y$NGV[YSI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575" descr="C:\Users\Administrator\AppData\Roaming\Tencent\Users\1012238397\QQ\WinTemp\RichOle\~~H15HSY8$02Y$NGV[YSI_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8164" cy="28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76705" cy="2807970"/>
            <wp:effectExtent l="19050" t="0" r="4350" b="0"/>
            <wp:docPr id="579" name="图片 579" descr="C:\Users\Administrator\AppData\Roaming\Tencent\Users\1012238397\QQ\WinTemp\RichOle\TZ3[3911B1ZHGAZZTM@94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579" descr="C:\Users\Administrator\AppData\Roaming\Tencent\Users\1012238397\QQ\WinTemp\RichOle\TZ3[3911B1ZHGAZZTM@94P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80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eastAsia="zh-CN"/>
        </w:rPr>
        <w:t>（三）油站角色权限划分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每个油站都拥有唯一的油站编号，通过输入油站编号可在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app或者中储智运公众号进行交易明细查询。</w:t>
      </w:r>
      <w:r>
        <w:rPr>
          <w:rFonts w:hint="eastAsia" w:asciiTheme="minorEastAsia" w:hAnsiTheme="minorEastAsia"/>
          <w:sz w:val="24"/>
          <w:szCs w:val="24"/>
          <w:lang w:eastAsia="zh-CN"/>
        </w:rPr>
        <w:t>用户登录中储智运APP后，可根据自身身份进行自主验证，系统支持收银员、财务、老板身份，验证方式如下：</w:t>
      </w:r>
    </w:p>
    <w:p>
      <w:pPr>
        <w:pStyle w:val="21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1、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用户身份验证- 验证收银员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认证方式：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油站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打开“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中储智运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”APP使用身份验证功能，选择升级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收银员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，点击右上角“扫一扫”进行“商户二维码”的扫码，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或者输入油站编号，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扫码成功后会出现收银员身份的相对应的商户号、结算账号、结算用户名，确认无误，点击提交，即绑定完成。</w:t>
      </w:r>
    </w:p>
    <w:p>
      <w:pPr>
        <w:pStyle w:val="21"/>
        <w:ind w:left="720" w:leftChars="343" w:firstLine="1470" w:firstLineChars="700"/>
        <w:rPr>
          <w:rFonts w:ascii="微软雅黑" w:hAnsi="微软雅黑" w:eastAsia="微软雅黑" w:cs="仿宋"/>
          <w:b/>
          <w:sz w:val="24"/>
          <w:szCs w:val="24"/>
        </w:rPr>
      </w:pPr>
      <w:r>
        <w:drawing>
          <wp:inline distT="0" distB="0" distL="0" distR="0">
            <wp:extent cx="3439160" cy="2917190"/>
            <wp:effectExtent l="0" t="0" r="88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2、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用户身份验证- 验证财务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认证方式：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油站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打开“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中储智运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”APP使用身份验证功能，选择升级财务，点击右上角“扫一扫”进行“商户二维码”的扫码，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或者输入油站编号、结算账号，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成功后会出现财务身份的相对应的商户号、结算账号、结算用户名，确认无误，点击提交，即绑定完成。</w:t>
      </w:r>
    </w:p>
    <w:p>
      <w:pPr>
        <w:jc w:val="center"/>
        <w:rPr>
          <w:rFonts w:ascii="微软雅黑" w:hAnsi="微软雅黑" w:eastAsia="微软雅黑" w:cs="仿宋"/>
          <w:sz w:val="24"/>
          <w:szCs w:val="24"/>
        </w:rPr>
      </w:pPr>
      <w:r>
        <w:drawing>
          <wp:inline distT="0" distB="0" distL="0" distR="0">
            <wp:extent cx="1662430" cy="2575560"/>
            <wp:effectExtent l="0" t="0" r="13970" b="1524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720850" cy="2562225"/>
            <wp:effectExtent l="0" t="0" r="1270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3、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用户身份验证- 验证老板</w:t>
      </w:r>
    </w:p>
    <w:p>
      <w:pPr>
        <w:pStyle w:val="21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认证方式：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油站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打开“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中储智运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”APP使用身份验证功能，选择升级老板，点击右上角“扫一扫”进行“商户二维码”的扫码，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或者输入油站编号、结算账号、法人身份证，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成功后会出现财务身份的相对应的商户号、结算账号、结算用户名、法人身份证，确认无误，点击提交，即绑定完成。</w:t>
      </w:r>
    </w:p>
    <w:p>
      <w:pPr>
        <w:jc w:val="center"/>
        <w:rPr>
          <w:rFonts w:hint="eastAsia" w:ascii="微软雅黑" w:hAnsi="微软雅黑" w:eastAsia="微软雅黑" w:cs="仿宋"/>
          <w:b/>
          <w:sz w:val="24"/>
          <w:szCs w:val="24"/>
        </w:rPr>
      </w:pPr>
      <w:r>
        <w:drawing>
          <wp:inline distT="0" distB="0" distL="0" distR="0">
            <wp:extent cx="1663065" cy="2574290"/>
            <wp:effectExtent l="0" t="0" r="13335" b="16510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63065" cy="2574290"/>
            <wp:effectExtent l="0" t="0" r="13335" b="16510"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eastAsia="zh-CN"/>
        </w:rPr>
        <w:t>定期对账开票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油站定期与我司进行对账开票，若一笔消费来自我司不同子公司账户，则具体明细显示资金来源所有子公司，定期按照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lang w:eastAsia="zh-CN"/>
        </w:rPr>
        <w:t>不同资金来源与我司开票。</w:t>
      </w:r>
    </w:p>
    <w:p>
      <w:pPr>
        <w:pStyle w:val="2"/>
        <w:numPr>
          <w:ilvl w:val="0"/>
          <w:numId w:val="1"/>
        </w:num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差错处理</w:t>
      </w:r>
    </w:p>
    <w:p>
      <w:pPr>
        <w:ind w:firstLine="482" w:firstLineChars="20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（一）调单</w:t>
      </w:r>
    </w:p>
    <w:p>
      <w:pPr>
        <w:widowControl/>
        <w:ind w:firstLine="504" w:firstLineChars="200"/>
        <w:jc w:val="left"/>
        <w:rPr>
          <w:rFonts w:hint="eastAsia" w:asciiTheme="minorEastAsia" w:hAnsiTheme="minorEastAsia"/>
          <w:color w:val="3F3F3F"/>
          <w:spacing w:val="6"/>
          <w:sz w:val="24"/>
          <w:szCs w:val="24"/>
        </w:rPr>
      </w:pPr>
      <w:r>
        <w:rPr>
          <w:rFonts w:hint="eastAsia" w:asciiTheme="minorEastAsia" w:hAnsiTheme="minorEastAsia"/>
          <w:color w:val="3F3F3F"/>
          <w:spacing w:val="6"/>
          <w:sz w:val="24"/>
          <w:szCs w:val="24"/>
        </w:rPr>
        <w:t>对于有争议或有风险的交易有疑问，需要调取原始交易凭证来证明持卡人当时的真实交易场景，确认消费或进行责任划分凭证。</w:t>
      </w:r>
      <w:r>
        <w:rPr>
          <w:rFonts w:hint="eastAsia" w:asciiTheme="minorEastAsia" w:hAnsiTheme="minorEastAsia"/>
          <w:color w:val="3F3F3F"/>
          <w:spacing w:val="6"/>
          <w:sz w:val="24"/>
          <w:szCs w:val="24"/>
          <w:lang w:eastAsia="zh-CN"/>
        </w:rPr>
        <w:t>中储智运</w:t>
      </w:r>
      <w:r>
        <w:rPr>
          <w:rFonts w:hint="eastAsia" w:asciiTheme="minorEastAsia" w:hAnsiTheme="minorEastAsia"/>
          <w:color w:val="3F3F3F"/>
          <w:spacing w:val="6"/>
          <w:sz w:val="24"/>
          <w:szCs w:val="24"/>
          <w:lang w:val="en-US" w:eastAsia="zh-CN"/>
        </w:rPr>
        <w:t>app里</w:t>
      </w:r>
      <w:r>
        <w:rPr>
          <w:rFonts w:hint="eastAsia" w:asciiTheme="minorEastAsia" w:hAnsiTheme="minorEastAsia"/>
          <w:color w:val="3F3F3F"/>
          <w:spacing w:val="6"/>
          <w:sz w:val="24"/>
          <w:szCs w:val="24"/>
        </w:rPr>
        <w:t>里的交易明细截图可作为交易凭证。调单的流程：</w:t>
      </w:r>
    </w:p>
    <w:p>
      <w:pPr>
        <w:widowControl/>
        <w:ind w:firstLine="444" w:firstLineChars="200"/>
        <w:jc w:val="left"/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Bidi"/>
          <w:color w:val="3F3F3F"/>
          <w:spacing w:val="6"/>
          <w:kern w:val="2"/>
        </w:rPr>
        <w:t>1、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司机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  <w:lang w:eastAsia="zh-CN"/>
        </w:rPr>
        <w:t>或油站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拨打客服热线向中储智运提交智运宝账户里的交易明细截图。</w:t>
      </w:r>
    </w:p>
    <w:p>
      <w:pPr>
        <w:widowControl/>
        <w:ind w:firstLine="480" w:firstLineChars="200"/>
        <w:jc w:val="left"/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2、运营收到截图之后查询交易明细，确定我司已付款。</w:t>
      </w:r>
    </w:p>
    <w:p>
      <w:pPr>
        <w:widowControl/>
        <w:ind w:firstLine="480" w:firstLineChars="200"/>
        <w:jc w:val="left"/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3、将确定已付款的截图移交至财务，由财务与银行进行沟通。</w:t>
      </w:r>
    </w:p>
    <w:p>
      <w:pPr>
        <w:widowControl/>
        <w:ind w:firstLine="480" w:firstLineChars="200"/>
        <w:jc w:val="left"/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4、财务将银行反馈结果给到运营。</w:t>
      </w:r>
    </w:p>
    <w:p>
      <w:pPr>
        <w:widowControl/>
        <w:ind w:firstLine="480" w:firstLineChars="200"/>
        <w:jc w:val="left"/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 xml:space="preserve">5、运营将最终结果给到司机。 </w:t>
      </w:r>
    </w:p>
    <w:p>
      <w:pPr>
        <w:pStyle w:val="21"/>
        <w:numPr>
          <w:ilvl w:val="0"/>
          <w:numId w:val="4"/>
        </w:numPr>
        <w:ind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单边帐</w:t>
      </w:r>
    </w:p>
    <w:p>
      <w:pPr>
        <w:widowControl/>
        <w:ind w:firstLine="480" w:firstLineChars="200"/>
        <w:jc w:val="left"/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  <w:t>所谓“单边账”，即完成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支付</w:t>
      </w:r>
      <w: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  <w:t>操作后，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平台</w:t>
      </w:r>
      <w: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  <w:t>与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油站</w:t>
      </w:r>
      <w: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  <w:t>只有一方账面发生相应变化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。单边帐的解决办法：</w:t>
      </w:r>
    </w:p>
    <w:p>
      <w:pPr>
        <w:widowControl/>
        <w:ind w:firstLine="480" w:firstLineChars="200"/>
        <w:jc w:val="left"/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1、在中储智运app里面进行余额查询，确定已经付款；</w:t>
      </w:r>
    </w:p>
    <w:p>
      <w:pPr>
        <w:widowControl/>
        <w:ind w:firstLine="480" w:firstLineChars="200"/>
        <w:jc w:val="left"/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2、致电客服热线，财务查询是否已经完成付款；</w:t>
      </w:r>
    </w:p>
    <w:p>
      <w:pPr>
        <w:widowControl/>
        <w:ind w:firstLine="480" w:firstLineChars="200"/>
        <w:jc w:val="left"/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3、保留交易截图以备调单使用。</w:t>
      </w:r>
    </w:p>
    <w:p>
      <w:pPr>
        <w:ind w:firstLine="482" w:firstLineChars="20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（三）长短款</w:t>
      </w:r>
    </w:p>
    <w:p>
      <w:pPr>
        <w:widowControl/>
        <w:ind w:firstLine="482" w:firstLineChars="200"/>
        <w:jc w:val="left"/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b/>
          <w:color w:val="333333"/>
          <w:sz w:val="24"/>
          <w:szCs w:val="24"/>
          <w:shd w:val="clear" w:color="auto" w:fill="FFFFFF"/>
          <w:lang w:eastAsia="zh-CN"/>
        </w:rPr>
        <w:t>油站</w:t>
      </w:r>
      <w:r>
        <w:rPr>
          <w:rFonts w:hint="eastAsia" w:cs="Arial" w:asciiTheme="minorEastAsia" w:hAnsiTheme="minorEastAsia"/>
          <w:b/>
          <w:color w:val="333333"/>
          <w:sz w:val="24"/>
          <w:szCs w:val="24"/>
          <w:shd w:val="clear" w:color="auto" w:fill="FFFFFF"/>
        </w:rPr>
        <w:t>短款：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输入错误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  <w:lang w:eastAsia="zh-CN"/>
        </w:rPr>
        <w:t>等原因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导致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  <w:lang w:eastAsia="zh-CN"/>
        </w:rPr>
        <w:t>油站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短款，如若现场发现，可要求司机再刷一笔差额，如若事后发现，油站人员可保留加油记录和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  <w:lang w:eastAsia="zh-CN"/>
        </w:rPr>
        <w:t>入账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记录，填写情况说明，经由司机同意之后，我司可打款至油站账户。</w:t>
      </w:r>
    </w:p>
    <w:p>
      <w:pPr>
        <w:widowControl/>
        <w:ind w:firstLine="482" w:firstLineChars="200"/>
        <w:jc w:val="left"/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b/>
          <w:color w:val="333333"/>
          <w:sz w:val="24"/>
          <w:szCs w:val="24"/>
          <w:shd w:val="clear" w:color="auto" w:fill="FFFFFF"/>
          <w:lang w:eastAsia="zh-CN"/>
        </w:rPr>
        <w:t>油站</w:t>
      </w:r>
      <w:r>
        <w:rPr>
          <w:rFonts w:hint="eastAsia" w:cs="Arial" w:asciiTheme="minorEastAsia" w:hAnsiTheme="minorEastAsia"/>
          <w:b/>
          <w:color w:val="333333"/>
          <w:sz w:val="24"/>
          <w:szCs w:val="24"/>
          <w:shd w:val="clear" w:color="auto" w:fill="FFFFFF"/>
        </w:rPr>
        <w:t>长款：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输入错误金额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  <w:lang w:eastAsia="zh-CN"/>
        </w:rPr>
        <w:t>等原因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导致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  <w:lang w:eastAsia="zh-CN"/>
        </w:rPr>
        <w:t>油站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长款，可通过与油站人员进行协商出具证明，保留交易截图，走调单退款流程。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风控</w:t>
      </w:r>
    </w:p>
    <w:p>
      <w:pPr>
        <w:adjustRightInd w:val="0"/>
        <w:snapToGrid w:val="0"/>
        <w:ind w:firstLine="482" w:firstLineChars="20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（一）恶意套现</w:t>
      </w:r>
    </w:p>
    <w:p>
      <w:pPr>
        <w:adjustRightInd w:val="0"/>
        <w:snapToGrid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对于平台强制油品的，司机可能私下与油站协商，进行油品套现，市场人员亦有可能借助这种便利为司机提供套现服务。</w:t>
      </w:r>
    </w:p>
    <w:p>
      <w:pPr>
        <w:adjustRightInd w:val="0"/>
        <w:snapToGrid w:val="0"/>
        <w:ind w:firstLine="482" w:firstLineChars="20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（二）二维码盗用</w:t>
      </w:r>
    </w:p>
    <w:p>
      <w:pPr>
        <w:adjustRightInd w:val="0"/>
        <w:snapToGrid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由于油站人员的疏忽或者是恶意行为，更换油站二维码，或者将油站二维码进行复制替换，导致我司付款后，油站并未收到账款。</w:t>
      </w:r>
    </w:p>
    <w:p>
      <w:pPr>
        <w:adjustRightInd w:val="0"/>
        <w:snapToGrid w:val="0"/>
        <w:ind w:firstLine="600"/>
        <w:jc w:val="left"/>
        <w:rPr>
          <w:rFonts w:hint="eastAsia" w:ascii="仿宋" w:hAnsi="仿宋" w:eastAsia="仿宋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06125"/>
    <w:multiLevelType w:val="multilevel"/>
    <w:tmpl w:val="0D006125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0906130"/>
    <w:multiLevelType w:val="singleLevel"/>
    <w:tmpl w:val="20906130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35CA3B39"/>
    <w:multiLevelType w:val="multilevel"/>
    <w:tmpl w:val="35CA3B39"/>
    <w:lvl w:ilvl="0" w:tentative="0">
      <w:start w:val="2"/>
      <w:numFmt w:val="japaneseCounting"/>
      <w:lvlText w:val="（%1）"/>
      <w:lvlJc w:val="left"/>
      <w:pPr>
        <w:ind w:left="1247" w:hanging="7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5BF6302D"/>
    <w:multiLevelType w:val="multilevel"/>
    <w:tmpl w:val="5BF6302D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5654"/>
    <w:rsid w:val="000224CD"/>
    <w:rsid w:val="000D48AA"/>
    <w:rsid w:val="001513AB"/>
    <w:rsid w:val="00160753"/>
    <w:rsid w:val="002322B9"/>
    <w:rsid w:val="002603A5"/>
    <w:rsid w:val="00357C33"/>
    <w:rsid w:val="003828B3"/>
    <w:rsid w:val="00446175"/>
    <w:rsid w:val="005F3B21"/>
    <w:rsid w:val="006155DE"/>
    <w:rsid w:val="006275D1"/>
    <w:rsid w:val="006F470D"/>
    <w:rsid w:val="00945121"/>
    <w:rsid w:val="009671B9"/>
    <w:rsid w:val="009C1F92"/>
    <w:rsid w:val="00B35BDC"/>
    <w:rsid w:val="00C26A10"/>
    <w:rsid w:val="00C62655"/>
    <w:rsid w:val="00D418A8"/>
    <w:rsid w:val="00D647AA"/>
    <w:rsid w:val="00DD7632"/>
    <w:rsid w:val="00DF7B79"/>
    <w:rsid w:val="00E65FBC"/>
    <w:rsid w:val="00FA456C"/>
    <w:rsid w:val="00FA5654"/>
    <w:rsid w:val="147D7DD8"/>
    <w:rsid w:val="1D853469"/>
    <w:rsid w:val="234C0C28"/>
    <w:rsid w:val="499C00AB"/>
    <w:rsid w:val="65A83C82"/>
    <w:rsid w:val="6ADB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keepNext/>
      <w:keepLines/>
      <w:spacing w:before="340" w:after="330" w:line="576" w:lineRule="auto"/>
      <w:outlineLvl w:val="0"/>
    </w:pPr>
    <w:rPr>
      <w:rFonts w:ascii="等线" w:hAnsi="等线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9"/>
    <w:pPr>
      <w:keepNext/>
      <w:keepLines/>
      <w:spacing w:before="260" w:after="260" w:line="415" w:lineRule="auto"/>
      <w:outlineLvl w:val="1"/>
    </w:pPr>
    <w:rPr>
      <w:rFonts w:ascii="等线 Light" w:hAnsi="等线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99"/>
    <w:pPr>
      <w:keepNext/>
      <w:keepLines/>
      <w:spacing w:before="260" w:after="260" w:line="415" w:lineRule="auto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16"/>
    <w:qFormat/>
    <w:uiPriority w:val="99"/>
    <w:pPr>
      <w:keepNext/>
      <w:keepLines/>
      <w:spacing w:before="280" w:after="290" w:line="374" w:lineRule="auto"/>
      <w:outlineLvl w:val="3"/>
    </w:pPr>
    <w:rPr>
      <w:rFonts w:ascii="等线 Light" w:hAnsi="等线 Light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17"/>
    <w:qFormat/>
    <w:uiPriority w:val="99"/>
    <w:pPr>
      <w:keepNext/>
      <w:keepLines/>
      <w:spacing w:before="280" w:after="290" w:line="374" w:lineRule="auto"/>
      <w:outlineLvl w:val="4"/>
    </w:pPr>
    <w:rPr>
      <w:rFonts w:ascii="等线" w:hAnsi="等线" w:eastAsia="宋体" w:cs="Times New Roman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customStyle="1" w:styleId="13">
    <w:name w:val="标题 1 Char"/>
    <w:basedOn w:val="9"/>
    <w:link w:val="2"/>
    <w:uiPriority w:val="99"/>
    <w:rPr>
      <w:rFonts w:ascii="等线" w:hAnsi="等线" w:eastAsia="宋体"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uiPriority w:val="99"/>
    <w:rPr>
      <w:rFonts w:ascii="等线 Light" w:hAnsi="等线 Light" w:eastAsia="宋体" w:cs="Times New Roman"/>
      <w:b/>
      <w:bCs/>
      <w:sz w:val="32"/>
      <w:szCs w:val="32"/>
    </w:rPr>
  </w:style>
  <w:style w:type="character" w:customStyle="1" w:styleId="15">
    <w:name w:val="标题 3 Char"/>
    <w:basedOn w:val="9"/>
    <w:link w:val="4"/>
    <w:qFormat/>
    <w:uiPriority w:val="99"/>
    <w:rPr>
      <w:rFonts w:ascii="等线" w:hAnsi="等线" w:eastAsia="宋体" w:cs="Times New Roman"/>
      <w:b/>
      <w:bCs/>
      <w:sz w:val="32"/>
      <w:szCs w:val="32"/>
    </w:rPr>
  </w:style>
  <w:style w:type="character" w:customStyle="1" w:styleId="16">
    <w:name w:val="标题 4 Char"/>
    <w:basedOn w:val="9"/>
    <w:link w:val="5"/>
    <w:qFormat/>
    <w:uiPriority w:val="99"/>
    <w:rPr>
      <w:rFonts w:ascii="等线 Light" w:hAnsi="等线 Light" w:eastAsia="宋体" w:cs="Times New Roman"/>
      <w:b/>
      <w:bCs/>
      <w:sz w:val="28"/>
      <w:szCs w:val="28"/>
    </w:rPr>
  </w:style>
  <w:style w:type="character" w:customStyle="1" w:styleId="17">
    <w:name w:val="标题 5 Char"/>
    <w:basedOn w:val="9"/>
    <w:link w:val="6"/>
    <w:qFormat/>
    <w:uiPriority w:val="99"/>
    <w:rPr>
      <w:rFonts w:ascii="等线" w:hAnsi="等线" w:eastAsia="宋体" w:cs="Times New Roman"/>
      <w:b/>
      <w:bCs/>
      <w:sz w:val="28"/>
      <w:szCs w:val="28"/>
    </w:rPr>
  </w:style>
  <w:style w:type="paragraph" w:customStyle="1" w:styleId="18">
    <w:name w:val="List Paragraph1"/>
    <w:basedOn w:val="1"/>
    <w:qFormat/>
    <w:uiPriority w:val="0"/>
    <w:pPr>
      <w:spacing w:line="240" w:lineRule="auto"/>
      <w:ind w:firstLine="420" w:firstLineChars="200"/>
    </w:pPr>
    <w:rPr>
      <w:rFonts w:ascii="等线" w:hAnsi="等线" w:eastAsia="宋体" w:cs="Times New Roman"/>
      <w:szCs w:val="21"/>
    </w:rPr>
  </w:style>
  <w:style w:type="character" w:customStyle="1" w:styleId="19">
    <w:name w:val="15"/>
    <w:basedOn w:val="9"/>
    <w:uiPriority w:val="0"/>
    <w:rPr>
      <w:rFonts w:hint="default" w:ascii="等线" w:hAnsi="等线"/>
      <w:color w:val="0563C1"/>
      <w:u w:val="single"/>
    </w:rPr>
  </w:style>
  <w:style w:type="character" w:customStyle="1" w:styleId="20">
    <w:name w:val="批注框文本 Char"/>
    <w:basedOn w:val="9"/>
    <w:link w:val="7"/>
    <w:semiHidden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SDWM.org</Company>
  <Pages>4</Pages>
  <Words>188</Words>
  <Characters>1072</Characters>
  <Lines>8</Lines>
  <Paragraphs>2</Paragraphs>
  <TotalTime>1</TotalTime>
  <ScaleCrop>false</ScaleCrop>
  <LinksUpToDate>false</LinksUpToDate>
  <CharactersWithSpaces>1258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2018-08-15T02:19:00Z</dcterms:created>
  <dc:creator>SDWM</dc:creator>
  <cp:lastModifiedBy>仐~雨痕</cp:lastModifiedBy>
  <dcterms:modified xsi:type="dcterms:W3CDTF">2018-08-16T07:03:55Z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