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AB7815F">
      <w:pPr>
        <w:pStyle w:val="834"/>
        <w:pBdr/>
        <w:spacing/>
        <w:ind/>
        <w:rPr/>
      </w:pPr>
      <w:r/>
      <w:r/>
    </w:p>
    <w:p w14:paraId="1D5247CC">
      <w:pPr>
        <w:pStyle w:val="834"/>
        <w:pBdr/>
        <w:spacing/>
        <w:ind/>
        <w:rPr/>
      </w:pPr>
      <w:r>
        <w:rPr>
          <w:lang w:val="en-CA"/>
        </w:rPr>
        <w:t xml:space="preserve">Reviewer 1</w:t>
      </w:r>
      <w:r/>
    </w:p>
    <w:tbl>
      <w:tblPr>
        <w:tblStyle w:val="707"/>
        <w:tblW w:w="0" w:type="auto"/>
        <w:tblBorders/>
        <w:tblLook w:val="04A0" w:firstRow="1" w:lastRow="0" w:firstColumn="1" w:lastColumn="0" w:noHBand="0" w:noVBand="1"/>
      </w:tblPr>
      <w:tblGrid>
        <w:gridCol w:w="2339"/>
        <w:gridCol w:w="2339"/>
        <w:gridCol w:w="2339"/>
      </w:tblGrid>
      <w:tr>
        <w:trPr/>
        <w:tc>
          <w:tcPr>
            <w:tcBorders/>
            <w:tcW w:w="2339" w:type="dxa"/>
          </w:tcPr>
          <w:p w14:paraId="646E9A69">
            <w:pPr>
              <w:pBdr/>
              <w:spacing/>
              <w:ind/>
              <w:rPr/>
            </w:pPr>
            <w:r>
              <w:rPr>
                <w:lang w:val="en-CA"/>
              </w:rPr>
              <w:t xml:space="preserve">Reviewer comment</w:t>
            </w:r>
            <w:r/>
          </w:p>
        </w:tc>
        <w:tc>
          <w:tcPr>
            <w:tcBorders/>
            <w:tcW w:w="2339" w:type="dxa"/>
          </w:tcPr>
          <w:p w14:paraId="6BA0489C">
            <w:pPr>
              <w:pBdr/>
              <w:spacing/>
              <w:ind/>
              <w:rPr/>
            </w:pPr>
            <w:r>
              <w:rPr>
                <w:lang w:val="en-CA"/>
              </w:rPr>
              <w:t xml:space="preserve">Author response</w:t>
            </w:r>
            <w:r/>
          </w:p>
        </w:tc>
        <w:tc>
          <w:tcPr>
            <w:tcBorders/>
            <w:tcW w:w="2339" w:type="dxa"/>
          </w:tcPr>
          <w:p w14:paraId="75EDFBF4">
            <w:pPr>
              <w:pBdr/>
              <w:spacing/>
              <w:ind/>
              <w:rPr/>
            </w:pPr>
            <w:r>
              <w:rPr>
                <w:lang w:val="en-CA"/>
              </w:rPr>
              <w:t xml:space="preserve">Change</w:t>
            </w:r>
            <w:r/>
          </w:p>
        </w:tc>
      </w:tr>
      <w:tr>
        <w:trPr>
          <w:trHeight w:val="1750"/>
        </w:trPr>
        <w:tc>
          <w:tcPr>
            <w:tcBorders/>
            <w:tcW w:w="2339" w:type="dxa"/>
          </w:tcPr>
          <w:p w14:paraId="5572A332">
            <w:pPr>
              <w:pBdr/>
              <w:spacing/>
              <w:ind/>
              <w:rPr/>
            </w:pPr>
            <w:r/>
            <w:r>
              <w:t xml:space="preserve">Clarify the conceptual distinction between pruning (this work) and discovery/reachability-based link selection</w:t>
            </w:r>
            <w:r>
              <w:rPr>
                <w:lang w:val="en-CA"/>
              </w:rPr>
              <w:t xml:space="preserve">.</w:t>
            </w:r>
            <w:r/>
          </w:p>
        </w:tc>
        <w:tc>
          <w:tcPr>
            <w:tcBorders/>
            <w:tcW w:w="2339" w:type="dxa"/>
          </w:tcPr>
          <w:p w14:paraId="066557D5">
            <w:pPr>
              <w:pBdr/>
              <w:spacing/>
              <w:ind/>
              <w:rPr/>
            </w:pPr>
            <w:r>
              <w:rPr>
                <w:lang w:val="en-CA"/>
              </w:rPr>
              <w:t xml:space="preserve">We consider pruning more akin to logical negation whereas discovery is more akin to assertion. Pruning is about definitly stating that this part of the search domain should not be explore whereas discovery is about building the search domain and stating that part of the search domain may content relevant information</w:t>
            </w:r>
            <w:r/>
          </w:p>
        </w:tc>
        <w:tc>
          <w:tcPr>
            <w:tcBorders/>
            <w:tcW w:w="2339" w:type="dxa"/>
          </w:tcPr>
          <w:p w14:paraId="1AB59893">
            <w:pPr>
              <w:pBdr/>
              <w:spacing/>
              <w:ind/>
              <w:rPr/>
            </w:pPr>
            <w:r>
              <w:rPr>
                <w:lang w:val="en-CA"/>
              </w:rPr>
              <w:t xml:space="preserve">We added the clarification in the introduction, related works section and </w:t>
            </w:r>
            <w:r>
              <w:rPr>
                <w:lang w:val="en-CA"/>
              </w:rPr>
              <w:t xml:space="preserve">Link Pruning Using Shape Indexes</w:t>
            </w:r>
            <w:r>
              <w:rPr>
                <w:lang w:val="en-CA"/>
              </w:rPr>
              <w:t xml:space="preserve"> section</w:t>
            </w:r>
            <w:r/>
          </w:p>
        </w:tc>
      </w:tr>
      <w:tr>
        <w:trPr/>
        <w:tc>
          <w:tcPr>
            <w:tcBorders/>
            <w:tcW w:w="2339" w:type="dxa"/>
          </w:tcPr>
          <w:p w14:paraId="0C634E3D">
            <w:pPr>
              <w:pBdr/>
              <w:spacing/>
              <w:ind/>
              <w:rPr/>
            </w:pPr>
            <w:r/>
            <w:r>
              <w:t xml:space="preserve"> Add a summary table listing each hypothesis and whether it is supported or rejected.</w:t>
            </w:r>
            <w:r/>
            <w:r/>
          </w:p>
        </w:tc>
        <w:tc>
          <w:tcPr>
            <w:tcBorders/>
            <w:tcW w:w="2339" w:type="dxa"/>
          </w:tcPr>
          <w:p w14:paraId="1B15143E">
            <w:pPr>
              <w:pBdr/>
              <w:spacing/>
              <w:ind/>
              <w:rPr/>
            </w:pPr>
            <w:r/>
            <w:r/>
          </w:p>
        </w:tc>
        <w:tc>
          <w:tcPr>
            <w:tcBorders/>
            <w:tcW w:w="2339" w:type="dxa"/>
          </w:tcPr>
          <w:p w14:paraId="3D845355">
            <w:pPr>
              <w:pBdr/>
              <w:spacing/>
              <w:ind/>
              <w:rPr/>
            </w:pPr>
            <w:r>
              <w:rPr>
                <w:lang w:val="en-CA"/>
              </w:rPr>
              <w:t xml:space="preserve">We added the table summarizing the hypothesis at the new section “</w:t>
            </w:r>
            <w:r>
              <w:rPr>
                <w:lang w:val="en-CA"/>
              </w:rPr>
              <w:t xml:space="preserve">Summary of Findings</w:t>
            </w:r>
            <w:r>
              <w:rPr>
                <w:lang w:val="en-CA"/>
              </w:rPr>
              <w:t xml:space="preserve">”</w:t>
            </w:r>
            <w:r/>
          </w:p>
        </w:tc>
      </w:tr>
      <w:tr>
        <w:trPr/>
        <w:tc>
          <w:tcPr>
            <w:tcBorders/>
            <w:tcW w:w="2339" w:type="dxa"/>
          </w:tcPr>
          <w:p w14:paraId="6AC6CD46">
            <w:pPr>
              <w:pBdr/>
              <w:spacing/>
              <w:ind/>
              <w:rPr/>
            </w:pPr>
            <w:r/>
            <w:r>
              <w:t xml:space="preserve">Introduce Figure 3 earlier.</w:t>
            </w:r>
            <w:r/>
            <w:r/>
          </w:p>
        </w:tc>
        <w:tc>
          <w:tcPr>
            <w:tcBorders/>
            <w:tcW w:w="2339" w:type="dxa"/>
          </w:tcPr>
          <w:p w14:paraId="3BF83E4A">
            <w:pPr>
              <w:pBdr/>
              <w:spacing/>
              <w:ind/>
              <w:rPr/>
            </w:pPr>
            <w:r/>
            <w:r/>
          </w:p>
        </w:tc>
        <w:tc>
          <w:tcPr>
            <w:tcBorders/>
            <w:tcW w:w="2339" w:type="dxa"/>
          </w:tcPr>
          <w:p w14:paraId="0EBD3DBF">
            <w:pPr>
              <w:pBdr/>
              <w:spacing/>
              <w:ind/>
              <w:rPr/>
            </w:pPr>
            <w:r>
              <w:rPr>
                <w:lang w:val="en-CA"/>
              </w:rPr>
              <w:t xml:space="preserve">Now figure 3 is introduce in the paragraph just below the Approach section</w:t>
            </w:r>
            <w:r/>
          </w:p>
        </w:tc>
      </w:tr>
      <w:tr>
        <w:trPr/>
        <w:tc>
          <w:tcPr>
            <w:tcBorders/>
            <w:tcW w:w="2339" w:type="dxa"/>
          </w:tcPr>
          <w:p w14:paraId="5B4424E6">
            <w:pPr>
              <w:pBdr/>
              <w:spacing/>
              <w:ind/>
              <w:rPr/>
            </w:pPr>
            <w:r/>
            <w:r>
              <w:t xml:space="preserve">Fix the flow of the first paragraph (centralised → decentralised → Linked Data/KGs feels disjointed).</w:t>
            </w:r>
            <w:r/>
            <w:r/>
          </w:p>
        </w:tc>
        <w:tc>
          <w:tcPr>
            <w:tcBorders/>
            <w:tcW w:w="2339" w:type="dxa"/>
          </w:tcPr>
          <w:p w14:paraId="19039BC9">
            <w:pPr>
              <w:pBdr/>
              <w:spacing/>
              <w:ind/>
              <w:rPr/>
            </w:pPr>
            <w:r/>
            <w:r/>
          </w:p>
        </w:tc>
        <w:tc>
          <w:tcPr>
            <w:tcBorders/>
            <w:tcW w:w="2339" w:type="dxa"/>
          </w:tcPr>
          <w:p w14:paraId="7B4BEB72">
            <w:pPr>
              <w:pBdr/>
              <w:spacing/>
              <w:ind/>
              <w:rPr>
                <w:highlight w:val="none"/>
                <w:lang w:val="en-CA"/>
              </w:rPr>
            </w:pPr>
            <w:r>
              <w:rPr>
                <w:lang w:val="en-CA"/>
              </w:rPr>
              <w:t xml:space="preserve">We improved the flow of the first paragraph of the introduction, to make a better transition between the centralized, decentralized setiting and linked data</w:t>
            </w:r>
            <w:r>
              <w:rPr>
                <w:highlight w:val="none"/>
                <w:lang w:val="en-CA"/>
              </w:rPr>
            </w:r>
            <w:r>
              <w:rPr>
                <w:highlight w:val="none"/>
                <w:lang w:val="en-CA"/>
              </w:rPr>
            </w:r>
          </w:p>
        </w:tc>
      </w:tr>
      <w:tr>
        <w:trPr/>
        <w:tc>
          <w:tcPr>
            <w:tcBorders/>
            <w:tcW w:w="2339" w:type="dxa"/>
          </w:tcPr>
          <w:p w14:paraId="67D77CE7">
            <w:pPr>
              <w:pBdr/>
              <w:spacing/>
              <w:ind/>
              <w:rPr/>
            </w:pPr>
            <w:r/>
            <w:r>
              <w:t xml:space="preserve">Define DESPs</w:t>
            </w:r>
            <w:r>
              <w:rPr>
                <w:lang w:val="en-CA"/>
              </w:rPr>
              <w:t xml:space="preserve"> </w:t>
            </w:r>
            <w:r>
              <w:t xml:space="preserve">when first introduced.</w:t>
            </w:r>
            <w:r/>
            <w:r/>
          </w:p>
        </w:tc>
        <w:tc>
          <w:tcPr>
            <w:tcBorders/>
            <w:tcW w:w="2339" w:type="dxa"/>
          </w:tcPr>
          <w:p w14:paraId="7318D4F7">
            <w:pPr>
              <w:pBdr/>
              <w:spacing/>
              <w:ind/>
              <w:rPr/>
            </w:pPr>
            <w:r/>
            <w:r/>
          </w:p>
        </w:tc>
        <w:tc>
          <w:tcPr>
            <w:tcBorders/>
            <w:tcW w:w="2339" w:type="dxa"/>
          </w:tcPr>
          <w:p w14:paraId="71CD8AA4">
            <w:pPr>
              <w:pBdr/>
              <w:spacing/>
              <w:ind/>
              <w:rPr/>
            </w:pPr>
            <w:r>
              <w:rPr>
                <w:lang w:val="en-CA"/>
              </w:rPr>
              <w:t xml:space="preserve">We defined DESP with this sentence</w:t>
              <w:br/>
              <w:br/>
              <w:t xml:space="preserve">&gt; </w:t>
            </w:r>
            <w:r>
              <w:rPr>
                <w:lang w:val="en-CA"/>
              </w:rPr>
              <w:t xml:space="preserve">Such environments are decentralized networks in which data providers expose implicit or explicit data structures, referred to as structural properties, that query engines can lever</w:t>
            </w:r>
            <w:r>
              <w:rPr>
                <w:lang w:val="en-CA"/>
              </w:rPr>
              <w:t xml:space="preserve">age during traversal.</w:t>
            </w:r>
            <w:r/>
            <w:r/>
            <w:r>
              <w:rPr>
                <w:lang w:val="en-CA"/>
              </w:rPr>
            </w:r>
          </w:p>
        </w:tc>
      </w:tr>
      <w:tr>
        <w:trPr/>
        <w:tc>
          <w:tcPr>
            <w:tcBorders/>
            <w:tcW w:w="2339" w:type="dxa"/>
          </w:tcPr>
          <w:p w14:paraId="39B8FA2B">
            <w:pPr>
              <w:pBdr/>
              <w:spacing/>
              <w:ind/>
              <w:rPr/>
            </w:pPr>
            <w:r/>
            <w:r/>
          </w:p>
        </w:tc>
        <w:tc>
          <w:tcPr>
            <w:tcBorders/>
            <w:tcW w:w="2339" w:type="dxa"/>
          </w:tcPr>
          <w:p w14:paraId="61F97919">
            <w:pPr>
              <w:pBdr/>
              <w:spacing/>
              <w:ind/>
              <w:rPr/>
            </w:pPr>
            <w:r/>
            <w:r/>
          </w:p>
        </w:tc>
        <w:tc>
          <w:tcPr>
            <w:tcBorders/>
            <w:tcW w:w="2339" w:type="dxa"/>
          </w:tcPr>
          <w:p w14:paraId="34E800D9">
            <w:pPr>
              <w:pBdr/>
              <w:spacing/>
              <w:ind/>
              <w:rPr/>
            </w:pPr>
            <w:r/>
            <w:r/>
          </w:p>
        </w:tc>
      </w:tr>
    </w:tbl>
    <w:p w14:paraId="1DAA9447">
      <w:pPr>
        <w:pBdr/>
        <w:spacing/>
        <w:ind/>
        <w:rPr/>
      </w:pPr>
      <w:r/>
      <w:r/>
    </w:p>
    <w:p w14:paraId="10118E6F">
      <w:pPr>
        <w:pStyle w:val="834"/>
        <w:pBdr/>
        <w:spacing/>
        <w:ind/>
        <w:rPr/>
      </w:pPr>
      <w:r>
        <w:rPr>
          <w:lang w:val="en-CA"/>
        </w:rPr>
        <w:t xml:space="preserve">Reviewer 2</w:t>
      </w:r>
      <w:r/>
    </w:p>
    <w:tbl>
      <w:tblPr>
        <w:tblStyle w:val="707"/>
        <w:tblW w:w="0" w:type="auto"/>
        <w:tblBorders/>
        <w:tblLook w:val="04A0" w:firstRow="1" w:lastRow="0" w:firstColumn="1" w:lastColumn="0" w:noHBand="0" w:noVBand="1"/>
      </w:tblPr>
      <w:tblGrid>
        <w:gridCol w:w="2339"/>
        <w:gridCol w:w="2339"/>
        <w:gridCol w:w="2339"/>
      </w:tblGrid>
      <w:tr>
        <w:trPr/>
        <w:tc>
          <w:tcPr>
            <w:tcBorders/>
            <w:tcW w:w="2339" w:type="dxa"/>
          </w:tcPr>
          <w:p w14:paraId="385D4598">
            <w:pPr>
              <w:pBdr/>
              <w:spacing/>
              <w:ind/>
              <w:rPr/>
            </w:pPr>
            <w:r>
              <w:rPr>
                <w:lang w:val="en-CA"/>
              </w:rPr>
              <w:t xml:space="preserve">Reviewer comment</w:t>
            </w:r>
            <w:r/>
          </w:p>
        </w:tc>
        <w:tc>
          <w:tcPr>
            <w:tcBorders/>
            <w:tcW w:w="2339" w:type="dxa"/>
          </w:tcPr>
          <w:p w14:paraId="04BCF587">
            <w:pPr>
              <w:pBdr/>
              <w:spacing/>
              <w:ind/>
              <w:rPr/>
            </w:pPr>
            <w:r>
              <w:rPr>
                <w:lang w:val="en-CA"/>
              </w:rPr>
              <w:t xml:space="preserve">Author response</w:t>
            </w:r>
            <w:r/>
          </w:p>
        </w:tc>
        <w:tc>
          <w:tcPr>
            <w:tcBorders/>
            <w:tcW w:w="2339" w:type="dxa"/>
          </w:tcPr>
          <w:p w14:paraId="23135314">
            <w:pPr>
              <w:pBdr/>
              <w:spacing/>
              <w:ind/>
              <w:rPr/>
            </w:pPr>
            <w:r>
              <w:rPr>
                <w:lang w:val="en-CA"/>
              </w:rPr>
              <w:t xml:space="preserve">Change</w:t>
            </w:r>
            <w:r/>
          </w:p>
        </w:tc>
      </w:tr>
      <w:tr>
        <w:trPr/>
        <w:tc>
          <w:tcPr>
            <w:tcBorders/>
            <w:tcW w:w="2339" w:type="dxa"/>
          </w:tcPr>
          <w:p w14:paraId="765CEC43">
            <w:pPr>
              <w:pBdr/>
              <w:spacing/>
              <w:ind/>
              <w:rPr/>
            </w:pPr>
            <w:r>
              <w:t xml:space="preserve">Define **IRI** before first use (lines 16–19).</w:t>
            </w:r>
            <w:r/>
          </w:p>
        </w:tc>
        <w:tc>
          <w:tcPr>
            <w:tcBorders/>
            <w:tcW w:w="2339" w:type="dxa"/>
          </w:tcPr>
          <w:p w14:paraId="10219E56">
            <w:pPr>
              <w:pStyle w:val="896"/>
              <w:numPr>
                <w:ilvl w:val="0"/>
                <w:numId w:val="1"/>
              </w:numPr>
              <w:pBdr/>
              <w:spacing/>
              <w:ind/>
              <w:rPr/>
            </w:pPr>
            <w:r/>
            <w:r/>
          </w:p>
        </w:tc>
        <w:tc>
          <w:tcPr>
            <w:tcBorders/>
            <w:tcW w:w="2339" w:type="dxa"/>
          </w:tcPr>
          <w:p w14:paraId="32508B66">
            <w:pPr>
              <w:pBdr/>
              <w:spacing/>
              <w:ind/>
              <w:rPr/>
            </w:pPr>
            <w:r>
              <w:rPr>
                <w:lang w:val="en-CA"/>
              </w:rPr>
              <w:t xml:space="preserve">We now define it the whole accronyme and also added a footnote describe what an IRI and URI are.</w:t>
            </w:r>
            <w:r/>
          </w:p>
        </w:tc>
      </w:tr>
      <w:tr>
        <w:trPr/>
        <w:tc>
          <w:tcPr>
            <w:tcBorders/>
            <w:tcW w:w="2339" w:type="dxa"/>
          </w:tcPr>
          <w:p w14:paraId="2160DF82">
            <w:pPr>
              <w:pBdr/>
              <w:spacing/>
              <w:ind/>
              <w:rPr/>
            </w:pPr>
            <w:r>
              <w:t xml:space="preserve">Fix the grammar issue at lines 268–269.</w:t>
            </w:r>
            <w:r/>
          </w:p>
        </w:tc>
        <w:tc>
          <w:tcPr>
            <w:tcBorders/>
            <w:tcW w:w="2339" w:type="dxa"/>
          </w:tcPr>
          <w:p w14:paraId="762D5932">
            <w:pPr>
              <w:pBdr/>
              <w:spacing/>
              <w:ind/>
              <w:rPr/>
            </w:pPr>
            <w:r/>
            <w:r/>
          </w:p>
        </w:tc>
        <w:tc>
          <w:tcPr>
            <w:tcBorders/>
            <w:tcW w:w="2339" w:type="dxa"/>
          </w:tcPr>
          <w:p w14:paraId="62B4D2E5">
            <w:pPr>
              <w:pBdr/>
              <w:spacing/>
              <w:ind/>
              <w:rPr/>
            </w:pPr>
            <w:r>
              <w:rPr>
                <w:lang w:val="en-CA"/>
              </w:rPr>
              <w:t xml:space="preserve">The issue is fixed</w:t>
            </w:r>
            <w:r/>
          </w:p>
        </w:tc>
      </w:tr>
      <w:tr>
        <w:trPr/>
        <w:tc>
          <w:tcPr>
            <w:tcBorders/>
            <w:tcW w:w="2339" w:type="dxa"/>
          </w:tcPr>
          <w:p w14:paraId="1860DA93">
            <w:pPr>
              <w:pBdr/>
              <w:spacing/>
              <w:ind/>
              <w:rPr/>
            </w:pPr>
            <w:r>
              <w:t xml:space="preserve">For queries that yield no benefit (or even slow down, e.g. **S4** template), define what the **D6, D7, and S4** query templates are so readers can understand why.</w:t>
            </w:r>
            <w:r/>
          </w:p>
        </w:tc>
        <w:tc>
          <w:tcPr>
            <w:tcBorders/>
            <w:tcW w:w="2339" w:type="dxa"/>
          </w:tcPr>
          <w:p w14:paraId="3CE53575">
            <w:pPr>
              <w:pStyle w:val="896"/>
              <w:numPr>
                <w:ilvl w:val="0"/>
                <w:numId w:val="2"/>
              </w:numPr>
              <w:pBdr/>
              <w:spacing/>
              <w:ind/>
              <w:rPr/>
            </w:pPr>
            <w:r>
              <w:rPr>
                <w:lang w:val="fr-CA"/>
              </w:rPr>
            </w:r>
            <w:r/>
          </w:p>
        </w:tc>
        <w:tc>
          <w:tcPr>
            <w:tcBorders/>
            <w:tcW w:w="2339" w:type="dxa"/>
          </w:tcPr>
          <w:p w14:paraId="18DE9ED2">
            <w:pPr>
              <w:pBdr/>
              <w:spacing/>
              <w:ind/>
              <w:rPr/>
            </w:pPr>
            <w:r>
              <w:rPr>
                <w:lang w:val="fr-CA"/>
              </w:rPr>
              <w:t xml:space="preserve">We added a listing with the query template for S4, D6 and D7 and added a table describing each query template and if they are data model selective</w:t>
            </w:r>
            <w:r/>
          </w:p>
        </w:tc>
      </w:tr>
      <w:tr>
        <w:trPr/>
        <w:tc>
          <w:tcPr>
            <w:tcBorders/>
            <w:tcW w:w="2339" w:type="dxa"/>
          </w:tcPr>
          <w:p w14:paraId="3DFADEB2">
            <w:pPr>
              <w:pBdr/>
              <w:spacing/>
              <w:ind/>
              <w:rPr/>
            </w:pPr>
            <w:r>
              <w:t xml:space="preserve">Improvements to Contributions: Provide a comprehensive contribution that goes beyond listing components. It should have three parts: Overall architecture and method contributions. Detailed descriptions of each component. Comprehensive evaluation results.</w:t>
            </w:r>
            <w:r/>
          </w:p>
        </w:tc>
        <w:tc>
          <w:tcPr>
            <w:tcBorders/>
            <w:tcW w:w="2339" w:type="dxa"/>
          </w:tcPr>
          <w:p w14:paraId="40D006FE">
            <w:pPr>
              <w:pStyle w:val="896"/>
              <w:numPr>
                <w:ilvl w:val="0"/>
                <w:numId w:val="3"/>
              </w:numPr>
              <w:pBdr/>
              <w:spacing/>
              <w:ind/>
              <w:rPr/>
            </w:pPr>
            <w:r>
              <w:rPr>
                <w:lang w:val="fr-CA"/>
              </w:rPr>
            </w:r>
            <w:r/>
          </w:p>
        </w:tc>
        <w:tc>
          <w:tcPr>
            <w:tcBorders/>
            <w:tcW w:w="2339" w:type="dxa"/>
          </w:tcPr>
          <w:p w14:paraId="637F3CBF">
            <w:pPr>
              <w:pBdr/>
              <w:spacing/>
              <w:ind/>
              <w:rPr>
                <w:highlight w:val="none"/>
                <w:lang w:val="fr-CA"/>
              </w:rPr>
            </w:pPr>
            <w:r>
              <w:rPr>
                <w:lang w:val="fr-CA"/>
              </w:rPr>
              <w:t xml:space="preserve">In the introduction we divided our contribution into three</w:t>
            </w:r>
            <w:r>
              <w:rPr>
                <w:highlight w:val="none"/>
                <w:lang w:val="fr-CA"/>
              </w:rPr>
            </w:r>
          </w:p>
          <w:p w14:paraId="3F2291D0">
            <w:pPr>
              <w:pBdr/>
              <w:spacing/>
              <w:ind/>
              <w:rPr/>
            </w:pPr>
            <w:r>
              <w:rPr>
                <w:highlight w:val="none"/>
                <w:lang w:val="fr-CA"/>
              </w:rPr>
              <w:t xml:space="preserve">Methods, Software Components and Evaluations</w:t>
            </w:r>
            <w:r>
              <w:rPr>
                <w:highlight w:val="none"/>
                <w:lang w:val="fr-CA"/>
              </w:rPr>
            </w:r>
            <w:r/>
          </w:p>
        </w:tc>
      </w:tr>
      <w:tr>
        <w:trPr/>
        <w:tc>
          <w:tcPr>
            <w:tcBorders/>
            <w:tcW w:w="2339" w:type="dxa"/>
          </w:tcPr>
          <w:p w14:paraId="060DC2BA">
            <w:pPr>
              <w:pBdr/>
              <w:spacing/>
              <w:ind/>
              <w:rPr/>
            </w:pPr>
            <w:r/>
            <w:r/>
          </w:p>
        </w:tc>
        <w:tc>
          <w:tcPr>
            <w:tcBorders/>
            <w:tcW w:w="2339" w:type="dxa"/>
          </w:tcPr>
          <w:p w14:paraId="3D3226F0">
            <w:pPr>
              <w:pBdr/>
              <w:spacing/>
              <w:ind/>
              <w:rPr/>
            </w:pPr>
            <w:r/>
            <w:r/>
          </w:p>
        </w:tc>
        <w:tc>
          <w:tcPr>
            <w:tcBorders/>
            <w:tcW w:w="2339" w:type="dxa"/>
          </w:tcPr>
          <w:p w14:paraId="1E2095EC">
            <w:pPr>
              <w:pBdr/>
              <w:spacing/>
              <w:ind/>
              <w:rPr/>
            </w:pPr>
            <w:r/>
            <w:r/>
          </w:p>
        </w:tc>
      </w:tr>
      <w:tr>
        <w:trPr/>
        <w:tc>
          <w:tcPr>
            <w:tcBorders/>
            <w:tcW w:w="2339" w:type="dxa"/>
          </w:tcPr>
          <w:p w14:paraId="1AA14136">
            <w:pPr>
              <w:pBdr/>
              <w:spacing/>
              <w:ind/>
              <w:rPr/>
            </w:pPr>
            <w:r/>
            <w:r/>
          </w:p>
        </w:tc>
        <w:tc>
          <w:tcPr>
            <w:tcBorders/>
            <w:tcW w:w="2339" w:type="dxa"/>
          </w:tcPr>
          <w:p w14:paraId="3F24F879">
            <w:pPr>
              <w:pBdr/>
              <w:spacing/>
              <w:ind/>
              <w:rPr/>
            </w:pPr>
            <w:r/>
            <w:r/>
          </w:p>
        </w:tc>
        <w:tc>
          <w:tcPr>
            <w:tcBorders/>
            <w:tcW w:w="2339" w:type="dxa"/>
          </w:tcPr>
          <w:p w14:paraId="2DD70302">
            <w:pPr>
              <w:pBdr/>
              <w:spacing/>
              <w:ind/>
              <w:rPr/>
            </w:pPr>
            <w:r/>
            <w:r/>
          </w:p>
        </w:tc>
      </w:tr>
    </w:tbl>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ABA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29B7C6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C3C230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2026-06-15T13:22:01Z</dcterms:modified>
</cp:coreProperties>
</file>