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before="2400" w:line="480"/></w:pPr><w:r><w:rPr><w:rFonts w:ascii="Times New Roman" w:cs="Times New Roman" w:eastAsia="Times New Roman" w:hAnsi="Times New Roman"/><w:sz w:val="24"/><w:szCs w:val="24"/></w:rPr><w:t xml:space="preserve"></w:t></w:r></w:p><w:p><w:pPr><w:spacing w:line="480"/><w:jc w:val="center"/></w:pPr><w:r><w:rPr><w:rFonts w:ascii="Times New Roman" w:cs="Times New Roman" w:eastAsia="Times New Roman" w:hAnsi="Times New Roman"/><w:b/><w:bCs/><w:sz w:val="24"/><w:szCs w:val="24"/></w:rPr><w:t xml:space="preserve">OBRahUB: Sistema operativo de construcción con inteligencia artificial multiagente para la gestión integral de proyectos y la obtención de licencias de construcción en Colombia</w:t></w:r></w:p><w:p><w:pPr><w:spacing w:line="480"/></w:pPr><w:r><w:rPr><w:rFonts w:ascii="Times New Roman" w:cs="Times New Roman" w:eastAsia="Times New Roman" w:hAnsi="Times New Roman"/><w:sz w:val="24"/><w:szCs w:val="24"/></w:rPr><w:t xml:space="preserve"></w:t></w:r></w:p><w:p><w:pPr><w:spacing w:line="480"/><w:jc w:val="center"/></w:pPr><w:r><w:rPr><w:rFonts w:ascii="Times New Roman" w:cs="Times New Roman" w:eastAsia="Times New Roman" w:hAnsi="Times New Roman"/><w:sz w:val="24"/><w:szCs w:val="24"/></w:rPr><w:t xml:space="preserve">Diego Orlando Pineda Escobar</w:t></w:r></w:p><w:p><w:pPr><w:spacing w:line="480"/><w:jc w:val="center"/></w:pPr><w:r><w:rPr><w:rFonts w:ascii="Times New Roman" w:cs="Times New Roman" w:eastAsia="Times New Roman" w:hAnsi="Times New Roman"/><w:sz w:val="24"/><w:szCs w:val="24"/></w:rPr><w:t xml:space="preserve">Corporación Universitaria Colmayor — UNICOLMAYOR</w:t></w:r></w:p><w:p><w:pPr><w:spacing w:line="480"/><w:jc w:val="center"/></w:pPr><w:r><w:rPr><w:rFonts w:ascii="Times New Roman" w:cs="Times New Roman" w:eastAsia="Times New Roman" w:hAnsi="Times New Roman"/><w:sz w:val="24"/><w:szCs w:val="24"/></w:rPr><w:t xml:space="preserve">[Programa / Facultad]</w:t></w:r></w:p><w:p><w:pPr><w:spacing w:line="480"/><w:jc w:val="center"/></w:pPr><w:r><w:rPr><w:rFonts w:ascii="Times New Roman" w:cs="Times New Roman" w:eastAsia="Times New Roman" w:hAnsi="Times New Roman"/><w:sz w:val="24"/><w:szCs w:val="24"/></w:rPr><w:t xml:space="preserve">[Asesor / Docente]</w:t></w:r></w:p><w:p><w:pPr><w:spacing w:line="480"/><w:jc w:val="center"/></w:pPr><w:r><w:rPr><w:rFonts w:ascii="Times New Roman" w:cs="Times New Roman" w:eastAsia="Times New Roman" w:hAnsi="Times New Roman"/><w:sz w:val="24"/><w:szCs w:val="24"/></w:rPr><w:t xml:space="preserve">[Ciudad], Colombia</w:t></w:r></w:p><w:p><w:pPr><w:spacing w:line="480"/><w:jc w:val="center"/></w:pPr><w:r><w:rPr><w:rFonts w:ascii="Times New Roman" w:cs="Times New Roman" w:eastAsia="Times New Roman" w:hAnsi="Times New Roman"/><w:sz w:val="24"/><w:szCs w:val="24"/></w:rPr><w:t xml:space="preserve">2026</w:t></w:r></w:p><w:p><w:r><w:br w:type="page"/></w:r></w:p><w:p><w:pPr><w:spacing w:line="480"/><w:jc w:val="center"/></w:pPr><w:r><w:rPr><w:rFonts w:ascii="Times New Roman" w:cs="Times New Roman" w:eastAsia="Times New Roman" w:hAnsi="Times New Roman"/><w:b/><w:bCs/><w:sz w:val="24"/><w:szCs w:val="24"/></w:rPr><w:t xml:space="preserve">Resumen</w:t></w:r></w:p><w:p><w:pPr><w:spacing w:after="0" w:line="480"/><w:ind w:firstLine="720"/><w:jc w:val="both"/></w:pPr><w:r><w:rPr><w:rFonts w:ascii="Times New Roman" w:cs="Times New Roman" w:eastAsia="Times New Roman" w:hAnsi="Times New Roman"/><w:sz w:val="24"/><w:szCs w:val="24"/></w:rPr><w:t xml:space="preserve">La industria de la construcción en Colombia presenta brechas significativas de productividad asociadas a la gestión fragmentada de proyectos, el uso de herramientas heterogéneas no integradas y la barrera normativa local que limita la adopción de plataformas internacionales. El presente trabajo de grado desarrolla OBRahUB, un sistema operativo de construcción web que integra en un solo flujo de trabajo la gestión documental con visores BIM/CAD nativos, la generación de presupuestos por análisis de precios unitarios, la programación y control de obra con diagramas de Gantt y curva S, la bitácora diaria digital y la verificación normativa automatizada con base en el Reglamento Colombiano de Construcción Sismo Resistente (NSR-10). Como aporte central se implementa un estudio de diseño multiagente —arquitecto, constructor, ingeniero civil, experto eléctrico e hidrosanitario— que produce, a partir de lenguaje natural y mediante un formato intermedio JSON validado por puertas de verificación determinísticas, el paquete arquitectónico requerido para radicar una licencia de construcción ante curaduría urbana: plantas por niveles, cortes A-A&apos; y B-B&apos;, cuatro fachadas y cuadro de áreas, exportable a formato DXF por capas. La solución se construyó con Next.js, Supabase y una arquitectura serverless de bajo costo, incorporando un enrutador de modelos lingüísticos de propósito general con proveedores gratuitos y de pago. Se presenta además el estudio de mercado con cuatro segmentos priorizados y el modelo de negocio asociado.</w:t></w:r></w:p><w:p><w:pPr><w:spacing w:line="480"/></w:pPr><w:r><w:rPr><w:rFonts w:ascii="Times New Roman" w:cs="Times New Roman" w:eastAsia="Times New Roman" w:hAnsi="Times New Roman"/><w:i/><w:iCs/><w:sz w:val="24"/><w:szCs w:val="24"/></w:rPr><w:t xml:space="preserve">Palabras clave: </w:t></w:r><w:r><w:rPr><w:rFonts w:ascii="Times New Roman" w:cs="Times New Roman" w:eastAsia="Times New Roman" w:hAnsi="Times New Roman"/><w:i/><w:iCs/><w:sz w:val="24"/><w:szCs w:val="24"/></w:rPr><w:t xml:space="preserve">gestión de proyectos de construcción, inteligencia artificial multiagente, BIM, NSR-10, licencia de construcción, plataformas SaaS</w:t></w:r></w:p><w:p><w:r><w:br w:type="page"/></w:r></w:p><w:p><w:pPr><w:spacing w:line="480"/><w:jc w:val="center"/></w:pPr><w:r><w:rPr><w:rFonts w:ascii="Times New Roman" w:cs="Times New Roman" w:eastAsia="Times New Roman" w:hAnsi="Times New Roman"/><w:b/><w:bCs/><w:sz w:val="24"/><w:szCs w:val="24"/></w:rPr><w:t xml:space="preserve">Abstract</w:t></w:r></w:p><w:p><w:pPr><w:spacing w:after="0" w:line="480"/><w:ind w:firstLine="720"/><w:jc w:val="both"/></w:pPr><w:r><w:rPr><w:rFonts w:ascii="Times New Roman" w:cs="Times New Roman" w:eastAsia="Times New Roman" w:hAnsi="Times New Roman"/><w:sz w:val="24"/><w:szCs w:val="24"/></w:rPr><w:t xml:space="preserve">The Colombian construction industry suffers productivity gaps rooted in fragmented project management, heterogeneous non-integrated tooling, and a local regulatory barrier that limits adoption of international platforms. This degree project develops OBRahUB, a web-based construction operating system that unifies document management with native BIM/CAD viewers, unit-price budget generation, Gantt scheduling with S-curve control, a digital daily log, and automated compliance checking based on the Colombian earthquake-resistant building code (NSR-10). Its core contribution is a multi-agent design studio —architect, builder, civil engineer, electrical and plumbing specialists— that turns natural language into the full architectural package required for a construction license: floor plans, two sections, four elevations and an area schedule, exported as layered DXF. The solution was built on Next.js, Supabase and a low-cost serverless architecture, including a multi-provider LLM router. A market study with four prioritized segments and the associated business model are presented.</w:t></w:r></w:p><w:p><w:pPr><w:spacing w:line="480"/></w:pPr><w:r><w:rPr><w:rFonts w:ascii="Times New Roman" w:cs="Times New Roman" w:eastAsia="Times New Roman" w:hAnsi="Times New Roman"/><w:i/><w:iCs/><w:sz w:val="24"/><w:szCs w:val="24"/></w:rPr><w:t xml:space="preserve">Keywords: </w:t></w:r><w:r><w:rPr><w:rFonts w:ascii="Times New Roman" w:cs="Times New Roman" w:eastAsia="Times New Roman" w:hAnsi="Times New Roman"/><w:i/><w:iCs/><w:sz w:val="24"/><w:szCs w:val="24"/></w:rPr><w:t xml:space="preserve">construction project management, multi-agent artificial intelligence, BIM, NSR-10, construction license, SaaS platforms</w:t></w:r></w:p><w:p><w:r><w:br w:type="page"/></w:r></w:p><w:p><w:pPr><w:spacing w:line="480"/><w:jc w:val="center"/></w:pPr><w:r><w:rPr><w:rFonts w:ascii="Times New Roman" w:cs="Times New Roman" w:eastAsia="Times New Roman" w:hAnsi="Times New Roman"/><w:b/><w:bCs/><w:sz w:val="24"/><w:szCs w:val="24"/></w:rPr><w:t xml:space="preserve">Tabla de contenido</w:t></w:r></w:p><w:sdt><w:sdtPr><w:alias w:val="Contenido"/></w:sdtPr><w:sdtContent><w:p><w:r><w:fldChar w:fldCharType="begin" w:dirty="true"/><w:instrText xml:space="preserve">TOC \h \o &quot;1-2&quot;</w:instrText><w:fldChar w:fldCharType="separate"/></w:r></w:p><w:p><w:r><w:fldChar w:fldCharType="end"/></w:r></w:p></w:sdtContent></w:sdt><w:p><w:r><w:br w:type="page"/></w:r></w:p><w:p><w:pPr><w:pStyle w:val="Heading1"/><w:spacing w:before="240" w:line="480"/><w:jc w:val="center"/></w:pPr><w:r><w:rPr><w:rFonts w:ascii="Times New Roman" w:cs="Times New Roman" w:eastAsia="Times New Roman" w:hAnsi="Times New Roman"/><w:b/><w:bCs/><w:sz w:val="24"/><w:szCs w:val="24"/></w:rPr><w:t xml:space="preserve">Introducción</w:t></w:r></w:p><w:p><w:pPr><w:spacing w:after="0" w:line="480"/><w:ind w:firstLine="720"/><w:jc w:val="both"/></w:pPr><w:r><w:rPr><w:rFonts w:ascii="Times New Roman" w:cs="Times New Roman" w:eastAsia="Times New Roman" w:hAnsi="Times New Roman"/><w:sz w:val="24"/><w:szCs w:val="24"/></w:rPr><w:t xml:space="preserve">La construcción es uno de los motores económicos de Colombia: en 2025 las constructoras del país reportaron ingresos superiores a los 91 billones de pesos, con una concentración significativa en las diez mayores firmas y una larga cola de más de 190.000 empresas y profesionales independientes que operan con herramientas dispersas (Portafolio, 2026). En ese contexto, las plataformas internacionales de gestión de construcción como Procore o Autodesk Construction Cloud resuelven el problema a escala empresarial, pero presentan tres barreras para el mercado nacional: precio por usuario prohibitivo para la mediana empresa, idioma y, sobre todo, la ausencia de la dimensión normativa y documental colombiana —NSR-10, análisis de precios unitarios locales, bitácora de obra y licencias ante curaduría—.</w:t></w:r></w:p><w:p><w:pPr><w:spacing w:after="0" w:line="480"/><w:ind w:firstLine="720"/><w:jc w:val="both"/></w:pPr><w:r><w:rPr><w:rFonts w:ascii="Times New Roman" w:cs="Times New Roman" w:eastAsia="Times New Roman" w:hAnsi="Times New Roman"/><w:sz w:val="24"/><w:szCs w:val="24"/></w:rPr><w:t xml:space="preserve">Este trabajo presenta OBRahUB, una plataforma web concebida como sistema operativo de la construcción, cuyo propósito es cubrir el ciclo completo de un proyecto —diseño, costos, programación, ejecución y control— con verificación normativa automatizada y una capa de inteligencia artificial multimodal en español. El documento desarrolla el planteamiento del problema, los objetivos, el marco referencial, la metodología, los resultados obtenidos —incluido el estudio de diseño multiagente que produce el paquete arquitectónico para licencias—, el plan de negocio y las conclusiones.</w:t></w:r></w:p><w:p><w:pPr><w:pStyle w:val="Heading1"/><w:spacing w:before="240" w:line="480"/><w:jc w:val="center"/></w:pPr><w:r><w:rPr><w:rFonts w:ascii="Times New Roman" w:cs="Times New Roman" w:eastAsia="Times New Roman" w:hAnsi="Times New Roman"/><w:b/><w:bCs/><w:sz w:val="24"/><w:szCs w:val="24"/></w:rPr><w:t xml:space="preserve">Planteamiento del problema</w:t></w:r></w:p><w:p><w:pPr><w:spacing w:after="0" w:line="480"/><w:ind w:firstLine="720"/><w:jc w:val="both"/></w:pPr><w:r><w:rPr><w:rFonts w:ascii="Times New Roman" w:cs="Times New Roman" w:eastAsia="Times New Roman" w:hAnsi="Times New Roman"/><w:sz w:val="24"/><w:szCs w:val="24"/></w:rPr><w:t xml:space="preserve">Las empresas constructoras colombianas pequeñas y medianas gestionan sus obras con hojas de cálculo, mensajería instantánea y carpetas compartidas, lo que produce desviaciones de presupuesto y plazo, pérdida de evidencia para interventoría y sobrecostos administrativos. Adicionalmente, el trámite de licencia de construcción exige un paquete arquitectónico y técnico —plantas, cortes, fachadas, cuadro de áreas, memorias de diseño y soportes normativos— cuyo costo y tiempo de producción recae en profesionales whose disponibilidad es limitada en zonas intermedias del país. La pregunta que guía el trabajo es: ¿cómo pueden la gestión integral de obra y la producción del paquete arquitectónico de licencia automatizarse en una sola plataforma web de bajo costo, con estándares gráficos y normativos colombianos?</w:t></w:r></w:p><w:p><w:pPr><w:pStyle w:val="Heading1"/><w:spacing w:before="240" w:line="480"/><w:jc w:val="center"/></w:pPr><w:r><w:rPr><w:rFonts w:ascii="Times New Roman" w:cs="Times New Roman" w:eastAsia="Times New Roman" w:hAnsi="Times New Roman"/><w:b/><w:bCs/><w:sz w:val="24"/><w:szCs w:val="24"/></w:rPr><w:t xml:space="preserve">Justificación</w:t></w:r></w:p><w:p><w:pPr><w:spacing w:after="0" w:line="480"/><w:ind w:firstLine="720"/><w:jc w:val="both"/></w:pPr><w:r><w:rPr><w:rFonts w:ascii="Times New Roman" w:cs="Times New Roman" w:eastAsia="Times New Roman" w:hAnsi="Times New Roman"/><w:sz w:val="24"/><w:szCs w:val="24"/></w:rPr><w:t xml:space="preserve">El proyecto se justifica en tres dimensiones. Técnica: integra disciplinas —visualización BIM/CAD en navegador, generación determinística de geometría DXF y razonamiento con modelos lingüísticos grandes— que hoy no existen combinadas en ninguna solución local. Económica: el mercado objetivo (12.000 MIPYME constructoras, 180.000 independientes, instituciones públicas y privadas) carece de alternativas por debajo de cien dólares mensuales por usuario. Social: la automatización del paquete de licencia con verificación normativa reduce barreras de entrada para vivienda de interés social y formaliza procesos en municipios con escasez de profesionales especializados.</w:t></w:r></w:p><w:p><w:pPr><w:pStyle w:val="Heading1"/><w:spacing w:before="240" w:line="480"/><w:jc w:val="center"/></w:pPr><w:r><w:rPr><w:rFonts w:ascii="Times New Roman" w:cs="Times New Roman" w:eastAsia="Times New Roman" w:hAnsi="Times New Roman"/><w:b/><w:bCs/><w:sz w:val="24"/><w:szCs w:val="24"/></w:rPr><w:t xml:space="preserve">Objetivos</w:t></w:r></w:p><w:p><w:pPr><w:pStyle w:val="Heading2"/><w:spacing w:before="120" w:line="480"/></w:pPr><w:r><w:rPr><w:rFonts w:ascii="Times New Roman" w:cs="Times New Roman" w:eastAsia="Times New Roman" w:hAnsi="Times New Roman"/><w:b/><w:bCs/><w:sz w:val="24"/><w:szCs w:val="24"/></w:rPr><w:t xml:space="preserve">Objetivo general</w:t></w:r></w:p><w:p><w:pPr><w:spacing w:after="0" w:line="480"/><w:ind w:firstLine="720"/><w:jc w:val="both"/></w:pPr><w:r><w:rPr><w:rFonts w:ascii="Times New Roman" w:cs="Times New Roman" w:eastAsia="Times New Roman" w:hAnsi="Times New Roman"/><w:sz w:val="24"/><w:szCs w:val="24"/></w:rPr><w:t xml:space="preserve">Desarrollar un sistema operativo de construcción web para el mercado colombiano que integre la gestión documental, de costos, de programación y de control de obra con un estudio de diseño arquitectónico multiagente capaz de producir el paquete de planos requerido para licencia de construcción.</w:t></w:r></w:p><w:p><w:pPr><w:pStyle w:val="Heading2"/><w:spacing w:before="120" w:line="480"/></w:pPr><w:r><w:rPr><w:rFonts w:ascii="Times New Roman" w:cs="Times New Roman" w:eastAsia="Times New Roman" w:hAnsi="Times New Roman"/><w:b/><w:bCs/><w:sz w:val="24"/><w:szCs w:val="24"/></w:rPr><w:t xml:space="preserve">Objetivos específicos</w:t></w:r></w:p><0/><w:p><w:pPr><w:pStyle w:val="Heading1"/><w:spacing w:before="240" w:line="480"/><w:jc w:val="center"/></w:pPr><w:r><w:rPr><w:rFonts w:ascii="Times New Roman" w:cs="Times New Roman" w:eastAsia="Times New Roman" w:hAnsi="Times New Roman"/><w:b/><w:bCs/><w:sz w:val="24"/><w:szCs w:val="24"/></w:rPr><w:t xml:space="preserve">Marco referencial</w:t></w:r></w:p><w:p><w:pPr><w:pStyle w:val="Heading2"/><w:spacing w:before="120" w:line="480"/></w:pPr><w:r><w:rPr><w:rFonts w:ascii="Times New Roman" w:cs="Times New Roman" w:eastAsia="Times New Roman" w:hAnsi="Times New Roman"/><w:b/><w:bCs/><w:sz w:val="24"/><w:szCs w:val="24"/></w:rPr><w:t xml:space="preserve">Marco teórico</w:t></w:r></w:p><w:p><w:pPr><w:spacing w:after="0" w:line="480"/><w:ind w:firstLine="720"/><w:jc w:val="both"/></w:pPr><w:r><w:rPr><w:rFonts w:ascii="Times New Roman" w:cs="Times New Roman" w:eastAsia="Times New Roman" w:hAnsi="Times New Roman"/><w:sz w:val="24"/><w:szCs w:val="24"/></w:rPr><w:t xml:space="preserve">El trabajo se apoya en tres cuerpos de conocimiento. La gestión de proyectos de construcción y sus cuerpos de control (curva S, índices SPI/CPI, bitácora de obra); la modelación de información de la construcción (BIM) bajo estándares abiertos —IFC (ISO 16739) y DXF— que garantizan interoperabilidad sin dependencia propietaria; y la arquitectura de agentes de IA con modelos lingüísticos grandes, en particular el patrón de orquestación en el que el modelo produce estructuras de datos estrictas y un motor determinístico ejecuta los efectos (enfoque adoptado: la IA piensa, los motores dibujan).</w:t></w:r></w:p><w:p><w:pPr><w:pStyle w:val="Heading2"/><w:spacing w:before="120" w:line="480"/></w:pPr><w:r><w:rPr><w:rFonts w:ascii="Times New Roman" w:cs="Times New Roman" w:eastAsia="Times New Roman" w:hAnsi="Times New Roman"/><w:b/><w:bCs/><w:sz w:val="24"/><w:szCs w:val="24"/></w:rPr><w:t xml:space="preserve">Marco conceptual y gráfico</w:t></w:r></w:p><w:p><w:pPr><w:spacing w:after="0" w:line="480"/><w:ind w:firstLine="720"/><w:jc w:val="both"/></w:pPr><w:r><w:rPr><w:rFonts w:ascii="Times New Roman" w:cs="Times New Roman" w:eastAsia="Times New Roman" w:hAnsi="Times New Roman"/><w:sz w:val="24"/><w:szCs w:val="24"/></w:rPr><w:t xml:space="preserve">Para la producción del paquete arquitectónico se adoptaron las convenciones gráficas de la literatura canónica: jerarquía de líneas y poché de muros cortados (Ching, 2020), dimensionamiento antropométrico y funcional (Neufert &amp; Neufert, 2002; Panero &amp; Zelnik, 1979), y los estándares habitacionales de referencia latinoamericana (Plazola, 1994).</w:t></w:r></w:p><w:p><w:pPr><w:pStyle w:val="Heading2"/><w:spacing w:before="120" w:line="480"/></w:pPr><w:r><w:rPr><w:rFonts w:ascii="Times New Roman" w:cs="Times New Roman" w:eastAsia="Times New Roman" w:hAnsi="Times New Roman"/><w:b/><w:bCs/><w:sz w:val="24"/><w:szCs w:val="24"/></w:rPr><w:t xml:space="preserve">Marco normativo</w:t></w:r></w:p><0/><w:p><w:pPr><w:pStyle w:val="Heading2"/><w:spacing w:before="120" w:line="480"/></w:pPr><w:r><w:rPr><w:rFonts w:ascii="Times New Roman" w:cs="Times New Roman" w:eastAsia="Times New Roman" w:hAnsi="Times New Roman"/><w:b/><w:bCs/><w:sz w:val="24"/><w:szCs w:val="24"/></w:rPr><w:t xml:space="preserve">Estado del arte</w:t></w:r></w:p><w:p><w:pPr><w:spacing w:after="0" w:line="480"/><w:ind w:firstLine="720"/><w:jc w:val="both"/></w:pPr><w:r><w:rPr><w:rFonts w:ascii="Times New Roman" w:cs="Times New Roman" w:eastAsia="Times New Roman" w:hAnsi="Times New Roman"/><w:sz w:val="24"/><w:szCs w:val="24"/></w:rPr><w:t xml:space="preserve">Los líderes internacionales (Procore, Autodesk Construction Cloud, Buildertrend) operan entre 100 y 410 dólares por usuario al mes, en inglés y sin dimensión normativa colombiana; las alternativas locales resuelven funciones puntuales sin integrar el circuito diseño-costo-programa-control-licencia (Universidad EAFIT &amp; Inexmoda, 2023). El diferencial de OBRahUB es triple: barrera normativa local difícil de replicar por actores extranjeros, precios APU vivos y costo operativo serverless diez veces menor que una arquitectura tradicional.</w:t></w:r></w:p><w:p><w:pPr><w:pStyle w:val="Heading1"/><w:spacing w:before="240" w:line="480"/><w:jc w:val="center"/></w:pPr><w:r><w:rPr><w:rFonts w:ascii="Times New Roman" w:cs="Times New Roman" w:eastAsia="Times New Roman" w:hAnsi="Times New Roman"/><w:b/><w:bCs/><w:sz w:val="24"/><w:szCs w:val="24"/></w:rPr><w:t xml:space="preserve">Metodología</w:t></w:r></w:p><w:p><w:pPr><w:spacing w:after="0" w:line="480"/><w:ind w:firstLine="720"/><w:jc w:val="both"/></w:pPr><w:r><w:rPr><w:rFonts w:ascii="Times New Roman" w:cs="Times New Roman" w:eastAsia="Times New Roman" w:hAnsi="Times New Roman"/><w:sz w:val="24"/><w:szCs w:val="24"/></w:rPr><w:t xml:space="preserve">El desarrollo se ejecutó con metodología ágil iterativa e incremental, con verificación continua en producción (integración y despliegue continuos sobre Vercel) y pruebas de extremo a extremo automatizadas por navegador. La arquitectura sigue el principio de separación entre razonamiento y ejecución: los agentes de IA emiten exclusivamente un esquema JSON intermedio de planta arquitectónica, que es sanitizado (validación, recortes y redondeo determinístico) y luego dibujado por motores en TypeScript puro hacia SVG, DXF y expediente documental. Cada etapa del pipeline multiagente cruza puertas de verificación determinísticas con referencias normativas antes de habilitar la siguiente. La investigación de mercados combinó fuentes secundarias (Supersociedades, Camacol, prensa económica) y análisis competitivo directo.</w:t></w:r></w:p><w:p><w:pPr><w:pStyle w:val="Heading1"/><w:spacing w:before="240" w:line="480"/><w:jc w:val="center"/></w:pPr><w:r><w:rPr><w:rFonts w:ascii="Times New Roman" w:cs="Times New Roman" w:eastAsia="Times New Roman" w:hAnsi="Times New Roman"/><w:b/><w:bCs/><w:sz w:val="24"/><w:szCs w:val="24"/></w:rPr><w:t xml:space="preserve">Resultados</w:t></w:r></w:p><w:p><w:pPr><w:pStyle w:val="Heading2"/><w:spacing w:before="120" w:line="480"/></w:pPr><w:r><w:rPr><w:rFonts w:ascii="Times New Roman" w:cs="Times New Roman" w:eastAsia="Times New Roman" w:hAnsi="Times New Roman"/><w:b/><w:bCs/><w:sz w:val="24"/><w:szCs w:val="24"/></w:rPr><w:t xml:space="preserve">Plataforma implementada</w:t></w:r></w:p><0/><w:p><w:pPr><w:pStyle w:val="Heading2"/><w:spacing w:before="120" w:line="480"/></w:pPr><w:r><w:rPr><w:rFonts w:ascii="Times New Roman" w:cs="Times New Roman" w:eastAsia="Times New Roman" w:hAnsi="Times New Roman"/><w:b/><w:bCs/><w:sz w:val="24"/><w:szCs w:val="24"/></w:rPr><w:t xml:space="preserve">Estudio de diseño multiagente</w:t></w:r></w:p><w:p><w:pPr><w:spacing w:after="0" w:line="480"/><w:ind w:firstLine="720"/><w:jc w:val="both"/></w:pPr><w:r><w:rPr><w:rFonts w:ascii="Times New Roman" w:cs="Times New Roman" w:eastAsia="Times New Roman" w:hAnsi="Times New Roman"/><w:sz w:val="24"/><w:szCs w:val="24"/></w:rPr><w:t xml:space="preserve">El aporte central es el pipeline de siete personas sintéticas: urbanista (ficha de sitio con POT, clima, vientos y materiales locales), arquitecto (planta JSON con memoria de diseño justificada), constructor e ingeniero civil en paralelo (materiales/métodos y sistema estructural con retícula NSR-10), adaptación del arquitecto a los memos técnicos, experto eléctrico (RETIE) e hidrosanitario (RAS) en paralelo, y acabados. El profesional humano dirige el proceso mediante un bucle de revisión con registro de cambios. La salida es la lámina completa de curaduría —planta(s), cortes A-A&apos; y B-B&apos;, cuatro fachadas con parapeto y doble marco en ventanas, cuadro de áreas, flecha de norte, escala gráfica y cajetín— exportada como DXF R12 por capas semánticas, más el expediente documental con memoria de diseño, memorias técnicas y checklist de radicación.</w:t></w:r></w:p><w:p><w:pPr><w:pStyle w:val="Heading2"/><w:spacing w:before="120" w:line="480"/></w:pPr><w:r><w:rPr><w:rFonts w:ascii="Times New Roman" w:cs="Times New Roman" w:eastAsia="Times New Roman" w:hAnsi="Times New Roman"/><w:b/><w:bCs/><w:sz w:val="24"/><w:szCs w:val="24"/></w:rPr><w:t xml:space="preserve">Estudio de mercado y modelo de negocio</w:t></w:r></w:p><w:p><w:pPr><w:spacing w:after="0" w:line="480"/><w:ind w:firstLine="720"/><w:jc w:val="both"/></w:pPr><w:r><w:rPr><w:rFonts w:ascii="Times New Roman" w:cs="Times New Roman" w:eastAsia="Times New Roman" w:hAnsi="Times New Roman"/><w:sz w:val="24"/><w:szCs w:val="24"/></w:rPr><w:t xml:space="preserve">Se priorizaron cuatro segmentos: constructoras (top-10 nacional facturó 16,6 billones de pesos en 2025; MIPYME como cliente ideal inicial), instituciones gubernamentales (MinTIC, MinVivienda, ANI, INVÍAS, Findeter, MinEducación, alcaldías, curadurías), instituciones privadas (universidades en expansión como Universidad de los Andes, Javeriana y EAFIT, clínicas y corporativo) e independientes multi-proyecto. El modelo combina SaaS por obra activa para constructoras, contratos anuales vía SECOP para el sector público, licencias por proyecto y académicas para instituciones, y freemium a suscripción mensual para independientes; la hoja de ruta de 24 meses prioriza la base freemium, luego MIPYME e instituciones privadas y finalmente licitación estatal.</w:t></w:r></w:p><w:p><w:pPr><w:pStyle w:val="Heading1"/><w:spacing w:before="240" w:line="480"/><w:jc w:val="center"/></w:pPr><w:r><w:rPr><w:rFonts w:ascii="Times New Roman" w:cs="Times New Roman" w:eastAsia="Times New Roman" w:hAnsi="Times New Roman"/><w:b/><w:bCs/><w:sz w:val="24"/><w:szCs w:val="24"/></w:rPr><w:t xml:space="preserve">Cronograma</w:t></w:r></w:p><w:p><w:pPr><w:spacing w:after="0" w:line="480"/><w:ind w:firstLine="720"/><w:jc w:val="both"/></w:pPr><w:r><w:rPr><w:rFonts w:ascii="Times New Roman" w:cs="Times New Roman" w:eastAsia="Times New Roman" w:hAnsi="Times New Roman"/><w:sz w:val="24"/><w:szCs w:val="24"/></w:rPr><w:t xml:space="preserve">Fase 1 (completada): plataforma núcleo, visores BIM/CAD, costos, Gantt, bitácora y control. Fase 2 (completada): estudio de diseño multiagente, motor DXF con lámina de licencia y expediente. Fase 3 (en curso): modelo BIM/IFC generado desde el mismo formato intermedio, pasaporte de materiales para sostenibilidad y canal estatal. El detalle mensualizado se recoge en el documento operativo de cronograma.</w:t></w:r></w:p><w:p><w:pPr><w:pStyle w:val="Heading1"/><w:spacing w:before="240" w:line="480"/><w:jc w:val="center"/></w:pPr><w:r><w:rPr><w:rFonts w:ascii="Times New Roman" w:cs="Times New Roman" w:eastAsia="Times New Roman" w:hAnsi="Times New Roman"/><w:b/><w:bCs/><w:sz w:val="24"/><w:szCs w:val="24"/></w:rPr><w:t xml:space="preserve">Conclusiones y recomendaciones</w:t></w:r></w:p><w:p><w:pPr><w:spacing w:after="0" w:line="480"/><w:ind w:firstLine="720"/><w:jc w:val="both"/></w:pPr><w:r><w:rPr><w:rFonts w:ascii="Times New Roman" w:cs="Times New Roman" w:eastAsia="Times New Roman" w:hAnsi="Times New Roman"/><w:sz w:val="24"/><w:szCs w:val="24"/></w:rPr><w:t xml:space="preserve">Se demostró que el circuito diseño-costo-programa-control-licencia puede unificarse en una plataforma serverless de bajo costo con verificación normativa colombiana automatizada. El enfoque «la IA piensa, los motores dibujan» eliminó la alucinación geométrica: toda la geometría DXF es determinística y reproducible byte a byte. El bucle de revisión con el profesional conserva la responsabilidad intelectual del diseño en manos humanas, papel crítico para la firma y matrícula profesional exigibles en el trámite de licencia. Se recomienda como línea futura la generación del modelo IFC tridimensional desde el mismo formato intermedio, la integración del pasaporte de materiales para economía circular y la validación del expediente con curadurías aliadas mediante pilotos controlados.</w:t></w:r></w:p><w:p><w:pPr><w:pStyle w:val="Heading1"/><w:spacing w:before="240" w:line="480"/><w:jc w:val="center"/></w:pPr><w:r><w:rPr><w:rFonts w:ascii="Times New Roman" w:cs="Times New Roman" w:eastAsia="Times New Roman" w:hAnsi="Times New Roman"/><w:b/><w:bCs/><w:sz w:val="24"/><w:szCs w:val="24"/></w:rPr><w:t xml:space="preserve">Referencias</w:t></w:r></w:p><w:p><w:pPr><w:spacing w:line="480"/><w:ind w:hanging="720"/></w:pPr><w:r><w:rPr><w:rFonts w:ascii="Times New Roman" w:cs="Times New Roman" w:eastAsia="Times New Roman" w:hAnsi="Times New Roman"/><w:sz w:val="24"/><w:szCs w:val="24"/></w:rPr><w:t xml:space="preserve">Asociación Colombiana de Ingeniería Sísmica. (2010). Reglamento colombiano de construcción sismo resistente NSR-10. AIS.</w:t></w:r></w:p><w:p><w:pPr><w:spacing w:line="480"/><w:ind w:hanging="720"/></w:pPr><w:r><w:rPr><w:rFonts w:ascii="Times New Roman" w:cs="Times New Roman" w:eastAsia="Times New Roman" w:hAnsi="Times New Roman"/><w:sz w:val="24"/><w:szCs w:val="24"/></w:rPr><w:t xml:space="preserve">Ching, F. D. K. (2020). Building construction illustrated (6.ª ed.). Wiley.</w:t></w:r></w:p><w:p><w:pPr><w:spacing w:line="480"/><w:ind w:hanging="720"/></w:pPr><w:r><w:rPr><w:rFonts w:ascii="Times New Roman" w:cs="Times New Roman" w:eastAsia="Times New Roman" w:hAnsi="Times New Roman"/><w:sz w:val="24"/><w:szCs w:val="24"/></w:rPr><w:t xml:space="preserve">Congreso de la República de Colombia. (1997). Ley 388 de 1997, por la cual se dictan normas en materia de desarrollo territorial. Diario Oficial.</w:t></w:r></w:p><w:p><w:pPr><w:spacing w:line="480"/><w:ind w:hanging="720"/></w:pPr><w:r><w:rPr><w:rFonts w:ascii="Times New Roman" w:cs="Times New Roman" w:eastAsia="Times New Roman" w:hAnsi="Times New Roman"/><w:sz w:val="24"/><w:szCs w:val="24"/></w:rPr><w:t xml:space="preserve">ICONTEC. (2013). Norma Técnica Colombiana 4595: Planeación y diseño de instalaciones sanitarias y complementarias en edificaciones. Instituto Colombiano de Normas Técnicas y Certificación.</w:t></w:r></w:p><w:p><w:pPr><w:spacing w:line="480"/><w:ind w:hanging="720"/></w:pPr><w:r><w:rPr><w:rFonts w:ascii="Times New Roman" w:cs="Times New Roman" w:eastAsia="Times New Roman" w:hAnsi="Times New Roman"/><w:sz w:val="24"/><w:szCs w:val="24"/></w:rPr><w:t xml:space="preserve">Ministerio de Minas y Energía. (2021). Reglamento Técnico de Instalaciones Eléctricas (RETIE). Gobierno de Colombia.</w:t></w:r></w:p><w:p><w:pPr><w:spacing w:line="480"/><w:ind w:hanging="720"/></w:pPr><w:r><w:rPr><w:rFonts w:ascii="Times New Roman" w:cs="Times New Roman" w:eastAsia="Times New Roman" w:hAnsi="Times New Roman"/><w:sz w:val="24"/><w:szCs w:val="24"/></w:rPr><w:t xml:space="preserve">Ministerio de Vivienda, Ciudad y Territorio. (2021). Resolución 25476: Reglamento Técnico del Sector de Agua Potable y Saneamiento Básico (RAS). Gobierno de Colombia.</w:t></w:r></w:p><w:p><w:pPr><w:spacing w:line="480"/><w:ind w:hanging="720"/></w:pPr><w:r><w:rPr><w:rFonts w:ascii="Times New Roman" w:cs="Times New Roman" w:eastAsia="Times New Roman" w:hAnsi="Times New Roman"/><w:sz w:val="24"/><w:szCs w:val="24"/></w:rPr><w:t xml:space="preserve">Neufert, E., &amp; Neufert, P. (2002). Arte de proyectar en arquitectura (14.ª ed.). Gustavo Gili.</w:t></w:r></w:p><w:p><w:pPr><w:spacing w:line="480"/><w:ind w:hanging="720"/></w:pPr><w:r><w:rPr><w:rFonts w:ascii="Times New Roman" w:cs="Times New Roman" w:eastAsia="Times New Roman" w:hAnsi="Times New Roman"/><w:sz w:val="24"/><w:szCs w:val="24"/></w:rPr><w:t xml:space="preserve">Panero, J., &amp; Zelnik, M. (1979). Human dimension and interior space. Whitney Library of Design.</w:t></w:r></w:p><w:p><w:pPr><w:spacing w:line="480"/><w:ind w:hanging="720"/></w:pPr><w:r><w:rPr><w:rFonts w:ascii="Times New Roman" w:cs="Times New Roman" w:eastAsia="Times New Roman" w:hAnsi="Times New Roman"/><w:sz w:val="24"/><w:szCs w:val="24"/></w:rPr><w:t xml:space="preserve">Plazola, A. (1994). Arquitectura habitacional (Vols. 1-2). Limusa.</w:t></w:r></w:p><w:p><w:pPr><w:spacing w:line="480"/><w:ind w:hanging="720"/></w:pPr><w:r><w:rPr><w:rFonts w:ascii="Times New Roman" w:cs="Times New Roman" w:eastAsia="Times New Roman" w:hAnsi="Times New Roman"/><w:sz w:val="24"/><w:szCs w:val="24"/></w:rPr><w:t xml:space="preserve">Portafolio. (2026). Constructoras sumaron $91,78 billones en ingresos en 2025: el ranking de las 10 empresas que lideran el sector. https://www.portafolio.co/economia/infraestructura/constructoras-sumaron-91-78-billones-en-ingresos-en-2025-el-ranking-de-las-10-empresas-que-lideran-el-sector-497216</w:t></w:r></w:p><w:p><w:pPr><w:spacing w:line="480"/><w:ind w:hanging="720"/></w:pPr><w:r><w:rPr><w:rFonts w:ascii="Times New Roman" w:cs="Times New Roman" w:eastAsia="Times New Roman" w:hAnsi="Times New Roman"/><w:sz w:val="24"/><w:szCs w:val="24"/></w:rPr><w:t xml:space="preserve">Presidencia de la República de Colombia. (2015). Decreto 1077 de 2015, Decreto Único Reglamentario del Sector Vivienda, Ciudad y Territorio.</w:t></w:r></w:p><w:p><w:pPr><w:spacing w:line="480"/><w:ind w:hanging="720"/></w:pPr><w:r><w:rPr><w:rFonts w:ascii="Times New Roman" w:cs="Times New Roman" w:eastAsia="Times New Roman" w:hAnsi="Times New Roman"/><w:sz w:val="24"/><w:szCs w:val="24"/></w:rPr><w:t xml:space="preserve">Universidad de los Andes. (2020). Architectural graphics / Manual de dibujo arquitectónico [obra de F. D. K. Ching]. Wiley.</w:t></w:r></w:p><w:p><w:pPr><w:spacing w:line="480"/><w:ind w:hanging="720"/></w:pPr><w:r><w:rPr><w:rFonts w:ascii="Times New Roman" w:cs="Times New Roman" w:eastAsia="Times New Roman" w:hAnsi="Times New Roman"/><w:sz w:val="24"/><w:szCs w:val="24"/></w:rPr><w:t xml:space="preserve">Valora Analitik. (2026). Estas son las constructoras de vivienda más grandes de Colombia. https://www.valoraanalitik.com/estas-son-las-constructoras-de-vivienda-mas-grandes-de-colombi/</w:t></w:r></w:p><w:sectPr><w:headerReference w:type="default" r:id="rId7"/><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sz w:val="24"/>
      <w:szCs w:val="24"/>
    </w:rPr>
  </w:style>
  <w:style w:type="paragraph" w:styleId="Heading2">
    <w:name w:val="Heading 2"/>
    <w:basedOn w:val="Normal"/>
    <w:next w:val="Normal"/>
    <w:qFormat/>
    <w:rPr>
      <w:rFonts w:ascii="Times New Roman" w:cs="Times New Roman" w:eastAsia="Times New Roman" w:hAnsi="Times New Roman"/>
      <w:b/>
      <w:bCs/>
      <w:sz w:val="24"/>
      <w:szCs w:val="24"/>
    </w:rPr>
  </w:style>
  <w:style w:type="paragraph" w:styleId="Heading3">
    <w:name w:val="Heading 3"/>
    <w:basedOn w:val="Normal"/>
    <w:next w:val="Normal"/>
    <w:qFormat/>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OBRahUB — Documento de grado (APA 7)</dc:title>
  <dc:creator>Diego Orlando Pineda Escobar</dc:creator>
  <dc:description>Trabajo de grado UNICOLMAYOR en normas APA 7ª edición</dc:description>
  <cp:lastModifiedBy>Un-named</cp:lastModifiedBy>
  <cp:revision>1</cp:revision>
  <dcterms:created xsi:type="dcterms:W3CDTF">2026-09-09T13:42:05.315Z</dcterms:created>
  <dcterms:modified xsi:type="dcterms:W3CDTF">2026-09-09T13:42:05.315Z</dcterms:modified>
</cp:coreProperties>
</file>

<file path=docProps/custom.xml><?xml version="1.0" encoding="utf-8"?>
<Properties xmlns="http://schemas.openxmlformats.org/officeDocument/2006/custom-properties" xmlns:vt="http://schemas.openxmlformats.org/officeDocument/2006/docPropsVTypes"/>
</file>