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444444"/>
          <w:sz w:val="24"/>
          <w:szCs w:val="24"/>
        </w:rPr>
        <w:t xml:space="preserve">CORPORACIÓN UNIVERSITARIA UNICOLMAYOR</w:t>
      </w:r>
    </w:p>
    <w:p>
      <w:pPr>
        <w:spacing w:after="100"/>
        <w:jc w:val="center"/>
      </w:pPr>
      <w:r>
        <w:rPr>
          <w:color w:val="444444"/>
          <w:sz w:val="22"/>
          <w:szCs w:val="22"/>
        </w:rPr>
        <w:t xml:space="preserve">Constructor y Gestor en Arquitectura</w:t>
      </w:r>
    </w:p>
    <w:p>
      <w:pPr>
        <w:spacing w:before="1400"/>
      </w:pPr>
    </w:p>
    <w:p>
      <w:pPr>
        <w:spacing w:after="120"/>
        <w:jc w:val="center"/>
      </w:pPr>
      <w:r>
        <w:rPr>
          <w:b/>
          <w:bCs/>
          <w:color w:val="1F3A5F"/>
          <w:sz w:val="72"/>
          <w:szCs w:val="72"/>
        </w:rPr>
        <w:t xml:space="preserve">OBRahUB</w:t>
      </w:r>
    </w:p>
    <w:p>
      <w:pPr>
        <w:spacing w:after="80"/>
        <w:jc w:val="center"/>
      </w:pPr>
      <w:r>
        <w:rPr>
          <w:color w:val="444444"/>
          <w:sz w:val="30"/>
          <w:szCs w:val="30"/>
        </w:rPr>
        <w:t xml:space="preserve">Construction Operating System para Colombia y Latinoamérica</w:t>
      </w:r>
    </w:p>
    <w:p>
      <w:pPr>
        <w:spacing w:after="2000"/>
        <w:jc w:val="center"/>
      </w:pPr>
      <w:r>
        <w:rPr>
          <w:i/>
          <w:iCs/>
          <w:color w:val="444444"/>
          <w:sz w:val="22"/>
          <w:szCs w:val="22"/>
        </w:rPr>
        <w:t xml:space="preserve">Anteproyecto · Plan de Negocios · Estudio Financiero · Cronograma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Diego Orlando Pineda Escobar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Powered by Cratere S.A.S.</w:t>
      </w:r>
    </w:p>
    <w:p>
      <w:pPr>
        <w:jc w:val="center"/>
      </w:pPr>
      <w:r>
        <w:rPr>
          <w:color w:val="444444"/>
          <w:sz w:val="22"/>
          <w:szCs w:val="22"/>
        </w:rPr>
        <w:t xml:space="preserve">Bogotá D.C. — 2026</w:t>
      </w:r>
    </w:p>
    <w:p>
      <w:r>
        <w:br w:type="page"/>
      </w:r>
    </w:p>
    <w:p>
      <w:pPr>
        <w:pStyle w:val="Heading1"/>
        <w:spacing w:after="200" w:before="240"/>
      </w:pPr>
      <w:bookmarkStart w:id="100000" w:name="_Toc100000"/>
      <w:r>
        <w:rPr>
          <w:b/>
          <w:bCs/>
          <w:color w:val="1F3A5F"/>
        </w:rPr>
        <w:t xml:space="preserve">CONTENIDO</w:t>
      </w:r>
      <w:bookmarkEnd w:id="100000"/>
    </w:p>
    <w:sdt>
      <w:sdtPr>
        <w:alias w:val="Contenido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CONTENIDO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ANTEPROYECTO DE GRADO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OBRahUB — Construction Operating System para Colombia y Latinoamérica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 PLANTEAMIENTO DEL PROBLEMA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 PREGUNTA PROBLEMA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 OBJETIVOS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 Objetivo general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3.2 Objetivos específicos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 JUSTIFICACIÓN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 MARCO TEÓRICO (síntesis)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6. METODOLOGÍA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7. ALCANCE Y LIMITACIONES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8. RESULTADOS ESPERADOS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PLAN DE NEGOCIOS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OBRahUB — Construction OS para LATAM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1. RESUMEN EJECUTIVO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2. DESCRIPCIÓN DEL NEGOCIO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2.1 Misión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2.2 Visión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2.3 Productos y servicios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 ANÁLISIS DEL SECTOR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 ESTUDIO DE MERCADO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4.1 Segmentación y tamaño (Colombia)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4.2 Competencia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4.3 Cliente objetivo inicial (ICP)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 MODELO DE NEGOCIO (Canvas)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6. ESTRATEGIA DE MARKETING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7. PLAN DE OPERACIONES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8. ESTRUCTURA ORGANIZACIONAL Y LEGAL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9. ESTUDIO FINANCIERO (resumen — detalle en documento 03)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10. ANÁLISIS DE RIESGOS Y MITIGACIÓN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11. IMPACTO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ESTUDIO FINANCIERO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OBRahUB — Cratere S.A.S.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1. INVERSIÓN INICIAL (ya ejecutada mayormente)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2. ESTRUCTURA DE COSTOS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2.1 Costos fijos mensuales (año 1)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2.2 Costo variable por usuario (mes)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3. PRECIOS Y PLANES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4. SUPUESTOS DE ADOPCIÓN (escenario base)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Suscriptores pagos (fin de año)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5. PROYECCIÓN DE INGRESOS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6. ESTADO DE RESULTADOS PROYECTADO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7. PUNTO DE EQUILIBRIO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8. FLUJO DE CAJA Y EVALUACIÓN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9. SENSIBILIDAD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10. FINANCIAMIENTO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CRONOGRAMA GENERAL DEL PROYECTO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OBRahUB — Proyecto de grado + lanzamiento comercial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ANEXO — MÉTRICAS DE ÉXITO DEL PROYECTO DE GRADO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Nota: haga clic derecho sobre el índice → “Actualizar campos” para refrescar la paginación.</w:t>
      </w:r>
    </w:p>
    <w:p>
      <w:r>
        <w:br w:type="page"/>
      </w:r>
    </w:p>
    <w:p>
      <w:pPr>
        <w:pStyle w:val="Heading1"/>
        <w:pageBreakBefore/>
        <w:spacing w:after="140" w:before="360" w:line="312"/>
      </w:pPr>
      <w:bookmarkStart w:id="100001" w:name="_Toc100001"/>
      <w:r>
        <w:rPr>
          <w:b/>
          <w:bCs/>
          <w:color w:val="1F3A5F"/>
          <w:sz w:val="32"/>
          <w:szCs w:val="32"/>
        </w:rPr>
        <w:t xml:space="preserve">ANTEPROYECTO DE GRADO</w:t>
      </w:r>
      <w:bookmarkEnd w:id="100001"/>
    </w:p>
    <w:p>
      <w:pPr>
        <w:pStyle w:val="Heading2"/>
        <w:spacing w:after="140" w:before="240" w:line="312"/>
      </w:pPr>
      <w:bookmarkStart w:id="100002" w:name="_Toc100002"/>
      <w:r>
        <w:rPr>
          <w:b/>
          <w:bCs/>
          <w:color w:val="444444"/>
          <w:sz w:val="26"/>
          <w:szCs w:val="26"/>
        </w:rPr>
        <w:t xml:space="preserve">OBRahUB — Construction Operating System para Colombia y Latinoamérica</w:t>
      </w:r>
      <w:bookmarkEnd w:id="100002"/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Programa:</w:t>
      </w:r>
      <w:r>
        <w:rPr>
          <w:sz w:val="22"/>
          <w:szCs w:val="22"/>
        </w:rPr>
        <w:t xml:space="preserve"> Constructor y Gestor en Arquitectura </w:t>
      </w:r>
      <w:r>
        <w:rPr>
          <w:b/>
          <w:bCs/>
          <w:sz w:val="22"/>
          <w:szCs w:val="22"/>
        </w:rPr>
        <w:t xml:space="preserve">Institución:</w:t>
      </w:r>
      <w:r>
        <w:rPr>
          <w:sz w:val="22"/>
          <w:szCs w:val="22"/>
        </w:rPr>
        <w:t xml:space="preserve"> Corporación Universitaria Unicolmayor </w:t>
      </w:r>
      <w:r>
        <w:rPr>
          <w:b/>
          <w:bCs/>
          <w:sz w:val="22"/>
          <w:szCs w:val="22"/>
        </w:rPr>
        <w:t xml:space="preserve">Proponente:</w:t>
      </w:r>
      <w:r>
        <w:rPr>
          <w:sz w:val="22"/>
          <w:szCs w:val="22"/>
        </w:rPr>
        <w:t xml:space="preserve"> Diego Orlando Pineda Escobar </w:t>
      </w:r>
      <w:r>
        <w:rPr>
          <w:b/>
          <w:bCs/>
          <w:sz w:val="22"/>
          <w:szCs w:val="22"/>
        </w:rPr>
        <w:t xml:space="preserve">Empresa respaldo:</w:t>
      </w:r>
      <w:r>
        <w:rPr>
          <w:sz w:val="22"/>
          <w:szCs w:val="22"/>
        </w:rPr>
        <w:t xml:space="preserve"> Cratere S.A.S. </w:t>
      </w:r>
      <w:r>
        <w:rPr>
          <w:b/>
          <w:bCs/>
          <w:sz w:val="22"/>
          <w:szCs w:val="22"/>
        </w:rPr>
        <w:t xml:space="preserve">Fecha:</w:t>
      </w:r>
      <w:r>
        <w:rPr>
          <w:sz w:val="22"/>
          <w:szCs w:val="22"/>
        </w:rPr>
        <w:t xml:space="preserve"> Agosto de 2026</w:t>
      </w:r>
    </w:p>
    <w:p>
      <w:pPr>
        <w:pStyle w:val="Heading2"/>
        <w:spacing w:after="140" w:before="240" w:line="312"/>
      </w:pPr>
      <w:bookmarkStart w:id="100003" w:name="_Toc100003"/>
      <w:r>
        <w:rPr>
          <w:b/>
          <w:bCs/>
          <w:color w:val="444444"/>
          <w:sz w:val="26"/>
          <w:szCs w:val="26"/>
        </w:rPr>
        <w:t xml:space="preserve">1. PLANTEAMIENTO DEL PROBLEMA</w:t>
      </w:r>
      <w:bookmarkEnd w:id="100003"/>
    </w:p>
    <w:p>
      <w:pPr>
        <w:spacing w:after="120" w:line="312"/>
        <w:jc w:val="both"/>
      </w:pPr>
      <w:r>
        <w:rPr>
          <w:sz w:val="22"/>
          <w:szCs w:val="22"/>
        </w:rPr>
        <w:t xml:space="preserve">La gestión de obras de construcción en Colombia y Latinoamérica sigue siendo fragmentaria, análoga y costosa. Un constructor en Bogotá, Medellín o Cartagena necesita hoy entre 5 y 10 herramientas desconectadas para administrar una sola obra: Excel para presupuestos APU, WhatsApp para la bitácora diaria, PDF impresos de la NSR-10 para consultas normativas, correos para RFIs, carpetas físicas para planos y fotografías.</w:t>
      </w:r>
    </w:p>
    <w:p>
      <w:pPr>
        <w:spacing w:after="120" w:line="312"/>
        <w:jc w:val="both"/>
      </w:pPr>
      <w:r>
        <w:rPr>
          <w:sz w:val="22"/>
          <w:szCs w:val="22"/>
        </w:rPr>
        <w:t xml:space="preserve">Las consecuencias son medibles: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b/>
          <w:bCs/>
          <w:sz w:val="22"/>
          <w:szCs w:val="22"/>
        </w:rPr>
        <w:t xml:space="preserve">Sobrecostos generalizados:</w:t>
      </w:r>
      <w:r>
        <w:rPr>
          <w:sz w:val="22"/>
          <w:szCs w:val="22"/>
        </w:rPr>
        <w:t xml:space="preserve"> estudios de Camacol y del BID estiman sobrecostos promedio del 20-40% en proyectos de construcción en la región, atribuidos en gran parte a mala planificación, control inadecuado y retrabajos.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b/>
          <w:bCs/>
          <w:sz w:val="22"/>
          <w:szCs w:val="22"/>
        </w:rPr>
        <w:t xml:space="preserve">Pérdida de memoria institucional:</w:t>
      </w:r>
      <w:r>
        <w:rPr>
          <w:sz w:val="22"/>
          <w:szCs w:val="22"/>
        </w:rPr>
        <w:t xml:space="preserve"> la bitácora de obra —documento con valor legal— se lleva en cuadernos o mensajes que se pierden, generando litigios sin evidencia.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b/>
          <w:bCs/>
          <w:sz w:val="22"/>
          <w:szCs w:val="22"/>
        </w:rPr>
        <w:t xml:space="preserve">Barrera normativa:</w:t>
      </w:r>
      <w:r>
        <w:rPr>
          <w:sz w:val="22"/>
          <w:szCs w:val="22"/>
        </w:rPr>
        <w:t xml:space="preserve"> la NSR-10, RETIE, RAS y decenas de normas modificatorias (Ley 1796 de 2016, Decreto 1711 de 2021, Decreto 1401 de 2023, entre otras) exigen conocimiento experto que el constructor promedio no tiene a mano. Tras el terremoto del 10 de agosto de 2026 existe además un proyecto de ley que obligará a actualizar la norma cada 5 años.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b/>
          <w:bCs/>
          <w:sz w:val="22"/>
          <w:szCs w:val="22"/>
        </w:rPr>
        <w:t xml:space="preserve">Herramientas globales inaccesibles:</w:t>
      </w:r>
      <w:r>
        <w:rPr>
          <w:sz w:val="22"/>
          <w:szCs w:val="22"/>
        </w:rPr>
        <w:t xml:space="preserve"> Procore (EE. UU.) cobra desde USD 375/mes por usuario, está en inglés, no conoce la normativa colombiana y no incluye presupuestación APU local.</w:t>
      </w:r>
    </w:p>
    <w:p>
      <w:pPr>
        <w:spacing w:after="120" w:line="312"/>
        <w:jc w:val="both"/>
      </w:pPr>
      <w:r>
        <w:rPr>
          <w:sz w:val="22"/>
          <w:szCs w:val="22"/>
        </w:rPr>
        <w:t xml:space="preserve">No existe en el mercado una herramienta que integre en un solo lugar, en español y contextualizada para el régimen normativo colombiano: modelado BIM, presupuestación APU con inteligencia artificial, cronograma con ruta crítica, bitácora con valor legal, control de avance (Curva S, SPI/CPI), interventoría con visión artificial y vigilancia normativa automática.</w:t>
      </w:r>
    </w:p>
    <w:p>
      <w:pPr>
        <w:pStyle w:val="Heading2"/>
        <w:spacing w:after="140" w:before="240" w:line="312"/>
      </w:pPr>
      <w:bookmarkStart w:id="100004" w:name="_Toc100004"/>
      <w:r>
        <w:rPr>
          <w:b/>
          <w:bCs/>
          <w:color w:val="444444"/>
          <w:sz w:val="26"/>
          <w:szCs w:val="26"/>
        </w:rPr>
        <w:t xml:space="preserve">2. PREGUNTA PROBLEMA</w:t>
      </w:r>
      <w:bookmarkEnd w:id="100004"/>
    </w:p>
    <w:p>
      <w:pPr>
        <w:spacing w:after="120" w:line="312"/>
        <w:jc w:val="both"/>
      </w:pPr>
      <w:r>
        <w:rPr>
          <w:sz w:val="22"/>
          <w:szCs w:val="22"/>
        </w:rPr>
        <w:t xml:space="preserve">¿Cómo mejorar la gestión administrativa, técnica y normativa de las obras de construcción en Colombia mediante una plataforma digital integral que consolide BIM, costos, cronograma, bitácora, control e interventoría con inteligencia artificial?</w:t>
      </w:r>
    </w:p>
    <w:p>
      <w:pPr>
        <w:pStyle w:val="Heading2"/>
        <w:spacing w:after="140" w:before="240" w:line="312"/>
      </w:pPr>
      <w:bookmarkStart w:id="100005" w:name="_Toc100005"/>
      <w:r>
        <w:rPr>
          <w:b/>
          <w:bCs/>
          <w:color w:val="444444"/>
          <w:sz w:val="26"/>
          <w:szCs w:val="26"/>
        </w:rPr>
        <w:t xml:space="preserve">3. OBJETIVOS</w:t>
      </w:r>
      <w:bookmarkEnd w:id="100005"/>
    </w:p>
    <w:p>
      <w:pPr>
        <w:pStyle w:val="Heading3"/>
        <w:spacing w:after="140" w:before="240" w:line="312"/>
      </w:pPr>
      <w:bookmarkStart w:id="100006" w:name="_Toc100006"/>
      <w:r>
        <w:rPr>
          <w:b/>
          <w:bCs/>
          <w:color w:val="444444"/>
          <w:sz w:val="24"/>
          <w:szCs w:val="24"/>
        </w:rPr>
        <w:t xml:space="preserve">3.1 Objetivo general</w:t>
      </w:r>
      <w:bookmarkEnd w:id="100006"/>
    </w:p>
    <w:p>
      <w:pPr>
        <w:spacing w:after="120" w:line="312"/>
        <w:jc w:val="both"/>
      </w:pPr>
      <w:r>
        <w:rPr>
          <w:sz w:val="22"/>
          <w:szCs w:val="22"/>
        </w:rPr>
        <w:t xml:space="preserve">Desarrollar ObraHub, un sistema operativo de construcción (Construction OS) basado en la nube e inteligencia artificial, que integre la gestión documental BIM, presupuestación APU, programación y control de obra, bitácora legal e interventoría técnica normativa, para optimizar la administración de proyectos de construcción en Colombia y Latinoamérica.</w:t>
      </w:r>
    </w:p>
    <w:p>
      <w:pPr>
        <w:pStyle w:val="Heading3"/>
        <w:spacing w:after="140" w:before="240" w:line="312"/>
      </w:pPr>
      <w:bookmarkStart w:id="100007" w:name="_Toc100007"/>
      <w:r>
        <w:rPr>
          <w:b/>
          <w:bCs/>
          <w:color w:val="444444"/>
          <w:sz w:val="24"/>
          <w:szCs w:val="24"/>
        </w:rPr>
        <w:t xml:space="preserve">3.2 Objetivos específicos</w:t>
      </w:r>
      <w:bookmarkEnd w:id="100007"/>
    </w:p>
    <w:p>
      <w:pPr>
        <w:spacing w:after="120" w:line="312"/>
        <w:jc w:val="both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Diagnosticar</w:t>
      </w:r>
      <w:r>
        <w:rPr>
          <w:sz w:val="22"/>
          <w:szCs w:val="22"/>
        </w:rPr>
        <w:t xml:space="preserve"> los flujos de trabajo administrativos reales del constructor colombiano (presupuesto → cronograma → bitácora → control) e identificar sus puntos de falla. 2. </w:t>
      </w:r>
      <w:r>
        <w:rPr>
          <w:b/>
          <w:bCs/>
          <w:sz w:val="22"/>
          <w:szCs w:val="22"/>
        </w:rPr>
        <w:t xml:space="preserve">Diseñar y construir</w:t>
      </w:r>
      <w:r>
        <w:rPr>
          <w:sz w:val="22"/>
          <w:szCs w:val="22"/>
        </w:rPr>
        <w:t xml:space="preserve"> la plataforma: gestión documental con visor BIM (IFC/DWG/DXF), motor de presupuestación APU paramétrico por país (COP/AIU, MXN/Financiamiento), cronograma Gantt con ruta crítica (CPM), bitácora diaria con anexos fotográficos, control con valor ganado (PV/EV/AC, SPI/CPI) y alertas automáticas. 3. </w:t>
      </w:r>
      <w:r>
        <w:rPr>
          <w:b/>
          <w:bCs/>
          <w:sz w:val="22"/>
          <w:szCs w:val="22"/>
        </w:rPr>
        <w:t xml:space="preserve">Implementar un agente de interventoría multimodal</w:t>
      </w:r>
      <w:r>
        <w:rPr>
          <w:sz w:val="22"/>
          <w:szCs w:val="22"/>
        </w:rPr>
        <w:t xml:space="preserve"> (foto + voz + texto) que analice elementos de obra con visión artificial, cite la normativa vigente (con vigilancia automática de derogatorias) y permita conversación de seguimiento. 4. </w:t>
      </w:r>
      <w:r>
        <w:rPr>
          <w:b/>
          <w:bCs/>
          <w:sz w:val="22"/>
          <w:szCs w:val="22"/>
        </w:rPr>
        <w:t xml:space="preserve">Validar</w:t>
      </w:r>
      <w:r>
        <w:rPr>
          <w:sz w:val="22"/>
          <w:szCs w:val="22"/>
        </w:rPr>
        <w:t xml:space="preserve"> el sistema en proyectos piloto reales midiendo tiempo de presupuestación, trazabilidad de bitácora y detección temprana de desviaciones. 5. </w:t>
      </w:r>
      <w:r>
        <w:rPr>
          <w:b/>
          <w:bCs/>
          <w:sz w:val="22"/>
          <w:szCs w:val="22"/>
        </w:rPr>
        <w:t xml:space="preserve">Formular el plan de negocio</w:t>
      </w:r>
      <w:r>
        <w:rPr>
          <w:sz w:val="22"/>
          <w:szCs w:val="22"/>
        </w:rPr>
        <w:t xml:space="preserve"> para su explotación comercial por Cratere S.A.S. en el mercado LATAM.</w:t>
      </w:r>
    </w:p>
    <w:p>
      <w:pPr>
        <w:pStyle w:val="Heading2"/>
        <w:spacing w:after="140" w:before="240" w:line="312"/>
      </w:pPr>
      <w:bookmarkStart w:id="100008" w:name="_Toc100008"/>
      <w:r>
        <w:rPr>
          <w:b/>
          <w:bCs/>
          <w:color w:val="444444"/>
          <w:sz w:val="26"/>
          <w:szCs w:val="26"/>
        </w:rPr>
        <w:t xml:space="preserve">4. JUSTIFICACIÓN</w:t>
      </w:r>
      <w:bookmarkEnd w:id="100008"/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Técnica:</w:t>
      </w:r>
      <w:r>
        <w:rPr>
          <w:sz w:val="22"/>
          <w:szCs w:val="22"/>
        </w:rPr>
        <w:t xml:space="preserve"> Integra disciplinas que hoy viven separadas (BIM, EVM, normativa) en un flujo cerrado: modelo → cantidades → APU → cronograma → bitácora → curva S → alertas → informe.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Económica:</w:t>
      </w:r>
      <w:r>
        <w:rPr>
          <w:sz w:val="22"/>
          <w:szCs w:val="22"/>
        </w:rPr>
        <w:t xml:space="preserve"> Democratiza herramientas que hoy cuestan USD 375/mes por usuario; con modelo freemium el constructor pequeño accede por primera vez a control profesional de obra.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Social:</w:t>
      </w:r>
      <w:r>
        <w:rPr>
          <w:sz w:val="22"/>
          <w:szCs w:val="22"/>
        </w:rPr>
        <w:t xml:space="preserve"> El 70% de la vivienda en Colombia se autoconstruye o construye sin supervisión técnica profesional (DANE, MinVivienda). Un interventor IA gratuito reduce el riesgo sísmico de miles de familias, tema crítico tras el sismo de agosto de 2026.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Académica:</w:t>
      </w:r>
      <w:r>
        <w:rPr>
          <w:sz w:val="22"/>
          <w:szCs w:val="22"/>
        </w:rPr>
        <w:t xml:space="preserve"> Aplica el perfil integral del Constructor y Gestor en Arquitectura: conocimiento constructivo + gestión administrativa + innovación tecnológica.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Normativa:</w:t>
      </w:r>
      <w:r>
        <w:rPr>
          <w:sz w:val="22"/>
          <w:szCs w:val="22"/>
        </w:rPr>
        <w:t xml:space="preserve"> La vigilancia normativa automática responde a un problema real: la NSR-10 tiene 6 decretos modificatorios desde 2010 y un proyecto de ley de actualización quinquenal en trámite; ningún profesional puede hoy mantenerse al día manualmente.</w:t>
      </w:r>
    </w:p>
    <w:p>
      <w:pPr>
        <w:pStyle w:val="Heading2"/>
        <w:spacing w:after="140" w:before="240" w:line="312"/>
      </w:pPr>
      <w:bookmarkStart w:id="100009" w:name="_Toc100009"/>
      <w:r>
        <w:rPr>
          <w:b/>
          <w:bCs/>
          <w:color w:val="444444"/>
          <w:sz w:val="26"/>
          <w:szCs w:val="26"/>
        </w:rPr>
        <w:t xml:space="preserve">5. MARCO TEÓRICO (síntesis)</w:t>
      </w:r>
      <w:bookmarkEnd w:id="100009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b/>
          <w:bCs/>
          <w:sz w:val="22"/>
          <w:szCs w:val="22"/>
        </w:rPr>
        <w:t xml:space="preserve">BIM (Building Information Modeling):</w:t>
      </w:r>
      <w:r>
        <w:rPr>
          <w:sz w:val="22"/>
          <w:szCs w:val="22"/>
        </w:rPr>
        <w:t xml:space="preserve"> flujo IFC (ISO 16739), cantidades 4D/5D.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b/>
          <w:bCs/>
          <w:sz w:val="22"/>
          <w:szCs w:val="22"/>
        </w:rPr>
        <w:t xml:space="preserve">Gestión del valor ganado (EVM):</w:t>
      </w:r>
      <w:r>
        <w:rPr>
          <w:sz w:val="22"/>
          <w:szCs w:val="22"/>
        </w:rPr>
        <w:t xml:space="preserve"> PV/EV/AC, índices SPI/CPI, curva S (PMI, PMBOK).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b/>
          <w:bCs/>
          <w:sz w:val="22"/>
          <w:szCs w:val="22"/>
        </w:rPr>
        <w:t xml:space="preserve">Método de la ruta crítica (CPM):</w:t>
      </w:r>
      <w:r>
        <w:rPr>
          <w:sz w:val="22"/>
          <w:szCs w:val="22"/>
        </w:rPr>
        <w:t xml:space="preserve"> holguras, cadena crítica.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b/>
          <w:bCs/>
          <w:sz w:val="22"/>
          <w:szCs w:val="22"/>
        </w:rPr>
        <w:t xml:space="preserve">Presupuestación APU:</w:t>
      </w:r>
      <w:r>
        <w:rPr>
          <w:sz w:val="22"/>
          <w:szCs w:val="22"/>
        </w:rPr>
        <w:t xml:space="preserve"> análisis de precios unitarios, AIU colombiano (Ley 80/1993 art. 25, y régimen privado), precios de referencia SIC/Camacol.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b/>
          <w:bCs/>
          <w:sz w:val="22"/>
          <w:szCs w:val="22"/>
        </w:rPr>
        <w:t xml:space="preserve">Régimen normativo colombiano:</w:t>
      </w:r>
      <w:r>
        <w:rPr>
          <w:sz w:val="22"/>
          <w:szCs w:val="22"/>
        </w:rPr>
        <w:t xml:space="preserve"> Ley 400/1997 y sus leyes modificatorias (1229/2008, 1796/2016), NSR-10 (Decreto 926/2010) y sus 6 decretos modificatorios, Decreto 1077/2015 (licencias), RAS (Res. 330/2017), RETIE, SG-SST (Decreto 1072/2015, Res. 312/2019).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b/>
          <w:bCs/>
          <w:sz w:val="22"/>
          <w:szCs w:val="22"/>
        </w:rPr>
        <w:t xml:space="preserve">Sistemas multiagente y LLMs:</w:t>
      </w:r>
      <w:r>
        <w:rPr>
          <w:sz w:val="22"/>
          <w:szCs w:val="22"/>
        </w:rPr>
        <w:t xml:space="preserve"> GPT-4o multimodal, RAG (retrieval-augmented generation), transcripción Whisper.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b/>
          <w:bCs/>
          <w:sz w:val="22"/>
          <w:szCs w:val="22"/>
        </w:rPr>
        <w:t xml:space="preserve">Arquitectura cloud serverless:</w:t>
      </w:r>
      <w:r>
        <w:rPr>
          <w:sz w:val="22"/>
          <w:szCs w:val="22"/>
        </w:rPr>
        <w:t xml:space="preserve"> Next.js, Supabase (Postgres + RLS + Storage), Vercel.</w:t>
      </w:r>
    </w:p>
    <w:p>
      <w:pPr>
        <w:pStyle w:val="Heading2"/>
        <w:spacing w:after="140" w:before="240" w:line="312"/>
      </w:pPr>
      <w:bookmarkStart w:id="100010" w:name="_Toc100010"/>
      <w:r>
        <w:rPr>
          <w:b/>
          <w:bCs/>
          <w:color w:val="444444"/>
          <w:sz w:val="26"/>
          <w:szCs w:val="26"/>
        </w:rPr>
        <w:t xml:space="preserve">6. METODOLOGÍA</w:t>
      </w:r>
      <w:bookmarkEnd w:id="100010"/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Enfoque:</w:t>
      </w:r>
      <w:r>
        <w:rPr>
          <w:sz w:val="22"/>
          <w:szCs w:val="22"/>
        </w:rPr>
        <w:t xml:space="preserve"> investigación aplicada con desarrollo de software iterativo (Scrum simplificado, sprints de 1 semana) y validación en campo.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Fases: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 Diagnóstico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Entrevistas a constructores, análisis de competencia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Mapa de problemas, benchmark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 Núcleo documental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Gestión de archivos, visores IFC/DWG/DXF, carpetas anidadas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Módulo Documentos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 Motor económico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Generación APU con IA, parametrización por país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Módulo Costos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 Programación y control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Gantt CPM, bitácora, valor ganado, alertas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Módulos Seguimiento/Bitácora/Control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 Inteligencia artificial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Interventor multimodal, RAG normativo, vigilancia legal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Interventor IA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6. Escala y negocio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Rendimiento, API pública, plan de negocios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ObraHub comercial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7. Validación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Pilotos reales, E2E automatizado (17 pruebas)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Resultados y ajustes</w:t>
            </w:r>
          </w:p>
        </w:tc>
      </w:tr>
    </w:tbl>
    <w:p>
      <w:pPr>
        <w:pStyle w:val="Heading2"/>
        <w:spacing w:after="140" w:before="240" w:line="312"/>
      </w:pPr>
      <w:bookmarkStart w:id="100011" w:name="_Toc100011"/>
      <w:r>
        <w:rPr>
          <w:b/>
          <w:bCs/>
          <w:color w:val="444444"/>
          <w:sz w:val="26"/>
          <w:szCs w:val="26"/>
        </w:rPr>
        <w:t xml:space="preserve">7. ALCANCE Y LIMITACIONES</w:t>
      </w:r>
      <w:bookmarkEnd w:id="100011"/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Incluye:</w:t>
      </w:r>
      <w:r>
        <w:rPr>
          <w:sz w:val="22"/>
          <w:szCs w:val="22"/>
        </w:rPr>
        <w:t xml:space="preserve"> plataforma web+PWA completa (módulos listados), base normativa colombiana verificada, configuración paramétrica Colombia/México, API pública v1, plan de negocio.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No incluye (trabajo futuro):</w:t>
      </w:r>
      <w:r>
        <w:rPr>
          <w:sz w:val="22"/>
          <w:szCs w:val="22"/>
        </w:rPr>
        <w:t xml:space="preserve"> cálculo estructural automático, apps nativas iOS/Android (la PWA cubre móvil), marketplace ObraGo (fase 2 comercial), firmas digitales ante notario.</w:t>
      </w:r>
    </w:p>
    <w:p>
      <w:pPr>
        <w:pStyle w:val="Heading2"/>
        <w:spacing w:after="140" w:before="240" w:line="312"/>
      </w:pPr>
      <w:bookmarkStart w:id="100012" w:name="_Toc100012"/>
      <w:r>
        <w:rPr>
          <w:b/>
          <w:bCs/>
          <w:color w:val="444444"/>
          <w:sz w:val="26"/>
          <w:szCs w:val="26"/>
        </w:rPr>
        <w:t xml:space="preserve">8. RESULTADOS ESPERADOS</w:t>
      </w:r>
      <w:bookmarkEnd w:id="100012"/>
    </w:p>
    <w:p>
      <w:pPr>
        <w:spacing w:after="120" w:line="312"/>
        <w:jc w:val="both"/>
      </w:pPr>
      <w:r>
        <w:rPr>
          <w:sz w:val="22"/>
          <w:szCs w:val="22"/>
        </w:rPr>
        <w:t xml:space="preserve">1. Plataforma funcional desplegada en producción con 6 módulos integrados. 2. Reducción ≥70% del tiempo de elaboración de un presupuesto APU vs. manual. 3. Bitácora con evidencia fotográfica y trazabilidad por usuario (valor probatorio). 4. Interventor IA con acierto ≥80% en identificación de elementos y normativa aplicable (validación contra criterio de experto). 5. Plan de negocio viable con punto de equilibrio proyectado a 24 meses.</w:t>
      </w:r>
    </w:p>
    <w:p>
      <w:r>
        <w:br w:type="page"/>
      </w:r>
    </w:p>
    <w:p>
      <w:pPr>
        <w:pStyle w:val="Heading1"/>
        <w:pageBreakBefore/>
        <w:spacing w:after="140" w:before="360" w:line="312"/>
      </w:pPr>
      <w:bookmarkStart w:id="100013" w:name="_Toc100013"/>
      <w:r>
        <w:rPr>
          <w:b/>
          <w:bCs/>
          <w:color w:val="1F3A5F"/>
          <w:sz w:val="32"/>
          <w:szCs w:val="32"/>
        </w:rPr>
        <w:t xml:space="preserve">PLAN DE NEGOCIOS</w:t>
      </w:r>
      <w:bookmarkEnd w:id="100013"/>
    </w:p>
    <w:p>
      <w:pPr>
        <w:pStyle w:val="Heading2"/>
        <w:spacing w:after="140" w:before="240" w:line="312"/>
      </w:pPr>
      <w:bookmarkStart w:id="100014" w:name="_Toc100014"/>
      <w:r>
        <w:rPr>
          <w:b/>
          <w:bCs/>
          <w:color w:val="444444"/>
          <w:sz w:val="26"/>
          <w:szCs w:val="26"/>
        </w:rPr>
        <w:t xml:space="preserve">OBRahUB — Construction OS para LATAM</w:t>
      </w:r>
      <w:bookmarkEnd w:id="100014"/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Cratere S.A.S.</w:t>
      </w:r>
      <w:r>
        <w:rPr>
          <w:sz w:val="22"/>
          <w:szCs w:val="22"/>
        </w:rPr>
        <w:t xml:space="preserve"> · Bogotá D.C., Colombia · 2026</w:t>
      </w:r>
    </w:p>
    <w:p>
      <w:pPr>
        <w:pStyle w:val="Heading2"/>
        <w:spacing w:after="140" w:before="240" w:line="312"/>
      </w:pPr>
      <w:bookmarkStart w:id="100015" w:name="_Toc100015"/>
      <w:r>
        <w:rPr>
          <w:b/>
          <w:bCs/>
          <w:color w:val="444444"/>
          <w:sz w:val="26"/>
          <w:szCs w:val="26"/>
        </w:rPr>
        <w:t xml:space="preserve">1. RESUMEN EJECUTIVO</w:t>
      </w:r>
      <w:bookmarkEnd w:id="100015"/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ObraHub</w:t>
      </w:r>
      <w:r>
        <w:rPr>
          <w:sz w:val="22"/>
          <w:szCs w:val="22"/>
        </w:rPr>
        <w:t xml:space="preserve"> es el sistema operativo de la construcción en español: una plataforma web que integra en un solo producto lo que hoy el constructor colombiano y latinoamericano hace con Excel, WhatsApp, PDF impresos y 3 herramientas extranjeras: gestión documental BIM, presupuestación APU con IA, cronograma con ruta crítica, bitácora legal, control de obra (Curva S/SPI-CPI) e interventoría con inteligencia artificial multimodal que cita la norma vigente.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Problema:</w:t>
      </w:r>
      <w:r>
        <w:rPr>
          <w:sz w:val="22"/>
          <w:szCs w:val="22"/>
        </w:rPr>
        <w:t xml:space="preserve"> las herramientas líderes (Procore, PlanGrid, Autodesk Construction Cloud) cuestan desde USD 375/mes por usuario, están en inglés y no conocen la NSR-10, el APU colombiano ni la bitácora con valor legal. El 95% de las constructoras de la región son MIPYMES que no pueden pagarlas.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Solución:</w:t>
      </w:r>
      <w:r>
        <w:rPr>
          <w:sz w:val="22"/>
          <w:szCs w:val="22"/>
        </w:rPr>
        <w:t xml:space="preserve"> freemium en español, contextualizada al régimen normativo local, con IA generativa como diferenciador. Construida sobre arquitectura serverless de bajo costo (Next.js + Supabase + Vercel + OpenAI).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Oportunidad:</w:t>
      </w:r>
      <w:r>
        <w:rPr>
          <w:sz w:val="22"/>
          <w:szCs w:val="22"/>
        </w:rPr>
        <w:t xml:space="preserve"> ~12.000 constructoras formales en Colombia + ~180.000 maestros de obra e independientes + 60.000+ estudiantes de construcción al año. Mercado LATAM ampliable (México: parametrización ya implementada).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Modelo:</w:t>
      </w:r>
      <w:r>
        <w:rPr>
          <w:sz w:val="22"/>
          <w:szCs w:val="22"/>
        </w:rPr>
        <w:t xml:space="preserve"> Freemium → Pro (COP 149.000/mes por empresa) → Business (COP 449.000/mes) → API Enterprise. Ingresos adicionales: informes premium y futura bolsa de trabajo ObraGo.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Finanzas (escenario base):</w:t>
      </w:r>
      <w:r>
        <w:rPr>
          <w:sz w:val="22"/>
          <w:szCs w:val="22"/>
        </w:rPr>
        <w:t xml:space="preserve"> inversión inicial COP 18 millones; punto de equilibrio en el mes 19 con 160 suscriptores Pro; VAN positivo (COP 96 M a 5 años, tasa 18%); TIR estimada 48%.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Equipo:</w:t>
      </w:r>
      <w:r>
        <w:rPr>
          <w:sz w:val="22"/>
          <w:szCs w:val="22"/>
        </w:rPr>
        <w:t xml:space="preserve"> Diego Orlando Pineda Escobar (constructor y gestor en arquitectura; Tec. Constr. Arq. UGC; Ing. Constructor ITC México) con soporte de Cratere S.A.S.</w:t>
      </w:r>
    </w:p>
    <w:p>
      <w:pPr>
        <w:pStyle w:val="Heading2"/>
        <w:spacing w:after="140" w:before="240" w:line="312"/>
      </w:pPr>
      <w:bookmarkStart w:id="100016" w:name="_Toc100016"/>
      <w:r>
        <w:rPr>
          <w:b/>
          <w:bCs/>
          <w:color w:val="444444"/>
          <w:sz w:val="26"/>
          <w:szCs w:val="26"/>
        </w:rPr>
        <w:t xml:space="preserve">2. DESCRIPCIÓN DEL NEGOCIO</w:t>
      </w:r>
      <w:bookmarkEnd w:id="100016"/>
    </w:p>
    <w:p>
      <w:pPr>
        <w:pStyle w:val="Heading3"/>
        <w:spacing w:after="140" w:before="240" w:line="312"/>
      </w:pPr>
      <w:bookmarkStart w:id="100017" w:name="_Toc100017"/>
      <w:r>
        <w:rPr>
          <w:b/>
          <w:bCs/>
          <w:color w:val="444444"/>
          <w:sz w:val="24"/>
          <w:szCs w:val="24"/>
        </w:rPr>
        <w:t xml:space="preserve">2.1 Misión</w:t>
      </w:r>
      <w:bookmarkEnd w:id="100017"/>
    </w:p>
    <w:p>
      <w:pPr>
        <w:spacing w:after="120" w:line="312"/>
        <w:jc w:val="both"/>
      </w:pPr>
      <w:r>
        <w:rPr>
          <w:sz w:val="22"/>
          <w:szCs w:val="22"/>
        </w:rPr>
        <w:t xml:space="preserve">Dar a cada constructor de habla hispana —de la gran constructora al maestro de obra— las herramientas profesionales de gestión, control y normativa que hoy solo pueden pagar las multinacionales.</w:t>
      </w:r>
    </w:p>
    <w:p>
      <w:pPr>
        <w:pStyle w:val="Heading3"/>
        <w:spacing w:after="140" w:before="240" w:line="312"/>
      </w:pPr>
      <w:bookmarkStart w:id="100018" w:name="_Toc100018"/>
      <w:r>
        <w:rPr>
          <w:b/>
          <w:bCs/>
          <w:color w:val="444444"/>
          <w:sz w:val="24"/>
          <w:szCs w:val="24"/>
        </w:rPr>
        <w:t xml:space="preserve">2.2 Visión</w:t>
      </w:r>
      <w:bookmarkEnd w:id="100018"/>
    </w:p>
    <w:p>
      <w:pPr>
        <w:spacing w:after="120" w:line="312"/>
        <w:jc w:val="both"/>
      </w:pPr>
      <w:r>
        <w:rPr>
          <w:sz w:val="22"/>
          <w:szCs w:val="22"/>
        </w:rPr>
        <w:t xml:space="preserve">Ser el Construction OS estándar en Latinoamérica para 2031, con presencia en Colombia, México, Perú y Chile, y la base de datos profesional que alimente la bolsa de trabajo ObraGo.</w:t>
      </w:r>
    </w:p>
    <w:p>
      <w:pPr>
        <w:pStyle w:val="Heading3"/>
        <w:spacing w:after="140" w:before="240" w:line="312"/>
      </w:pPr>
      <w:bookmarkStart w:id="100019" w:name="_Toc100019"/>
      <w:r>
        <w:rPr>
          <w:b/>
          <w:bCs/>
          <w:color w:val="444444"/>
          <w:sz w:val="24"/>
          <w:szCs w:val="24"/>
        </w:rPr>
        <w:t xml:space="preserve">2.3 Productos y servicios</w:t>
      </w:r>
      <w:bookmarkEnd w:id="100019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📁 Documentos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Gestor con carpetas anidadas, visor BIM (IFC 3D), planos DWG/DXF, PDF, ZIP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✅ En producción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💰 Costos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Presupuestación APU con IA paramétrica por país (COP/AIU, MXN), precios reales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✅ En producción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📊 Seguimiento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Gantt con dependencias y ruta crítica CPM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✅ En producción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📔 Bitácora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Registro diario legal: clima, personal, equipo, avance por tarea, fotos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✅ En producción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📈 Control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Curva S, SPI/CPI, alertas automáticas (6 reglas), Excel/PPTX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✅ En producción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👁️ Interventor IA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Análisis multimodal (foto/voz/texto) con citas normativas y conversación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✅ En producción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⚖️ Vigilancia normativa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Escáner de 12 fuentes oficiales; nunca cita normas derogadas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✅ En producción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🔌 API pública v1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Integración con ERPs y contabilidad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✅ En producción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🧰 Punch List / Órdenes de cambio / RFIs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Gestión de defectos y cambios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✅ En producción</w:t>
            </w:r>
          </w:p>
        </w:tc>
      </w:tr>
    </w:tbl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Propuesta de valor única:</w:t>
      </w:r>
      <w:r>
        <w:rPr>
          <w:sz w:val="22"/>
          <w:szCs w:val="22"/>
        </w:rPr>
        <w:t xml:space="preserve"> el circuito cerrado *modelo BIM → cantidades → APU → cronograma → bitácora diaria → curva S → alertas → informe de asamblea*, en español, con la norma colombiana viva dentro del producto.</w:t>
      </w:r>
    </w:p>
    <w:p>
      <w:pPr>
        <w:pStyle w:val="Heading2"/>
        <w:spacing w:after="140" w:before="240" w:line="312"/>
      </w:pPr>
      <w:bookmarkStart w:id="100020" w:name="_Toc100020"/>
      <w:r>
        <w:rPr>
          <w:b/>
          <w:bCs/>
          <w:color w:val="444444"/>
          <w:sz w:val="26"/>
          <w:szCs w:val="26"/>
        </w:rPr>
        <w:t xml:space="preserve">3. ANÁLISIS DEL SECTOR</w:t>
      </w:r>
      <w:bookmarkEnd w:id="100020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sz w:val="22"/>
          <w:szCs w:val="22"/>
        </w:rPr>
        <w:t xml:space="preserve">La construcción aporta ~7% del PIB colombiano (~COP 90 billones/año).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sz w:val="22"/>
          <w:szCs w:val="22"/>
        </w:rPr>
        <w:t xml:space="preserve">Participación formal (Camacol, ANDI): ~3.000 afiliados; constructoras formales registradas ~12.000; MIPYMES = 95% del tejido.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sz w:val="22"/>
          <w:szCs w:val="22"/>
        </w:rPr>
        <w:t xml:space="preserve">Vivienda: déficit habitacional acumulado ~3,8 millones de unidades (MinVivienda, DANE); programas VIS/VIP mantienen demanda estructural.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sz w:val="22"/>
          <w:szCs w:val="22"/>
        </w:rPr>
        <w:t xml:space="preserve">Plan Nacional de Desarrollo 2022-2026 y planes de vivienda impulsan ejecución pública.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sz w:val="22"/>
          <w:szCs w:val="22"/>
        </w:rPr>
        <w:t xml:space="preserve">Digitalización del sector: acelerada por pandemia y por exigencias de control de recursos públicos (SECOP II obligatorio).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sz w:val="22"/>
          <w:szCs w:val="22"/>
        </w:rPr>
        <w:t xml:space="preserve">Tras el terremoto de agosto 2026, la revisión estructural y la rehabilitación de edificaciones existentes (Decreto 1711/2021 - AIS) entrarán en demanda alta: mercado directo para ObraHub.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Tendencias clave:</w:t>
      </w:r>
      <w:r>
        <w:rPr>
          <w:sz w:val="22"/>
          <w:szCs w:val="22"/>
        </w:rPr>
        <w:t xml:space="preserve"> BIM obligatorio gradual en licitaciones públicas; IA generativa adoptada primero por MIPYMES por costo-accesibilidad; trabajo móvil (PWA) preferido en obra.</w:t>
      </w:r>
    </w:p>
    <w:p>
      <w:pPr>
        <w:pStyle w:val="Heading2"/>
        <w:spacing w:after="140" w:before="240" w:line="312"/>
      </w:pPr>
      <w:bookmarkStart w:id="100021" w:name="_Toc100021"/>
      <w:r>
        <w:rPr>
          <w:b/>
          <w:bCs/>
          <w:color w:val="444444"/>
          <w:sz w:val="26"/>
          <w:szCs w:val="26"/>
        </w:rPr>
        <w:t xml:space="preserve">4. ESTUDIO DE MERCADO</w:t>
      </w:r>
      <w:bookmarkEnd w:id="100021"/>
    </w:p>
    <w:p>
      <w:pPr>
        <w:pStyle w:val="Heading3"/>
        <w:spacing w:after="140" w:before="240" w:line="312"/>
      </w:pPr>
      <w:bookmarkStart w:id="100022" w:name="_Toc100022"/>
      <w:r>
        <w:rPr>
          <w:b/>
          <w:bCs/>
          <w:color w:val="444444"/>
          <w:sz w:val="24"/>
          <w:szCs w:val="24"/>
        </w:rPr>
        <w:t xml:space="preserve">4.1 Segmentación y tamaño (Colombia)</w:t>
      </w:r>
      <w:bookmarkEnd w:id="100022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2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Dolor principal</w:t>
            </w:r>
          </w:p>
        </w:tc>
        <w:tc>
          <w:tcPr>
            <w:tcW w:type="dxa" w:w="2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Disposición de pago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Constructoras pequeñas y medianas (5-50 empleados)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~12.000 empresas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Desviaciones de presupuesto/plazo, papeleo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Media-alta (COP 100-300k/mes)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Interventorías y firmas de supervisión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~2.500 firmas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Evidencia, informes, RAG normativo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Alta (COP 300-500k/mes)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Constructoras/independientes (1-4 personas)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~180.000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Todo: presupuesto, norma, control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Baja (freemium → complementos)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Estudiantes y docentes (arquitectura, ingeniería, construcción)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~60.000 activos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Aprender con herramientas reales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Muy baja (futuros clientes)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Entidades públicas (oficinas de control, alcaldías)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~1.100 municipios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Trazabilidad de recursos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Media (convenios)</w:t>
            </w:r>
          </w:p>
        </w:tc>
      </w:tr>
    </w:tbl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SAM conservador (Colombia):</w:t>
      </w:r>
      <w:r>
        <w:rPr>
          <w:sz w:val="22"/>
          <w:szCs w:val="22"/>
        </w:rPr>
        <w:t xml:space="preserve"> 12.000 × penetración 2% a 5 años = 240 empresas de pago + ecosistema freemium.</w:t>
      </w:r>
    </w:p>
    <w:p>
      <w:pPr>
        <w:pStyle w:val="Heading3"/>
        <w:spacing w:after="140" w:before="240" w:line="312"/>
      </w:pPr>
      <w:bookmarkStart w:id="100023" w:name="_Toc100023"/>
      <w:r>
        <w:rPr>
          <w:b/>
          <w:bCs/>
          <w:color w:val="444444"/>
          <w:sz w:val="24"/>
          <w:szCs w:val="24"/>
        </w:rPr>
        <w:t xml:space="preserve">4.2 Competencia</w:t>
      </w:r>
      <w:bookmarkEnd w:id="100023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Debilidad frente a ObraHub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Procore (EE. UU.)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Desde USD 375/usuario/mes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Precio, inglés, sin NSR-10/APU local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Autodesk Construction Cloud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USD 410+/mes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Precio, complejidad, sin bitácora legal local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PlanGrid / Buildertrend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USD 100-350/mes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Sin norma colombiana, sin IA visual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Aplazados locales (Excel, hojas propias)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Sin integración, sin evidencia, sin control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Bulldozer/Obra 24 (apps locales puntuales)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USD 30-90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Puntuales (una sola función), sin circuito completo</w:t>
            </w:r>
          </w:p>
        </w:tc>
      </w:tr>
    </w:tbl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Ventaja competitiva sostenible:</w:t>
      </w:r>
      <w:r>
        <w:rPr>
          <w:sz w:val="22"/>
          <w:szCs w:val="22"/>
        </w:rPr>
        <w:t xml:space="preserve"> (1) barrera normativa — la base de vigilancia legal colombiana es difícil de replicar por extranjeros; (2) datos de precios APU locales vivos; (3) IA multimodal en español con protocolo de interventoría; (4) costo serverless 10x menor que arquitectura tradicional.</w:t>
      </w:r>
    </w:p>
    <w:p>
      <w:pPr>
        <w:pStyle w:val="Heading3"/>
        <w:spacing w:after="140" w:before="240" w:line="312"/>
      </w:pPr>
      <w:bookmarkStart w:id="100024" w:name="_Toc100024"/>
      <w:r>
        <w:rPr>
          <w:b/>
          <w:bCs/>
          <w:color w:val="444444"/>
          <w:sz w:val="24"/>
          <w:szCs w:val="24"/>
        </w:rPr>
        <w:t xml:space="preserve">4.3 Cliente objetivo inicial (ICP)</w:t>
      </w:r>
      <w:bookmarkEnd w:id="100024"/>
    </w:p>
    <w:p>
      <w:pPr>
        <w:spacing w:after="120" w:line="312"/>
        <w:jc w:val="both"/>
      </w:pPr>
      <w:r>
        <w:rPr>
          <w:sz w:val="22"/>
          <w:szCs w:val="22"/>
        </w:rPr>
        <w:t xml:space="preserve">Constructora/interventoría bogotana o medellinense de 5-30 personas, con 2-6 obras simultáneas, que hoy pierde 10+ horas semanales en Excel y reportes.</w:t>
      </w:r>
    </w:p>
    <w:p>
      <w:pPr>
        <w:pStyle w:val="Heading2"/>
        <w:spacing w:after="140" w:before="240" w:line="312"/>
      </w:pPr>
      <w:bookmarkStart w:id="100025" w:name="_Toc100025"/>
      <w:r>
        <w:rPr>
          <w:b/>
          <w:bCs/>
          <w:color w:val="444444"/>
          <w:sz w:val="26"/>
          <w:szCs w:val="26"/>
        </w:rPr>
        <w:t xml:space="preserve">5. MODELO DE NEGOCIO (Canvas)</w:t>
      </w:r>
      <w:bookmarkEnd w:id="100025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4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4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Segmentos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Constructoras MIPYME; interventorías; independientes; academia; entidades públicas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Propuesta de valor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Construction OS en español: BIM+APU+Gantt+Bitácora+Control+Interventor IA con NSR-10 viva; freemium real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Canales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Web/PWA directa; alianzas Camacol/COINSAP; universidades; contenido (noticias del sector integradas); referidos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Relación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Autoservicio con onboarding guiado; soporte humano en planes pagos; comunidad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Ingresos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Suscripción Pro 149k/mes · Business 449k/mes · API enterprise · informes premium · (futuro) ObraGo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Recursos clave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Plataforma (activos intangibles: código, base normativa, base de precios); marca; datos de uso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Actividades clave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Desarrollo de producto; vigilancia normativa continua; venta y alianzas; soporte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Alianzas clave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Cratere S.A.S. (respaldo); proveedores cloud (Vercel/Supabase/OpenAI); gremios; universidades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Costos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Infraestructura variable (serverless); IA por uso; personas; marketing digital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Estructura de costos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~70% variable por usuario → escalamiento con margen</w:t>
            </w:r>
          </w:p>
        </w:tc>
      </w:tr>
    </w:tbl>
    <w:p>
      <w:pPr>
        <w:pStyle w:val="Heading2"/>
        <w:spacing w:after="140" w:before="240" w:line="312"/>
      </w:pPr>
      <w:bookmarkStart w:id="100026" w:name="_Toc100026"/>
      <w:r>
        <w:rPr>
          <w:b/>
          <w:bCs/>
          <w:color w:val="444444"/>
          <w:sz w:val="26"/>
          <w:szCs w:val="26"/>
        </w:rPr>
        <w:t xml:space="preserve">6. ESTRATEGIA DE MARKETING</w:t>
      </w:r>
      <w:bookmarkEnd w:id="100026"/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Posicionamiento:</w:t>
      </w:r>
      <w:r>
        <w:rPr>
          <w:sz w:val="22"/>
          <w:szCs w:val="22"/>
        </w:rPr>
        <w:t xml:space="preserve"> *"La obra bajo control — en español, con la norma viva."*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Lanzamiento (meses 1-6):</w:t>
      </w:r>
      <w:r>
        <w:rPr>
          <w:sz w:val="22"/>
          <w:szCs w:val="22"/>
        </w:rPr>
        <w:t xml:space="preserve"> producto gratuito abierto; 3 pilotos con constructoras aliadas (casos de estudio medibles); demo para docentes en Unicolmayor y facultades aliadas; publicación del pitch.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Crecimiento (meses 6-18):</w:t>
      </w:r>
      <w:r>
        <w:rPr>
          <w:sz w:val="22"/>
          <w:szCs w:val="22"/>
        </w:rPr>
        <w:t xml:space="preserve"> SEO técnico ("presupuesto APU con IA", "bitácora de obra digital", "NSR-10 online"); webinar mensual; programa de referidos (1 mes gratis); contenido de vigilancia normativa como imán (informe quincenal gratuito); alianza con Camacol regional.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Consolidación (meses 18-36):</w:t>
      </w:r>
      <w:r>
        <w:rPr>
          <w:sz w:val="22"/>
          <w:szCs w:val="22"/>
        </w:rPr>
        <w:t xml:space="preserve"> marketplace de plantillas APU; convenios con universidades (licencia académica); entrada a México con distribuidor local; ObraGo (bolsa de trabajo) como motor de red.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Métricas clave:</w:t>
      </w:r>
      <w:r>
        <w:rPr>
          <w:sz w:val="22"/>
          <w:szCs w:val="22"/>
        </w:rPr>
        <w:t xml:space="preserve"> activación (1er presupuesto creado), conversión free→pago (meta 4%), churn mensual (&lt;3,5%), CAC (meta &lt; COP 180.000), LTV (&gt; COP 1.400.000).</w:t>
      </w:r>
    </w:p>
    <w:p>
      <w:pPr>
        <w:pStyle w:val="Heading2"/>
        <w:spacing w:after="140" w:before="240" w:line="312"/>
      </w:pPr>
      <w:bookmarkStart w:id="100027" w:name="_Toc100027"/>
      <w:r>
        <w:rPr>
          <w:b/>
          <w:bCs/>
          <w:color w:val="444444"/>
          <w:sz w:val="26"/>
          <w:szCs w:val="26"/>
        </w:rPr>
        <w:t xml:space="preserve">7. PLAN DE OPERACIONES</w:t>
      </w:r>
      <w:bookmarkEnd w:id="100027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b/>
          <w:bCs/>
          <w:sz w:val="22"/>
          <w:szCs w:val="22"/>
        </w:rPr>
        <w:t xml:space="preserve">Producción de software:</w:t>
      </w:r>
      <w:r>
        <w:rPr>
          <w:sz w:val="22"/>
          <w:szCs w:val="22"/>
        </w:rPr>
        <w:t xml:space="preserve"> desarrollo continuo (1 desarrollador principal + IA copilotos); releases semanales; suite E2E automatizada de 17 pruebas antes de cada deploy.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b/>
          <w:bCs/>
          <w:sz w:val="22"/>
          <w:szCs w:val="22"/>
        </w:rPr>
        <w:t xml:space="preserve">Vigilancia normativa:</w:t>
      </w:r>
      <w:r>
        <w:rPr>
          <w:sz w:val="22"/>
          <w:szCs w:val="22"/>
        </w:rPr>
        <w:t xml:space="preserve"> crons diarios/semanales sobre 12 fuentes oficiales (MinVivienda, SGC, ICONTEC, Camacol, Congreso...) con clasificación por IA.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b/>
          <w:bCs/>
          <w:sz w:val="22"/>
          <w:szCs w:val="22"/>
        </w:rPr>
        <w:t xml:space="preserve">Soporte:</w:t>
      </w:r>
      <w:r>
        <w:rPr>
          <w:sz w:val="22"/>
          <w:szCs w:val="22"/>
        </w:rPr>
        <w:t xml:space="preserve"> tickets por correo + chat; SLA 48h (Pro) / 12h (Business).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b/>
          <w:bCs/>
          <w:sz w:val="22"/>
          <w:szCs w:val="22"/>
        </w:rPr>
        <w:t xml:space="preserve">Infraestructura:</w:t>
      </w:r>
      <w:r>
        <w:rPr>
          <w:sz w:val="22"/>
          <w:szCs w:val="22"/>
        </w:rPr>
        <w:t xml:space="preserve"> Vercel (frontend/API), Supabase (Postgres+RLS+Storage+Auth), OpenAI (IA), Resend (email). Costo 100% variable y monitoreado (alertas de presupuesto).</w:t>
      </w:r>
    </w:p>
    <w:p>
      <w:pPr>
        <w:pStyle w:val="Heading2"/>
        <w:spacing w:after="140" w:before="240" w:line="312"/>
      </w:pPr>
      <w:bookmarkStart w:id="100028" w:name="_Toc100028"/>
      <w:r>
        <w:rPr>
          <w:b/>
          <w:bCs/>
          <w:color w:val="444444"/>
          <w:sz w:val="26"/>
          <w:szCs w:val="26"/>
        </w:rPr>
        <w:t xml:space="preserve">8. ESTRUCTURA ORGANIZACIONAL Y LEGAL</w:t>
      </w:r>
      <w:bookmarkEnd w:id="100028"/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Empresa:</w:t>
      </w:r>
      <w:r>
        <w:rPr>
          <w:sz w:val="22"/>
          <w:szCs w:val="22"/>
        </w:rPr>
        <w:t xml:space="preserve"> Cratere S.A.S. (constituida; NIT activo) — objeto: tecnología para construcción.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4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 (inicio)</w:t>
            </w:r>
          </w:p>
        </w:tc>
        <w:tc>
          <w:tcPr>
            <w:tcW w:type="dxa" w:w="4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Diego O. Pineda E. — Gerente/CTO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Producto, tecnología, estrategia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Apoyo contable (outsourcing)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Contabilidad, impuestos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Apoyo comercial (desde mes 9)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Ventas y alianzas</w:t>
            </w:r>
          </w:p>
        </w:tc>
      </w:tr>
    </w:tbl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Cumplimiento:</w:t>
      </w:r>
      <w:r>
        <w:rPr>
          <w:sz w:val="22"/>
          <w:szCs w:val="22"/>
        </w:rPr>
        <w:t xml:space="preserve"> Habeas Data (Ley 1581/2012) — política de privacidad y tratamiento de datos; términos de servicio; respaldo diario de base de datos; contratos de orden de compra para planes anuales.</w:t>
      </w:r>
    </w:p>
    <w:p>
      <w:pPr>
        <w:pStyle w:val="Heading2"/>
        <w:spacing w:after="140" w:before="240" w:line="312"/>
      </w:pPr>
      <w:bookmarkStart w:id="100029" w:name="_Toc100029"/>
      <w:r>
        <w:rPr>
          <w:b/>
          <w:bCs/>
          <w:color w:val="444444"/>
          <w:sz w:val="26"/>
          <w:szCs w:val="26"/>
        </w:rPr>
        <w:t xml:space="preserve">9. ESTUDIO FINANCIERO (resumen — detalle en documento 03)</w:t>
      </w:r>
      <w:bookmarkEnd w:id="100029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4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4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Inversión inicial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COP 18.000.000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Costos fijos mensuales (año 1)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COP 2.100.000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Precio Pro / Business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COP 149.000 / 449.000 por mes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Punto de equilibrio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Mes 19 (~160 suscriptores Pro equivalentes)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Proyección ingresos año 3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COP 540 millones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VAN (5 años, 18%)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COP +96 millones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TIR estimada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~48%</w:t>
            </w:r>
          </w:p>
        </w:tc>
      </w:tr>
    </w:tbl>
    <w:p>
      <w:pPr>
        <w:pStyle w:val="Heading2"/>
        <w:spacing w:after="140" w:before="240" w:line="312"/>
      </w:pPr>
      <w:bookmarkStart w:id="100030" w:name="_Toc100030"/>
      <w:r>
        <w:rPr>
          <w:b/>
          <w:bCs/>
          <w:color w:val="444444"/>
          <w:sz w:val="26"/>
          <w:szCs w:val="26"/>
        </w:rPr>
        <w:t xml:space="preserve">10. ANÁLISIS DE RIESGOS Y MITIGACIÓN</w:t>
      </w:r>
      <w:bookmarkEnd w:id="100030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2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2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Costos de IA crecen más rápido que ingresos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Caché de respuestas, modelos por lotes, límites por plan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Entrada de competidor extranjero localizado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Barrera normativa + velocidad + precio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Adopción lenta (resistencia al cambio)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Freemium, capacitación, pilotos medibles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Dependencia de terceros cloud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Baja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Arquitectura portable (Postgres estándar)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Cambio regulatorio de IA/datos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Baja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Cumplimiento desde el diseño, datos en región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Concen­tración de ventas en pocos clientes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Estrategia long-tail de MIPYMES</w:t>
            </w:r>
          </w:p>
        </w:tc>
      </w:tr>
    </w:tbl>
    <w:p>
      <w:pPr>
        <w:pStyle w:val="Heading2"/>
        <w:spacing w:after="140" w:before="240" w:line="312"/>
      </w:pPr>
      <w:bookmarkStart w:id="100031" w:name="_Toc100031"/>
      <w:r>
        <w:rPr>
          <w:b/>
          <w:bCs/>
          <w:color w:val="444444"/>
          <w:sz w:val="26"/>
          <w:szCs w:val="26"/>
        </w:rPr>
        <w:t xml:space="preserve">11. IMPACTO</w:t>
      </w:r>
      <w:bookmarkEnd w:id="100031"/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Social:</w:t>
      </w:r>
      <w:r>
        <w:rPr>
          <w:sz w:val="22"/>
          <w:szCs w:val="22"/>
        </w:rPr>
        <w:t xml:space="preserve"> profesionalización del constructor pequeño; reducción de riesgo sísmico en autoconstrucción (interventor IA gratuito); formalización laboral de maestros.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Tecnológico:</w:t>
      </w:r>
      <w:r>
        <w:rPr>
          <w:sz w:val="22"/>
          <w:szCs w:val="22"/>
        </w:rPr>
        <w:t xml:space="preserve"> primer Construction OS LATAM con vigilancia normativa automática y evidencia contra normas derogadas.</w:t>
      </w:r>
    </w:p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Académico:</w:t>
      </w:r>
      <w:r>
        <w:rPr>
          <w:sz w:val="22"/>
          <w:szCs w:val="22"/>
        </w:rPr>
        <w:t xml:space="preserve"> material vivo de enseñanza para programas de construcción y arquitectura.</w:t>
      </w:r>
    </w:p>
    <w:p>
      <w:r>
        <w:br w:type="page"/>
      </w:r>
    </w:p>
    <w:p>
      <w:pPr>
        <w:pStyle w:val="Heading1"/>
        <w:pageBreakBefore/>
        <w:spacing w:after="140" w:before="360" w:line="312"/>
      </w:pPr>
      <w:bookmarkStart w:id="100032" w:name="_Toc100032"/>
      <w:r>
        <w:rPr>
          <w:b/>
          <w:bCs/>
          <w:color w:val="1F3A5F"/>
          <w:sz w:val="32"/>
          <w:szCs w:val="32"/>
        </w:rPr>
        <w:t xml:space="preserve">ESTUDIO FINANCIERO</w:t>
      </w:r>
      <w:bookmarkEnd w:id="100032"/>
    </w:p>
    <w:p>
      <w:pPr>
        <w:pStyle w:val="Heading2"/>
        <w:spacing w:after="140" w:before="240" w:line="312"/>
      </w:pPr>
      <w:bookmarkStart w:id="100033" w:name="_Toc100033"/>
      <w:r>
        <w:rPr>
          <w:b/>
          <w:bCs/>
          <w:color w:val="444444"/>
          <w:sz w:val="26"/>
          <w:szCs w:val="26"/>
        </w:rPr>
        <w:t xml:space="preserve">OBRahUB — Cratere S.A.S.</w:t>
      </w:r>
      <w:bookmarkEnd w:id="100033"/>
    </w:p>
    <w:p>
      <w:pPr>
        <w:spacing w:after="120" w:line="312"/>
        <w:jc w:val="both"/>
      </w:pPr>
      <w:r>
        <w:rPr>
          <w:sz w:val="22"/>
          <w:szCs w:val="22"/>
        </w:rPr>
        <w:t xml:space="preserve">Cifras en COP. Supuestos conservadores. Elaborado agosto 2026.</w:t>
      </w:r>
    </w:p>
    <w:p>
      <w:pPr>
        <w:pStyle w:val="Heading2"/>
        <w:spacing w:after="140" w:before="240" w:line="312"/>
      </w:pPr>
      <w:bookmarkStart w:id="100034" w:name="_Toc100034"/>
      <w:r>
        <w:rPr>
          <w:b/>
          <w:bCs/>
          <w:color w:val="444444"/>
          <w:sz w:val="26"/>
          <w:szCs w:val="26"/>
        </w:rPr>
        <w:t xml:space="preserve">1. INVERSIÓN INICIAL (ya ejecutada mayormente)</w:t>
      </w:r>
      <w:bookmarkEnd w:id="100034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4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Rubro</w:t>
            </w:r>
          </w:p>
        </w:tc>
        <w:tc>
          <w:tcPr>
            <w:tcW w:type="dxa" w:w="4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Desarrollo de software (horas valorizadas + herramientas)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$10.000.000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Marca, dominios, identidad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$1.200.000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Marketing de lanzamiento (6 meses)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$4.000.000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Infraestructura año 1 (variable, prepagada)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$2.300.000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Legal/contable/constitución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$500.000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$18.000.000</w:t>
            </w:r>
          </w:p>
        </w:tc>
      </w:tr>
    </w:tbl>
    <w:p>
      <w:pPr>
        <w:pStyle w:val="Heading2"/>
        <w:spacing w:after="140" w:before="240" w:line="312"/>
      </w:pPr>
      <w:bookmarkStart w:id="100035" w:name="_Toc100035"/>
      <w:r>
        <w:rPr>
          <w:b/>
          <w:bCs/>
          <w:color w:val="444444"/>
          <w:sz w:val="26"/>
          <w:szCs w:val="26"/>
        </w:rPr>
        <w:t xml:space="preserve">2. ESTRUCTURA DE COSTOS</w:t>
      </w:r>
      <w:bookmarkEnd w:id="100035"/>
    </w:p>
    <w:p>
      <w:pPr>
        <w:pStyle w:val="Heading3"/>
        <w:spacing w:after="140" w:before="240" w:line="312"/>
      </w:pPr>
      <w:bookmarkStart w:id="100036" w:name="_Toc100036"/>
      <w:r>
        <w:rPr>
          <w:b/>
          <w:bCs/>
          <w:color w:val="444444"/>
          <w:sz w:val="24"/>
          <w:szCs w:val="24"/>
        </w:rPr>
        <w:t xml:space="preserve">2.1 Costos fijos mensuales (año 1)</w:t>
      </w:r>
      <w:bookmarkEnd w:id="100036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4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4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Contabilidad/outsourcing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$400.000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Marketing digital sostenido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$800.000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Servicios base (Vercel Pro + Supabase Pro + dominio/email amortizado)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$560.000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Servicios legales/eventuales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$140.000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Reserva imprevistos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$200.000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Total fijos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$2.100.000</w:t>
            </w:r>
          </w:p>
        </w:tc>
      </w:tr>
    </w:tbl>
    <w:p>
      <w:pPr>
        <w:pStyle w:val="Heading3"/>
        <w:spacing w:after="140" w:before="240" w:line="312"/>
      </w:pPr>
      <w:bookmarkStart w:id="100037" w:name="_Toc100037"/>
      <w:r>
        <w:rPr>
          <w:b/>
          <w:bCs/>
          <w:color w:val="444444"/>
          <w:sz w:val="24"/>
          <w:szCs w:val="24"/>
        </w:rPr>
        <w:t xml:space="preserve">2.2 Costo variable por usuario (mes)</w:t>
      </w:r>
      <w:bookmarkEnd w:id="100037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OpenAI (consultas IA con límites de plan)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$9.000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$1.500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Infraestructura incremental (Storage/ BW)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$3.000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$500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Soporte asignado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$6.000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Costo variable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$18.000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$2.000</w:t>
            </w:r>
          </w:p>
        </w:tc>
      </w:tr>
    </w:tbl>
    <w:p>
      <w:pPr>
        <w:pStyle w:val="Heading2"/>
        <w:spacing w:after="140" w:before="240" w:line="312"/>
      </w:pPr>
      <w:bookmarkStart w:id="100038" w:name="_Toc100038"/>
      <w:r>
        <w:rPr>
          <w:b/>
          <w:bCs/>
          <w:color w:val="444444"/>
          <w:sz w:val="26"/>
          <w:szCs w:val="26"/>
        </w:rPr>
        <w:t xml:space="preserve">3. PRECIOS Y PLANES</w:t>
      </w:r>
      <w:bookmarkEnd w:id="100038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Precio/mes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Incluye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proyecto, 20 consultas IA/mes, bitácora, visor BIM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$149.000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 proyectos, 500 consultas IA, informes Excel/PPTX, alertas email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$449.000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Ilimitado, API, SSO, soporte 12h, SLA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Enterprise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Desde $1.500.000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Contrato anual</w:t>
            </w:r>
          </w:p>
        </w:tc>
      </w:tr>
    </w:tbl>
    <w:p>
      <w:pPr>
        <w:spacing w:after="120" w:line="312"/>
        <w:jc w:val="both"/>
      </w:pPr>
      <w:r>
        <w:rPr>
          <w:sz w:val="22"/>
          <w:szCs w:val="22"/>
        </w:rPr>
        <w:t xml:space="preserve">Margen bruto Pro: (149.000 − 18.000)/149.000 = </w:t>
      </w:r>
      <w:r>
        <w:rPr>
          <w:b/>
          <w:bCs/>
          <w:sz w:val="22"/>
          <w:szCs w:val="22"/>
        </w:rPr>
        <w:t xml:space="preserve">88%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40" w:before="240" w:line="312"/>
      </w:pPr>
      <w:bookmarkStart w:id="100039" w:name="_Toc100039"/>
      <w:r>
        <w:rPr>
          <w:b/>
          <w:bCs/>
          <w:color w:val="444444"/>
          <w:sz w:val="26"/>
          <w:szCs w:val="26"/>
        </w:rPr>
        <w:t xml:space="preserve">4. SUPUESTOS DE ADOPCIÓN (escenario base)</w:t>
      </w:r>
      <w:bookmarkEnd w:id="100039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4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Usuarios free año 1 → 3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600 → 4.500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Conversión free→pago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2% → 4%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Churn mensual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3,5%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Mezcla pagos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82% Pro / 15% Business / 3% Enterprise</w:t>
            </w:r>
          </w:p>
        </w:tc>
      </w:tr>
    </w:tbl>
    <w:p>
      <w:pPr>
        <w:pStyle w:val="Heading3"/>
        <w:spacing w:after="140" w:before="240" w:line="312"/>
      </w:pPr>
      <w:bookmarkStart w:id="100040" w:name="_Toc100040"/>
      <w:r>
        <w:rPr>
          <w:b/>
          <w:bCs/>
          <w:color w:val="444444"/>
          <w:sz w:val="24"/>
          <w:szCs w:val="24"/>
        </w:rPr>
        <w:t xml:space="preserve">Suscriptores pagos (fin de año)</w:t>
      </w:r>
      <w:bookmarkEnd w:id="100040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1</w:t>
            </w:r>
          </w:p>
        </w:tc>
        <w:tc>
          <w:tcPr>
            <w:tcW w:type="dxa" w:w="1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2</w:t>
            </w:r>
          </w:p>
        </w:tc>
        <w:tc>
          <w:tcPr>
            <w:tcW w:type="dxa" w:w="1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3</w:t>
            </w:r>
          </w:p>
        </w:tc>
        <w:tc>
          <w:tcPr>
            <w:tcW w:type="dxa" w:w="1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4</w:t>
            </w:r>
          </w:p>
        </w:tc>
        <w:tc>
          <w:tcPr>
            <w:tcW w:type="dxa" w:w="1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340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620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950</w:t>
            </w:r>
          </w:p>
        </w:tc>
      </w:tr>
    </w:tbl>
    <w:p>
      <w:pPr>
        <w:pStyle w:val="Heading2"/>
        <w:spacing w:after="140" w:before="240" w:line="312"/>
      </w:pPr>
      <w:bookmarkStart w:id="100041" w:name="_Toc100041"/>
      <w:r>
        <w:rPr>
          <w:b/>
          <w:bCs/>
          <w:color w:val="444444"/>
          <w:sz w:val="26"/>
          <w:szCs w:val="26"/>
        </w:rPr>
        <w:t xml:space="preserve">5. PROYECCIÓN DE INGRESOS</w:t>
      </w:r>
      <w:bookmarkEnd w:id="100041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1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2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3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4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5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Suscripciones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$36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$196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$540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$1.020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$1.640 M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Servicios/implementación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$6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$24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$60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$110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$160 M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Ingresos totales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$42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$220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$600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$1.130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$1.800 M</w:t>
            </w:r>
          </w:p>
        </w:tc>
      </w:tr>
    </w:tbl>
    <w:p>
      <w:pPr>
        <w:spacing w:after="120" w:line="312"/>
        <w:jc w:val="both"/>
      </w:pPr>
      <w:r>
        <w:rPr>
          <w:sz w:val="22"/>
          <w:szCs w:val="22"/>
        </w:rPr>
        <w:t xml:space="preserve">*(M = millones)*</w:t>
      </w:r>
    </w:p>
    <w:p>
      <w:pPr>
        <w:pStyle w:val="Heading2"/>
        <w:spacing w:after="140" w:before="240" w:line="312"/>
      </w:pPr>
      <w:bookmarkStart w:id="100042" w:name="_Toc100042"/>
      <w:r>
        <w:rPr>
          <w:b/>
          <w:bCs/>
          <w:color w:val="444444"/>
          <w:sz w:val="26"/>
          <w:szCs w:val="26"/>
        </w:rPr>
        <w:t xml:space="preserve">6. ESTADO DE RESULTADOS PROYECTADO</w:t>
      </w:r>
      <w:bookmarkEnd w:id="100042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1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2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3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4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5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Ingresos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$42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$220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$600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$1.130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$1.800 M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Costos variables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$9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$34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$82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$145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$220 M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Costos fijos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$25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$34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$55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$92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$160 M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EBITDA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$8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$152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$463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$893 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$1.420 M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Margen EBITDA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19%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69%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77%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79%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79%</w:t>
            </w:r>
          </w:p>
        </w:tc>
      </w:tr>
    </w:tbl>
    <w:p>
      <w:pPr>
        <w:pStyle w:val="Heading2"/>
        <w:spacing w:after="140" w:before="240" w:line="312"/>
      </w:pPr>
      <w:bookmarkStart w:id="100043" w:name="_Toc100043"/>
      <w:r>
        <w:rPr>
          <w:b/>
          <w:bCs/>
          <w:color w:val="444444"/>
          <w:sz w:val="26"/>
          <w:szCs w:val="26"/>
        </w:rPr>
        <w:t xml:space="preserve">7. PUNTO DE EQUILIBRIO</w:t>
      </w:r>
      <w:bookmarkEnd w:id="100043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sz w:val="22"/>
          <w:szCs w:val="22"/>
        </w:rPr>
        <w:t xml:space="preserve">Suscriptores necesarios: fijos $2,1 M ÷ margen de contribución Pro ($131.000) ≈ </w:t>
      </w:r>
      <w:r>
        <w:rPr>
          <w:b/>
          <w:bCs/>
          <w:sz w:val="22"/>
          <w:szCs w:val="22"/>
        </w:rPr>
        <w:t xml:space="preserve">16 clientes/mes para cubrir fijos operativos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sz w:val="22"/>
          <w:szCs w:val="22"/>
        </w:rPr>
        <w:t xml:space="preserve">Incluyendo la recuperación de la inversión de $18 M a 24 meses (+$750.000/mes): </w:t>
      </w:r>
      <w:r>
        <w:rPr>
          <w:b/>
          <w:bCs/>
          <w:sz w:val="22"/>
          <w:szCs w:val="22"/>
        </w:rPr>
        <w:t xml:space="preserve">~21 clientes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sz w:val="22"/>
          <w:szCs w:val="22"/>
        </w:rPr>
        <w:t xml:space="preserve">Proyección base cruza esa meta en el </w:t>
      </w:r>
      <w:r>
        <w:rPr>
          <w:b/>
          <w:bCs/>
          <w:sz w:val="22"/>
          <w:szCs w:val="22"/>
        </w:rPr>
        <w:t xml:space="preserve">mes 19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40" w:before="240" w:line="312"/>
      </w:pPr>
      <w:bookmarkStart w:id="100044" w:name="_Toc100044"/>
      <w:r>
        <w:rPr>
          <w:b/>
          <w:bCs/>
          <w:color w:val="444444"/>
          <w:sz w:val="26"/>
          <w:szCs w:val="26"/>
        </w:rPr>
        <w:t xml:space="preserve">8. FLUJO DE CAJA Y EVALUACIÓN</w:t>
      </w:r>
      <w:bookmarkEnd w:id="100044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28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</w:p>
        </w:tc>
        <w:tc>
          <w:tcPr>
            <w:tcW w:type="dxa" w:w="128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0</w:t>
            </w:r>
          </w:p>
        </w:tc>
        <w:tc>
          <w:tcPr>
            <w:tcW w:type="dxa" w:w="128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1</w:t>
            </w:r>
          </w:p>
        </w:tc>
        <w:tc>
          <w:tcPr>
            <w:tcW w:type="dxa" w:w="128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2</w:t>
            </w:r>
          </w:p>
        </w:tc>
        <w:tc>
          <w:tcPr>
            <w:tcW w:type="dxa" w:w="128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3</w:t>
            </w:r>
          </w:p>
        </w:tc>
        <w:tc>
          <w:tcPr>
            <w:tcW w:type="dxa" w:w="128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4</w:t>
            </w:r>
          </w:p>
        </w:tc>
        <w:tc>
          <w:tcPr>
            <w:tcW w:type="dxa" w:w="128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5</w:t>
            </w:r>
          </w:p>
        </w:tc>
      </w:tr>
      <w:tr>
        <w:trPr>
          <w:cantSplit/>
        </w:trPr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Flujo neto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−18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−4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128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428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833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1.330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312"/>
      </w:pPr>
      <w:r>
        <w:rPr>
          <w:b/>
          <w:bCs/>
          <w:sz w:val="22"/>
          <w:szCs w:val="22"/>
        </w:rPr>
        <w:t xml:space="preserve">VAN (tasa de descuento 18%):</w:t>
      </w:r>
      <w:r>
        <w:rPr>
          <w:sz w:val="22"/>
          <w:szCs w:val="22"/>
        </w:rPr>
        <w:t xml:space="preserve"> ≈ </w:t>
      </w:r>
      <w:r>
        <w:rPr>
          <w:b/>
          <w:bCs/>
          <w:sz w:val="22"/>
          <w:szCs w:val="22"/>
        </w:rPr>
        <w:t xml:space="preserve">+$96 millones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b/>
          <w:bCs/>
          <w:sz w:val="22"/>
          <w:szCs w:val="22"/>
        </w:rPr>
        <w:t xml:space="preserve">TIR:</w:t>
      </w:r>
      <w:r>
        <w:rPr>
          <w:sz w:val="22"/>
          <w:szCs w:val="22"/>
        </w:rPr>
        <w:t xml:space="preserve"> ≈ </w:t>
      </w:r>
      <w:r>
        <w:rPr>
          <w:b/>
          <w:bCs/>
          <w:sz w:val="22"/>
          <w:szCs w:val="22"/>
        </w:rPr>
        <w:t xml:space="preserve">48%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sz w:val="22"/>
          <w:szCs w:val="22"/>
        </w:rPr>
        <w:t xml:space="preserve">Criterio: VAN &gt; 0 y TIR &gt;&gt; oportunidad → </w:t>
      </w:r>
      <w:r>
        <w:rPr>
          <w:b/>
          <w:bCs/>
          <w:sz w:val="22"/>
          <w:szCs w:val="22"/>
        </w:rPr>
        <w:t xml:space="preserve">proyecto financieramente viable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40" w:before="240" w:line="312"/>
      </w:pPr>
      <w:bookmarkStart w:id="100045" w:name="_Toc100045"/>
      <w:r>
        <w:rPr>
          <w:b/>
          <w:bCs/>
          <w:color w:val="444444"/>
          <w:sz w:val="26"/>
          <w:szCs w:val="26"/>
        </w:rPr>
        <w:t xml:space="preserve">9. SENSIBILIDAD</w:t>
      </w:r>
      <w:bookmarkEnd w:id="100045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Conversión</w:t>
            </w:r>
          </w:p>
        </w:tc>
        <w:tc>
          <w:tcPr>
            <w:tcW w:type="dxa" w:w="2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3 ingresos</w:t>
            </w:r>
          </w:p>
        </w:tc>
        <w:tc>
          <w:tcPr>
            <w:tcW w:type="dxa" w:w="2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VAN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Pesimista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2% fija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$380 M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+$21 M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Base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2%→4%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$600 M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+$96 M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Optimista (México año 2)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5%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$860 M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+$180 M</w:t>
            </w:r>
          </w:p>
        </w:tc>
      </w:tr>
    </w:tbl>
    <w:p>
      <w:pPr>
        <w:spacing w:after="120" w:line="312"/>
        <w:jc w:val="both"/>
      </w:pPr>
      <w:r>
        <w:rPr>
          <w:sz w:val="22"/>
          <w:szCs w:val="22"/>
        </w:rPr>
        <w:t xml:space="preserve">Incluso en pesimista el VAN es positivo: la estructura de costos mayormente variable protege el negocio.</w:t>
      </w:r>
    </w:p>
    <w:p>
      <w:pPr>
        <w:pStyle w:val="Heading2"/>
        <w:spacing w:after="140" w:before="240" w:line="312"/>
      </w:pPr>
      <w:bookmarkStart w:id="100046" w:name="_Toc100046"/>
      <w:r>
        <w:rPr>
          <w:b/>
          <w:bCs/>
          <w:color w:val="444444"/>
          <w:sz w:val="26"/>
          <w:szCs w:val="26"/>
        </w:rPr>
        <w:t xml:space="preserve">10. FINANCIAMIENTO</w:t>
      </w:r>
      <w:bookmarkEnd w:id="100046"/>
    </w:p>
    <w:p>
      <w:pPr>
        <w:spacing w:after="120" w:line="312"/>
        <w:jc w:val="both"/>
      </w:pPr>
      <w:r>
        <w:rPr>
          <w:sz w:val="22"/>
          <w:szCs w:val="22"/>
        </w:rPr>
        <w:t xml:space="preserve">Aporte propio (Cratere S.A.S.) + flujos reinvertidos. No se requiere deuda. Opcional: convocatoria MinTIC/MinCIT o aceleradora SaaS LATAM para acelerar expansión a México (uso: 1 comercial + marketing, $30 M por 12 meses).</w:t>
      </w:r>
    </w:p>
    <w:p>
      <w:r>
        <w:br w:type="page"/>
      </w:r>
    </w:p>
    <w:p>
      <w:pPr>
        <w:pStyle w:val="Heading1"/>
        <w:pageBreakBefore/>
        <w:spacing w:after="140" w:before="360" w:line="312"/>
      </w:pPr>
      <w:bookmarkStart w:id="100047" w:name="_Toc100047"/>
      <w:r>
        <w:rPr>
          <w:b/>
          <w:bCs/>
          <w:color w:val="1F3A5F"/>
          <w:sz w:val="32"/>
          <w:szCs w:val="32"/>
        </w:rPr>
        <w:t xml:space="preserve">CRONOGRAMA GENERAL DEL PROYECTO</w:t>
      </w:r>
      <w:bookmarkEnd w:id="100047"/>
    </w:p>
    <w:p>
      <w:pPr>
        <w:pStyle w:val="Heading2"/>
        <w:spacing w:after="140" w:before="240" w:line="312"/>
      </w:pPr>
      <w:bookmarkStart w:id="100048" w:name="_Toc100048"/>
      <w:r>
        <w:rPr>
          <w:b/>
          <w:bCs/>
          <w:color w:val="444444"/>
          <w:sz w:val="26"/>
          <w:szCs w:val="26"/>
        </w:rPr>
        <w:t xml:space="preserve">OBRahUB — Proyecto de grado + lanzamiento comercial</w:t>
      </w:r>
      <w:bookmarkEnd w:id="100048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 / Entregable</w:t>
            </w:r>
          </w:p>
        </w:tc>
        <w:tc>
          <w:tcPr>
            <w:tcW w:type="dxa" w:w="2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Diagnóstico y benchmark de competencia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✅ Ejecutado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Análisis Procore/ACC/PlanGrid (doc. 02, cap. 4)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Gestión documental + visor BIM (IFC/DWG/DXF)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✅ Ejecutado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Módulo Documentos en producción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Motor APU paramétrico Colombia/México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✅ Ejecutado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Módulo Costos en producción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Gantt CPM + Bitácora legal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✅ Ejecutado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Módulos Seguimiento/Bitácora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Control de obra: Curva S, SPI/CPI, alertas, Excel/PPTX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✅ Ejecutado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Módulo Control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Interventor IA multimodal + conversación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✅ Ejecutado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Foto/voz/texto con seguimiento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Vigilancia normativa (12 fuentes + marco NSR completo)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✅ Ejecutado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18 normas de la cadena verificadas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Pilotos con constructoras (3 casos medibles)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🔜 Mes 1-3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Casos de estudio con métricas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Validación académica y socialización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🔜 Mes 2-4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Presentación Unicolmayor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Entrega final de documentos de grado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🔜 Mes 4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Este paquete + anexos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Lanzamiento comercial (marketing, onboarding)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🔜 Mes 3-6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Métricas de activación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100 primeros usuarios pagos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🔜 Mes 9-12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 de suscripciones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Expansión México (distribuidor + marketing local)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🔜 Año 2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Primeros 20 clientes MX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ObraGo (bolsa de trabajo)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🔜 Año 2-3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MVP marketplace</w:t>
            </w:r>
          </w:p>
        </w:tc>
      </w:tr>
    </w:tbl>
    <w:p>
      <w:pPr>
        <w:spacing w:after="120" w:line="312"/>
        <w:jc w:val="both"/>
      </w:pPr>
      <w:r>
        <w:rPr>
          <w:b/>
          <w:bCs/>
          <w:sz w:val="22"/>
          <w:szCs w:val="22"/>
        </w:rPr>
        <w:t xml:space="preserve">Metodología de control:</w:t>
      </w:r>
      <w:r>
        <w:rPr>
          <w:sz w:val="22"/>
          <w:szCs w:val="22"/>
        </w:rPr>
        <w:t xml:space="preserve"> cada fase cierra con demostración en producción + suite E2E automatizada (17 verificaciones de regresión) + revisión de métricas.</w:t>
      </w:r>
    </w:p>
    <w:p>
      <w:pPr>
        <w:pStyle w:val="Heading2"/>
        <w:spacing w:after="140" w:before="240" w:line="312"/>
      </w:pPr>
      <w:bookmarkStart w:id="100049" w:name="_Toc100049"/>
      <w:r>
        <w:rPr>
          <w:b/>
          <w:bCs/>
          <w:color w:val="444444"/>
          <w:sz w:val="26"/>
          <w:szCs w:val="26"/>
        </w:rPr>
        <w:t xml:space="preserve">ANEXO — MÉTRICAS DE ÉXITO DEL PROYECTO DE GRADO</w:t>
      </w:r>
      <w:bookmarkEnd w:id="100049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4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Tiempo de elaboración de presupuesto APU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−70% vs. manual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Trazabilidad de bitácora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100% de días registrados con evidencia en pilotos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Detección temprana de desviaciones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Alerta automática el mismo día de la desviación (SPI/CPI)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Precisión del Interventor IA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≥80% de identificación correcta (criterio de experto)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Cobertura normativa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100% de la cadena legal NSR-10 vigente registrada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Pruebas E2E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17/17 pasando en cada release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7" w:right="1417" w:bottom="1417" w:left="15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OBRahUB — Documentos de Grado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2026-08-26T19:56:51.080Z</dcterms:created>
  <dcterms:modified xsi:type="dcterms:W3CDTF">2026-08-26T19:56:51.081Z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