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2"/>
    <Relationship Target="docProps/core.xml" Type="http://schemas.openxmlformats.org/package/2006/relationships/metadata/core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ackground w:color="ffffff">
    <v:background id="_x0000_s1025" filled="t"/>
  </w:background>
  <w:body>
    <!-- Modified by docx4j 11.4.7 (Apache licensed) using REFERENCE JAXB in Red Hat, Inc. Java 11.0.15 on Linux --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  <w:bookmarkStart w:name="_GoBack" w:id="0"/>
      <w:bookmarkEnd w:id="0"/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noProof/>
          <w:sz w:val="22"/>
          <w:szCs w:val="22"/>
        </w:rP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column">
              <wp:posOffset>-22225</wp:posOffset>
            </wp:positionH>
            <wp:positionV relativeFrom="line">
              <wp:posOffset>18414</wp:posOffset>
            </wp:positionV>
            <wp:extent cx="6120130" cy="4963796"/>
            <wp:effectExtent l="0" t="0" r="0" b="0"/>
            <wp:wrapSquare wrapText="largest"/>
            <wp:docPr id="1073741840" name="officeArt object"/>
            <wp:cNvGraphicFramePr/>
            <a:graphic>
              <a:graphicData uri="http://schemas.openxmlformats.org/drawingml/2006/picture">
                <pic:pic>
                  <pic:nvPicPr>
                    <pic:cNvPr id="363745713" name="image13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3796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</w:rPr>
        <w:t xml:space="preserve">3.3.  Commenti su testi.  Questa terza fase è utile al termine del processo, in un momento in cui c'è già una proposta di testo da aprire alla partecipazione cittadina.  La piattaforma consente di pubblicare il testo e per gli utenti di selezionare qualsiasi parte del testo e aggiungere un commento a quella parte. 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</w:rPr>
        <w:t xml:space="preserve">Inoltre, i commenti possono essere votati, consentendo di rilevare se hanno un supporto cittadino e quali sono i più interessanti.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pt-PT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</w:rPr>
      </w:pPr>
      <w:r>
        <w:rPr>
          <w:rFonts w:ascii="Arial" w:hAnsi="Arial" w:eastAsia="Arial" w:cs="Arial"/>
          <w:noProof/>
          <w:sz w:val="22"/>
          <w:szCs w:val="22"/>
        </w:rPr>
        <w:drawing>
          <wp:anchor distT="0" distB="0" distL="0" distR="0" simplePos="false" relativeHeight="251659264" behindDoc="false" locked="false" layoutInCell="true" allowOverlap="true">
            <wp:simplePos x="0" y="0"/>
            <wp:positionH relativeFrom="margin">
              <wp:posOffset>6350</wp:posOffset>
            </wp:positionH>
            <wp:positionV relativeFrom="page">
              <wp:posOffset>525780</wp:posOffset>
            </wp:positionV>
            <wp:extent cx="6120130" cy="3999230"/>
            <wp:effectExtent l="0" t="0" r="0" b="0"/>
            <wp:wrapSquare wrapText="largest"/>
            <wp:docPr id="1073741841" name="officeArt object"/>
            <wp:cNvGraphicFramePr/>
            <a:graphic>
              <a:graphicData uri="http://schemas.openxmlformats.org/drawingml/2006/picture">
                <pic:pic>
                  <pic:nvPicPr>
                    <pic:cNvPr id="1164308309" name="image14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9230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color w:val="31ADD9"/>
          <w:sz w:val="22"/>
          <w:szCs w:val="22"/>
          <w:u w:color="31ADD9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b/>
          <w:bCs/>
          <w:color w:val="31ADD9"/>
          <w:lang w:val="en-US"/>
        </w:rPr>
      </w:pPr>
      <w:r>
        <w:rPr>
          <w:rFonts w:ascii="Arial" w:hAnsi="Arial" w:eastAsia="Arial" w:cs="Arial"/>
          <w:color w:val="31ADD9"/>
          <w:spacing w:val="0"/>
          <w:w w:val="100"/>
          <w:sz w:val="22"/>
          <w:szCs w:val="22"/>
          <w:rtl w:val="false"/>
          <w:lang w:val="en-US"/>
        </w:rPr>
        <w:t xml:space="preserve">4. Bilancio partecipativo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Il modulo di budgeting partecipativo consente ai cittadini di proporre direttamente e decidere come spendere parte del bilancio dell'istituzione.  Ogni persona può avanzare proposte e votare le iniziative degli altri.  Le proposte più votate saranno realizzate.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Il budget può essere diviso in diverse categorie e gruppi di categorie e si può scegliere come si partecipa alle diverse categorie.  Ad esempio in una città si possono creare due gruppi di bilancio: uno per progetti che interessano tutta la città e un altro per progetti che interessano solo un distretto specifico.  In questo caso si potrebbe configurare se gli utenti possono votare progetti da tutti i distretti o solo da uno o un numero limitato di distretti.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Un'altra possibilità sarebbe quella di fare gruppi tematici, distribuendo una parte del budget per un tema specifico dei bilanci: istruzione, sanità, trasparenza, ecc.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Per sviluppare bilanci partecipativi, possono essere attivate varie fasi di partecipazione.  Non è necessario attivare tutti e i parametri di ogni fase e la sua durata possono essere configurati a seconda dei casi.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Le fasi disponibili sono le seguenti: </w:t>
      </w:r>
      <w:r>
        <w:rPr>
          <w:rFonts w:ascii="Arial" w:hAnsi="Arial" w:eastAsia="Arial" w:cs="Arial"/>
          <w:noProof/>
          <w:sz w:val="22"/>
          <w:szCs w:val="22"/>
          <w:lang w:val="en-US"/>
        </w:rPr>
        <w:drawing>
          <wp:anchor distT="0" distB="0" distL="0" distR="0" simplePos="false" relativeHeight="251660288" behindDoc="false" locked="false" layoutInCell="true" allowOverlap="true">
            <wp:simplePos x="0" y="0"/>
            <wp:positionH relativeFrom="margin">
              <wp:posOffset>-3809</wp:posOffset>
            </wp:positionH>
            <wp:positionV relativeFrom="page">
              <wp:posOffset>401955</wp:posOffset>
            </wp:positionV>
            <wp:extent cx="6120130" cy="2139950"/>
            <wp:effectExtent l="0" t="0" r="0" b="0"/>
            <wp:wrapSquare wrapText="largest"/>
            <wp:docPr id="1073741842" name="officeArt object"/>
            <wp:cNvGraphicFramePr/>
            <a:graphic>
              <a:graphicData uri="http://schemas.openxmlformats.org/drawingml/2006/picture">
                <pic:pic>
                  <pic:nvPicPr>
                    <pic:cNvPr id="263054260" name="image1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9950"/>
                    </a:xfrm>
                    <a:prstGeom prst="rect">
                      <a:avLst/>
                    </a:prstGeom>
                    <a:ln w="12700">
                      <a:solidFill>
                        <a:srgbClr val="DDDDDD"/>
                      </a:solidFill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- Presentazione dei progetti.  I cittadini possono presentare progetti di spesa di bilancio. 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- revisione iniziale dei progetti.  Durante questa fase non è più possibile presentare progetti, ma ancora non possono essere supportati o votati.  È una fase utile per tutti gli utenti per vedere pubblicati i propri progetti e per rilevare e correggere eventuali errori esistenti.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lang w:val="en-US"/>
        </w:rPr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 xml:space="preserve">- Fase di supporto.  Questa fase consente agli utenti di supportare i progetti.  È comune ricevere più progetti di quelli che possono essere valutati nella fase successiva, quindi questa fase consente di privilegiare quali devono essere valutate perché avere più supporto. </w:t>
      </w:r>
    </w:p>
    <w:p w:rsidR="00817A55">
      <w:pPr>
        <w:pStyle w:val="BodyA"/>
        <w:shd w:val="clear" w:color="auto" w:fill="FFFFFF"/>
        <w:bidi w:val="false"/>
        <w:spacing w:line="264" w:lineRule="auto"/>
        <w:jc w:val="both"/>
        <w:rPr>
          <w:rFonts w:ascii="Arial" w:hAnsi="Arial" w:eastAsia="Arial" w:cs="Arial"/>
          <w:sz w:val="22"/>
          <w:szCs w:val="22"/>
          <w:lang w:val="en-US"/>
        </w:rPr>
      </w:pPr>
    </w:p>
    <w:p w:rsidR="00817A55" w:rsidP="00166804">
      <w:pPr>
        <w:pStyle w:val="BodyA"/>
        <w:shd w:val="clear" w:color="auto" w:fill="FFFFFF"/>
        <w:bidi w:val="false"/>
        <w:spacing w:line="264" w:lineRule="auto"/>
        <w:jc w:val="both"/>
      </w:pPr>
      <w:r>
        <w:rPr>
          <w:rFonts w:ascii="Arial" w:hAnsi="Arial" w:eastAsia="Arial" w:cs="Arial"/>
          <w:spacing w:val="0"/>
          <w:w w:val="100"/>
          <w:sz w:val="22"/>
          <w:szCs w:val="22"/>
          <w:rtl w:val="false"/>
          <w:lang w:val="en-US"/>
        </w:rPr>
        <w:t>- Valutazione dei progetti.  Durante il periodo di valutazione, i progetti possono essere valutati dall'ente.  Questa valutazione permette di contrassegnare i progetti come vitali o irrealizzabili, e</w:t>
      </w:r>
    </w:p>
    <w:sectPr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1134" w:bottom="1134" w:left="1134" w:header="0" w:footer="720" w:gutter="0"/>
      <w:cols w:space="720"/>
      <w:titlePg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ontserrat Regular">
    <w:panose1 w:val="00000500000000000000"/>
    <w:charset w:val="00"/>
    <w:family w:val="roman"/>
    <w:pitch w:val="default"/>
  </w:font>
  <w:font w:name="Montserrat Bold">
    <w:panose1 w:val="00000800000000000000"/>
    <w:charset w:val="00"/>
    <w:family w:val="roman"/>
    <w:pitch w:val="default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BodyA"/>
      <w:shd w:val="clear" w:color="auto" w:fill="FFFFFF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132"/>
      </w:tabs>
      <w:bidi w:val="false"/>
      <w:spacing w:line="276" w:lineRule="auto"/>
    </w:pPr>
    <w:r>
      <w:rPr>
        <w:rFonts w:ascii="Arial" w:hAnsi="Arial" w:eastAsia="Arial" w:cs="Arial"/>
        <w:i/>
        <w:iCs/>
        <w:color w:val="C4C4C4"/>
        <w:spacing w:val="0"/>
        <w:w w:val="100"/>
        <w:sz w:val="16"/>
        <w:szCs w:val="16"/>
        <w:u w:color="000000"/>
        <w:rtl w:val="false"/>
        <w:lang w:val="de-DE"/>
      </w:rPr>
      <w:t xml:space="preserve">Guida all'uso CONCD Versione 0,16                                                                                                                                        </w:t>
    </w:r>
    <w:r>
      <w:rPr>
        <w:rFonts w:ascii="Arial" w:hAnsi="Arial" w:eastAsia="Arial" w:cs="Arial"/>
        <w:i/>
        <w:iCs/>
        <w:noProof/>
        <w:color w:val="C4C4C4"/>
        <w:sz w:val="16"/>
        <w:szCs w:val="16"/>
        <w:u w:color="000000"/>
        <w:lang w:val="en-US"/>
      </w:rPr>
      <w:drawing>
        <wp:inline distT="0" distB="0" distL="0" distR="0">
          <wp:extent cx="609600" cy="127636"/>
          <wp:effectExtent l="0" t="0" r="0" b="0"/>
          <wp:docPr id="1073741825" name="officeArt object"/>
          <wp:cNvGraphicFramePr/>
          <a:graphic>
            <a:graphicData uri="http://schemas.openxmlformats.org/drawingml/2006/picture">
              <pic:pic>
                <pic:nvPicPr>
                  <pic:cNvPr id="566705284" name="image32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127636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ftr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817A55">
    <w:pPr>
      <w:pStyle w:val="HeaderFooter"/>
      <w:bidi w:val="false"/>
    </w:pP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abstractNum w:abstractNumId="0">
    <w:nsid w:val="0F2521A9"/>
    <w:multiLevelType w:val="hybridMultilevel"/>
    <w:tmpl w:val="FB441192"/>
    <w:styleLink w:val="Bullets"/>
    <w:lvl w:ilvl="0">
      <w:start w:val="1"/>
      <w:numFmt w:val="bullet"/>
      <w:lvlText w:val="-"/>
      <w:lvlJc w:val="left"/>
      <w:pPr>
        <w:ind w:left="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-"/>
      <w:lvlJc w:val="left"/>
      <w:pPr>
        <w:ind w:left="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1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-"/>
      <w:lvlJc w:val="left"/>
      <w:pPr>
        <w:ind w:left="1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25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-"/>
      <w:lvlJc w:val="left"/>
      <w:pPr>
        <w:ind w:left="31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37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-"/>
      <w:lvlJc w:val="left"/>
      <w:pPr>
        <w:ind w:left="43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4989" w:hanging="189"/>
      </w:pPr>
      <w:rPr>
        <w:rFonts w:hAnsi="Arial"/>
        <w:caps w:val="false"/>
        <w:smallCaps w:val="false"/>
        <w:strike w:val="false"/>
        <w:dstrike w:val="false"/>
        <w:outline w:val="false"/>
        <w:emboss w:val="false"/>
        <w:imprint w:val="fals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115B19"/>
    <w:multiLevelType w:val="hybridMultilevel"/>
    <w:tmpl w:val="FB441192"/>
    <w:numStyleLink w:val="Bullets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55"/>
    <w:rsid w:val="00166804"/>
    <w:rsid w:val="00817A55"/>
    <w:rsid w:val="008A15B4"/>
    <w:rsid w:val="00A33D66"/>
  </w:rsids>
  <m:mathPr>
    <m:mathFont m:val="Cambria Math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A21C81A-D8B9-4B9B-B674-9D5CEFB8C042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="Arial" w:hAnsi="Arial" w:eastAsia="Arial" w:cs="Arial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Ttulo1Car"/>
    <w:uiPriority w:val="9"/>
    <w:qFormat/>
    <w:rsid w:val="00A33D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styleId="TableNormal0" w:customStyle="true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Footer" w:customStyle="true">
    <w:name w:val="Header &amp; Footer"/>
    <w:pPr>
      <w:tabs>
        <w:tab w:val="right" w:pos="9020"/>
      </w:tabs>
    </w:pPr>
    <w:rPr>
      <w:rFonts w:ascii="Arial" w:hAnsi="Arial" w:cs="Arial"/>
      <w:color w:val="000000"/>
      <w:sz w:val="24"/>
      <w:szCs w:val="24"/>
    </w:rPr>
  </w:style>
  <w:style w:type="paragraph" w:styleId="BodyA" w:customStyle="true">
    <w:name w:val="Body A"/>
    <w:pPr>
      <w:keepNext/>
    </w:pPr>
    <w:rPr>
      <w:rFonts w:cs="Arial"/>
      <w:color w:val="00000A"/>
      <w:sz w:val="24"/>
      <w:szCs w:val="24"/>
      <w:u w:color="00000A"/>
      <w:lang w:val="es-ES_tradnl"/>
    </w:rPr>
  </w:style>
  <w:style w:type="numbering" w:styleId="Bullets" w:customStyle="true">
    <w:name w:val="Bullets"/>
    <w:pPr>
      <w:numPr>
        <w:numId w:val="1"/>
      </w:numPr>
    </w:pPr>
  </w:style>
  <w:style w:type="character" w:styleId="Ttulo1Car" w:customStyle="true">
    <w:name w:val="Título 1 Car"/>
    <w:basedOn w:val="DefaultParagraphFont"/>
    <w:link w:val="Heading1"/>
    <w:uiPriority w:val="9"/>
    <w:rsid w:val="00A33D66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footer2.xml" Type="http://schemas.openxmlformats.org/officeDocument/2006/relationships/footer" Id="rId10"/>
    <Relationship Target="theme/theme1.xml" Type="http://schemas.openxmlformats.org/officeDocument/2006/relationships/theme" Id="rId11"/>
    <Relationship Target="numbering.xml" Type="http://schemas.openxmlformats.org/officeDocument/2006/relationships/numbering" Id="rId12"/>
    <Relationship Target="styles.xml" Type="http://schemas.openxmlformats.org/officeDocument/2006/relationships/styles" Id="rId13"/>
    <Relationship Target="webSettings.xml" Type="http://schemas.openxmlformats.org/officeDocument/2006/relationships/webSettings" Id="rId2"/>
    <Relationship Target="fontTable.xml" Type="http://schemas.openxmlformats.org/officeDocument/2006/relationships/fontTable" Id="rId3"/>
    <Relationship Target="media/image1.jpeg" Type="http://schemas.openxmlformats.org/officeDocument/2006/relationships/image" Id="rId4"/>
    <Relationship Target="media/image2.jpeg" Type="http://schemas.openxmlformats.org/officeDocument/2006/relationships/image" Id="rId5"/>
    <Relationship Target="media/image3.png" Type="http://schemas.openxmlformats.org/officeDocument/2006/relationships/image" Id="rId6"/>
    <Relationship Target="header1.xml" Type="http://schemas.openxmlformats.org/officeDocument/2006/relationships/header" Id="rId7"/>
    <Relationship Target="footer1.xml" Type="http://schemas.openxmlformats.org/officeDocument/2006/relationships/footer" Id="rId8"/>
    <Relationship Target="header2.xml" Type="http://schemas.openxmlformats.org/officeDocument/2006/relationships/header" Id="rId9"/>
</Relationships>

</file>

<file path=word/_rels/footer1.xml.rels><?xml version="1.0" encoding="UTF-8" standalone="yes"?>
<Relationships xmlns="http://schemas.openxmlformats.org/package/2006/relationships">
    <Relationship Target="media/image4.png" Type="http://schemas.openxmlformats.org/officeDocument/2006/relationships/image" Id="rId1"/>
</Relationships>
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Felipe Urrego Mejia</cp:lastModifiedBy>
  <cp:revision>3</cp:revision>
  <dcterms:created xsi:type="dcterms:W3CDTF">2022-08-04T15:00:00Z</dcterms:created>
  <dcterms:modified xsi:type="dcterms:W3CDTF">2022-08-04T15:07:00Z</dcterms:modified>
</cp:coreProperties>
</file>