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app.xml" Type="http://schemas.openxmlformats.org/officeDocument/2006/relationships/extended-properties" Id="rId2"/>
    <Relationship Target="docProps/core.xml" Type="http://schemas.openxmlformats.org/package/2006/relationships/metadata/core-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ackground w:color="ffffff">
    <v:background id="_x0000_s1025" filled="t"/>
  </w:background>
  <w:body>
    <!-- Modified by docx4j 11.4.7 (Apache licensed) using REFERENCE JAXB in Red Hat, Inc. Java 11.0.15 on Linux -->
    <w:p w:rsidR="00817A55">
      <w:pPr>
        <w:pStyle w:val="BodyA"/>
        <w:shd w:val="clear" w:color="auto" w:fill="FFFFFF"/>
        <w:bidi w:val="false"/>
        <w:spacing w:line="264" w:lineRule="auto"/>
        <w:jc w:val="both"/>
        <w:rPr>
          <w:lang w:val="en-US"/>
        </w:rPr>
      </w:pPr>
      <w:bookmarkStart w:name="_GoBack" w:id="0"/>
      <w:bookmarkEnd w:id="0"/>
      <w:r>
        <w:rPr>
          <w:rFonts w:ascii="Arial" w:hAnsi="Arial" w:eastAsia="Arial" w:cs="Arial"/>
          <w:spacing w:val="0"/>
          <w:w w:val="100"/>
          <w:sz w:val="22"/>
          <w:szCs w:val="22"/>
          <w:rtl w:val="false"/>
          <w:lang w:val="en-US"/>
        </w:rPr>
        <w:t xml:space="preserve">nel primo caso anche per assegnarle un costo.  I progetti vitali valutati possono passare alla fase di voto.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 Rivista dei progetti.  Durante questa fase viene pubblicato la selezione dei progetti che passano al voto finale, così come il loro costo.  In questo modo gli utenti possono rilevare errori nella selezione o nel costo.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Voto finale.  Gli utenti possono votare progetti per decidere quali sono i vincitori.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rPr>
      </w:pPr>
    </w:p>
    <w:p w:rsidR="00817A55">
      <w:pPr>
        <w:pStyle w:val="BodyA"/>
        <w:shd w:val="clear" w:color="auto" w:fill="FFFFFF"/>
        <w:bidi w:val="false"/>
        <w:spacing w:line="264" w:lineRule="auto"/>
        <w:jc w:val="both"/>
        <w:rPr>
          <w:rFonts w:ascii="Arial" w:hAnsi="Arial" w:eastAsia="Arial" w:cs="Arial"/>
          <w:sz w:val="22"/>
          <w:szCs w:val="22"/>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r>
        <w:rPr>
          <w:rFonts w:ascii="Arial" w:hAnsi="Arial" w:eastAsia="Arial" w:cs="Arial"/>
          <w:noProof/>
          <w:sz w:val="22"/>
          <w:szCs w:val="22"/>
          <w:lang w:val="en-US"/>
        </w:rPr>
        <w:drawing>
          <wp:anchor distT="0" distB="0" distL="0" distR="0" simplePos="false" relativeHeight="251658240" behindDoc="false" locked="false" layoutInCell="true" allowOverlap="true">
            <wp:simplePos x="0" y="0"/>
            <wp:positionH relativeFrom="margin">
              <wp:posOffset>1195069</wp:posOffset>
            </wp:positionH>
            <wp:positionV relativeFrom="page">
              <wp:posOffset>240109</wp:posOffset>
            </wp:positionV>
            <wp:extent cx="3967480" cy="5100082"/>
            <wp:effectExtent l="0" t="0" r="0" b="0"/>
            <wp:wrapSquare wrapText="largest"/>
            <wp:docPr id="1073741843" name="officeArt object"/>
            <wp:cNvGraphicFramePr/>
            <a:graphic>
              <a:graphicData uri="http://schemas.openxmlformats.org/drawingml/2006/picture">
                <pic:pic>
                  <pic:nvPicPr>
                    <pic:cNvPr id="305041715" name="image16.png"/>
                    <pic:cNvPicPr>
                      <a:picLocks noChangeAspect="true"/>
                    </pic:cNvPicPr>
                  </pic:nvPicPr>
                  <pic:blipFill>
                    <a:blip r:embed="rId4"/>
                    <a:srcRect b="7041"/>
                    <a:stretch>
                      <a:fillRect/>
                    </a:stretch>
                  </pic:blipFill>
                  <pic:spPr>
                    <a:xfrm>
                      <a:off x="0" y="0"/>
                      <a:ext cx="3967480" cy="5100082"/>
                    </a:xfrm>
                    <a:prstGeom prst="rect">
                      <a:avLst/>
                    </a:prstGeom>
                    <a:ln w="12700">
                      <a:solidFill>
                        <a:srgbClr val="DDDDDD"/>
                      </a:solidFill>
                      <a:miter lim="400000"/>
                    </a:ln>
                    <a:effectLst/>
                  </pic:spPr>
                </pic:pic>
              </a:graphicData>
            </a:graphic>
          </wp:anchor>
        </w:drawing>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I progetti hanno tutte le funzionalità disponibili nella sezione proposte (vedi maggiori informazioni in quella sezione): Progetti possono includere tag, immagini, documentazione, video, posizione su una mappa o altre informazioni rilevanti.  Ha anche uno spazio di commento, con la possibilità per l'autore di inviare notifiche, con uno spazio per la rilevazione di progetti simili, e con uno spazio di comunità per gli utenti a lavorare insieme.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La valutazione dei progetti avviene in modo decentralizzato.  Poiché molti valutatori possono essere registrati a seconda delle necessità, e ognuno vedrà solo nella loro interfaccia di valutazione i progetti assegnati loro.  Gli amministratori della piattaforma potranno seguire in tempo reale il lavoro di tutti i valutatori.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r>
        <w:rPr>
          <w:rFonts w:ascii="Arial" w:hAnsi="Arial" w:eastAsia="Arial" w:cs="Arial"/>
          <w:noProof/>
          <w:sz w:val="22"/>
          <w:szCs w:val="22"/>
          <w:lang w:val="en-US"/>
        </w:rPr>
        <w:drawing>
          <wp:anchor distT="0" distB="0" distL="0" distR="0" simplePos="false" relativeHeight="251659264" behindDoc="false" locked="false" layoutInCell="true" allowOverlap="true">
            <wp:simplePos x="0" y="0"/>
            <wp:positionH relativeFrom="margin">
              <wp:posOffset>-3809</wp:posOffset>
            </wp:positionH>
            <wp:positionV relativeFrom="page">
              <wp:posOffset>421640</wp:posOffset>
            </wp:positionV>
            <wp:extent cx="6120130" cy="2916555"/>
            <wp:effectExtent l="0" t="0" r="0" b="0"/>
            <wp:wrapSquare wrapText="largest"/>
            <wp:docPr id="1073741844" name="officeArt object"/>
            <wp:cNvGraphicFramePr/>
            <a:graphic>
              <a:graphicData uri="http://schemas.openxmlformats.org/drawingml/2006/picture">
                <pic:pic>
                  <pic:nvPicPr>
                    <pic:cNvPr id="1794443464" name="image17.png"/>
                    <pic:cNvPicPr>
                      <a:picLocks noChangeAspect="true"/>
                    </pic:cNvPicPr>
                  </pic:nvPicPr>
                  <pic:blipFill>
                    <a:blip r:embed="rId5"/>
                    <a:stretch>
                      <a:fillRect/>
                    </a:stretch>
                  </pic:blipFill>
                  <pic:spPr>
                    <a:xfrm>
                      <a:off x="0" y="0"/>
                      <a:ext cx="6120130" cy="2916555"/>
                    </a:xfrm>
                    <a:prstGeom prst="rect">
                      <a:avLst/>
                    </a:prstGeom>
                    <a:ln w="12700">
                      <a:solidFill>
                        <a:srgbClr val="DDDDDD"/>
                      </a:solidFill>
                      <a:miter lim="400000"/>
                    </a:ln>
                    <a:effectLst/>
                  </pic:spPr>
                </pic:pic>
              </a:graphicData>
            </a:graphic>
          </wp:anchor>
        </w:drawing>
      </w: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Durante la fase di voto finale può essere utilizzato un voto di tipo "carrello".  Ogni persona avrà il budget completo da spendere, e potrà votare progetti in base al loro costo fino a esaurimento del budget.</w:t>
      </w:r>
    </w:p>
    <w:sectPr>
      <w:headerReference w:type="default" r:id="rId6"/>
      <w:footerReference w:type="default" r:id="rId7"/>
      <w:headerReference w:type="first" r:id="rId8"/>
      <w:footerReference w:type="first" r:id="rId9"/>
      <w:pgSz w:w="11900" w:h="16840"/>
      <w:pgMar w:top="1134" w:right="1134" w:bottom="1134" w:left="1134" w:header="0" w:footer="720" w:gutter="0"/>
      <w:cols w:space="720"/>
      <w:titlePg/>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Montserrat Regular">
    <w:panose1 w:val="00000500000000000000"/>
    <w:charset w:val="00"/>
    <w:family w:val="roman"/>
    <w:pitch w:val="default"/>
  </w:font>
  <w:font w:name="Montserrat Bold">
    <w:panose1 w:val="00000800000000000000"/>
    <w:charset w:val="00"/>
    <w:family w:val="roman"/>
    <w:pitch w:val="default"/>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BodyA"/>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bidi w:val="false"/>
      <w:spacing w:line="276" w:lineRule="auto"/>
    </w:pPr>
    <w:r>
      <w:rPr>
        <w:rFonts w:ascii="Arial" w:hAnsi="Arial" w:eastAsia="Arial" w:cs="Arial"/>
        <w:i/>
        <w:iCs/>
        <w:color w:val="C4C4C4"/>
        <w:spacing w:val="0"/>
        <w:w w:val="100"/>
        <w:sz w:val="16"/>
        <w:szCs w:val="16"/>
        <w:u w:color="000000"/>
        <w:rtl w:val="false"/>
        <w:lang w:val="de-DE"/>
      </w:rPr>
      <w:t xml:space="preserve">Guida all'uso CONCD Versione 0,16                                                                                                                                        </w:t>
    </w:r>
    <w:r>
      <w:rPr>
        <w:rFonts w:ascii="Arial" w:hAnsi="Arial" w:eastAsia="Arial" w:cs="Arial"/>
        <w:i/>
        <w:iCs/>
        <w:noProof/>
        <w:color w:val="C4C4C4"/>
        <w:sz w:val="16"/>
        <w:szCs w:val="16"/>
        <w:u w:color="000000"/>
        <w:lang w:val="en-US"/>
      </w:rPr>
      <w:drawing>
        <wp:inline distT="0" distB="0" distL="0" distR="0">
          <wp:extent cx="609600" cy="127636"/>
          <wp:effectExtent l="0" t="0" r="0" b="0"/>
          <wp:docPr id="1073741825" name="officeArt object"/>
          <wp:cNvGraphicFramePr/>
          <a:graphic>
            <a:graphicData uri="http://schemas.openxmlformats.org/drawingml/2006/picture">
              <pic:pic>
                <pic:nvPicPr>
                  <pic:cNvPr id="1583784773" name="image32.png"/>
                  <pic:cNvPicPr>
                    <a:picLocks noChangeAspect="true"/>
                  </pic:cNvPicPr>
                </pic:nvPicPr>
                <pic:blipFill>
                  <a:blip r:embed="rId1"/>
                  <a:stretch>
                    <a:fillRect/>
                  </a:stretch>
                </pic:blipFill>
                <pic:spPr>
                  <a:xfrm>
                    <a:off x="0" y="0"/>
                    <a:ext cx="609600" cy="127636"/>
                  </a:xfrm>
                  <a:prstGeom prst="rect">
                    <a:avLst/>
                  </a:prstGeom>
                  <a:ln w="12700">
                    <a:noFill/>
                    <a:miter lim="400000"/>
                  </a:ln>
                  <a:effectLst/>
                </pic:spPr>
              </pic:pic>
            </a:graphicData>
          </a:graphic>
        </wp:inline>
      </w:drawing>
    </w: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ftr>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abstractNum w:abstractNumId="0">
    <w:nsid w:val="0F2521A9"/>
    <w:multiLevelType w:val="hybridMultilevel"/>
    <w:tmpl w:val="FB441192"/>
    <w:styleLink w:val="Bullets"/>
    <w:lvl w:ilvl="0">
      <w:start w:val="1"/>
      <w:numFmt w:val="bullet"/>
      <w:lvlText w:val="-"/>
      <w:lvlJc w:val="left"/>
      <w:pPr>
        <w:ind w:left="1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1">
      <w:start w:val="1"/>
      <w:numFmt w:val="bullet"/>
      <w:lvlText w:val="-"/>
      <w:lvlJc w:val="left"/>
      <w:pPr>
        <w:ind w:left="7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2">
      <w:start w:val="1"/>
      <w:numFmt w:val="bullet"/>
      <w:lvlText w:val="-"/>
      <w:lvlJc w:val="left"/>
      <w:pPr>
        <w:ind w:left="13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3">
      <w:start w:val="1"/>
      <w:numFmt w:val="bullet"/>
      <w:lvlText w:val="-"/>
      <w:lvlJc w:val="left"/>
      <w:pPr>
        <w:ind w:left="19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4">
      <w:start w:val="1"/>
      <w:numFmt w:val="bullet"/>
      <w:lvlText w:val="-"/>
      <w:lvlJc w:val="left"/>
      <w:pPr>
        <w:ind w:left="25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5">
      <w:start w:val="1"/>
      <w:numFmt w:val="bullet"/>
      <w:lvlText w:val="-"/>
      <w:lvlJc w:val="left"/>
      <w:pPr>
        <w:ind w:left="31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6">
      <w:start w:val="1"/>
      <w:numFmt w:val="bullet"/>
      <w:lvlText w:val="-"/>
      <w:lvlJc w:val="left"/>
      <w:pPr>
        <w:ind w:left="37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7">
      <w:start w:val="1"/>
      <w:numFmt w:val="bullet"/>
      <w:lvlText w:val="-"/>
      <w:lvlJc w:val="left"/>
      <w:pPr>
        <w:ind w:left="43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8">
      <w:start w:val="1"/>
      <w:numFmt w:val="bullet"/>
      <w:lvlText w:val="-"/>
      <w:lvlJc w:val="left"/>
      <w:pPr>
        <w:ind w:left="49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abstractNum>
  <w:abstractNum w:abstractNumId="1">
    <w:nsid w:val="15115B19"/>
    <w:multiLevelType w:val="hybridMultilevel"/>
    <w:tmpl w:val="FB441192"/>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A55"/>
    <w:rsid w:val="00817A55"/>
    <w:rsid w:val="008A15B4"/>
    <w:rsid w:val="00941851"/>
    <w:rsid w:val="00A33D66"/>
  </w:rsids>
  <m:mathPr>
    <m:mathFont m:val="Cambria Math"/>
  </m:mathPr>
  <w:themeFontLang w:val="es-CO"/>
  <w:clrSchemeMapping w:bg1="light1" w:t1="dark1" w:bg2="light2" w:t2="dark2" w:accent1="accent1" w:accent2="accent2" w:accent3="accent3" w:accent4="accent4" w:accent5="accent5" w:accent6="accent6" w:hyperlink="hyperlink" w:followedHyperlink="followedHyperlink"/>
  <w15:docId w15:val="{6A21C81A-D8B9-4B9B-B674-9D5CEFB8C042}"/>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docDefaults>
    <w:rPrDefault>
      <w:rPr>
        <w:rFonts w:ascii="Arial" w:hAnsi="Arial" w:eastAsia="Arial" w:cs="Arial"/>
        <w:bdr w:val="nil"/>
        <w:lang w:val="es-CO" w:eastAsia="es-CO" w:bidi="ar-SA"/>
      </w:rPr>
    </w:rPrDefault>
    <w:pPrDefault>
      <w:pPr>
        <w:pBdr>
          <w:top w:val="nil"/>
          <w:left w:val="nil"/>
          <w:bottom w:val="nil"/>
          <w:right w:val="nil"/>
          <w:between w:val="nil"/>
          <w:bar w:val="nil"/>
        </w:pBdr>
      </w:pPr>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Pr>
      <w:sz w:val="24"/>
      <w:szCs w:val="24"/>
      <w:lang w:val="en-US" w:eastAsia="en-US"/>
    </w:rPr>
  </w:style>
  <w:style w:type="paragraph" w:styleId="Heading1">
    <w:name w:val="heading 1"/>
    <w:basedOn w:val="Normal"/>
    <w:next w:val="Normal"/>
    <w:link w:val="Ttulo1Car"/>
    <w:uiPriority w:val="9"/>
    <w:qFormat/>
    <w:rsid w:val="00A33D66"/>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rPr>
      <w:u w:val="single"/>
    </w:rPr>
  </w:style>
  <w:style w:type="table" w:styleId="TableNormal0" w:customStyle="true">
    <w:name w:val="Table Normal_0"/>
    <w:tblPr>
      <w:tblInd w:w="0" w:type="dxa"/>
      <w:tblCellMar>
        <w:top w:w="0" w:type="dxa"/>
        <w:left w:w="0" w:type="dxa"/>
        <w:bottom w:w="0" w:type="dxa"/>
        <w:right w:w="0" w:type="dxa"/>
      </w:tblCellMar>
    </w:tblPr>
  </w:style>
  <w:style w:type="paragraph" w:styleId="HeaderFooter" w:customStyle="true">
    <w:name w:val="Header &amp; Footer"/>
    <w:pPr>
      <w:tabs>
        <w:tab w:val="right" w:pos="9020"/>
      </w:tabs>
    </w:pPr>
    <w:rPr>
      <w:rFonts w:ascii="Arial" w:hAnsi="Arial" w:cs="Arial"/>
      <w:color w:val="000000"/>
      <w:sz w:val="24"/>
      <w:szCs w:val="24"/>
    </w:rPr>
  </w:style>
  <w:style w:type="paragraph" w:styleId="BodyA" w:customStyle="true">
    <w:name w:val="Body A"/>
    <w:pPr>
      <w:keepNext/>
    </w:pPr>
    <w:rPr>
      <w:rFonts w:cs="Arial"/>
      <w:color w:val="00000A"/>
      <w:sz w:val="24"/>
      <w:szCs w:val="24"/>
      <w:u w:color="00000A"/>
      <w:lang w:val="es-ES_tradnl"/>
    </w:rPr>
  </w:style>
  <w:style w:type="numbering" w:styleId="Bullets" w:customStyle="true">
    <w:name w:val="Bullets"/>
    <w:pPr>
      <w:numPr>
        <w:numId w:val="1"/>
      </w:numPr>
    </w:pPr>
  </w:style>
  <w:style w:type="character" w:styleId="Ttulo1Car" w:customStyle="true">
    <w:name w:val="Título 1 Car"/>
    <w:basedOn w:val="DefaultParagraphFont"/>
    <w:link w:val="Heading1"/>
    <w:uiPriority w:val="9"/>
    <w:rsid w:val="00A33D66"/>
    <w:rPr>
      <w:rFonts w:asciiTheme="majorHAnsi" w:hAnsiTheme="majorHAnsi" w:eastAsiaTheme="majorEastAsia"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theme/theme1.xml" Type="http://schemas.openxmlformats.org/officeDocument/2006/relationships/theme" Id="rId10"/>
    <Relationship Target="numbering.xml" Type="http://schemas.openxmlformats.org/officeDocument/2006/relationships/numbering" Id="rId11"/>
    <Relationship Target="styles.xml" Type="http://schemas.openxmlformats.org/officeDocument/2006/relationships/styles" Id="rId12"/>
    <Relationship Target="webSettings.xml" Type="http://schemas.openxmlformats.org/officeDocument/2006/relationships/webSettings" Id="rId2"/>
    <Relationship Target="fontTable.xml" Type="http://schemas.openxmlformats.org/officeDocument/2006/relationships/fontTable" Id="rId3"/>
    <Relationship Target="media/image1.png" Type="http://schemas.openxmlformats.org/officeDocument/2006/relationships/image" Id="rId4"/>
    <Relationship Target="media/image2.png" Type="http://schemas.openxmlformats.org/officeDocument/2006/relationships/image" Id="rId5"/>
    <Relationship Target="header1.xml" Type="http://schemas.openxmlformats.org/officeDocument/2006/relationships/header" Id="rId6"/>
    <Relationship Target="footer1.xml" Type="http://schemas.openxmlformats.org/officeDocument/2006/relationships/footer" Id="rId7"/>
    <Relationship Target="header2.xml" Type="http://schemas.openxmlformats.org/officeDocument/2006/relationships/header" Id="rId8"/>
    <Relationship Target="footer2.xml" Type="http://schemas.openxmlformats.org/officeDocument/2006/relationships/footer" Id="rId9"/>
</Relationships>

</file>

<file path=word/_rels/footer1.xml.rels><?xml version="1.0" encoding="UTF-8" standalone="yes"?>
<Relationships xmlns="http://schemas.openxmlformats.org/package/2006/relationships">
    <Relationship Target="media/image3.png" Type="http://schemas.openxmlformats.org/officeDocument/2006/relationships/image" Id="rId1"/>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Felipe Urrego Mejia</cp:lastModifiedBy>
  <cp:revision>3</cp:revision>
  <dcterms:created xsi:type="dcterms:W3CDTF">2022-08-04T15:00:00Z</dcterms:created>
  <dcterms:modified xsi:type="dcterms:W3CDTF">2022-08-04T15:07:00Z</dcterms:modified>
</cp:coreProperties>
</file>