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app.xml" Type="http://schemas.openxmlformats.org/officeDocument/2006/relationships/extended-properties" Id="rId2"/>
    <Relationship Target="docProps/core.xml" Type="http://schemas.openxmlformats.org/package/2006/relationships/metadata/core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background w:color="ffffff">
    <v:background id="_x0000_s1025" filled="t"/>
  </w:background>
  <w:body>
    <!-- Modified by docx4j 11.4.7 (Apache licensed) using REFERENCE JAXB in Red Hat, Inc. Java 11.0.15 on Linux --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  <w:bookmarkStart w:name="_GoBack" w:id="0"/>
      <w:bookmarkEnd w:id="0"/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Qui vediamo un esempio di una di queste pagine personalizzate, con qualche testo e immagini personalizzate: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noProof/>
          <w:sz w:val="22"/>
          <w:szCs w:val="22"/>
        </w:rPr>
        <w:drawing>
          <wp:anchor distT="0" distB="0" distL="0" distR="0" simplePos="false" relativeHeight="251660288" behindDoc="false" locked="false" layoutInCell="true" allowOverlap="true">
            <wp:simplePos x="0" y="0"/>
            <wp:positionH relativeFrom="column">
              <wp:posOffset>6349</wp:posOffset>
            </wp:positionH>
            <wp:positionV relativeFrom="line">
              <wp:posOffset>6985</wp:posOffset>
            </wp:positionV>
            <wp:extent cx="6120130" cy="4080510"/>
            <wp:effectExtent l="0" t="0" r="0" b="0"/>
            <wp:wrapSquare wrapText="largest"/>
            <wp:docPr id="1073741856" name="officeArt object"/>
            <wp:cNvGraphicFramePr/>
            <a:graphic>
              <a:graphicData uri="http://schemas.openxmlformats.org/drawingml/2006/picture">
                <pic:pic>
                  <pic:nvPicPr>
                    <pic:cNvPr id="1650341687" name="image2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051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u w:color="31ADD9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b/>
          <w:bCs/>
          <w:color w:val="31ADD9"/>
          <w:lang w:val="en-US"/>
        </w:rPr>
      </w:pPr>
      <w:r>
        <w:rPr>
          <w:rFonts w:ascii="Arial" w:hAnsi="Arial" w:eastAsia="Arial" w:cs="Arial"/>
          <w:color w:val="31ADD9"/>
          <w:spacing w:val="0"/>
          <w:w w:val="100"/>
          <w:sz w:val="22"/>
          <w:szCs w:val="22"/>
          <w:rtl w:val="false"/>
          <w:lang w:val="en-US"/>
        </w:rPr>
        <w:t xml:space="preserve">9. Newsletter e notifiche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CONONA dispone di un sistema di comunicazione interno che consente agli amministratori di inviare e-mail e notifiche agli utenti.  Questo sistema è essenziale quando invita gli utenti a partecipare a nuovi processi o a comunicare le ultime novità.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L'invio può essere segmentato dagli utenti.  Ad esempio, potremmo inviare una mail a tutti gli utenti, o solo agli utenti le cui proposte hanno vinto nel processo di budgeting partecipativo.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noProof/>
          <w:sz w:val="22"/>
          <w:szCs w:val="22"/>
        </w:rP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column">
              <wp:posOffset>-22225</wp:posOffset>
            </wp:positionH>
            <wp:positionV relativeFrom="line">
              <wp:posOffset>156210</wp:posOffset>
            </wp:positionV>
            <wp:extent cx="6120130" cy="3287396"/>
            <wp:effectExtent l="0" t="0" r="0" b="0"/>
            <wp:wrapSquare wrapText="largest"/>
            <wp:docPr id="1073741857" name="officeArt object"/>
            <wp:cNvGraphicFramePr/>
            <a:graphic>
              <a:graphicData uri="http://schemas.openxmlformats.org/drawingml/2006/picture">
                <pic:pic>
                  <pic:nvPicPr>
                    <pic:cNvPr id="1480663139" name="image29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6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Le stesse possibilità esistono per l'invio di notifiche interne attraverso la piattaforma.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noProof/>
          <w:sz w:val="22"/>
          <w:szCs w:val="22"/>
        </w:rPr>
        <w:drawing>
          <wp:anchor distT="0" distB="0" distL="0" distR="0" simplePos="false" relativeHeight="251659264" behindDoc="false" locked="false" layoutInCell="true" allowOverlap="true">
            <wp:simplePos x="0" y="0"/>
            <wp:positionH relativeFrom="column">
              <wp:posOffset>6349</wp:posOffset>
            </wp:positionH>
            <wp:positionV relativeFrom="line">
              <wp:posOffset>6985</wp:posOffset>
            </wp:positionV>
            <wp:extent cx="6120130" cy="744856"/>
            <wp:effectExtent l="0" t="0" r="0" b="0"/>
            <wp:wrapSquare wrapText="largest"/>
            <wp:docPr id="1073741858" name="officeArt object"/>
            <wp:cNvGraphicFramePr/>
            <a:graphic>
              <a:graphicData uri="http://schemas.openxmlformats.org/drawingml/2006/picture">
                <pic:pic>
                  <pic:nvPicPr>
                    <pic:cNvPr id="1909379709" name="image3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4856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31ADD9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b/>
          <w:bCs/>
          <w:color w:val="31ADD9"/>
          <w:lang w:val="en-US"/>
        </w:rPr>
      </w:pPr>
      <w:r>
        <w:rPr>
          <w:rFonts w:ascii="Arial" w:hAnsi="Arial" w:eastAsia="Arial" w:cs="Arial"/>
          <w:color w:val="31ADD9"/>
          <w:spacing w:val="0"/>
          <w:w w:val="100"/>
          <w:sz w:val="22"/>
          <w:szCs w:val="22"/>
          <w:rtl w:val="false"/>
          <w:lang w:val="en-US"/>
        </w:rPr>
        <w:t xml:space="preserve">10. Amministrazione, Moderazione, Valutazione, Voting e Interfacce di gestione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CONONA dispone di un sistema di ruoli utente, che consente di assegnare diverse autorizzazioni e funzioni a ciascun utente.  I ruoli principali della piattaforma sono l'amministratore, il moderatore, il valutatore, il manager e gli agenti di sondaggio.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Ognuno di questi ruoli consente l'accesso a un'interfaccia speciale, dove hanno funzioni speciali: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- Interfaccia di amministrazione.  Gli amministratori sono gli utenti di livello più alto.  Sono responsabili della gestione di tutti i processi di partecipazione, nonché della configurazione della piattaforma.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- Interfaccia di moderazione.  Questa interfaccia elenca tutti i contenuti della piattaforma indicati come 'inappropriati' dagli utenti.  I moderatori hanno l'opzione di nascondere o confermare i contenuti e bloccare gli utenti.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sz w:val="22"/>
          <w:szCs w:val="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spacing w:val="0"/>
          <w:w w:val="100"/>
          <w:sz w:val="22"/>
          <w:szCs w:val="22"/>
          <w:rtl w:val="false"/>
          <w:lang w:val="en-US"/>
        </w:rPr>
        <w:t xml:space="preserve">- Interfaccia di Valutazione.  I valutatori possono accedere a questa interfaccia per valutare i progetti di budget partecipativi.  Gli amministratori possono assegnare progetti a diversi valutatori o gruppi di valutatori.  Ogni valutatore può vedere solo i progetti assegnati a lui in questa interfaccia e completare il report di valutazione per ogni progetto.  La valutazione può quindi essere effettuata in modo decentrato, semplificando il lavoro per ogni valutatore.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222222"/>
          <w:sz w:val="22"/>
          <w:szCs w:val="22"/>
          <w:u w:color="222222"/>
          <w:lang w:val="en-US"/>
        </w:rPr>
      </w:pP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lang w:val="en-US"/>
        </w:rPr>
      </w:pPr>
      <w:r>
        <w:rPr>
          <w:rFonts w:ascii="Arial" w:hAnsi="Arial" w:eastAsia="Arial" w:cs="Arial"/>
          <w:color w:val="222222"/>
          <w:spacing w:val="0"/>
          <w:w w:val="100"/>
          <w:sz w:val="22"/>
          <w:szCs w:val="22"/>
          <w:u w:color="222222"/>
          <w:rtl w:val="false"/>
          <w:lang w:val="en-US"/>
        </w:rPr>
        <w:t xml:space="preserve">- Interfaccia di gestione.  I manager possono creare e verificare gli account utente ed eseguire attività per gli utenti per creare o supportare proposte, ecc.  La destinazione più comune di questa funzionalità sono i lavoratori pubblici degli uffici di attenzione alla cittadinanza dell'ente, per aiutare i cittadini a interagire con il processo di partecipazione. </w:t>
      </w:r>
    </w:p>
    <w:p w:rsidR="00817A55">
      <w:pPr>
        <w:pStyle w:val="BodyA"/>
        <w:shd w:val="clear" w:color="auto" w:fill="FFFFFF"/>
        <w:bidi w:val="false"/>
        <w:spacing w:line="264" w:lineRule="auto"/>
        <w:jc w:val="both"/>
        <w:rPr>
          <w:rFonts w:ascii="Arial" w:hAnsi="Arial" w:eastAsia="Arial" w:cs="Arial"/>
          <w:color w:val="222222"/>
          <w:sz w:val="22"/>
          <w:szCs w:val="22"/>
          <w:u w:color="222222"/>
          <w:lang w:val="en-US"/>
        </w:rPr>
      </w:pPr>
    </w:p>
    <w:p w:rsidR="00817A55" w:rsidP="00576FE1">
      <w:pPr>
        <w:pStyle w:val="BodyA"/>
        <w:shd w:val="clear" w:color="auto" w:fill="FFFFFF"/>
        <w:bidi w:val="false"/>
        <w:spacing w:line="264" w:lineRule="auto"/>
        <w:jc w:val="both"/>
      </w:pPr>
      <w:r>
        <w:rPr>
          <w:rFonts w:ascii="Arial" w:hAnsi="Arial" w:eastAsia="Arial" w:cs="Arial"/>
          <w:color w:val="222222"/>
          <w:spacing w:val="0"/>
          <w:w w:val="100"/>
          <w:sz w:val="22"/>
          <w:szCs w:val="22"/>
          <w:u w:color="222222"/>
          <w:rtl w:val="false"/>
          <w:lang w:val="en-US"/>
        </w:rPr>
        <w:t>- Interfaccia degli agenti di sondaggio.  Gli agenti di sondaggio possono accedere a questa interfaccia durante un voto generale o durante il voto finale sui bilanci partecipativi.  Questa interfaccia viene utilizzata dai responsabili delle cabine di voto faccia a faccia, per verificare che chi volesse votare possa farlo, e nel caso lo faccia per confermare il voto in modo da non poter votare una seconda volta a</w:t>
      </w:r>
    </w:p>
    <w:sectPr>
      <w:headerReference w:type="default" r:id="rId7"/>
      <w:footerReference w:type="default" r:id="rId8"/>
      <w:headerReference w:type="first" r:id="rId9"/>
      <w:footerReference w:type="first" r:id="rId10"/>
      <w:pgSz w:w="11900" w:h="16840"/>
      <w:pgMar w:top="1134" w:right="1134" w:bottom="1134" w:left="1134" w:header="0" w:footer="720" w:gutter="0"/>
      <w:cols w:space="720"/>
      <w:titlePg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Montserrat Regular">
    <w:panose1 w:val="00000500000000000000"/>
    <w:charset w:val="00"/>
    <w:family w:val="roman"/>
    <w:pitch w:val="default"/>
  </w:font>
  <w:font w:name="Montserrat Bold">
    <w:panose1 w:val="00000800000000000000"/>
    <w:charset w:val="00"/>
    <w:family w:val="roman"/>
    <w:pitch w:val="default"/>
  </w:font>
</w:fonts>
</file>

<file path=word/footer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BodyA"/>
      <w:shd w:val="clear" w:color="auto" w:fill="FFFFFF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132"/>
      </w:tabs>
      <w:bidi w:val="false"/>
      <w:spacing w:line="276" w:lineRule="auto"/>
    </w:pPr>
    <w:r>
      <w:rPr>
        <w:rFonts w:ascii="Arial" w:hAnsi="Arial" w:eastAsia="Arial" w:cs="Arial"/>
        <w:i/>
        <w:iCs/>
        <w:color w:val="C4C4C4"/>
        <w:spacing w:val="0"/>
        <w:w w:val="100"/>
        <w:sz w:val="16"/>
        <w:szCs w:val="16"/>
        <w:u w:color="000000"/>
        <w:rtl w:val="false"/>
        <w:lang w:val="de-DE"/>
      </w:rPr>
      <w:t xml:space="preserve">Guida all'uso CONCD Versione 0,16                                                                                                                                        </w:t>
    </w:r>
    <w:r>
      <w:rPr>
        <w:rFonts w:ascii="Arial" w:hAnsi="Arial" w:eastAsia="Arial" w:cs="Arial"/>
        <w:i/>
        <w:iCs/>
        <w:noProof/>
        <w:color w:val="C4C4C4"/>
        <w:sz w:val="16"/>
        <w:szCs w:val="16"/>
        <w:u w:color="000000"/>
        <w:lang w:val="en-US"/>
      </w:rPr>
      <w:drawing>
        <wp:inline distT="0" distB="0" distL="0" distR="0">
          <wp:extent cx="609600" cy="127636"/>
          <wp:effectExtent l="0" t="0" r="0" b="0"/>
          <wp:docPr id="1073741825" name="officeArt object"/>
          <wp:cNvGraphicFramePr/>
          <a:graphic>
            <a:graphicData uri="http://schemas.openxmlformats.org/drawingml/2006/picture">
              <pic:pic>
                <pic:nvPicPr>
                  <pic:cNvPr id="656969800" name="image32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127636"/>
                  </a:xfrm>
                  <a:prstGeom prst="rect">
                    <a:avLst/>
                  </a:prstGeom>
                  <a:ln w="12700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er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ftr>
</file>

<file path=word/header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hdr>
</file>

<file path=word/header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p w:rsidR="00817A55">
    <w:pPr>
      <w:pStyle w:val="HeaderFooter"/>
      <w:bidi w:val="false"/>
    </w:pPr>
  </w:p>
</w:hdr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p14">
  <w:abstractNum w:abstractNumId="0">
    <w:nsid w:val="0F2521A9"/>
    <w:multiLevelType w:val="hybridMultilevel"/>
    <w:tmpl w:val="FB441192"/>
    <w:styleLink w:val="Bullets"/>
    <w:lvl w:ilvl="0">
      <w:start w:val="1"/>
      <w:numFmt w:val="bullet"/>
      <w:lvlText w:val="-"/>
      <w:lvlJc w:val="left"/>
      <w:pPr>
        <w:ind w:left="1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-"/>
      <w:lvlJc w:val="left"/>
      <w:pPr>
        <w:ind w:left="7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lvlText w:val="-"/>
      <w:lvlJc w:val="left"/>
      <w:pPr>
        <w:ind w:left="13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lvlText w:val="-"/>
      <w:lvlJc w:val="left"/>
      <w:pPr>
        <w:ind w:left="19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lvlText w:val="-"/>
      <w:lvlJc w:val="left"/>
      <w:pPr>
        <w:ind w:left="25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lvlText w:val="-"/>
      <w:lvlJc w:val="left"/>
      <w:pPr>
        <w:ind w:left="31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lvlText w:val="-"/>
      <w:lvlJc w:val="left"/>
      <w:pPr>
        <w:ind w:left="37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lvlText w:val="-"/>
      <w:lvlJc w:val="left"/>
      <w:pPr>
        <w:ind w:left="43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lvlText w:val="-"/>
      <w:lvlJc w:val="left"/>
      <w:pPr>
        <w:ind w:left="4989" w:hanging="189"/>
      </w:pPr>
      <w:rPr>
        <w:rFonts w:hAnsi="Arial"/>
        <w:caps w:val="false"/>
        <w:smallCaps w:val="false"/>
        <w:strike w:val="false"/>
        <w:dstrike w:val="false"/>
        <w:outline w:val="false"/>
        <w:emboss w:val="false"/>
        <w:imprint w:val="false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5115B19"/>
    <w:multiLevelType w:val="hybridMultilevel"/>
    <w:tmpl w:val="FB441192"/>
    <w:numStyleLink w:val="Bullets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A55"/>
    <w:rsid w:val="00576FE1"/>
    <w:rsid w:val="00817A55"/>
    <w:rsid w:val="008A15B4"/>
    <w:rsid w:val="00A33D66"/>
  </w:rsids>
  <m:mathPr>
    <m:mathFont m:val="Cambria Math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6A21C81A-D8B9-4B9B-B674-9D5CEFB8C042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docDefaults>
    <w:rPrDefault>
      <w:rPr>
        <w:rFonts w:ascii="Arial" w:hAnsi="Arial" w:eastAsia="Arial" w:cs="Arial"/>
        <w:bdr w:val="nil"/>
        <w:lang w:val="es-CO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false" w:defUIPriority="99" w:defSemiHidden="false" w:defUnhideWhenUsed="false" w:defQFormat="false" w:count="375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3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true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Ttulo1Car"/>
    <w:uiPriority w:val="9"/>
    <w:qFormat/>
    <w:rsid w:val="00A33D66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styleId="TableNormal0" w:customStyle="true">
    <w:name w:val="Table Normal_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Footer" w:customStyle="true">
    <w:name w:val="Header &amp; Footer"/>
    <w:pPr>
      <w:tabs>
        <w:tab w:val="right" w:pos="9020"/>
      </w:tabs>
    </w:pPr>
    <w:rPr>
      <w:rFonts w:ascii="Arial" w:hAnsi="Arial" w:cs="Arial"/>
      <w:color w:val="000000"/>
      <w:sz w:val="24"/>
      <w:szCs w:val="24"/>
    </w:rPr>
  </w:style>
  <w:style w:type="paragraph" w:styleId="BodyA" w:customStyle="true">
    <w:name w:val="Body A"/>
    <w:pPr>
      <w:keepNext/>
    </w:pPr>
    <w:rPr>
      <w:rFonts w:cs="Arial"/>
      <w:color w:val="00000A"/>
      <w:sz w:val="24"/>
      <w:szCs w:val="24"/>
      <w:u w:color="00000A"/>
      <w:lang w:val="es-ES_tradnl"/>
    </w:rPr>
  </w:style>
  <w:style w:type="numbering" w:styleId="Bullets" w:customStyle="true">
    <w:name w:val="Bullets"/>
    <w:pPr>
      <w:numPr>
        <w:numId w:val="1"/>
      </w:numPr>
    </w:pPr>
  </w:style>
  <w:style w:type="character" w:styleId="Ttulo1Car" w:customStyle="true">
    <w:name w:val="Título 1 Car"/>
    <w:basedOn w:val="DefaultParagraphFont"/>
    <w:link w:val="Heading1"/>
    <w:uiPriority w:val="9"/>
    <w:rsid w:val="00A33D66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
<Relationships xmlns="http://schemas.openxmlformats.org/package/2006/relationships">
    <Relationship Target="settings.xml" Type="http://schemas.openxmlformats.org/officeDocument/2006/relationships/settings" Id="rId1"/>
    <Relationship Target="footer2.xml" Type="http://schemas.openxmlformats.org/officeDocument/2006/relationships/footer" Id="rId10"/>
    <Relationship Target="theme/theme1.xml" Type="http://schemas.openxmlformats.org/officeDocument/2006/relationships/theme" Id="rId11"/>
    <Relationship Target="numbering.xml" Type="http://schemas.openxmlformats.org/officeDocument/2006/relationships/numbering" Id="rId12"/>
    <Relationship Target="styles.xml" Type="http://schemas.openxmlformats.org/officeDocument/2006/relationships/styles" Id="rId13"/>
    <Relationship Target="webSettings.xml" Type="http://schemas.openxmlformats.org/officeDocument/2006/relationships/webSettings" Id="rId2"/>
    <Relationship Target="fontTable.xml" Type="http://schemas.openxmlformats.org/officeDocument/2006/relationships/fontTable" Id="rId3"/>
    <Relationship Target="media/image1.png" Type="http://schemas.openxmlformats.org/officeDocument/2006/relationships/image" Id="rId4"/>
    <Relationship Target="media/image2.jpeg" Type="http://schemas.openxmlformats.org/officeDocument/2006/relationships/image" Id="rId5"/>
    <Relationship Target="media/image3.png" Type="http://schemas.openxmlformats.org/officeDocument/2006/relationships/image" Id="rId6"/>
    <Relationship Target="header1.xml" Type="http://schemas.openxmlformats.org/officeDocument/2006/relationships/header" Id="rId7"/>
    <Relationship Target="footer1.xml" Type="http://schemas.openxmlformats.org/officeDocument/2006/relationships/footer" Id="rId8"/>
    <Relationship Target="header2.xml" Type="http://schemas.openxmlformats.org/officeDocument/2006/relationships/header" Id="rId9"/>
</Relationships>

</file>

<file path=word/_rels/footer1.xml.rels><?xml version="1.0" encoding="UTF-8" standalone="yes"?>
<Relationships xmlns="http://schemas.openxmlformats.org/package/2006/relationships">
    <Relationship Target="media/image4.png" Type="http://schemas.openxmlformats.org/officeDocument/2006/relationships/image" Id="rId1"/>
</Relationships>
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Felipe Urrego Mejia</cp:lastModifiedBy>
  <cp:revision>3</cp:revision>
  <dcterms:created xsi:type="dcterms:W3CDTF">2022-08-04T15:00:00Z</dcterms:created>
  <dcterms:modified xsi:type="dcterms:W3CDTF">2022-08-04T15:07:00Z</dcterms:modified>
</cp:coreProperties>
</file>