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6.png" ContentType="image/png"/>
  <Override PartName="/word/media/rId37.png" ContentType="image/png"/>
  <Override PartName="/word/media/rId41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Benchmark</w:t>
      </w:r>
      <w:r>
        <w:t xml:space="preserve"> </w:t>
      </w:r>
      <w:r>
        <w:t xml:space="preserve">reproduzível</w:t>
      </w:r>
      <w:r>
        <w:t xml:space="preserve"> </w:t>
      </w:r>
      <w:r>
        <w:t xml:space="preserve">de</w:t>
      </w:r>
      <w:r>
        <w:t xml:space="preserve"> </w:t>
      </w:r>
      <w:r>
        <w:t xml:space="preserve">métodos</w:t>
      </w:r>
      <w:r>
        <w:t xml:space="preserve"> </w:t>
      </w:r>
      <w:r>
        <w:t xml:space="preserve">clássicos</w:t>
      </w:r>
      <w:r>
        <w:t xml:space="preserve"> </w:t>
      </w:r>
      <w:r>
        <w:t xml:space="preserve">de</w:t>
      </w:r>
      <w:r>
        <w:t xml:space="preserve"> </w:t>
      </w:r>
      <w:r>
        <w:t xml:space="preserve">aprendizado</w:t>
      </w:r>
      <w:r>
        <w:t xml:space="preserve"> </w:t>
      </w:r>
      <w:r>
        <w:t xml:space="preserve">de</w:t>
      </w:r>
      <w:r>
        <w:t xml:space="preserve"> </w:t>
      </w:r>
      <w:r>
        <w:t xml:space="preserve">máquina</w:t>
      </w:r>
      <w:r>
        <w:t xml:space="preserve"> </w:t>
      </w:r>
      <w:r>
        <w:t xml:space="preserve">para</w:t>
      </w:r>
      <w:r>
        <w:t xml:space="preserve"> </w:t>
      </w:r>
      <w:r>
        <w:t xml:space="preserve">diagnóstico</w:t>
      </w:r>
      <w:r>
        <w:t xml:space="preserve"> </w:t>
      </w:r>
      <w:r>
        <w:t xml:space="preserve">de</w:t>
      </w:r>
      <w:r>
        <w:t xml:space="preserve"> </w:t>
      </w:r>
      <w:r>
        <w:t xml:space="preserve">falhas</w:t>
      </w:r>
      <w:r>
        <w:t xml:space="preserve"> </w:t>
      </w:r>
      <w:r>
        <w:t xml:space="preserve">no</w:t>
      </w:r>
      <w:r>
        <w:t xml:space="preserve"> </w:t>
      </w:r>
      <w:r>
        <w:t xml:space="preserve">Tennessee</w:t>
      </w:r>
      <w:r>
        <w:t xml:space="preserve"> </w:t>
      </w:r>
      <w:r>
        <w:t xml:space="preserve">Eastman</w:t>
      </w:r>
      <w:r>
        <w:t xml:space="preserve"> </w:t>
      </w:r>
      <w:r>
        <w:t xml:space="preserve">Process</w:t>
      </w:r>
    </w:p>
    <w:p>
      <w:pPr>
        <w:pStyle w:val="Author"/>
      </w:pPr>
      <w:r>
        <w:t xml:space="preserve">Grupo</w:t>
      </w:r>
      <w:r>
        <w:t xml:space="preserve"> </w:t>
      </w:r>
      <w:r>
        <w:t xml:space="preserve">A</w:t>
      </w:r>
      <w:r>
        <w:t xml:space="preserve"> </w:t>
      </w:r>
      <w:r>
        <w:t xml:space="preserve">—</w:t>
      </w:r>
      <w:r>
        <w:t xml:space="preserve"> </w:t>
      </w:r>
      <w:r>
        <w:t xml:space="preserve">WP1A</w:t>
      </w:r>
      <w:r>
        <w:t xml:space="preserve"> </w:t>
      </w:r>
      <w:r>
        <w:t xml:space="preserve">/</w:t>
      </w:r>
      <w:r>
        <w:t xml:space="preserve"> </w:t>
      </w:r>
      <w:r>
        <w:t xml:space="preserve">MEI0028</w:t>
      </w:r>
      <w:r>
        <w:t xml:space="preserve"> </w:t>
      </w:r>
      <w:r>
        <w:t xml:space="preserve">—</w:t>
      </w:r>
      <w:r>
        <w:t xml:space="preserve"> </w:t>
      </w:r>
      <w:r>
        <w:t xml:space="preserve">Modelagem</w:t>
      </w:r>
      <w:r>
        <w:t xml:space="preserve"> </w:t>
      </w:r>
      <w:r>
        <w:t xml:space="preserve">e</w:t>
      </w:r>
      <w:r>
        <w:t xml:space="preserve"> </w:t>
      </w:r>
      <w:r>
        <w:t xml:space="preserve">Simulação</w:t>
      </w:r>
      <w:r>
        <w:t xml:space="preserve"> </w:t>
      </w:r>
      <w:r>
        <w:t xml:space="preserve">(PUC</w:t>
      </w:r>
      <w:r>
        <w:t xml:space="preserve"> </w:t>
      </w:r>
      <w:r>
        <w:t xml:space="preserve">Goiás)</w:t>
      </w:r>
    </w:p>
    <w:p>
      <w:pPr>
        <w:pStyle w:val="Date"/>
      </w:pPr>
      <w:r>
        <w:t xml:space="preserve">2026-09-15</w:t>
      </w:r>
    </w:p>
    <w:p>
      <w:pPr>
        <w:pStyle w:val="FirstParagraph"/>
      </w:pPr>
      <w:r>
        <w:rPr>
          <w:bCs/>
          <w:b/>
        </w:rPr>
        <w:t xml:space="preserve">Experimento oficial:</w:t>
      </w:r>
      <w:r>
        <w:t xml:space="preserve"> </w:t>
      </w:r>
      <w:r>
        <w:rPr>
          <w:rStyle w:val="VerbatimChar"/>
        </w:rPr>
        <w:t xml:space="preserve">exp-a4-v2</w:t>
      </w:r>
      <w:r>
        <w:br/>
      </w:r>
      <w:r>
        <w:rPr>
          <w:bCs/>
          <w:b/>
        </w:rPr>
        <w:t xml:space="preserve">Dataset:</w:t>
      </w:r>
      <w:r>
        <w:t xml:space="preserve"> </w:t>
      </w:r>
      <w:r>
        <w:rPr>
          <w:rStyle w:val="VerbatimChar"/>
        </w:rPr>
        <w:t xml:space="preserve">tep-canonical-v1</w:t>
      </w:r>
      <w:r>
        <w:br/>
      </w:r>
      <w:r>
        <w:rPr>
          <w:bCs/>
          <w:b/>
        </w:rPr>
        <w:t xml:space="preserve">Status científico:</w:t>
      </w:r>
      <w:r>
        <w:t xml:space="preserve"> </w:t>
      </w:r>
      <w:r>
        <w:t xml:space="preserve">APPROVE WITH ACCEPTED RISKS (AR-1–AR-5)</w:t>
      </w:r>
      <w:r>
        <w:br/>
      </w:r>
      <w:r>
        <w:rPr>
          <w:bCs/>
          <w:b/>
        </w:rPr>
        <w:t xml:space="preserve">Rastreabilidade:</w:t>
      </w:r>
      <w:r>
        <w:t xml:space="preserve"> </w:t>
      </w:r>
      <w:r>
        <w:t xml:space="preserve">números citados provêm de</w:t>
      </w:r>
      <w:r>
        <w:t xml:space="preserve"> </w:t>
      </w:r>
      <w:r>
        <w:rPr>
          <w:rStyle w:val="VerbatimChar"/>
        </w:rPr>
        <w:t xml:space="preserve">results/tables/A5_exp-a4-v2__*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results/tables/A8_exp-a4-v2__*</w:t>
      </w:r>
      <w:r>
        <w:t xml:space="preserve"> </w:t>
      </w:r>
      <w:r>
        <w:t xml:space="preserve">(DOC-R03).</w:t>
      </w:r>
    </w:p>
    <w:p>
      <w:r>
        <w:pict>
          <v:rect style="width:0;height:1.5pt" o:hralign="center" o:hrstd="t" o:hr="t"/>
        </w:pict>
      </w:r>
    </w:p>
    <w:bookmarkStart w:id="20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Este artigo apresenta um benchmark reproduzível de seis famílias clássicas de aprendizado de máquina — regressão logística, árvore de decisão, random forest, gradient boosting, SVM e XGBoost — para diagnóstico multiclasse de falhas no Tennessee Eastman Process (TEP). O protocolo fixa a execução do processo (</w:t>
      </w:r>
      <w:r>
        <w:rPr>
          <w:rStyle w:val="VerbatimChar"/>
        </w:rPr>
        <w:t xml:space="preserve">run</w:t>
      </w:r>
      <w:r>
        <w:t xml:space="preserve">) como unidade de divisão e de análise, exige o mesmo manifesto e o mesmo pré-processamento para todos os modelos, isola o conjunto de teste até o congelamento das configurações e avalia desempenho e custo de forma multicritério. No experimento</w:t>
      </w:r>
      <w:r>
        <w:t xml:space="preserve"> </w:t>
      </w:r>
      <w:r>
        <w:rPr>
          <w:rStyle w:val="VerbatimChar"/>
        </w:rPr>
        <w:t xml:space="preserve">exp-a4-v2</w:t>
      </w:r>
      <w:r>
        <w:t xml:space="preserve">, random forest, XGBoost e gradient boosting lideram as métricas globais no teste; regressão logística e SVM linear formam o grupo inferior. O líder em acurácia (XGBoost, 0,618) não coincide com o líder em F1 macro e MCC (random forest, 0,357 e 0,597). Entre classes presentes no holdout, as falhas 3, 15 e 10 são as de menor F1 médio; as confusões 10→15 e 3→15 são as mais frequentes. Pelos critérios binários da SPEC-000 §4, H1–H4 são</w:t>
      </w:r>
      <w:r>
        <w:t xml:space="preserve"> </w:t>
      </w:r>
      <w:r>
        <w:rPr>
          <w:iCs/>
          <w:i/>
        </w:rPr>
        <w:t xml:space="preserve">corroboradas</w:t>
      </w:r>
      <w:r>
        <w:t xml:space="preserve"> </w:t>
      </w:r>
      <w:r>
        <w:t xml:space="preserve">no holdout. Em nível de execução (SPEC-008; acurácia por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n=11), o teste de Friedman rejeita igualdade global (p=0,015); Wilcoxon+Holm na família H1 corrobora ensembles &gt; LR, enquanto a família H2 não corrobora RF/XGB &gt; DT. Riscos estruturais aceitos (AR-1–AR-5) incluem cobertura disjunta de classes entre validação e teste, scorer de acurácia na seleção, grids desiguais, macro com C=21 e poder limitado.</w:t>
      </w:r>
    </w:p>
    <w:p>
      <w:pPr>
        <w:pStyle w:val="BodyText"/>
      </w:pPr>
      <w:r>
        <w:rPr>
          <w:bCs/>
          <w:b/>
        </w:rPr>
        <w:t xml:space="preserve">Palavras-chave:</w:t>
      </w:r>
      <w:r>
        <w:t xml:space="preserve"> </w:t>
      </w:r>
      <w:r>
        <w:t xml:space="preserve">Tennessee Eastman Process; diagnóstico de falhas; aprendizado de máquina clássico; reprodutibilidade; vazamento de dados; avaliação multicritério.</w:t>
      </w:r>
    </w:p>
    <w:p>
      <w:r>
        <w:pict>
          <v:rect style="width:0;height:1.5pt" o:hralign="center" o:hrstd="t" o:hr="t"/>
        </w:pict>
      </w:r>
    </w:p>
    <w:bookmarkEnd w:id="20"/>
    <w:bookmarkStart w:id="21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O diagnóstico automático de falhas em processos químicos industriais exige mapear variáveis de processo a condições operacionais (normal versus modos de falha) com protocolo experimental transparente. Comparações entre classificadores frequentemente misturam partições inconsistentes, permitem vazamento temporal entre treino e teste e concluem</w:t>
      </w:r>
      <w:r>
        <w:t xml:space="preserve"> </w:t>
      </w:r>
      <w:r>
        <w:t xml:space="preserve">“</w:t>
      </w:r>
      <w:r>
        <w:t xml:space="preserve">melhor modelo</w:t>
      </w:r>
      <w:r>
        <w:t xml:space="preserve">”</w:t>
      </w:r>
      <w:r>
        <w:t xml:space="preserve"> </w:t>
      </w:r>
      <w:r>
        <w:t xml:space="preserve">apenas por acurácia simples — métrica frágil sob desbalanceamento entre classes.</w:t>
      </w:r>
    </w:p>
    <w:p>
      <w:pPr>
        <w:pStyle w:val="BodyText"/>
      </w:pPr>
      <w:r>
        <w:t xml:space="preserve">O Tennessee Eastman Process (TEP) [1] é um ambiente simulado de referência com 52 variáveis de processo e 21 classes (condição normal e 20 falhas). Este trabalho desenvolve um</w:t>
      </w:r>
      <w:r>
        <w:t xml:space="preserve"> </w:t>
      </w:r>
      <w:r>
        <w:rPr>
          <w:bCs/>
          <w:b/>
        </w:rPr>
        <w:t xml:space="preserve">benchmark reproduzível</w:t>
      </w:r>
      <w:r>
        <w:t xml:space="preserve"> </w:t>
      </w:r>
      <w:r>
        <w:t xml:space="preserve">de seis famílias clássicas de aprendizado de máquina sob um único protocolo, respondendo a cinco questões de pesquisa (QP1–QP5) e avaliando quatro hipóteses (H1–H4).</w:t>
      </w:r>
    </w:p>
    <w:p>
      <w:pPr>
        <w:pStyle w:val="BodyText"/>
      </w:pPr>
      <w:r>
        <w:rPr>
          <w:bCs/>
          <w:b/>
        </w:rPr>
        <w:t xml:space="preserve">Contribuições.</w:t>
      </w:r>
      <w:r>
        <w:t xml:space="preserve"> </w:t>
      </w:r>
      <w:r>
        <w:t xml:space="preserve">(i) protocolo anti-vazamento com divisão agrupada por execução; (ii) avaliação conjunta de desempenho e custo computacional (proibição de ranking por métrica única); (iii) artefatos versionados (manifesto, predições, métricas, figuras) que permitem recomputar qualquer número reportado; (iv) respostas explícitas a QP1–QP5 e vereditos individuais de H1–H4, com evidência §4 no holdout e testes SPEC-008 em nível de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Questões de pesquisa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QP1.</w:t>
      </w:r>
      <w:r>
        <w:t xml:space="preserve"> </w:t>
      </w:r>
      <w:r>
        <w:t xml:space="preserve">Quais algoritmos clássicos apresentam o melhor desempenho global?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QP2.</w:t>
      </w:r>
      <w:r>
        <w:t xml:space="preserve"> </w:t>
      </w:r>
      <w:r>
        <w:t xml:space="preserve">O desempenho é consistente sob equilíbrio entre classes?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QP3.</w:t>
      </w:r>
      <w:r>
        <w:t xml:space="preserve"> </w:t>
      </w:r>
      <w:r>
        <w:t xml:space="preserve">Quais falhas são sistematicamente mais difíceis?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QP4.</w:t>
      </w:r>
      <w:r>
        <w:t xml:space="preserve"> </w:t>
      </w:r>
      <w:r>
        <w:t xml:space="preserve">Métodos mais complexos justificam maior custo?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QP5.</w:t>
      </w:r>
      <w:r>
        <w:t xml:space="preserve"> </w:t>
      </w:r>
      <w:r>
        <w:t xml:space="preserve">Qual o melhor compromisso desempenho × tempo × tamanho?</w:t>
      </w:r>
    </w:p>
    <w:p>
      <w:pPr>
        <w:pStyle w:val="FirstParagraph"/>
      </w:pPr>
      <w:r>
        <w:rPr>
          <w:bCs/>
          <w:b/>
        </w:rPr>
        <w:t xml:space="preserve">Hipóteses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H1.</w:t>
      </w:r>
      <w:r>
        <w:t xml:space="preserve"> </w:t>
      </w:r>
      <w:r>
        <w:t xml:space="preserve">Ensembles em árvore superam regressão logística (F1 e/ou MCC).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H2.</w:t>
      </w:r>
      <w:r>
        <w:t xml:space="preserve"> </w:t>
      </w:r>
      <w:r>
        <w:t xml:space="preserve">XGBoost e random forest superam LR e árvore isolada (F1 e MCC).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H3.</w:t>
      </w:r>
      <w:r>
        <w:t xml:space="preserve"> </w:t>
      </w:r>
      <w:r>
        <w:t xml:space="preserve">LR permanece competitiva em custo, com F1 reduzido nas falhas difíceis.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H4.</w:t>
      </w:r>
      <w:r>
        <w:t xml:space="preserve"> </w:t>
      </w:r>
      <w:r>
        <w:t xml:space="preserve">O melhor por acurácia não coincide com o melhor por F1, MCC ou custo de inferência.</w:t>
      </w:r>
    </w:p>
    <w:p>
      <w:r>
        <w:pict>
          <v:rect style="width:0;height:1.5pt" o:hralign="center" o:hrstd="t" o:hr="t"/>
        </w:pict>
      </w:r>
    </w:p>
    <w:bookmarkEnd w:id="21"/>
    <w:bookmarkStart w:id="25" w:name="X78d296f30b7b9b06e481660039c2a1942555144"/>
    <w:p>
      <w:pPr>
        <w:pStyle w:val="Heading1"/>
      </w:pPr>
      <w:r>
        <w:t xml:space="preserve">2. Fundamentação sobre diagnóstico de falhas e TEP</w:t>
      </w:r>
    </w:p>
    <w:bookmarkStart w:id="22" w:name="diagnóstico-de-falhas-orientado-a-dados"/>
    <w:p>
      <w:pPr>
        <w:pStyle w:val="Heading2"/>
      </w:pPr>
      <w:r>
        <w:t xml:space="preserve">2.1 Diagnóstico de falhas orientado a dados</w:t>
      </w:r>
    </w:p>
    <w:p>
      <w:pPr>
        <w:pStyle w:val="FirstParagraph"/>
      </w:pPr>
      <w:r>
        <w:t xml:space="preserve">Métodos clássicos de monitoramento e diagnóstico (PCA dinâmico, CVA, PLS e variantes) exploram correlação entre variáveis para detecção e, em alguns casos, isolamento de falhas [2,3]. Abordagens de aprendizado supervisionado tratam o problema como classificação multiclasse. A qualidade da conclusão depende criticamente da unidade amostral usada na divisão e nos testes estatísticos.</w:t>
      </w:r>
    </w:p>
    <w:bookmarkEnd w:id="22"/>
    <w:bookmarkStart w:id="23" w:name="tennessee-eastman-process"/>
    <w:p>
      <w:pPr>
        <w:pStyle w:val="Heading2"/>
      </w:pPr>
      <w:r>
        <w:t xml:space="preserve">2.2 Tennessee Eastman Process</w:t>
      </w:r>
    </w:p>
    <w:p>
      <w:pPr>
        <w:pStyle w:val="FirstParagraph"/>
      </w:pPr>
      <w:r>
        <w:t xml:space="preserve">O TEP [1] simula uma planta com reator, condensador, separador, stripper e reciclo. Cada execução (</w:t>
      </w:r>
      <w:r>
        <w:rPr>
          <w:iCs/>
          <w:i/>
        </w:rPr>
        <w:t xml:space="preserve">run</w:t>
      </w:r>
      <w:r>
        <w:t xml:space="preserve">) induz (ou não) uma falha e gera uma série temporal de observações. Neste estudo, a tarefa é classificar vetores de 52 variáveis em uma de 21 classes. A</w:t>
      </w:r>
      <w:r>
        <w:t xml:space="preserve"> </w:t>
      </w:r>
      <w:r>
        <w:rPr>
          <w:bCs/>
          <w:b/>
        </w:rPr>
        <w:t xml:space="preserve">unidade experimental</w:t>
      </w:r>
      <w:r>
        <w:t xml:space="preserve"> </w:t>
      </w:r>
      <w:r>
        <w:t xml:space="preserve">é a execução, não a linha individual: observações do mesmo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são temporalmente correlacionadas e não podem ser tratadas como amostras independentes na divisão nem nos testes de hipótese (INV-09; UE-03).</w:t>
      </w:r>
    </w:p>
    <w:bookmarkEnd w:id="23"/>
    <w:bookmarkStart w:id="24" w:name="avaliação-multicritério"/>
    <w:p>
      <w:pPr>
        <w:pStyle w:val="Heading2"/>
      </w:pPr>
      <w:r>
        <w:t xml:space="preserve">2.3 Avaliação multicritério</w:t>
      </w:r>
    </w:p>
    <w:p>
      <w:pPr>
        <w:pStyle w:val="FirstParagraph"/>
      </w:pPr>
      <w:r>
        <w:t xml:space="preserve">Em cenários com 21 classes e desbalanceamento, acurácia simples pode mascarar fracasso em falhas minoritárias. Adotamos o conjunto de métricas globais (acurácia, acurácia balanceada, precisão/revocação/F1 macro, F1 ponderada, MCC), métricas por classe, matrizes de confusão e custos (tempo de treino, tempo de inferência, tamanho do modelo). Nenhuma conclusão de superioridade se apoia apenas em acurácia [10].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rabalhos-relacionados"/>
    <w:p>
      <w:pPr>
        <w:pStyle w:val="Heading1"/>
      </w:pPr>
      <w:r>
        <w:t xml:space="preserve">3. Trabalhos relacionados</w:t>
      </w:r>
    </w:p>
    <w:p>
      <w:pPr>
        <w:pStyle w:val="FirstParagraph"/>
      </w:pPr>
      <w:r>
        <w:t xml:space="preserve">Yin et al. [4] comparam métodos data-driven no TEP e evidenciam a sensibilidade dos resultados ao protocolo. Conjuntos derivados do TEP ampliaram o uso em detecção de anomalias [5]. Ensembles de árvores [6], boosting escalável [7] e SVMs [8] são famílias clássicas recorrentes em classificação tabular.</w:t>
      </w:r>
    </w:p>
    <w:p>
      <w:pPr>
        <w:pStyle w:val="BodyText"/>
      </w:pPr>
      <w:r>
        <w:t xml:space="preserve">O presente trabalho diferencia-se por: (1) fixar a execução como unidade de divisão com verificação automatizada de disjunção; (2) obrigar o mesmo pipeline para seis modelos; (3) isolar o teste até o congelamento; (4) reportar custo sempre que se discute</w:t>
      </w:r>
      <w:r>
        <w:t xml:space="preserve"> </w:t>
      </w:r>
      <w:r>
        <w:t xml:space="preserve">“</w:t>
      </w:r>
      <w:r>
        <w:t xml:space="preserve">melhor modelo</w:t>
      </w:r>
      <w:r>
        <w:t xml:space="preserve">”</w:t>
      </w:r>
      <w:r>
        <w:t xml:space="preserve">; (5) delimitar o escopo aos métodos clássicos, como referência para estudos futuros com redes profundas ou modelos físico-informados.</w:t>
      </w:r>
    </w:p>
    <w:p>
      <w:r>
        <w:pict>
          <v:rect style="width:0;height:1.5pt" o:hralign="center" o:hrstd="t" o:hr="t"/>
        </w:pict>
      </w:r>
    </w:p>
    <w:bookmarkEnd w:id="26"/>
    <w:bookmarkStart w:id="34" w:name="materiais-e-métodos"/>
    <w:p>
      <w:pPr>
        <w:pStyle w:val="Heading1"/>
      </w:pPr>
      <w:r>
        <w:t xml:space="preserve">4. Materiais e métodos</w:t>
      </w:r>
    </w:p>
    <w:bookmarkStart w:id="28" w:name="dataset-canônico"/>
    <w:p>
      <w:pPr>
        <w:pStyle w:val="Heading2"/>
      </w:pPr>
      <w:r>
        <w:t xml:space="preserve">4.1 Dataset canônico</w:t>
      </w:r>
    </w:p>
    <w:p>
      <w:pPr>
        <w:pStyle w:val="FirstParagraph"/>
      </w:pPr>
      <w:r>
        <w:t xml:space="preserve">Utilizamos a versão canônica</w:t>
      </w:r>
      <w:r>
        <w:t xml:space="preserve"> </w:t>
      </w:r>
      <w:r>
        <w:rPr>
          <w:rStyle w:val="VerbatimChar"/>
        </w:rPr>
        <w:t xml:space="preserve">tep-canonical-v1</w:t>
      </w:r>
      <w:r>
        <w:t xml:space="preserve">: 52 atributos, 21 classes, 42 execuções e 30 260 linhas (Tabela 1). A auditoria prévia do pacote bruto e o registro canônico precedem qualquer modelagem.</w:t>
      </w:r>
    </w:p>
    <w:p>
      <w:pPr>
        <w:pStyle w:val="BodyText"/>
      </w:pPr>
      <w:r>
        <w:rPr>
          <w:bCs/>
          <w:b/>
        </w:rPr>
        <w:t xml:space="preserve">Tabela 1.</w:t>
      </w:r>
      <w:r>
        <w:t xml:space="preserve"> </w:t>
      </w:r>
      <w:r>
        <w:t xml:space="preserve">Sumário do dataset canônico (</w:t>
      </w:r>
      <w:r>
        <w:rPr>
          <w:rStyle w:val="VerbatimChar"/>
        </w:rPr>
        <w:t xml:space="preserve">A6_exp-a4-v2__01_dataset_summary.csv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Linhas</w:t>
            </w:r>
          </w:p>
        </w:tc>
        <w:tc>
          <w:p>
            <w:pPr>
              <w:pStyle w:val="Compact"/>
              <w:jc w:val="right"/>
            </w:pPr>
            <w:r>
              <w:t xml:space="preserve">30 260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p>
            <w:pPr>
              <w:pStyle w:val="Compact"/>
              <w:jc w:val="right"/>
            </w:pPr>
            <w:r>
              <w:t xml:space="preserve">tep-canonical-v1</w:t>
            </w:r>
          </w:p>
        </w:tc>
      </w:tr>
    </w:tbl>
    <w:p>
      <w:pPr>
        <w:pStyle w:val="CaptionedFigure"/>
      </w:pPr>
      <w:r>
        <w:drawing>
          <wp:inline>
            <wp:extent cx="5334000" cy="3547779"/>
            <wp:effectExtent b="0" l="0" r="0" t="0"/>
            <wp:docPr descr="Figura 1. Caracterização do dataset (A6)." title="" id="1" name="Picture"/>
            <a:graphic>
              <a:graphicData uri="http://schemas.openxmlformats.org/drawingml/2006/picture">
                <pic:pic>
                  <pic:nvPicPr>
                    <pic:cNvPr descr="../figures/A6_exp-a4-v2__01_dataset_characteriz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Caracterização do dataset (A6).</w:t>
      </w:r>
    </w:p>
    <w:bookmarkEnd w:id="28"/>
    <w:bookmarkStart w:id="29" w:name="divisão-agrupada-por-execução"/>
    <w:p>
      <w:pPr>
        <w:pStyle w:val="Heading2"/>
      </w:pPr>
      <w:r>
        <w:t xml:space="preserve">4.2 Divisão agrupada por execução</w:t>
      </w:r>
    </w:p>
    <w:p>
      <w:pPr>
        <w:pStyle w:val="FirstParagraph"/>
      </w:pPr>
      <w:r>
        <w:t xml:space="preserve">A estratégia</w:t>
      </w:r>
      <w:r>
        <w:t xml:space="preserve"> </w:t>
      </w:r>
      <w:r>
        <w:rPr>
          <w:rStyle w:val="VerbatimChar"/>
        </w:rPr>
        <w:t xml:space="preserve">stratified_one_train_per_class_remaining_split_val_test</w:t>
      </w:r>
      <w:r>
        <w:t xml:space="preserve"> </w:t>
      </w:r>
      <w:r>
        <w:t xml:space="preserve">reserva um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por classe ao treino e divide o restante aproximadamente 50/50 entre validação e teste (semente 42). Resultado: 21 runs de treino, 10 de validação e 11 de teste. A checagem de interseção vazia de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passou no manifesto A3.</w:t>
      </w:r>
    </w:p>
    <w:p>
      <w:pPr>
        <w:pStyle w:val="BodyText"/>
      </w:pPr>
      <w:r>
        <w:rPr>
          <w:bCs/>
          <w:b/>
        </w:rPr>
        <w:t xml:space="preserve">Limitação estrutural (AR-1).</w:t>
      </w:r>
      <w:r>
        <w:t xml:space="preserve"> </w:t>
      </w:r>
      <w:r>
        <w:t xml:space="preserve">Com apenas dois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por classe, validação e teste</w:t>
      </w:r>
      <w:r>
        <w:t xml:space="preserve"> </w:t>
      </w:r>
      <w:r>
        <w:rPr>
          <w:bCs/>
          <w:b/>
        </w:rPr>
        <w:t xml:space="preserve">não cobrem simultaneamente as 21 classes</w:t>
      </w:r>
      <w:r>
        <w:t xml:space="preserve">. Neste experimento, os conjuntos de classes de validação e de teste são disjuntos (validação: 0, 1, 4, 5, 7, 8, 9, 12, 16, 17; teste: 2, 3, 6, 10, 11, 13, 14, 15, 18, 19, 20).</w:t>
      </w:r>
    </w:p>
    <w:bookmarkEnd w:id="29"/>
    <w:bookmarkStart w:id="30" w:name="pré-processamento"/>
    <w:p>
      <w:pPr>
        <w:pStyle w:val="Heading2"/>
      </w:pPr>
      <w:r>
        <w:t xml:space="preserve">4.3 Pré-processamento</w:t>
      </w:r>
    </w:p>
    <w:p>
      <w:pPr>
        <w:pStyle w:val="FirstParagraph"/>
      </w:pPr>
      <w:r>
        <w:t xml:space="preserve">A versão</w:t>
      </w:r>
      <w:r>
        <w:t xml:space="preserve"> </w:t>
      </w:r>
      <w:r>
        <w:rPr>
          <w:rStyle w:val="VerbatimChar"/>
        </w:rPr>
        <w:t xml:space="preserve">preprocessor_v1</w:t>
      </w:r>
      <w:r>
        <w:t xml:space="preserve"> </w:t>
      </w:r>
      <w:r>
        <w:t xml:space="preserve">ajusta transformações dependentes dos dados (padronização)</w:t>
      </w:r>
      <w:r>
        <w:t xml:space="preserve"> </w:t>
      </w:r>
      <w:r>
        <w:rPr>
          <w:bCs/>
          <w:b/>
        </w:rPr>
        <w:t xml:space="preserve">exclusivamente no treino</w:t>
      </w:r>
      <w:r>
        <w:t xml:space="preserve"> </w:t>
      </w:r>
      <w:r>
        <w:t xml:space="preserve">e apenas aplica (</w:t>
      </w:r>
      <w:r>
        <w:rPr>
          <w:rStyle w:val="VerbatimChar"/>
        </w:rPr>
        <w:t xml:space="preserve">transform</w:t>
      </w:r>
      <w:r>
        <w:t xml:space="preserve">) validação e teste.</w:t>
      </w:r>
    </w:p>
    <w:bookmarkEnd w:id="30"/>
    <w:bookmarkStart w:id="31" w:name="modelos"/>
    <w:p>
      <w:pPr>
        <w:pStyle w:val="Heading2"/>
      </w:pPr>
      <w:r>
        <w:t xml:space="preserve">4.4 Modelos</w:t>
      </w:r>
    </w:p>
    <w:p>
      <w:pPr>
        <w:pStyle w:val="FirstParagraph"/>
      </w:pPr>
      <w:r>
        <w:t xml:space="preserve">Seis classificadores sob o mesmo manifesto e o mesmo pré-processamento (scikit-learn [9] e XGBoost [7]):</w:t>
      </w:r>
    </w:p>
    <w:p>
      <w:pPr>
        <w:numPr>
          <w:ilvl w:val="0"/>
          <w:numId w:val="1003"/>
        </w:numPr>
        <w:pStyle w:val="Compact"/>
      </w:pPr>
      <w:r>
        <w:t xml:space="preserve">Regressão logística (MOD-1)</w:t>
      </w:r>
    </w:p>
    <w:p>
      <w:pPr>
        <w:numPr>
          <w:ilvl w:val="0"/>
          <w:numId w:val="1003"/>
        </w:numPr>
        <w:pStyle w:val="Compact"/>
      </w:pPr>
      <w:r>
        <w:t xml:space="preserve">Árvore de decisão (MOD-2)</w:t>
      </w:r>
    </w:p>
    <w:p>
      <w:pPr>
        <w:numPr>
          <w:ilvl w:val="0"/>
          <w:numId w:val="1003"/>
        </w:numPr>
        <w:pStyle w:val="Compact"/>
      </w:pPr>
      <w:r>
        <w:t xml:space="preserve">Random forest (MOD-3) [6]</w:t>
      </w:r>
    </w:p>
    <w:p>
      <w:pPr>
        <w:numPr>
          <w:ilvl w:val="0"/>
          <w:numId w:val="1003"/>
        </w:numPr>
        <w:pStyle w:val="Compact"/>
      </w:pPr>
      <w:r>
        <w:t xml:space="preserve">Gradient boosting sklearn (MOD-4)</w:t>
      </w:r>
    </w:p>
    <w:p>
      <w:pPr>
        <w:numPr>
          <w:ilvl w:val="0"/>
          <w:numId w:val="1003"/>
        </w:numPr>
        <w:pStyle w:val="Compact"/>
      </w:pPr>
      <w:r>
        <w:t xml:space="preserve">SVM linear (MOD-5) [8]</w:t>
      </w:r>
    </w:p>
    <w:p>
      <w:pPr>
        <w:numPr>
          <w:ilvl w:val="0"/>
          <w:numId w:val="1003"/>
        </w:numPr>
        <w:pStyle w:val="Compact"/>
      </w:pPr>
      <w:r>
        <w:t xml:space="preserve">XGBoost (MOD-6) [7]</w:t>
      </w:r>
    </w:p>
    <w:bookmarkEnd w:id="31"/>
    <w:bookmarkStart w:id="32" w:name="seleção-de-hiperparâmetros"/>
    <w:p>
      <w:pPr>
        <w:pStyle w:val="Heading2"/>
      </w:pPr>
      <w:r>
        <w:t xml:space="preserve">4.5 Seleção de hiperparâmetros</w:t>
      </w:r>
    </w:p>
    <w:p>
      <w:pPr>
        <w:pStyle w:val="FirstParagraph"/>
      </w:pPr>
      <w:r>
        <w:t xml:space="preserve">A busca usa apenas treino/validação. Os espaços desta baseline (</w:t>
      </w:r>
      <w:r>
        <w:rPr>
          <w:rStyle w:val="VerbatimChar"/>
        </w:rPr>
        <w:t xml:space="preserve">exp-a4-v2</w:t>
      </w:r>
      <w:r>
        <w:t xml:space="preserve">) são reduzidos e</w:t>
      </w:r>
      <w:r>
        <w:t xml:space="preserve"> </w:t>
      </w:r>
      <w:r>
        <w:rPr>
          <w:bCs/>
          <w:b/>
        </w:rPr>
        <w:t xml:space="preserve">desiguais</w:t>
      </w:r>
      <w:r>
        <w:t xml:space="preserve"> </w:t>
      </w:r>
      <w:r>
        <w:t xml:space="preserve">entre famílias (AR-3): gradient boosting com dois candidatos; SVM restrito a kernel linear; XGBoost com oito candidatos. Scorer de seleção = acurácia amostral na validação (AR-2). Hiperparâmetros congelados: Tabela 2.</w:t>
      </w:r>
    </w:p>
    <w:p>
      <w:pPr>
        <w:pStyle w:val="BodyText"/>
      </w:pPr>
      <w:r>
        <w:rPr>
          <w:bCs/>
          <w:b/>
        </w:rPr>
        <w:t xml:space="preserve">Tabela 2.</w:t>
      </w:r>
      <w:r>
        <w:t xml:space="preserve"> </w:t>
      </w:r>
      <w:r>
        <w:t xml:space="preserve">Hiperparâmetros finais (</w:t>
      </w:r>
      <w:r>
        <w:rPr>
          <w:rStyle w:val="VerbatimChar"/>
        </w:rPr>
        <w:t xml:space="preserve">A6_exp-a4-v2__02_hyperparameters.csv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p>
            <w:pPr>
              <w:pStyle w:val="Compact"/>
              <w:jc w:val="left"/>
            </w:pPr>
            <w:r>
              <w:t xml:space="preserve">Parâmetros principais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Regressão logística</w:t>
            </w:r>
          </w:p>
        </w:tc>
        <w:tc>
          <w:p>
            <w:pPr>
              <w:pStyle w:val="Compact"/>
              <w:jc w:val="left"/>
            </w:pPr>
            <w:r>
              <w:t xml:space="preserve">C=10, lbfgs, max_iter=1000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Árvore de decisão</w:t>
            </w:r>
          </w:p>
        </w:tc>
        <w:tc>
          <w:p>
            <w:pPr>
              <w:pStyle w:val="Compact"/>
              <w:jc w:val="left"/>
            </w:pPr>
            <w:r>
              <w:t xml:space="preserve">max_depth=20, min_samples_leaf=5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n=200, max_depth=20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t xml:space="preserve">n=50, η=0,1, max_depth=3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p>
            <w:pPr>
              <w:pStyle w:val="Compact"/>
              <w:jc w:val="left"/>
            </w:pPr>
            <w:r>
              <w:t xml:space="preserve">C=10, kernel linear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left"/>
            </w:pPr>
            <w:r>
              <w:t xml:space="preserve">n=100, η=0,1, max_depth=6, hist</w:t>
            </w:r>
          </w:p>
        </w:tc>
      </w:tr>
    </w:tbl>
    <w:bookmarkEnd w:id="32"/>
    <w:bookmarkStart w:id="33" w:name="métricas"/>
    <w:p>
      <w:pPr>
        <w:pStyle w:val="Heading2"/>
      </w:pPr>
      <w:r>
        <w:t xml:space="preserve">4.6 Métricas</w:t>
      </w:r>
    </w:p>
    <w:p>
      <w:pPr>
        <w:pStyle w:val="FirstParagraph"/>
      </w:pPr>
      <w:r>
        <w:t xml:space="preserve">Reportamos MET-01 a MET-12. F1 macro e acurácia balanceada usam C=21: classes ausentes no teste entram com contribuição nula e deprimem essas métricas em relação à acurácia (AR-4). Verificação formal:</w:t>
      </w:r>
      <w:r>
        <w:t xml:space="preserve"> </w:t>
      </w:r>
      <w:r>
        <w:rPr>
          <w:rStyle w:val="VerbatimChar"/>
        </w:rPr>
        <w:t xml:space="preserve">formula_checks_ok=True</w:t>
      </w:r>
      <w:r>
        <w:t xml:space="preserve"> </w:t>
      </w:r>
      <w:r>
        <w:t xml:space="preserve">nos seis modelos (</w:t>
      </w:r>
      <w:r>
        <w:rPr>
          <w:rStyle w:val="VerbatimChar"/>
        </w:rPr>
        <w:t xml:space="preserve">A5_exp-a4-v2__global_metrics.csv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otocolo-reprodutível"/>
    <w:p>
      <w:pPr>
        <w:pStyle w:val="Heading1"/>
      </w:pPr>
      <w:r>
        <w:t xml:space="preserve">5. Protocolo reprodutível</w:t>
      </w:r>
    </w:p>
    <w:p>
      <w:pPr>
        <w:pStyle w:val="FirstParagraph"/>
      </w:pPr>
      <w:r>
        <w:t xml:space="preserve">O pipeline segue a ordem fixa: auditoria → análise exploratória → divisão → pré-processamento → treinamento/seleção → avaliação final → estatística formal → figuras.</w:t>
      </w:r>
    </w:p>
    <w:p>
      <w:pPr>
        <w:numPr>
          <w:ilvl w:val="0"/>
          <w:numId w:val="1004"/>
        </w:numPr>
        <w:pStyle w:val="Compact"/>
      </w:pPr>
      <w:r>
        <w:t xml:space="preserve">Semente: 42 (</w:t>
      </w:r>
      <w:r>
        <w:rPr>
          <w:rStyle w:val="VerbatimChar"/>
        </w:rPr>
        <w:t xml:space="preserve">configs/seeds.yaml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Manifesto:</w:t>
      </w:r>
      <w:r>
        <w:t xml:space="preserve"> </w:t>
      </w:r>
      <w:r>
        <w:rPr>
          <w:rStyle w:val="VerbatimChar"/>
        </w:rPr>
        <w:t xml:space="preserve">data/processed/split_manifest_v1.json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Configuração:</w:t>
      </w:r>
      <w:r>
        <w:t xml:space="preserve"> </w:t>
      </w:r>
      <w:r>
        <w:rPr>
          <w:rStyle w:val="VerbatimChar"/>
        </w:rPr>
        <w:t xml:space="preserve">configs/experiments/exp-a4-v2.yaml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Ambiente (snapshot A4): Python 3.12.7, scikit-learn 1.9.1, XGBoost 2.1.4.</w:t>
      </w:r>
    </w:p>
    <w:p>
      <w:pPr>
        <w:numPr>
          <w:ilvl w:val="0"/>
          <w:numId w:val="1004"/>
        </w:numPr>
        <w:pStyle w:val="Compact"/>
      </w:pPr>
      <w:r>
        <w:t xml:space="preserve">Predições e métricas em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; figuras/tabelas de publicação em</w:t>
      </w:r>
      <w:r>
        <w:t xml:space="preserve"> </w:t>
      </w:r>
      <w:r>
        <w:rPr>
          <w:rStyle w:val="VerbatimChar"/>
        </w:rPr>
        <w:t xml:space="preserve">article/</w:t>
      </w:r>
      <w:r>
        <w:t xml:space="preserve"> </w:t>
      </w:r>
      <w:r>
        <w:t xml:space="preserve">(geradas somente a partir de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Verificação operacional:</w:t>
      </w:r>
      <w:r>
        <w:t xml:space="preserve"> </w:t>
      </w:r>
      <w:r>
        <w:rPr>
          <w:rStyle w:val="VerbatimChar"/>
        </w:rPr>
        <w:t xml:space="preserve">make reproduce</w:t>
      </w:r>
      <w:r>
        <w:t xml:space="preserve"> </w:t>
      </w:r>
      <w:r>
        <w:t xml:space="preserve">(pytest + evaluate + statistics + figures; sem retreino).</w:t>
      </w:r>
    </w:p>
    <w:p>
      <w:pPr>
        <w:pStyle w:val="FirstParagraph"/>
      </w:pPr>
      <w:r>
        <w:t xml:space="preserve">O dry-run (</w:t>
      </w:r>
      <w:r>
        <w:rPr>
          <w:rStyle w:val="VerbatimChar"/>
        </w:rPr>
        <w:t xml:space="preserve">scientific_validity: false</w:t>
      </w:r>
      <w:r>
        <w:t xml:space="preserve">) não alimenta este manuscrito. Tuning ampliado (SPEC-006A) não foi executado nesta baseline.</w:t>
      </w:r>
    </w:p>
    <w:p>
      <w:r>
        <w:pict>
          <v:rect style="width:0;height:1.5pt" o:hralign="center" o:hrstd="t" o:hr="t"/>
        </w:pict>
      </w:r>
    </w:p>
    <w:bookmarkEnd w:id="35"/>
    <w:bookmarkStart w:id="48" w:name="resultados"/>
    <w:p>
      <w:pPr>
        <w:pStyle w:val="Heading1"/>
      </w:pPr>
      <w:r>
        <w:t xml:space="preserve">6. Resultados</w:t>
      </w:r>
    </w:p>
    <w:bookmarkStart w:id="38" w:name="desempenho-global-e-custo"/>
    <w:p>
      <w:pPr>
        <w:pStyle w:val="Heading2"/>
      </w:pPr>
      <w:r>
        <w:t xml:space="preserve">6.1 Desempenho global e custo</w:t>
      </w:r>
    </w:p>
    <w:p>
      <w:pPr>
        <w:pStyle w:val="FirstParagraph"/>
      </w:pPr>
      <w:r>
        <w:t xml:space="preserve">A Tabela 3 e as Figuras 2–3 resumem o teste.</w:t>
      </w:r>
    </w:p>
    <w:p>
      <w:pPr>
        <w:pStyle w:val="BodyText"/>
      </w:pPr>
      <w:r>
        <w:rPr>
          <w:bCs/>
          <w:b/>
        </w:rPr>
        <w:t xml:space="preserve">Tabela 3.</w:t>
      </w:r>
      <w:r>
        <w:t xml:space="preserve"> </w:t>
      </w:r>
      <w:r>
        <w:t xml:space="preserve">Métricas globais e custo no conjunto de teste (</w:t>
      </w:r>
      <w:r>
        <w:rPr>
          <w:rStyle w:val="VerbatimChar"/>
        </w:rPr>
        <w:t xml:space="preserve">A5_exp-a4-v2__global_metrics.csv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p>
            <w:pPr>
              <w:pStyle w:val="Compact"/>
              <w:jc w:val="right"/>
            </w:pPr>
            <w:r>
              <w:t xml:space="preserve">BA</w:t>
            </w:r>
          </w:p>
        </w:tc>
        <w:tc>
          <w:p>
            <w:pPr>
              <w:pStyle w:val="Compact"/>
              <w:jc w:val="right"/>
            </w:pPr>
            <w:r>
              <w:t xml:space="preserve">F1_m</w:t>
            </w:r>
          </w:p>
        </w:tc>
        <w:tc>
          <w:p>
            <w:pPr>
              <w:pStyle w:val="Compact"/>
              <w:jc w:val="right"/>
            </w:pPr>
            <w:r>
              <w:t xml:space="preserve">MCC</w:t>
            </w:r>
          </w:p>
        </w:tc>
        <w:tc>
          <w:p>
            <w:pPr>
              <w:pStyle w:val="Compact"/>
              <w:jc w:val="right"/>
            </w:pPr>
            <w:r>
              <w:t xml:space="preserve">Treino (s)</w:t>
            </w:r>
          </w:p>
        </w:tc>
        <w:tc>
          <w:p>
            <w:pPr>
              <w:pStyle w:val="Compact"/>
              <w:jc w:val="right"/>
            </w:pPr>
            <w:r>
              <w:t xml:space="preserve">Inf. (s)</w:t>
            </w:r>
          </w:p>
        </w:tc>
        <w:tc>
          <w:p>
            <w:pPr>
              <w:pStyle w:val="Compact"/>
              <w:jc w:val="right"/>
            </w:pPr>
            <w:r>
              <w:t xml:space="preserve">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Reg. logística</w:t>
            </w:r>
          </w:p>
        </w:tc>
        <w:tc>
          <w:p>
            <w:pPr>
              <w:pStyle w:val="Compact"/>
              <w:jc w:val="right"/>
            </w:pPr>
            <w:r>
              <w:t xml:space="preserve">0,275</w:t>
            </w:r>
          </w:p>
        </w:tc>
        <w:tc>
          <w:p>
            <w:pPr>
              <w:pStyle w:val="Compact"/>
              <w:jc w:val="right"/>
            </w:pPr>
            <w:r>
              <w:t xml:space="preserve">0,164</w:t>
            </w:r>
          </w:p>
        </w:tc>
        <w:tc>
          <w:p>
            <w:pPr>
              <w:pStyle w:val="Compact"/>
              <w:jc w:val="right"/>
            </w:pPr>
            <w:r>
              <w:t xml:space="preserve">0,184</w:t>
            </w:r>
          </w:p>
        </w:tc>
        <w:tc>
          <w:p>
            <w:pPr>
              <w:pStyle w:val="Compact"/>
              <w:jc w:val="right"/>
            </w:pPr>
            <w:r>
              <w:t xml:space="preserve">0,250</w:t>
            </w:r>
          </w:p>
        </w:tc>
        <w:tc>
          <w:p>
            <w:pPr>
              <w:pStyle w:val="Compact"/>
              <w:jc w:val="right"/>
            </w:pPr>
            <w:r>
              <w:t xml:space="preserve">3,65</w:t>
            </w:r>
          </w:p>
        </w:tc>
        <w:tc>
          <w:p>
            <w:pPr>
              <w:pStyle w:val="Compact"/>
              <w:jc w:val="right"/>
            </w:pPr>
            <w:r>
              <w:t xml:space="preserve">0,003</w:t>
            </w:r>
          </w:p>
        </w:tc>
        <w:tc>
          <w:p>
            <w:pPr>
              <w:pStyle w:val="Compact"/>
              <w:jc w:val="right"/>
            </w:pPr>
            <w:r>
              <w:t xml:space="preserve">10 020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Árvore</w:t>
            </w:r>
          </w:p>
        </w:tc>
        <w:tc>
          <w:p>
            <w:pPr>
              <w:pStyle w:val="Compact"/>
              <w:jc w:val="right"/>
            </w:pPr>
            <w:r>
              <w:t xml:space="preserve">0,564</w:t>
            </w:r>
          </w:p>
        </w:tc>
        <w:tc>
          <w:p>
            <w:pPr>
              <w:pStyle w:val="Compact"/>
              <w:jc w:val="right"/>
            </w:pPr>
            <w:r>
              <w:t xml:space="preserve">0,303</w:t>
            </w:r>
          </w:p>
        </w:tc>
        <w:tc>
          <w:p>
            <w:pPr>
              <w:pStyle w:val="Compact"/>
              <w:jc w:val="right"/>
            </w:pPr>
            <w:r>
              <w:t xml:space="preserve">0,314</w:t>
            </w:r>
          </w:p>
        </w:tc>
        <w:tc>
          <w:p>
            <w:pPr>
              <w:pStyle w:val="Compact"/>
              <w:jc w:val="right"/>
            </w:pPr>
            <w:r>
              <w:t xml:space="preserve">0,560</w:t>
            </w:r>
          </w:p>
        </w:tc>
        <w:tc>
          <w:p>
            <w:pPr>
              <w:pStyle w:val="Compact"/>
              <w:jc w:val="right"/>
            </w:pPr>
            <w:r>
              <w:t xml:space="preserve">1,36</w:t>
            </w:r>
          </w:p>
        </w:tc>
        <w:tc>
          <w:p>
            <w:pPr>
              <w:pStyle w:val="Compact"/>
              <w:jc w:val="right"/>
            </w:pPr>
            <w:r>
              <w:t xml:space="preserve">0,0015</w:t>
            </w:r>
          </w:p>
        </w:tc>
        <w:tc>
          <w:p>
            <w:pPr>
              <w:pStyle w:val="Compact"/>
              <w:jc w:val="right"/>
            </w:pPr>
            <w:r>
              <w:t xml:space="preserve">158 662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0,617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0,333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0,357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0,597</w:t>
            </w:r>
          </w:p>
        </w:tc>
        <w:tc>
          <w:p>
            <w:pPr>
              <w:pStyle w:val="Compact"/>
              <w:jc w:val="right"/>
            </w:pPr>
            <w:r>
              <w:t xml:space="preserve">3,09</w:t>
            </w:r>
          </w:p>
        </w:tc>
        <w:tc>
          <w:p>
            <w:pPr>
              <w:pStyle w:val="Compact"/>
              <w:jc w:val="right"/>
            </w:pPr>
            <w:r>
              <w:t xml:space="preserve">0,243</w:t>
            </w:r>
          </w:p>
        </w:tc>
        <w:tc>
          <w:p>
            <w:pPr>
              <w:pStyle w:val="Compact"/>
              <w:jc w:val="right"/>
            </w:pPr>
            <w:r>
              <w:t xml:space="preserve">49 567 094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Grad. boosting</w:t>
            </w:r>
          </w:p>
        </w:tc>
        <w:tc>
          <w:p>
            <w:pPr>
              <w:pStyle w:val="Compact"/>
              <w:jc w:val="right"/>
            </w:pPr>
            <w:r>
              <w:t xml:space="preserve">0,608</w:t>
            </w:r>
          </w:p>
        </w:tc>
        <w:tc>
          <w:p>
            <w:pPr>
              <w:pStyle w:val="Compact"/>
              <w:jc w:val="right"/>
            </w:pPr>
            <w:r>
              <w:t xml:space="preserve">0,321</w:t>
            </w:r>
          </w:p>
        </w:tc>
        <w:tc>
          <w:p>
            <w:pPr>
              <w:pStyle w:val="Compact"/>
              <w:jc w:val="right"/>
            </w:pPr>
            <w:r>
              <w:t xml:space="preserve">0,347</w:t>
            </w:r>
          </w:p>
        </w:tc>
        <w:tc>
          <w:p>
            <w:pPr>
              <w:pStyle w:val="Compact"/>
              <w:jc w:val="right"/>
            </w:pPr>
            <w:r>
              <w:t xml:space="preserve">0,584</w:t>
            </w:r>
          </w:p>
        </w:tc>
        <w:tc>
          <w:p>
            <w:pPr>
              <w:pStyle w:val="Compact"/>
              <w:jc w:val="right"/>
            </w:pPr>
            <w:r>
              <w:t xml:space="preserve">281,89</w:t>
            </w:r>
          </w:p>
        </w:tc>
        <w:tc>
          <w:p>
            <w:pPr>
              <w:pStyle w:val="Compact"/>
              <w:jc w:val="right"/>
            </w:pPr>
            <w:r>
              <w:t xml:space="preserve">0,101</w:t>
            </w:r>
          </w:p>
        </w:tc>
        <w:tc>
          <w:p>
            <w:pPr>
              <w:pStyle w:val="Compact"/>
              <w:jc w:val="right"/>
            </w:pPr>
            <w:r>
              <w:t xml:space="preserve">1 901 442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SVM linear</w:t>
            </w:r>
          </w:p>
        </w:tc>
        <w:tc>
          <w:p>
            <w:pPr>
              <w:pStyle w:val="Compact"/>
              <w:jc w:val="right"/>
            </w:pPr>
            <w:r>
              <w:t xml:space="preserve">0,237</w:t>
            </w:r>
          </w:p>
        </w:tc>
        <w:tc>
          <w:p>
            <w:pPr>
              <w:pStyle w:val="Compact"/>
              <w:jc w:val="right"/>
            </w:pPr>
            <w:r>
              <w:t xml:space="preserve">0,150</w:t>
            </w:r>
          </w:p>
        </w:tc>
        <w:tc>
          <w:p>
            <w:pPr>
              <w:pStyle w:val="Compact"/>
              <w:jc w:val="right"/>
            </w:pPr>
            <w:r>
              <w:t xml:space="preserve">0,163</w:t>
            </w:r>
          </w:p>
        </w:tc>
        <w:tc>
          <w:p>
            <w:pPr>
              <w:pStyle w:val="Compact"/>
              <w:jc w:val="right"/>
            </w:pPr>
            <w:r>
              <w:t xml:space="preserve">0,215</w:t>
            </w:r>
          </w:p>
        </w:tc>
        <w:tc>
          <w:p>
            <w:pPr>
              <w:pStyle w:val="Compact"/>
              <w:jc w:val="right"/>
            </w:pPr>
            <w:r>
              <w:t xml:space="preserve">177,03</w:t>
            </w:r>
          </w:p>
        </w:tc>
        <w:tc>
          <w:p>
            <w:pPr>
              <w:pStyle w:val="Compact"/>
              <w:jc w:val="right"/>
            </w:pPr>
            <w:r>
              <w:t xml:space="preserve">3,575</w:t>
            </w:r>
          </w:p>
        </w:tc>
        <w:tc>
          <w:p>
            <w:pPr>
              <w:pStyle w:val="Compact"/>
              <w:jc w:val="right"/>
            </w:pPr>
            <w:r>
              <w:t xml:space="preserve">8 782 836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0,618</w:t>
            </w:r>
          </w:p>
        </w:tc>
        <w:tc>
          <w:p>
            <w:pPr>
              <w:pStyle w:val="Compact"/>
              <w:jc w:val="right"/>
            </w:pPr>
            <w:r>
              <w:t xml:space="preserve">0,330</w:t>
            </w:r>
          </w:p>
        </w:tc>
        <w:tc>
          <w:p>
            <w:pPr>
              <w:pStyle w:val="Compact"/>
              <w:jc w:val="right"/>
            </w:pPr>
            <w:r>
              <w:t xml:space="preserve">0,353</w:t>
            </w:r>
          </w:p>
        </w:tc>
        <w:tc>
          <w:p>
            <w:pPr>
              <w:pStyle w:val="Compact"/>
              <w:jc w:val="right"/>
            </w:pPr>
            <w:r>
              <w:t xml:space="preserve">0,596</w:t>
            </w:r>
          </w:p>
        </w:tc>
        <w:tc>
          <w:p>
            <w:pPr>
              <w:pStyle w:val="Compact"/>
              <w:jc w:val="right"/>
            </w:pPr>
            <w:r>
              <w:t xml:space="preserve">22,28</w:t>
            </w:r>
          </w:p>
        </w:tc>
        <w:tc>
          <w:p>
            <w:pPr>
              <w:pStyle w:val="Compact"/>
              <w:jc w:val="right"/>
            </w:pPr>
            <w:r>
              <w:t xml:space="preserve">0,052</w:t>
            </w:r>
          </w:p>
        </w:tc>
        <w:tc>
          <w:p>
            <w:pPr>
              <w:pStyle w:val="Compact"/>
              <w:jc w:val="right"/>
            </w:pPr>
            <w:r>
              <w:t xml:space="preserve">4 910 294</w:t>
            </w:r>
          </w:p>
        </w:tc>
      </w:tr>
    </w:tbl>
    <w:p>
      <w:pPr>
        <w:pStyle w:val="CaptionedFigure"/>
      </w:pPr>
      <w:r>
        <w:drawing>
          <wp:inline>
            <wp:extent cx="5334000" cy="3205866"/>
            <wp:effectExtent b="0" l="0" r="0" t="0"/>
            <wp:docPr descr="Figura 2. Comparativo de F1 macro e MCC (A6)." title="" id="1" name="Picture"/>
            <a:graphic>
              <a:graphicData uri="http://schemas.openxmlformats.org/drawingml/2006/picture">
                <pic:pic>
                  <pic:nvPicPr>
                    <pic:cNvPr descr="../figures/A6_exp-a4-v2__06_f1_mc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Comparativo de F1 macro e MCC (A6).</w:t>
      </w:r>
    </w:p>
    <w:p>
      <w:pPr>
        <w:pStyle w:val="CaptionedFigure"/>
      </w:pPr>
      <w:r>
        <w:drawing>
          <wp:inline>
            <wp:extent cx="5334000" cy="1792722"/>
            <wp:effectExtent b="0" l="0" r="0" t="0"/>
            <wp:docPr descr="Figura 3. Custo computacional: treino, inferência e tamanho (A6)." title="" id="1" name="Picture"/>
            <a:graphic>
              <a:graphicData uri="http://schemas.openxmlformats.org/drawingml/2006/picture">
                <pic:pic>
                  <pic:nvPicPr>
                    <pic:cNvPr descr="../figures/A6_exp-a4-v2__07_computational_co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Custo computacional: treino, inferência e tamanho (A6).</w:t>
      </w:r>
    </w:p>
    <w:bookmarkEnd w:id="38"/>
    <w:bookmarkStart w:id="39" w:name="qp1-desempenho-global"/>
    <w:p>
      <w:pPr>
        <w:pStyle w:val="Heading2"/>
      </w:pPr>
      <w:r>
        <w:t xml:space="preserve">6.2 QP1 — Desempenho global</w:t>
      </w:r>
    </w:p>
    <w:p>
      <w:pPr>
        <w:pStyle w:val="FirstParagraph"/>
      </w:pPr>
      <w:r>
        <w:t xml:space="preserve">Os conjuntos baseados em árvores (RF, XGBoost, GB) e, em seguida, a árvore isolada dominam as métricas globais; regressão logística e SVM linear formam o grupo inferior. Por acurácia lidera XGBoost (0,618); por F1 macro e MCC lidera random forest (0,357 e 0,597). Não há ranking oficial por métrica única.</w:t>
      </w:r>
    </w:p>
    <w:bookmarkEnd w:id="39"/>
    <w:bookmarkStart w:id="40" w:name="qp2-equilíbrio-entre-classes"/>
    <w:p>
      <w:pPr>
        <w:pStyle w:val="Heading2"/>
      </w:pPr>
      <w:r>
        <w:t xml:space="preserve">6.3 QP2 — Equilíbrio entre classes</w:t>
      </w:r>
    </w:p>
    <w:p>
      <w:pPr>
        <w:pStyle w:val="FirstParagraph"/>
      </w:pPr>
      <w:r>
        <w:t xml:space="preserve">O ranking por acurácia (XGB → RF → GB → DT → LR → SVM)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coincide com o ranking por BA/F1/MCC (RF → XGB → …). A diferença XGB–RF é pequena, mas suficiente para afirmar inconsistência parcial entre critérios. A lacuna acurácia ≫ BA/F1 é compatível com a média sobre 21 classes incluindo 10 ausentes no teste.</w:t>
      </w:r>
    </w:p>
    <w:bookmarkEnd w:id="40"/>
    <w:bookmarkStart w:id="43" w:name="qp3-falhas-difíceis"/>
    <w:p>
      <w:pPr>
        <w:pStyle w:val="Heading2"/>
      </w:pPr>
      <w:r>
        <w:t xml:space="preserve">6.4 QP3 — Falhas difíceis</w:t>
      </w:r>
    </w:p>
    <w:p>
      <w:pPr>
        <w:pStyle w:val="FirstParagraph"/>
      </w:pPr>
      <w:r>
        <w:t xml:space="preserve">Entre classes com</w:t>
      </w:r>
      <w:r>
        <w:t xml:space="preserve"> </w:t>
      </w:r>
      <w:r>
        <w:rPr>
          <w:rStyle w:val="VerbatimChar"/>
        </w:rPr>
        <w:t xml:space="preserve">support &gt; 0</w:t>
      </w:r>
      <w:r>
        <w:t xml:space="preserve">, os menores F1 médios (seis modelos) ocorrem nas falhas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(0,184),</w:t>
      </w:r>
      <w:r>
        <w:t xml:space="preserve"> </w:t>
      </w:r>
      <w:r>
        <w:rPr>
          <w:bCs/>
          <w:b/>
        </w:rPr>
        <w:t xml:space="preserve">15</w:t>
      </w:r>
      <w:r>
        <w:t xml:space="preserve"> </w:t>
      </w:r>
      <w:r>
        <w:t xml:space="preserve">(0,252) e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(0,283). Pares mais frequentes (soma entre modelos): 10→15 (1451), 3→15 (1002), 18→5 (1001), 13→12 (809) (Figuras 4–5;</w:t>
      </w:r>
      <w:r>
        <w:t xml:space="preserve"> </w:t>
      </w:r>
      <w:r>
        <w:rPr>
          <w:rStyle w:val="VerbatimChar"/>
        </w:rPr>
        <w:t xml:space="preserve">A5_exp-a4-v2__qp3_confused_faults.json</w:t>
      </w:r>
      <w:r>
        <w:t xml:space="preserve">). Classes com</w:t>
      </w:r>
      <w:r>
        <w:t xml:space="preserve"> </w:t>
      </w:r>
      <w:r>
        <w:rPr>
          <w:rStyle w:val="VerbatimChar"/>
        </w:rPr>
        <w:t xml:space="preserve">support = 0</w:t>
      </w:r>
      <w:r>
        <w:t xml:space="preserve"> </w:t>
      </w:r>
      <w:r>
        <w:t xml:space="preserve">não são interpretadas como</w:t>
      </w:r>
      <w:r>
        <w:t xml:space="preserve"> </w:t>
      </w:r>
      <w:r>
        <w:t xml:space="preserve">“</w:t>
      </w:r>
      <w:r>
        <w:t xml:space="preserve">difíceis observadas</w:t>
      </w:r>
      <w:r>
        <w:t xml:space="preserve">”</w:t>
      </w:r>
      <w:r>
        <w:t xml:space="preserve"> </w:t>
      </w:r>
      <w:r>
        <w:t xml:space="preserve">neste holdout. Não atribuímos mecanismo físico a essas confusões.</w:t>
      </w:r>
    </w:p>
    <w:p>
      <w:pPr>
        <w:pStyle w:val="CaptionedFigure"/>
      </w:pPr>
      <w:r>
        <w:drawing>
          <wp:inline>
            <wp:extent cx="5334000" cy="2952126"/>
            <wp:effectExtent b="0" l="0" r="0" t="0"/>
            <wp:docPr descr="Figura 4. Pares de confusão mais frequentes (A6)." title="" id="1" name="Picture"/>
            <a:graphic>
              <a:graphicData uri="http://schemas.openxmlformats.org/drawingml/2006/picture">
                <pic:pic>
                  <pic:nvPicPr>
                    <pic:cNvPr descr="../figures/A6_exp-a4-v2__08_confused_pai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Pares de confusão mais frequentes (A6).</w:t>
      </w:r>
    </w:p>
    <w:p>
      <w:pPr>
        <w:pStyle w:val="CaptionedFigure"/>
      </w:pPr>
      <w:r>
        <w:drawing>
          <wp:inline>
            <wp:extent cx="5334000" cy="5032431"/>
            <wp:effectExtent b="0" l="0" r="0" t="0"/>
            <wp:docPr descr="Figura 5. Heatmap de F1 por classe (NaN onde support=0) (A6)." title="" id="1" name="Picture"/>
            <a:graphic>
              <a:graphicData uri="http://schemas.openxmlformats.org/drawingml/2006/picture">
                <pic:pic>
                  <pic:nvPicPr>
                    <pic:cNvPr descr="../figures/A6_exp-a4-v2__08_per_class_f1_heat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2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Heatmap de F1 por classe (NaN onde support=0) (A6).</w:t>
      </w:r>
    </w:p>
    <w:bookmarkEnd w:id="43"/>
    <w:bookmarkStart w:id="44" w:name="qp4-complexidade-versus-custo"/>
    <w:p>
      <w:pPr>
        <w:pStyle w:val="Heading2"/>
      </w:pPr>
      <w:r>
        <w:t xml:space="preserve">6.5 QP4 — Complexidade versus custo</w:t>
      </w:r>
    </w:p>
    <w:p>
      <w:pPr>
        <w:pStyle w:val="FirstParagraph"/>
      </w:pPr>
      <w:r>
        <w:t xml:space="preserve">RF obtém o melhor F1/MCC com treino baixo, porém o maior artefato. XGBoost quase empata RF com inferência mais rápida e tamanho cerca de 10× menor. GB não supera RF/XGB e tem o maior tempo de treino (≈282 s): o ganho observado não justifica esse custo nesta baseline. SVM linear combina custo alto e pior desempenho preditivo.</w:t>
      </w:r>
    </w:p>
    <w:bookmarkEnd w:id="44"/>
    <w:bookmarkStart w:id="45" w:name="qp5-compromisso-multicritério"/>
    <w:p>
      <w:pPr>
        <w:pStyle w:val="Heading2"/>
      </w:pPr>
      <w:r>
        <w:t xml:space="preserve">6.6 QP5 — Compromisso multicritério</w:t>
      </w:r>
    </w:p>
    <w:p>
      <w:pPr>
        <w:numPr>
          <w:ilvl w:val="0"/>
          <w:numId w:val="1005"/>
        </w:numPr>
        <w:pStyle w:val="Compact"/>
      </w:pPr>
      <w:r>
        <w:t xml:space="preserve">Maximizar F1/MCC: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Compromisso desempenho/custo:</w:t>
      </w:r>
      <w:r>
        <w:t xml:space="preserve"> </w:t>
      </w:r>
      <w:r>
        <w:rPr>
          <w:bCs/>
          <w:b/>
        </w:rPr>
        <w:t xml:space="preserve">XGBoost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Extremo barato com desempenho intermediário:</w:t>
      </w:r>
      <w:r>
        <w:t xml:space="preserve"> </w:t>
      </w:r>
      <w:r>
        <w:rPr>
          <w:bCs/>
          <w:b/>
        </w:rPr>
        <w:t xml:space="preserve">árvore de decisão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Extremo compacto com desempenho global baixo:</w:t>
      </w:r>
      <w:r>
        <w:t xml:space="preserve"> </w:t>
      </w:r>
      <w:r>
        <w:rPr>
          <w:bCs/>
          <w:b/>
        </w:rPr>
        <w:t xml:space="preserve">regressão logística</w:t>
      </w:r>
      <w:r>
        <w:t xml:space="preserve">.</w:t>
      </w:r>
    </w:p>
    <w:bookmarkEnd w:id="45"/>
    <w:bookmarkStart w:id="46" w:name="análise-estatística-spec-008"/>
    <w:p>
      <w:pPr>
        <w:pStyle w:val="Heading2"/>
      </w:pPr>
      <w:r>
        <w:t xml:space="preserve">6.7 Análise estatística (SPEC-008)</w:t>
      </w:r>
    </w:p>
    <w:p>
      <w:pPr>
        <w:pStyle w:val="FirstParagraph"/>
      </w:pPr>
      <w:r>
        <w:t xml:space="preserve">Unidade experimental: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; n=11 runs de teste; métrica pareada: acurácia dentro do run (</w:t>
      </w:r>
      <w:r>
        <w:rPr>
          <w:rStyle w:val="VerbatimChar"/>
        </w:rPr>
        <w:t xml:space="preserve">run_accuracy</w:t>
      </w:r>
      <w:r>
        <w:t xml:space="preserve">). Fonte:</w:t>
      </w:r>
      <w:r>
        <w:t xml:space="preserve"> </w:t>
      </w:r>
      <w:r>
        <w:rPr>
          <w:rStyle w:val="VerbatimChar"/>
        </w:rPr>
        <w:t xml:space="preserve">results/tables/A8_exp-a4-v2__*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results/metrics/A8_exp-a4-v2__statistics.json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Friedman</w:t>
      </w:r>
      <w:r>
        <w:t xml:space="preserve"> </w:t>
      </w:r>
      <w:r>
        <w:t xml:space="preserve">(6 modelos): χ² = 14,079; p = 0,015 — rejeita igualdade global de ranks.</w:t>
      </w:r>
    </w:p>
    <w:p>
      <w:pPr>
        <w:pStyle w:val="BodyText"/>
      </w:pPr>
      <w:r>
        <w:rPr>
          <w:bCs/>
          <w:b/>
        </w:rPr>
        <w:t xml:space="preserve">Médias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run_accuracy</w:t>
      </w:r>
      <w:r>
        <w:t xml:space="preserve"> </w:t>
      </w:r>
      <w:r>
        <w:t xml:space="preserve">(</w:t>
      </w:r>
      <w:r>
        <w:rPr>
          <w:rStyle w:val="VerbatimChar"/>
        </w:rPr>
        <w:t xml:space="preserve">A8_…__run_metric_summary.csv</w:t>
      </w:r>
      <w:r>
        <w:t xml:space="preserve">): RF 0,635; XGB 0,630; GB 0,614; DT 0,579; LR 0,313; SVM 0,287.</w:t>
      </w:r>
    </w:p>
    <w:p>
      <w:pPr>
        <w:pStyle w:val="BodyText"/>
      </w:pPr>
      <w:r>
        <w:rPr>
          <w:bCs/>
          <w:b/>
        </w:rPr>
        <w:t xml:space="preserve">Wilcoxon com Holm</w:t>
      </w:r>
      <w:r>
        <w:t xml:space="preserve"> </w:t>
      </w:r>
      <w:r>
        <w:rPr>
          <w:iCs/>
          <w:i/>
        </w:rPr>
        <w:t xml:space="preserve">dentro</w:t>
      </w:r>
      <w:r>
        <w:t xml:space="preserve"> </w:t>
      </w:r>
      <w:r>
        <w:t xml:space="preserve">de cada família planejada: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H1</w:t>
      </w:r>
      <w:r>
        <w:t xml:space="preserve"> </w:t>
      </w:r>
      <w:r>
        <w:t xml:space="preserve">(3 pares RF/GB/XGB vs LR): todos significativos → run-level</w:t>
      </w:r>
      <w:r>
        <w:t xml:space="preserve"> </w:t>
      </w:r>
      <w:r>
        <w:rPr>
          <w:bCs/>
          <w:b/>
        </w:rPr>
        <w:t xml:space="preserve">corroborada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H2</w:t>
      </w:r>
      <w:r>
        <w:t xml:space="preserve"> </w:t>
      </w:r>
      <w:r>
        <w:t xml:space="preserve">(4 pares RF/XGB vs LR/DT):</w:t>
      </w:r>
      <w:r>
        <w:t xml:space="preserve"> </w:t>
      </w:r>
      <w:r>
        <w:rPr>
          <w:bCs/>
          <w:b/>
        </w:rPr>
        <w:t xml:space="preserve">nenhum</w:t>
      </w:r>
      <w:r>
        <w:t xml:space="preserve"> </w:t>
      </w:r>
      <w:r>
        <w:t xml:space="preserve">dos quatro pares permanece significativo após Holm (incluindo RF/XGB vs LR nesta família de tamanho 4, ao contrário da família H1 de tamanho 3).</w:t>
      </w:r>
    </w:p>
    <w:p>
      <w:pPr>
        <w:pStyle w:val="FirstParagraph"/>
      </w:pPr>
      <w:r>
        <w:t xml:space="preserve">Limitação: uma semente e um split (AR-5); EST-01 entre sementes não aplicável.</w:t>
      </w:r>
    </w:p>
    <w:bookmarkEnd w:id="46"/>
    <w:bookmarkStart w:id="47" w:name="avaliação-de-h1h4"/>
    <w:p>
      <w:pPr>
        <w:pStyle w:val="Heading2"/>
      </w:pPr>
      <w:r>
        <w:t xml:space="preserve">6.8 Avaliação de H1–H4</w:t>
      </w:r>
    </w:p>
    <w:p>
      <w:pPr>
        <w:pStyle w:val="FirstParagraph"/>
      </w:pPr>
      <w:r>
        <w:t xml:space="preserve">Dois planos de evidência: (1) critérios binários SPEC-000 §4 sobre F1/MCC/custo globais; (2) Friedman/Wilcoxon sobre</w:t>
      </w:r>
      <w:r>
        <w:t xml:space="preserve"> </w:t>
      </w:r>
      <w:r>
        <w:rPr>
          <w:rStyle w:val="VerbatimChar"/>
        </w:rPr>
        <w:t xml:space="preserve">run_accuracy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p>
            <w:pPr>
              <w:pStyle w:val="Compact"/>
              <w:jc w:val="left"/>
            </w:pPr>
            <w:r>
              <w:t xml:space="preserve">Holdout (§4)</w:t>
            </w:r>
          </w:p>
        </w:tc>
        <w:tc>
          <w:p>
            <w:pPr>
              <w:pStyle w:val="Compact"/>
              <w:jc w:val="left"/>
            </w:pPr>
            <w:r>
              <w:t xml:space="preserve">Run-level (SPEC-008)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Corroborada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Corroborada</w:t>
            </w:r>
            <w:r>
              <w:t xml:space="preserve"> </w:t>
            </w:r>
            <w:r>
              <w:t xml:space="preserve">(Holm, família 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Corroborada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corroborada</w:t>
            </w:r>
            <w:r>
              <w:t xml:space="preserve"> </w:t>
            </w:r>
            <w:r>
              <w:t xml:space="preserve">(família 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Corroborada</w:t>
            </w:r>
          </w:p>
        </w:tc>
        <w:tc>
          <w:p>
            <w:pPr>
              <w:pStyle w:val="Compact"/>
              <w:jc w:val="left"/>
            </w:pPr>
            <w:r>
              <w:t xml:space="preserve">N/A (critério custo/F1 por classe)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Corroborada</w:t>
            </w:r>
          </w:p>
        </w:tc>
        <w:tc>
          <w:p>
            <w:pPr>
              <w:pStyle w:val="Compact"/>
              <w:jc w:val="left"/>
            </w:pPr>
            <w:r>
              <w:t xml:space="preserve">N/A (multicritério)</w:t>
            </w:r>
          </w:p>
        </w:tc>
      </w:tr>
    </w:tbl>
    <w:p>
      <w:pPr>
        <w:pStyle w:val="BodyText"/>
      </w:pPr>
      <w:r>
        <w:t xml:space="preserve">H4: líderes distintos — XGB (acurácia), RF (F1/MCC), DT (inferência).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iscussão"/>
    <w:p>
      <w:pPr>
        <w:pStyle w:val="Heading1"/>
      </w:pPr>
      <w:r>
        <w:t xml:space="preserve">7. Discussão</w:t>
      </w:r>
    </w:p>
    <w:p>
      <w:pPr>
        <w:pStyle w:val="FirstParagraph"/>
      </w:pPr>
      <w:r>
        <w:t xml:space="preserve">Os resultados reforçam que</w:t>
      </w:r>
      <w:r>
        <w:t xml:space="preserve"> </w:t>
      </w:r>
      <w:r>
        <w:rPr>
          <w:bCs/>
          <w:b/>
        </w:rPr>
        <w:t xml:space="preserve">escolha de modelo é multicritério</w:t>
      </w:r>
      <w:r>
        <w:t xml:space="preserve">: acurácia, F1/MCC e custo produzem líderes distintos (H4). Ensembles superam LR de forma consistente no holdout e no Wilcoxon H1; a família H2 (4 pares)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corrobora RF/XGB em</w:t>
      </w:r>
      <w:r>
        <w:t xml:space="preserve"> </w:t>
      </w:r>
      <w:r>
        <w:rPr>
          <w:rStyle w:val="VerbatimChar"/>
        </w:rPr>
        <w:t xml:space="preserve">run_accuracy</w:t>
      </w:r>
      <w:r>
        <w:t xml:space="preserve"> </w:t>
      </w:r>
      <w:r>
        <w:t xml:space="preserve">após Holm. LR permanece atrativa sob restrição forte de armazenamento/inferência (H3).</w:t>
      </w:r>
    </w:p>
    <w:p>
      <w:pPr>
        <w:pStyle w:val="BodyText"/>
      </w:pPr>
      <w:r>
        <w:t xml:space="preserve">A interpretação deve incorporar as restrições do desenho experimental (riscos aceitos AR-1–AR-5). Em particular: BA e F1 macro com C=21 incluem zeros por ausência de classe no teste; a seleção por validação ocorreu em classes disjuntas do teste; orçamentos de busca desiguais limitam atribuições à</w:t>
      </w:r>
      <w:r>
        <w:t xml:space="preserve"> </w:t>
      </w:r>
      <w:r>
        <w:t xml:space="preserve">“</w:t>
      </w:r>
      <w:r>
        <w:t xml:space="preserve">família algorítmica</w:t>
      </w:r>
      <w:r>
        <w:t xml:space="preserve">”</w:t>
      </w:r>
      <w:r>
        <w:t xml:space="preserve">; semente única e n=11 limitam o poder dos contrastes Wilcoxon.</w:t>
      </w:r>
    </w:p>
    <w:p>
      <w:pPr>
        <w:pStyle w:val="BodyText"/>
      </w:pPr>
      <w:r>
        <w:t xml:space="preserve">Importâncias de atributos, quando analisadas em trabalhos derivados, devem permanecer descritivas do comportamento do modelo — nunca evidência causal do processo físico do TEP (INV-08).</w:t>
      </w:r>
    </w:p>
    <w:p>
      <w:r>
        <w:pict>
          <v:rect style="width:0;height:1.5pt" o:hralign="center" o:hrstd="t" o:hr="t"/>
        </w:pict>
      </w:r>
    </w:p>
    <w:bookmarkEnd w:id="49"/>
    <w:bookmarkStart w:id="56" w:name="ameaças-à-validade"/>
    <w:p>
      <w:pPr>
        <w:pStyle w:val="Heading1"/>
      </w:pPr>
      <w:r>
        <w:t xml:space="preserve">8. Ameaças à validade</w:t>
      </w:r>
    </w:p>
    <w:bookmarkStart w:id="50" w:name="validade-interna"/>
    <w:p>
      <w:pPr>
        <w:pStyle w:val="Heading2"/>
      </w:pPr>
      <w:r>
        <w:t xml:space="preserve">8.1 Validade interna</w:t>
      </w:r>
    </w:p>
    <w:p>
      <w:pPr>
        <w:pStyle w:val="FirstParagraph"/>
      </w:pPr>
      <w:r>
        <w:t xml:space="preserve">Mitigadas: disjunção de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; seleção sem consulta ao teste; fit de transformações só no treino; protocolo único.</w:t>
      </w:r>
      <w:r>
        <w:t xml:space="preserve"> </w:t>
      </w:r>
      <w:r>
        <w:rPr>
          <w:bCs/>
          <w:b/>
        </w:rPr>
        <w:t xml:space="preserve">Não mitigada estruturalmente:</w:t>
      </w:r>
      <w:r>
        <w:t xml:space="preserve"> </w:t>
      </w:r>
      <w:r>
        <w:t xml:space="preserve">cobertura disjunta de classes entre validação e teste. O scorer de seleção por acurácia amostral na validação está desalinhado com F1/BA sob desbalanceamento e sob o descompasso de classes.</w:t>
      </w:r>
    </w:p>
    <w:bookmarkEnd w:id="50"/>
    <w:bookmarkStart w:id="51" w:name="validade-estatística"/>
    <w:p>
      <w:pPr>
        <w:pStyle w:val="Heading2"/>
      </w:pPr>
      <w:r>
        <w:t xml:space="preserve">8.2 Validade estatística</w:t>
      </w:r>
    </w:p>
    <w:p>
      <w:pPr>
        <w:pStyle w:val="FirstParagraph"/>
      </w:pPr>
      <w:r>
        <w:t xml:space="preserve">Rankings e critérios §4 usam métricas globais do holdout; testes Friedman/Wilcoxon [11,12] agregam por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(n=11) antes da inferência (INV-09). Holm corrige famílias planejadas H1/H2. Poder limitado por n pequeno e semente única. Orçamentos de busca desiguais reduzem a comparabilidade entre famílias. A redação evita conclusões por métrica única.</w:t>
      </w:r>
    </w:p>
    <w:bookmarkEnd w:id="51"/>
    <w:bookmarkStart w:id="52" w:name="validade-de-constructo"/>
    <w:p>
      <w:pPr>
        <w:pStyle w:val="Heading2"/>
      </w:pPr>
      <w:r>
        <w:t xml:space="preserve">8.3 Validade de constructo</w:t>
      </w:r>
    </w:p>
    <w:p>
      <w:pPr>
        <w:pStyle w:val="FirstParagraph"/>
      </w:pPr>
      <w:r>
        <w:t xml:space="preserve">Não interpretamos importância de atributos como física do TEP. Custo é sempre discutido junto ao desempenho. O constructo</w:t>
      </w:r>
      <w:r>
        <w:t xml:space="preserve"> </w:t>
      </w:r>
      <w:r>
        <w:t xml:space="preserve">“</w:t>
      </w:r>
      <w:r>
        <w:t xml:space="preserve">macro sobre 21 classes</w:t>
      </w:r>
      <w:r>
        <w:t xml:space="preserve">”</w:t>
      </w:r>
      <w:r>
        <w:t xml:space="preserve"> </w:t>
      </w:r>
      <w:r>
        <w:t xml:space="preserve">inclui zeros por ausência — documentado; o heatmap A6 usa NaN onde</w:t>
      </w:r>
      <w:r>
        <w:t xml:space="preserve"> </w:t>
      </w:r>
      <w:r>
        <w:rPr>
          <w:rStyle w:val="VerbatimChar"/>
        </w:rPr>
        <w:t xml:space="preserve">support = 0</w:t>
      </w:r>
      <w:r>
        <w:t xml:space="preserve">.</w:t>
      </w:r>
    </w:p>
    <w:bookmarkEnd w:id="52"/>
    <w:bookmarkStart w:id="53" w:name="validade-externa"/>
    <w:p>
      <w:pPr>
        <w:pStyle w:val="Heading2"/>
      </w:pPr>
      <w:r>
        <w:t xml:space="preserve">8.4 Validade externa</w:t>
      </w:r>
    </w:p>
    <w:p>
      <w:pPr>
        <w:pStyle w:val="FirstParagraph"/>
      </w:pPr>
      <w:r>
        <w:t xml:space="preserve">Resultados em TEP simulado não generalizam automaticamente a plantas reais; o escopo é deliberadamente o TEP como referência. O estudo cobre apenas métodos clássicos e uma baseline de busca reduzida — não o máximo de cada família sob tuning ampliado.</w:t>
      </w:r>
    </w:p>
    <w:bookmarkEnd w:id="53"/>
    <w:bookmarkStart w:id="54" w:name="reprodutibilidade-transversal"/>
    <w:p>
      <w:pPr>
        <w:pStyle w:val="Heading2"/>
      </w:pPr>
      <w:r>
        <w:t xml:space="preserve">8.5 Reprodutibilidade (transversal)</w:t>
      </w:r>
    </w:p>
    <w:p>
      <w:pPr>
        <w:pStyle w:val="FirstParagraph"/>
      </w:pPr>
      <w:r>
        <w:t xml:space="preserve">Manifesto, semente, snapshot de ambiente, predições e métricas estão versionados. Residual:</w:t>
      </w:r>
      <w:r>
        <w:t xml:space="preserve"> </w:t>
      </w:r>
      <w:r>
        <w:rPr>
          <w:rStyle w:val="VerbatimChar"/>
        </w:rPr>
        <w:t xml:space="preserve">git_dirty: true</w:t>
      </w:r>
      <w:r>
        <w:t xml:space="preserve"> </w:t>
      </w:r>
      <w:r>
        <w:t xml:space="preserve">no snapshot A4.</w:t>
      </w:r>
    </w:p>
    <w:bookmarkEnd w:id="54"/>
    <w:bookmarkStart w:id="55" w:name="X794fb72269f38301a433defc53eb94f1e34eff2"/>
    <w:p>
      <w:pPr>
        <w:pStyle w:val="Heading2"/>
      </w:pPr>
      <w:r>
        <w:t xml:space="preserve">8.6 Riscos metodológicos aceitos (ACCEPTED RISK)</w:t>
      </w:r>
    </w:p>
    <w:p>
      <w:pPr>
        <w:pStyle w:val="FirstParagraph"/>
      </w:pPr>
      <w:r>
        <w:t xml:space="preserve">Os riscos abaixo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podem ser eliminados sem novo desenho experimental e, portanto, são</w:t>
      </w:r>
      <w:r>
        <w:t xml:space="preserve"> </w:t>
      </w:r>
      <w:r>
        <w:rPr>
          <w:bCs/>
          <w:b/>
        </w:rPr>
        <w:t xml:space="preserve">aceitos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exp-a4-v2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p>
            <w:pPr>
              <w:pStyle w:val="Compact"/>
              <w:jc w:val="left"/>
            </w:pPr>
            <w:r>
              <w:t xml:space="preserve">Mitigação</w:t>
            </w:r>
          </w:p>
        </w:tc>
        <w:tc>
          <w:p>
            <w:pPr>
              <w:pStyle w:val="Compact"/>
              <w:jc w:val="left"/>
            </w:pPr>
            <w:r>
              <w:t xml:space="preserve">Residual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AR-1</w:t>
            </w:r>
          </w:p>
        </w:tc>
        <w:tc>
          <w:p>
            <w:pPr>
              <w:pStyle w:val="Compact"/>
              <w:jc w:val="left"/>
            </w:pPr>
            <w:r>
              <w:t xml:space="preserve">Classes val ∩ teste = ∅</w:t>
            </w:r>
          </w:p>
        </w:tc>
        <w:tc>
          <w:p>
            <w:pPr>
              <w:pStyle w:val="Compact"/>
              <w:jc w:val="left"/>
            </w:pPr>
            <w:r>
              <w:t xml:space="preserve">Manifesto A3; INV-05; discussão explícita</w:t>
            </w:r>
          </w:p>
        </w:tc>
        <w:tc>
          <w:p>
            <w:pPr>
              <w:pStyle w:val="Compact"/>
              <w:jc w:val="left"/>
            </w:pPr>
            <w:r>
              <w:t xml:space="preserve">HP não otimizados nas falhas do teste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AR-2</w:t>
            </w:r>
          </w:p>
        </w:tc>
        <w:tc>
          <w:p>
            <w:pPr>
              <w:pStyle w:val="Compact"/>
              <w:jc w:val="left"/>
            </w:pPr>
            <w:r>
              <w:t xml:space="preserve">Scorer = acurácia amostral</w:t>
            </w:r>
          </w:p>
        </w:tc>
        <w:tc>
          <w:p>
            <w:pPr>
              <w:pStyle w:val="Compact"/>
              <w:jc w:val="left"/>
            </w:pPr>
            <w:r>
              <w:t xml:space="preserve">Publicação multicritério (INV-06/07)</w:t>
            </w:r>
          </w:p>
        </w:tc>
        <w:tc>
          <w:p>
            <w:pPr>
              <w:pStyle w:val="Compact"/>
              <w:jc w:val="left"/>
            </w:pPr>
            <w:r>
              <w:t xml:space="preserve">Desalinhamento seleção ↔ F1/BA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AR-3</w:t>
            </w:r>
          </w:p>
        </w:tc>
        <w:tc>
          <w:p>
            <w:pPr>
              <w:pStyle w:val="Compact"/>
              <w:jc w:val="left"/>
            </w:pPr>
            <w:r>
              <w:t xml:space="preserve">Grids desiguais / SVM linear</w:t>
            </w:r>
          </w:p>
        </w:tc>
        <w:tc>
          <w:p>
            <w:pPr>
              <w:pStyle w:val="Compact"/>
              <w:jc w:val="left"/>
            </w:pPr>
            <w:r>
              <w:t xml:space="preserve">Sem claim de esforço igual; YAML versionado</w:t>
            </w:r>
          </w:p>
        </w:tc>
        <w:tc>
          <w:p>
            <w:pPr>
              <w:pStyle w:val="Compact"/>
              <w:jc w:val="left"/>
            </w:pPr>
            <w:r>
              <w:t xml:space="preserve">Diferenças misturam família e budget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AR-4</w:t>
            </w:r>
          </w:p>
        </w:tc>
        <w:tc>
          <w:p>
            <w:pPr>
              <w:pStyle w:val="Compact"/>
              <w:jc w:val="left"/>
            </w:pPr>
            <w:r>
              <w:t xml:space="preserve">Macro C=21 com ~10 ausentes</w:t>
            </w:r>
          </w:p>
        </w:tc>
        <w:tc>
          <w:p>
            <w:pPr>
              <w:pStyle w:val="Compact"/>
              <w:jc w:val="left"/>
            </w:pPr>
            <w:r>
              <w:t xml:space="preserve">Zeros documentados; heatmap NaN</w:t>
            </w:r>
          </w:p>
        </w:tc>
        <w:tc>
          <w:p>
            <w:pPr>
              <w:pStyle w:val="Compact"/>
              <w:jc w:val="left"/>
            </w:pPr>
            <w:r>
              <w:t xml:space="preserve">Macro ≠ cobertura das 21 falhas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AR-5</w:t>
            </w:r>
          </w:p>
        </w:tc>
        <w:tc>
          <w:p>
            <w:pPr>
              <w:pStyle w:val="Compact"/>
              <w:jc w:val="left"/>
            </w:pPr>
            <w:r>
              <w:t xml:space="preserve">Semente única / n=11</w:t>
            </w:r>
          </w:p>
        </w:tc>
        <w:tc>
          <w:p>
            <w:pPr>
              <w:pStyle w:val="Compact"/>
              <w:jc w:val="left"/>
            </w:pPr>
            <w:r>
              <w:t xml:space="preserve">SPEC-008 declara unidade e n; H2 não corroborada</w:t>
            </w:r>
          </w:p>
        </w:tc>
        <w:tc>
          <w:p>
            <w:pPr>
              <w:pStyle w:val="Compact"/>
              <w:jc w:val="left"/>
            </w:pPr>
            <w:r>
              <w:t xml:space="preserve">Baixo poder; sensibilidade a seed não medida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conclusões"/>
    <w:p>
      <w:pPr>
        <w:pStyle w:val="Heading1"/>
      </w:pPr>
      <w:r>
        <w:t xml:space="preserve">9. Conclusões</w:t>
      </w:r>
    </w:p>
    <w:p>
      <w:pPr>
        <w:pStyle w:val="FirstParagraph"/>
      </w:pPr>
      <w:r>
        <w:t xml:space="preserve">Apresentamos um benchmark reproduzível de seis classificadores clássicos para diagnóstico multiclasse no TEP, com divisão por execução, isolamento do teste e avaliação multicritério. No experimento</w:t>
      </w:r>
      <w:r>
        <w:t xml:space="preserve"> </w:t>
      </w:r>
      <w:r>
        <w:rPr>
          <w:rStyle w:val="VerbatimChar"/>
        </w:rPr>
        <w:t xml:space="preserve">exp-a4-v2</w:t>
      </w:r>
      <w:r>
        <w:t xml:space="preserve">: RF/XGB/GB lideram; LR e SVM linear ficam atrás; XGBoost lidera acurácia enquanto RF lidera F1/MCC; falhas 3, 15 e 10 são as mais difíceis entre as presentes; XGBoost oferece o melhor compromisso observacional desempenho/custo. H1–H4 são</w:t>
      </w:r>
      <w:r>
        <w:t xml:space="preserve"> </w:t>
      </w:r>
      <w:r>
        <w:rPr>
          <w:iCs/>
          <w:i/>
        </w:rPr>
        <w:t xml:space="preserve">corroboradas</w:t>
      </w:r>
      <w:r>
        <w:t xml:space="preserve"> </w:t>
      </w:r>
      <w:r>
        <w:t xml:space="preserve">em §4; em run-level, H1 é corroborada e H2 não (Wilcoxon+Holm,</w:t>
      </w:r>
      <w:r>
        <w:t xml:space="preserve"> </w:t>
      </w:r>
      <w:r>
        <w:rPr>
          <w:rStyle w:val="VerbatimChar"/>
        </w:rPr>
        <w:t xml:space="preserve">run_accuracy</w:t>
      </w:r>
      <w:r>
        <w:t xml:space="preserve">, n=11).</w:t>
      </w:r>
    </w:p>
    <w:p>
      <w:pPr>
        <w:pStyle w:val="BodyText"/>
      </w:pPr>
      <w:r>
        <w:t xml:space="preserve">As conclusões de ranking e de hipóteses devem ser lidas sob os</w:t>
      </w:r>
      <w:r>
        <w:t xml:space="preserve"> </w:t>
      </w:r>
      <w:r>
        <w:rPr>
          <w:bCs/>
          <w:b/>
        </w:rPr>
        <w:t xml:space="preserve">riscos aceitos</w:t>
      </w:r>
      <w:r>
        <w:t xml:space="preserve"> </w:t>
      </w:r>
      <w:r>
        <w:t xml:space="preserve">AR-1–AR-5. Nenhum desses riscos foi ocultado; nenhum foi</w:t>
      </w:r>
      <w:r>
        <w:t xml:space="preserve"> </w:t>
      </w:r>
      <w:r>
        <w:t xml:space="preserve">“</w:t>
      </w:r>
      <w:r>
        <w:t xml:space="preserve">resolvido</w:t>
      </w:r>
      <w:r>
        <w:t xml:space="preserve">”</w:t>
      </w:r>
      <w:r>
        <w:t xml:space="preserve"> </w:t>
      </w:r>
      <w:r>
        <w:t xml:space="preserve">alterando o protocolo congelado.</w:t>
      </w:r>
    </w:p>
    <w:p>
      <w:pPr>
        <w:pStyle w:val="BodyText"/>
      </w:pPr>
      <w:r>
        <w:t xml:space="preserve">Trabalhos futuros incluem: (i) dataset canônico com mais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por classe e splits com overlap controlado de classes entre val/teste; (ii) replicação multi-semente para aumentar o poder dos contrastes Wilcoxon; (iii) tuning documentado com novo identificador de experimento; (iv) uso deste protocolo como referência clássica para modelos profundos, físico-informados e detecção precoce.</w:t>
      </w:r>
    </w:p>
    <w:p>
      <w:r>
        <w:pict>
          <v:rect style="width:0;height:1.5pt" o:hralign="center" o:hrstd="t" o:hr="t"/>
        </w:pict>
      </w:r>
    </w:p>
    <w:bookmarkEnd w:id="57"/>
    <w:bookmarkStart w:id="58" w:name="referências"/>
    <w:p>
      <w:pPr>
        <w:pStyle w:val="Heading1"/>
      </w:pPr>
      <w:r>
        <w:t xml:space="preserve">10. Referências</w:t>
      </w:r>
    </w:p>
    <w:p>
      <w:pPr>
        <w:numPr>
          <w:ilvl w:val="0"/>
          <w:numId w:val="1007"/>
        </w:numPr>
      </w:pPr>
      <w:r>
        <w:t xml:space="preserve">Downs, J. J., &amp; Vogel, E. F. (1993). A plant-wide industrial process control problem.</w:t>
      </w:r>
      <w:r>
        <w:t xml:space="preserve"> </w:t>
      </w:r>
      <w:r>
        <w:rPr>
          <w:iCs/>
          <w:i/>
        </w:rPr>
        <w:t xml:space="preserve">Computers &amp; Chemical Engineering</w:t>
      </w:r>
      <w:r>
        <w:t xml:space="preserve">, 17(3), 245–255.</w:t>
      </w:r>
    </w:p>
    <w:p>
      <w:pPr>
        <w:numPr>
          <w:ilvl w:val="0"/>
          <w:numId w:val="1007"/>
        </w:numPr>
      </w:pPr>
      <w:r>
        <w:t xml:space="preserve">Russell, E. L., Chiang, L. H., &amp; Braatz, R. D. (2000). Fault detection in industrial processes using canonical variate analysis and dynamic principal component analysis.</w:t>
      </w:r>
      <w:r>
        <w:t xml:space="preserve"> </w:t>
      </w:r>
      <w:r>
        <w:rPr>
          <w:iCs/>
          <w:i/>
        </w:rPr>
        <w:t xml:space="preserve">Chemometrics and Intelligent Laboratory Systems</w:t>
      </w:r>
      <w:r>
        <w:t xml:space="preserve">, 51(1), 81–93.</w:t>
      </w:r>
    </w:p>
    <w:p>
      <w:pPr>
        <w:numPr>
          <w:ilvl w:val="0"/>
          <w:numId w:val="1007"/>
        </w:numPr>
      </w:pPr>
      <w:r>
        <w:t xml:space="preserve">Chiang, L. H., Russell, E. L., &amp; Braatz, R. D. (2001).</w:t>
      </w:r>
      <w:r>
        <w:t xml:space="preserve"> </w:t>
      </w:r>
      <w:r>
        <w:rPr>
          <w:iCs/>
          <w:i/>
        </w:rPr>
        <w:t xml:space="preserve">Fault Detection and Diagnosis in Industrial Systems</w:t>
      </w:r>
      <w:r>
        <w:t xml:space="preserve">. Springer.</w:t>
      </w:r>
    </w:p>
    <w:p>
      <w:pPr>
        <w:numPr>
          <w:ilvl w:val="0"/>
          <w:numId w:val="1007"/>
        </w:numPr>
      </w:pPr>
      <w:r>
        <w:t xml:space="preserve">Yin, S., Ding, S. X., Haghani, A., Hao, H., &amp; Zhang, P. (2012). A comparison study of basic data-driven fault diagnosis and process monitoring methods on the benchmark Tennessee Eastman process.</w:t>
      </w:r>
      <w:r>
        <w:t xml:space="preserve"> </w:t>
      </w:r>
      <w:r>
        <w:rPr>
          <w:iCs/>
          <w:i/>
        </w:rPr>
        <w:t xml:space="preserve">Journal of Process Control</w:t>
      </w:r>
      <w:r>
        <w:t xml:space="preserve">, 22(9), 1567–1581.</w:t>
      </w:r>
    </w:p>
    <w:p>
      <w:pPr>
        <w:numPr>
          <w:ilvl w:val="0"/>
          <w:numId w:val="1007"/>
        </w:numPr>
      </w:pPr>
      <w:r>
        <w:t xml:space="preserve">Rieth, C. A., Amsel, B. D., Tran, R., &amp; Cook, M. B. (2017). Additional Tennessee Eastman Process Simulation Dataset for Anomaly Detection Evaluation. Harvard Dataverse.</w:t>
      </w:r>
    </w:p>
    <w:p>
      <w:pPr>
        <w:numPr>
          <w:ilvl w:val="0"/>
          <w:numId w:val="1007"/>
        </w:numPr>
      </w:pPr>
      <w:r>
        <w:t xml:space="preserve">Breiman, L. (2001). Random Forests.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 45(1), 5–32.</w:t>
      </w:r>
    </w:p>
    <w:p>
      <w:pPr>
        <w:numPr>
          <w:ilvl w:val="0"/>
          <w:numId w:val="1007"/>
        </w:numPr>
      </w:pPr>
      <w:r>
        <w:t xml:space="preserve">Chen, T., &amp; Guestrin, C. (2016). XGBoost: A Scalable Tree Boosting System.</w:t>
      </w:r>
      <w:r>
        <w:t xml:space="preserve"> </w:t>
      </w:r>
      <w:r>
        <w:rPr>
          <w:iCs/>
          <w:i/>
        </w:rPr>
        <w:t xml:space="preserve">KDD</w:t>
      </w:r>
      <w:r>
        <w:t xml:space="preserve">, 785–794.</w:t>
      </w:r>
    </w:p>
    <w:p>
      <w:pPr>
        <w:numPr>
          <w:ilvl w:val="0"/>
          <w:numId w:val="1007"/>
        </w:numPr>
      </w:pPr>
      <w:r>
        <w:t xml:space="preserve">Cortes, C., &amp; Vapnik, V. (1995). Support-Vector Networks.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 20(3), 273–297.</w:t>
      </w:r>
    </w:p>
    <w:p>
      <w:pPr>
        <w:numPr>
          <w:ilvl w:val="0"/>
          <w:numId w:val="1007"/>
        </w:numPr>
      </w:pPr>
      <w:r>
        <w:t xml:space="preserve">Pedregosa, F., et al. (2011). Scikit-learn: Machine Learning in Python.</w:t>
      </w:r>
      <w:r>
        <w:t xml:space="preserve"> </w:t>
      </w:r>
      <w:r>
        <w:rPr>
          <w:iCs/>
          <w:i/>
        </w:rPr>
        <w:t xml:space="preserve">JMLR</w:t>
      </w:r>
      <w:r>
        <w:t xml:space="preserve">, 12, 2825–2830.</w:t>
      </w:r>
    </w:p>
    <w:p>
      <w:pPr>
        <w:numPr>
          <w:ilvl w:val="0"/>
          <w:numId w:val="1007"/>
        </w:numPr>
      </w:pPr>
      <w:r>
        <w:t xml:space="preserve">Matthews, B. W. (1975). Comparison of the predicted and observed secondary structure of T4 phage lysozyme.</w:t>
      </w:r>
      <w:r>
        <w:t xml:space="preserve"> </w:t>
      </w:r>
      <w:r>
        <w:rPr>
          <w:iCs/>
          <w:i/>
        </w:rPr>
        <w:t xml:space="preserve">Biochimica et Biophysica Acta</w:t>
      </w:r>
      <w:r>
        <w:t xml:space="preserve">, 405(2), 442–451.</w:t>
      </w:r>
    </w:p>
    <w:p>
      <w:pPr>
        <w:numPr>
          <w:ilvl w:val="0"/>
          <w:numId w:val="1007"/>
        </w:numPr>
      </w:pPr>
      <w:r>
        <w:t xml:space="preserve">Friedman, M. (1937). The Use of Ranks to Avoid the Assumption of Normality Implicit in the Analysis of Variance.</w:t>
      </w:r>
      <w:r>
        <w:t xml:space="preserve"> </w:t>
      </w:r>
      <w:r>
        <w:rPr>
          <w:iCs/>
          <w:i/>
        </w:rPr>
        <w:t xml:space="preserve">JASA</w:t>
      </w:r>
      <w:r>
        <w:t xml:space="preserve">, 32(200), 675–701.</w:t>
      </w:r>
    </w:p>
    <w:p>
      <w:pPr>
        <w:numPr>
          <w:ilvl w:val="0"/>
          <w:numId w:val="1007"/>
        </w:numPr>
      </w:pPr>
      <w:r>
        <w:t xml:space="preserve">Wilcoxon, F. (1945). Individual Comparisons by Ranking Methods.</w:t>
      </w:r>
      <w:r>
        <w:t xml:space="preserve"> </w:t>
      </w:r>
      <w:r>
        <w:rPr>
          <w:iCs/>
          <w:i/>
        </w:rPr>
        <w:t xml:space="preserve">Biometrics Bulletin</w:t>
      </w:r>
      <w:r>
        <w:t xml:space="preserve">, 1(6), 80–83.</w:t>
      </w:r>
    </w:p>
    <w:p>
      <w:r>
        <w:pict>
          <v:rect style="width:0;height:1.5pt" o:hralign="center" o:hrstd="t" o:hr="t"/>
        </w:pict>
      </w:r>
    </w:p>
    <w:bookmarkEnd w:id="58"/>
    <w:bookmarkStart w:id="59" w:name="apêndice-a-índice-de-artefatos"/>
    <w:p>
      <w:pPr>
        <w:pStyle w:val="Heading1"/>
      </w:pPr>
      <w:r>
        <w:t xml:space="preserve">Apêndice A — Índice de artefatos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p>
            <w:pPr>
              <w:pStyle w:val="Compact"/>
              <w:jc w:val="left"/>
            </w:pPr>
            <w:r>
              <w:t xml:space="preserve">Caminho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configs/experiments/exp-a4-v2.yaml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Snapshot A4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results/metadata/exp-a4-v2__config_snapshot.json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Métricas A5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results/tables/A5_exp-a4-v2__global_metrics.csv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 A5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results/tables/A5_exp-a4-v2__cost_metrics.csv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 classe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results/tables/A5_exp-a4-v2__per_class_metrics.csv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QP3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results/tables/A5_exp-a4-v2__qp3_confused_faults.json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Friedman SPEC-008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results/tables/A8_exp-a4-v2__friedman.json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Wilcoxon H1/H2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results/tables/A8_exp-a4-v2__wilcoxon_H*_family.csv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 estatístico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results/metrics/A8_exp-a4-v2__statistics.json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Relatório A7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reports/technical/A7_technical_report.md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Figuras A6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article/figures/A6_exp-a4-v2__*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 final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reports/technical/A8_scientific_review_exp-a4-v3_post_remediation.md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apêndice-b-critérios-de-aceite"/>
    <w:p>
      <w:pPr>
        <w:pStyle w:val="Heading1"/>
      </w:pPr>
      <w:r>
        <w:t xml:space="preserve">Apêndice B — Critérios de aceite</w:t>
      </w:r>
    </w:p>
    <w:p>
      <w:pPr>
        <w:pStyle w:val="FirstParagraph"/>
      </w:pPr>
      <w:r>
        <w:t xml:space="preserve">CA-07 (QP1–QP5), CA-08 (H1–H4) e CA-10 (estrutura de 10 seções + ameaças nas quatro categorias) são endereçados neste documento. Números alinhados a A5/A6/A8 estatístico (DOC-R03). Relatório operacional expandido: Entrega A7.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 reproduzível de métodos clássicos de aprendizado de máquina para diagnóstico de falhas no Tennessee Eastman Process</dc:title>
  <dc:creator>Grupo A — WP1A / MEI0028 — Modelagem e Simulação (PUC Goiás)</dc:creator>
  <cp:keywords/>
  <dcterms:created xsi:type="dcterms:W3CDTF">2026-09-15T21:33:02Z</dcterms:created>
  <dcterms:modified xsi:type="dcterms:W3CDTF">2026-09-15T21:33:02Z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2026-09-15</vt:lpwstr>
  </property>
</Properties>
</file>