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Campaign Brief Template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Agree the commercial outcome, audience, measurement and ownership before the work starts.</w:t>
      </w:r>
    </w:p>
    <w:p>
      <w:pPr>
        <w:pBdr>
          <w:bottom w:val="single" w:color="1F3A5F" w:sz="6" w:space="3"/>
        </w:pBdr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HOW TO USE IT</w:t>
      </w:r>
    </w:p>
    <w:p>
      <w:pPr>
        <w:spacing w:after="140"/>
      </w:pPr>
      <w:r>
        <w:rPr>
          <w:rFonts w:ascii="Calibri" w:cs="Calibri" w:eastAsia="Calibri" w:hAnsi="Calibri"/>
          <w:sz w:val="19"/>
          <w:szCs w:val="19"/>
        </w:rPr>
        <w:t xml:space="preserve">Complete the brief with the people who own the commercial result, delivery and measurement. Be specific — replace terms such as ‘drive leads’ with a defined outcome, target, timeframe and source. Do not approve activity until the measurement and tracking sections have named owners.</w:t>
      </w:r>
    </w:p>
    <w:p>
      <w:pPr>
        <w:pBdr>
          <w:bottom w:val="single" w:color="1F3A5F" w:sz="6" w:space="3"/>
        </w:pBdr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CAMPAIGN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Campaign name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Brief owner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Business owner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Final approver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Budget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Launch date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Delivery date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Review cadence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Expected deliverables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List the outputs, format, quantity and any fixed specifications.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1F3A5F" w:sz="6" w:space="3"/>
        </w:pBdr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SECTION 01 — BUSINESS PROBLEM AND CONTEXT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needs to change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State the problem or opportunity. Include the evidence, what has already been tried, and the cost of doing nothing.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Why this work matters now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Explain the business timing, any sales programme, product priority, market shift or operational dependency.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past activity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Record results, creative or learning from similar work. Link or attach the supporting evidence.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1F3A5F" w:sz="6" w:space="3"/>
        </w:pBdr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SECTION 02 — OBJECTIVES AND OUTCOMES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Commercial outcome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State one measurable result and timeframe — qualified pipeline at an agreed cost, incremental revenue, bookings, donations or retention.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Marketing objective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State what marketing must change to support the commercial outcome. Separate activity measures from the result.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Communications objective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State what the audience should think, feel or understand after seeing the work.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Decision criteria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What result would justify continuing, changing or stopping the activity?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1F3A5F" w:sz="6" w:space="3"/>
        </w:pBdr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SECTION 03 — AUDIENCE AND PROPOSITION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Primary audience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Define the segment, market, decision-maker, buying stage and any useful customer insight.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Desired customer action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Name the next action and the reason someone would take it now.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Proposition and proof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Write the single main promise, the evidence behind it, and any mandatory message.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Competitors and alternatives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Record who or what the audience may choose instead, and what this work must answer.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1F3A5F" w:sz="6" w:space="3"/>
        </w:pBdr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SECTION 04 — JOURNEY, CHANNELS AND DELIVERY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Customer journey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Show where the campaign enters the journey and where hand-offs or drop-offs are likely.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Channel role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Explain the job of each channel. Avoid a list of platforms without a reason for using them.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Creative and content requirements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Deliverables, format, mandatory assets, brand or legal requirements, references, reuse plan.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Timing, seasonality and dependencies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Launch dates, seasonal moments, production lead times, approvals, external dependencies.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1F3A5F" w:sz="6" w:space="3"/>
        </w:pBdr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SECTION 05 — MEASUREMENT AND TRACKING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Agree the definition, target and source before activity begins. A dashboard is not a source of truth unless the underlying data is understood.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Metric role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Definition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Baseline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Target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Source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Owner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Primary outcome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Supporting indicator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Guardrail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1504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Conversion and event definition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Name the action, exact trigger, value, currency and parameters. State how duplicates and test submissions are handled.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Campaign naming and UTMs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Name the taxonomy owner and the agreed source, medium, campaign, content and term conventions.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CRM and revenue hand-off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How the lead, booking or order reaches the CRM or finance record, and which identifier joins the records.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QA and reporting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Who tests before launch, who checks after launch, and how often numbers are reconciled.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1F3A5F" w:sz="6" w:space="3"/>
        </w:pBdr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SECTION 06 — TESTING, BUDGET AND OWNERSHIP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Test plan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Hypothesis, control, variants, primary metric, guardrail, minimum sample, and stopping rule — before the test starts.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Budget and allocation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Total budget, what is fixed, what can move, and the evidence required to reallocate it.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Roles and approvals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Name the owners for commercial outcome, campaign, creative, media, tracking, data, sales hand-off and final approval.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Risks and constraints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Legal, consent, brand, market, stock, operational, technical or reputational constraints.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1F3A5F" w:sz="6" w:space="3"/>
        </w:pBdr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SECTION 07 — FINAL CHECK AND SIGN-OFF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Resolve every item marked ‘Needs work’ before the campaign is approved.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Check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Yes / Needs work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The commercial outcome is clear and measurable.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The audience is specific enough to brief media and creative teams.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The action we want the audience to take is unambiguous.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The primary result can be measured from an agreed source.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The tracking owner and QA date are named.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The budget, dependencies and approval route are clear.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The test can run to its agreed stopping rule without being called early.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/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Open decisions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List the decision, owner and deadline.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C9C3B4" w:sz="4" w:space="1"/>
        </w:pBd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Approval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Brief owner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Date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Business owner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Date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Final approver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  <w:tc>
          <w:tcPr>
            <w:tcW w:type="dxa" w:w="4513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Date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</w:p>
        </w:tc>
      </w:tr>
    </w:tbl>
    <w:p>
      <w:pPr>
        <w:pBdr>
          <w:top w:val="single" w:color="1F3A5F" w:sz="8" w:space="6"/>
        </w:pBdr>
        <w:spacing w:before="400"/>
      </w:pPr>
      <w:r>
        <w:rPr>
          <w:rFonts w:ascii="Calibri" w:cs="Calibri" w:eastAsia="Calibri" w:hAnsi="Calibri"/>
          <w:color w:val="B5511D"/>
          <w:sz w:val="18"/>
          <w:szCs w:val="18"/>
        </w:rPr>
        <w:t xml:space="preserve">Faisal Mahmud — Fractional Marketing Director — faisalconsulting.co.uk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2026-09-11T07:01:28.820Z</dcterms:created>
  <dcterms:modified xsi:type="dcterms:W3CDTF">2026-09-11T07:01:28.829Z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