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08</w:t>
      </w:r>
      <w:r w:rsidRPr="00F0140C">
        <w:rPr>
          <w:lang w:val="es-ES"/>
        </w:rPr>
        <w:t xml:space="preserve">- </w:t>
      </w:r>
      <w:r w:rsidR="005A3207">
        <w:rPr>
          <w:lang w:val="es-ES"/>
        </w:rPr>
        <w:t>ConsultaCCM-Ministerio</w:t>
      </w:r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 xml:space="preserve">realizar la consulta de CCM, a través del Portal </w:t>
      </w:r>
      <w:r w:rsidR="005A3207">
        <w:rPr>
          <w:rFonts w:ascii="Arial" w:hAnsi="Arial" w:cs="Arial"/>
        </w:rPr>
        <w:t>HQ-RUNT.</w:t>
      </w:r>
    </w:p>
    <w:p w:rsidR="009118D7" w:rsidRPr="00390A03" w:rsidRDefault="009118D7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5A320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Ministerio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5A3207" w:rsidRPr="00D379B4" w:rsidTr="009D4057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224A7A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212269" w:rsidRDefault="00A55DC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Corresponde a la fecha de inicio del rango de cancelación de vehículo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224A7A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212269" w:rsidRDefault="00A55DCC" w:rsidP="009D4057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Corresponde a la fecha de fin del rango de cancelación de vehículo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11021F" w:rsidRDefault="005A3207" w:rsidP="009D4057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3207" w:rsidRDefault="00224A7A" w:rsidP="00224A7A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Default="00224A7A" w:rsidP="009D4057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Corresponde a los motivos de cancelación de un vehículo con el cual se genera un CCM.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Default="005A3207" w:rsidP="009D4057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3207" w:rsidRDefault="00224A7A" w:rsidP="009D4057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Lista de selección única con los estados en los que puede estar un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Default="00224A7A" w:rsidP="009D4057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Corresponde a los estados en los que puede estar un CCM</w:t>
            </w:r>
          </w:p>
        </w:tc>
      </w:tr>
    </w:tbl>
    <w:p w:rsidR="009118D7" w:rsidRPr="00D379B4" w:rsidRDefault="009118D7" w:rsidP="00182597">
      <w:pPr>
        <w:pStyle w:val="Prrafodelista"/>
        <w:numPr>
          <w:ilvl w:val="0"/>
          <w:numId w:val="14"/>
        </w:numPr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5A3207">
        <w:rPr>
          <w:rFonts w:ascii="Arial" w:hAnsi="Arial" w:cs="Arial"/>
        </w:rPr>
        <w:t>funcionario de Ministerio</w:t>
      </w:r>
      <w:r>
        <w:rPr>
          <w:rFonts w:ascii="Arial" w:hAnsi="Arial" w:cs="Arial"/>
        </w:rPr>
        <w:t xml:space="preserve"> ingresa a la opción “</w:t>
      </w:r>
      <w:r w:rsidR="00182597">
        <w:rPr>
          <w:rFonts w:ascii="Arial" w:hAnsi="Arial" w:cs="Arial"/>
        </w:rPr>
        <w:t>Consulta CCM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:rsidR="00B85E03" w:rsidRPr="00B85E03" w:rsidRDefault="00224A7A" w:rsidP="00B85E0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 xml:space="preserve">despliega </w:t>
      </w:r>
      <w:r w:rsidRPr="00390A03">
        <w:rPr>
          <w:rFonts w:ascii="Arial" w:hAnsi="Arial" w:cs="Arial"/>
        </w:rPr>
        <w:t>un formulario con los campos descritos en la sección “3. Entradas” de este documento</w:t>
      </w:r>
    </w:p>
    <w:p w:rsidR="00B85E03" w:rsidRDefault="00B85E03" w:rsidP="00B85E0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funcionario de Ministerio indica la fecha de cancelación inicial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Indica la fecha de cancelación final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selecciona el motivo de cancelación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selecciona el estado del CCM</w:t>
      </w:r>
      <w:bookmarkStart w:id="4" w:name="_GoBack"/>
      <w:bookmarkEnd w:id="4"/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selecciona la opción Consultar</w:t>
      </w:r>
    </w:p>
    <w:p w:rsidR="006F7ABE" w:rsidRDefault="006F7ABE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recupera la información de los CCM registrados que cumplan las validaciones anteriores.</w:t>
      </w:r>
    </w:p>
    <w:p w:rsidR="00DD4686" w:rsidRDefault="00DD4686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termina la ejecución del caso de uso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DD4686" w:rsidRDefault="001854FB" w:rsidP="00CC33C9">
      <w:pPr>
        <w:pStyle w:val="Prrafodelista"/>
        <w:spacing w:line="276" w:lineRule="auto"/>
        <w:jc w:val="both"/>
        <w:rPr>
          <w:b/>
        </w:rPr>
      </w:pPr>
      <w:r w:rsidRPr="00CC33C9">
        <w:rPr>
          <w:b/>
        </w:rPr>
        <w:t>5.1</w:t>
      </w:r>
      <w:r w:rsidR="00DD4686">
        <w:rPr>
          <w:b/>
        </w:rPr>
        <w:t xml:space="preserve"> Información de filtro no ingresada</w:t>
      </w:r>
    </w:p>
    <w:p w:rsidR="00A23475" w:rsidRDefault="001854FB" w:rsidP="00CC33C9">
      <w:pPr>
        <w:pStyle w:val="Prrafodelista"/>
        <w:spacing w:line="276" w:lineRule="auto"/>
        <w:jc w:val="both"/>
      </w:pPr>
      <w:r>
        <w:t xml:space="preserve"> Si en el paso </w:t>
      </w:r>
      <w:r w:rsidR="00DD4686">
        <w:t xml:space="preserve">7 </w:t>
      </w:r>
      <w:r>
        <w:t xml:space="preserve"> del flujo básico de eventos</w:t>
      </w:r>
      <w:r w:rsidR="00DD4686">
        <w:t>, el funcionario no ha ingresado los filtros, el sistema recupera la información de todos los CCM generados</w:t>
      </w:r>
      <w:r w:rsidR="006F7ABE">
        <w:t xml:space="preserve"> a la fecha de la consulta</w:t>
      </w:r>
      <w:r>
        <w:t>.</w:t>
      </w:r>
    </w:p>
    <w:p w:rsidR="006F7ABE" w:rsidRDefault="006F7ABE" w:rsidP="00CC33C9">
      <w:pPr>
        <w:pStyle w:val="Prrafodelista"/>
        <w:spacing w:line="276" w:lineRule="auto"/>
        <w:jc w:val="both"/>
      </w:pPr>
    </w:p>
    <w:p w:rsidR="006F7ABE" w:rsidRPr="006F7ABE" w:rsidRDefault="006F7ABE" w:rsidP="00CC33C9">
      <w:pPr>
        <w:pStyle w:val="Prrafodelista"/>
        <w:spacing w:line="276" w:lineRule="auto"/>
        <w:jc w:val="both"/>
        <w:rPr>
          <w:b/>
        </w:rPr>
      </w:pPr>
      <w:r w:rsidRPr="006F7ABE">
        <w:rPr>
          <w:b/>
        </w:rPr>
        <w:t>5.2 Ver detalle</w:t>
      </w:r>
    </w:p>
    <w:p w:rsidR="006F7ABE" w:rsidRDefault="006F7ABE" w:rsidP="00CC33C9">
      <w:pPr>
        <w:pStyle w:val="Prrafodelista"/>
        <w:spacing w:line="276" w:lineRule="auto"/>
        <w:jc w:val="both"/>
      </w:pPr>
      <w:r>
        <w:t>Si en el paso 8 el sistema recupera CCM que se encuentren en estado UTILIZADO, el sistema realiza lo siguiente</w:t>
      </w:r>
    </w:p>
    <w:p w:rsidR="006F7ABE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r>
        <w:t>Habilita una opción de ver detalle del registro que se encuentra en estado.</w:t>
      </w:r>
    </w:p>
    <w:p w:rsidR="006F7ABE" w:rsidRPr="001854FB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r>
        <w:t>Al seleccionar ver detalle, el sistema abre una nueva ventana con la información del detalle del CCM.</w:t>
      </w:r>
    </w:p>
    <w:p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6F7ABE">
        <w:rPr>
          <w:rFonts w:ascii="Arial" w:hAnsi="Arial" w:cs="Arial"/>
          <w:lang w:val="es-ES"/>
        </w:rPr>
        <w:t>El funcionario de Ministerio obtiene la información de la consulta realizada</w:t>
      </w:r>
      <w:r>
        <w:rPr>
          <w:rFonts w:ascii="Arial" w:hAnsi="Arial" w:cs="Arial"/>
          <w:lang w:val="es-ES"/>
        </w:rPr>
        <w:t>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7A6DE7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DE7" w:rsidRDefault="007A6DE7" w:rsidP="009118D7">
      <w:pPr>
        <w:spacing w:line="240" w:lineRule="auto"/>
      </w:pPr>
      <w:r>
        <w:separator/>
      </w:r>
    </w:p>
  </w:endnote>
  <w:endnote w:type="continuationSeparator" w:id="0">
    <w:p w:rsidR="007A6DE7" w:rsidRDefault="007A6DE7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7A6DE7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F7ABE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F7ABE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7A6D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DE7" w:rsidRDefault="007A6DE7" w:rsidP="009118D7">
      <w:pPr>
        <w:spacing w:line="240" w:lineRule="auto"/>
      </w:pPr>
      <w:r>
        <w:separator/>
      </w:r>
    </w:p>
  </w:footnote>
  <w:footnote w:type="continuationSeparator" w:id="0">
    <w:p w:rsidR="007A6DE7" w:rsidRDefault="007A6DE7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7A6DE7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2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82597"/>
    <w:rsid w:val="001854FB"/>
    <w:rsid w:val="001A6640"/>
    <w:rsid w:val="00222B66"/>
    <w:rsid w:val="00224A7A"/>
    <w:rsid w:val="00345E5A"/>
    <w:rsid w:val="0043248D"/>
    <w:rsid w:val="004F228C"/>
    <w:rsid w:val="005A3207"/>
    <w:rsid w:val="00691B78"/>
    <w:rsid w:val="006F7ABE"/>
    <w:rsid w:val="00773507"/>
    <w:rsid w:val="00783CCB"/>
    <w:rsid w:val="007A6DE7"/>
    <w:rsid w:val="007F3242"/>
    <w:rsid w:val="007F6C42"/>
    <w:rsid w:val="00815779"/>
    <w:rsid w:val="00822CE0"/>
    <w:rsid w:val="008F69F2"/>
    <w:rsid w:val="009118D7"/>
    <w:rsid w:val="00990B53"/>
    <w:rsid w:val="009F3EEC"/>
    <w:rsid w:val="00A212DD"/>
    <w:rsid w:val="00A23475"/>
    <w:rsid w:val="00A55DCC"/>
    <w:rsid w:val="00AA3399"/>
    <w:rsid w:val="00AB1F2A"/>
    <w:rsid w:val="00B85E03"/>
    <w:rsid w:val="00BB4173"/>
    <w:rsid w:val="00C54C8C"/>
    <w:rsid w:val="00CA1956"/>
    <w:rsid w:val="00CC33C9"/>
    <w:rsid w:val="00D41F35"/>
    <w:rsid w:val="00D50FC6"/>
    <w:rsid w:val="00DA6F3E"/>
    <w:rsid w:val="00DD4686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3385-BFDF-4722-8347-07CD523B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2017-02-01T18:41:00Z</dcterms:created>
  <dcterms:modified xsi:type="dcterms:W3CDTF">2017-02-02T23:38:00Z</dcterms:modified>
</cp:coreProperties>
</file>