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B55D0B" w:rsidRPr="00B55D0B">
        <w:rPr>
          <w:rFonts w:ascii="Arial" w:hAnsi="Arial" w:cs="Arial"/>
          <w:b/>
          <w:sz w:val="36"/>
          <w:szCs w:val="36"/>
        </w:rPr>
        <w:t>CUG0011-Parametrización Tipo Anexo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E60501" w:rsidRPr="00E60501" w:rsidRDefault="00E60501" w:rsidP="00E60501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60501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E60501">
        <w:rPr>
          <w:rFonts w:ascii="Arial" w:hAnsi="Arial" w:cs="Arial"/>
          <w:b/>
          <w:sz w:val="20"/>
          <w:szCs w:val="20"/>
        </w:rPr>
        <w:fldChar w:fldCharType="begin"/>
      </w:r>
      <w:r w:rsidRPr="00E60501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E60501">
        <w:rPr>
          <w:rFonts w:ascii="Arial" w:hAnsi="Arial" w:cs="Arial"/>
          <w:b/>
          <w:sz w:val="20"/>
          <w:szCs w:val="20"/>
        </w:rPr>
        <w:fldChar w:fldCharType="end"/>
      </w:r>
      <w:r w:rsidRPr="00E60501">
        <w:rPr>
          <w:rFonts w:ascii="Arial" w:hAnsi="Arial" w:cs="Arial"/>
          <w:b/>
          <w:sz w:val="20"/>
          <w:szCs w:val="20"/>
        </w:rPr>
        <w:t xml:space="preserve"> </w:t>
      </w:r>
      <w:r w:rsidRPr="00E60501">
        <w:rPr>
          <w:rFonts w:ascii="Arial" w:hAnsi="Arial" w:cs="Arial"/>
          <w:b/>
          <w:sz w:val="20"/>
          <w:szCs w:val="20"/>
          <w:lang w:val="es-ES"/>
        </w:rPr>
        <w:t>CUG0011-Parametrización Tipo Anexo</w:t>
      </w:r>
    </w:p>
    <w:p w:rsidR="00E60501" w:rsidRPr="00E60501" w:rsidRDefault="00E60501" w:rsidP="00E60501">
      <w:pPr>
        <w:spacing w:line="276" w:lineRule="auto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E60501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Este caso de uso permite parametrizar los tipos de anexo que se requieren para registrar la solicitud del CCM</w:t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E60501">
        <w:rPr>
          <w:rFonts w:ascii="Arial" w:hAnsi="Arial" w:cs="Arial"/>
          <w:b/>
          <w:color w:val="auto"/>
          <w:sz w:val="20"/>
          <w:szCs w:val="20"/>
        </w:rPr>
        <w:t>Actores</w:t>
      </w:r>
      <w:bookmarkStart w:id="2" w:name="_GoBack"/>
      <w:bookmarkEnd w:id="1"/>
      <w:bookmarkEnd w:id="2"/>
    </w:p>
    <w:p w:rsidR="00E60501" w:rsidRPr="00E60501" w:rsidRDefault="00E60501" w:rsidP="00E60501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RUNT</w:t>
      </w:r>
    </w:p>
    <w:p w:rsidR="00E60501" w:rsidRPr="00E60501" w:rsidRDefault="00E60501" w:rsidP="00E60501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E60501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2204"/>
        <w:gridCol w:w="2208"/>
        <w:gridCol w:w="2215"/>
      </w:tblGrid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el nombre del tipo de anexo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la descripción del tipo de anexo</w:t>
            </w: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4" w:name="_Toc425771382"/>
      <w:r w:rsidRPr="00E60501">
        <w:rPr>
          <w:rFonts w:ascii="Arial" w:hAnsi="Arial" w:cs="Arial"/>
          <w:color w:val="auto"/>
          <w:sz w:val="20"/>
          <w:szCs w:val="20"/>
        </w:rPr>
        <w:t>Flujo básico de eventos</w:t>
      </w:r>
      <w:bookmarkEnd w:id="4"/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El actor ingresa a la opción de parametrizar tipos de anexo por el portal de HQ-RUNT. </w:t>
      </w:r>
    </w:p>
    <w:p w:rsidR="00E60501" w:rsidRPr="00E60501" w:rsidRDefault="00E60501" w:rsidP="00E60501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 actor selecciona la opción de registrar un nuevo tipo de anexo.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 El sistema muestra un formulario el cual contiene los datos descritos en la sección “3.Entradas”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Nombre</w:t>
      </w:r>
    </w:p>
    <w:p w:rsidR="00E60501" w:rsidRPr="00E60501" w:rsidRDefault="00E60501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</w:rPr>
        <w:t>Descripción.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actor selecciona el botón de aceptar.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</w:rPr>
        <w:t>5. El sistema genera un mensaje con la confirmación de la creación.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E60501" w:rsidRPr="00E60501" w:rsidRDefault="00E60501" w:rsidP="00E60501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E60501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Cancelar</w:t>
      </w:r>
    </w:p>
    <w:p w:rsidR="00E60501" w:rsidRPr="00E60501" w:rsidRDefault="00E60501" w:rsidP="00E60501">
      <w:pPr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En el paso 4 del flujo básico de eventos, el actor selecciona la opción cancelar, al seleccionar el botón se realiza el siguiente proceso:</w:t>
      </w:r>
    </w:p>
    <w:p w:rsidR="00E60501" w:rsidRPr="00E60501" w:rsidRDefault="00E60501" w:rsidP="00E60501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lastRenderedPageBreak/>
        <w:t>el sistema retorna al paso 2 del flujo básico de eventos.</w:t>
      </w:r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Si en el paso 2 del flujo básico de eventos, el actor selecciona la opción de editar, se ejecutan las siguientes acciones: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E60501" w:rsidRP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2. El actor selecciona  la opción Aceptar.</w:t>
      </w:r>
    </w:p>
    <w:p w:rsidR="00E60501" w:rsidRP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3. el sistema genera un mensaje indicando la confirmación del cambio.</w:t>
      </w:r>
    </w:p>
    <w:p w:rsidR="00E60501" w:rsidRP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3. Si se selecciona la opción Cancelar, el sistema retorna al paso 2 del flujo básico de eventos.</w:t>
      </w:r>
    </w:p>
    <w:p w:rsidR="00E60501" w:rsidRPr="00E60501" w:rsidRDefault="00E60501" w:rsidP="00E60501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ab/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E60501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 aplica.</w:t>
      </w:r>
    </w:p>
    <w:p w:rsidR="00E60501" w:rsidRPr="00E60501" w:rsidRDefault="00E60501" w:rsidP="00E60501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E60501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E60501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E60501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E60501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E60501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65F7FA7E" wp14:editId="755195DA">
            <wp:extent cx="5943600" cy="2499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501" w:rsidDel="00610F3D">
        <w:rPr>
          <w:rFonts w:ascii="Arial" w:hAnsi="Arial" w:cs="Arial"/>
          <w:i/>
          <w:sz w:val="20"/>
          <w:szCs w:val="20"/>
          <w:lang w:val="es-ES"/>
        </w:rPr>
        <w:t xml:space="preserve"> </w:t>
      </w:r>
      <w:r w:rsidRPr="00E60501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55EEC37B" wp14:editId="43CE261E">
            <wp:extent cx="5943600" cy="2585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1" w:rsidRPr="00E60501" w:rsidRDefault="00E6050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E60501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56991DF8" wp14:editId="4B1FA176">
            <wp:extent cx="5943600" cy="27578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1" w:rsidRPr="00E60501" w:rsidRDefault="00E60501" w:rsidP="00E60501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E60501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E60501" w:rsidRPr="00E60501" w:rsidRDefault="00E60501" w:rsidP="00E60501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2C6" w:rsidRDefault="009102C6" w:rsidP="00F14843">
      <w:pPr>
        <w:spacing w:after="0" w:line="240" w:lineRule="auto"/>
      </w:pPr>
      <w:r>
        <w:separator/>
      </w:r>
    </w:p>
  </w:endnote>
  <w:endnote w:type="continuationSeparator" w:id="0">
    <w:p w:rsidR="009102C6" w:rsidRDefault="009102C6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2C6" w:rsidRDefault="009102C6" w:rsidP="00F14843">
      <w:pPr>
        <w:spacing w:after="0" w:line="240" w:lineRule="auto"/>
      </w:pPr>
      <w:r>
        <w:separator/>
      </w:r>
    </w:p>
  </w:footnote>
  <w:footnote w:type="continuationSeparator" w:id="0">
    <w:p w:rsidR="009102C6" w:rsidRDefault="009102C6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B55D0B">
    <w:pPr>
      <w:pStyle w:val="Encabezado"/>
    </w:pPr>
    <w:r w:rsidRPr="00B55D0B">
      <w:t>CUG0011-Parametrización Tipo Anexo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2397E"/>
    <w:multiLevelType w:val="hybridMultilevel"/>
    <w:tmpl w:val="E6D6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464C6"/>
    <w:multiLevelType w:val="hybridMultilevel"/>
    <w:tmpl w:val="7A8E30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EF343A"/>
    <w:multiLevelType w:val="hybridMultilevel"/>
    <w:tmpl w:val="7EDAD7A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102C6"/>
    <w:rsid w:val="00966029"/>
    <w:rsid w:val="009B5B6F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60501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5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E60501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E60501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D6A1-47D2-4495-8F75-8920787F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14</cp:revision>
  <dcterms:created xsi:type="dcterms:W3CDTF">2017-02-07T04:00:00Z</dcterms:created>
  <dcterms:modified xsi:type="dcterms:W3CDTF">2017-02-13T21:24:00Z</dcterms:modified>
</cp:coreProperties>
</file>