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50B17">
        <w:rPr>
          <w:rFonts w:ascii="Arial" w:hAnsi="Arial" w:cs="Arial"/>
          <w:b/>
          <w:sz w:val="36"/>
          <w:szCs w:val="36"/>
        </w:rPr>
        <w:t>CUG00</w:t>
      </w:r>
      <w:r w:rsidR="00350B17" w:rsidRPr="00350B17">
        <w:rPr>
          <w:rFonts w:ascii="Arial" w:hAnsi="Arial" w:cs="Arial"/>
          <w:b/>
          <w:sz w:val="36"/>
          <w:szCs w:val="36"/>
          <w:highlight w:val="yellow"/>
        </w:rPr>
        <w:t>10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50B17" w:rsidTr="001C3005"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D16DAE" w:rsidTr="001C3005"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16</w:t>
            </w: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/03/2017</w:t>
            </w:r>
          </w:p>
        </w:tc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9E4603" w:rsidRPr="009E4603" w:rsidRDefault="009E4603" w:rsidP="009E460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4603">
        <w:rPr>
          <w:rFonts w:ascii="Arial" w:hAnsi="Arial" w:cs="Arial"/>
          <w:b/>
          <w:sz w:val="20"/>
          <w:szCs w:val="20"/>
        </w:rPr>
        <w:t>Especificación de caso de uso:</w:t>
      </w:r>
      <w:r w:rsidRPr="009E4603">
        <w:rPr>
          <w:rFonts w:ascii="Arial" w:hAnsi="Arial" w:cs="Arial"/>
          <w:b/>
          <w:sz w:val="20"/>
          <w:szCs w:val="20"/>
        </w:rPr>
        <w:fldChar w:fldCharType="begin"/>
      </w:r>
      <w:r w:rsidRPr="009E460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9E4603">
        <w:rPr>
          <w:rFonts w:ascii="Arial" w:hAnsi="Arial" w:cs="Arial"/>
          <w:b/>
          <w:sz w:val="20"/>
          <w:szCs w:val="20"/>
        </w:rPr>
        <w:fldChar w:fldCharType="end"/>
      </w:r>
      <w:r w:rsidRPr="009E4603">
        <w:rPr>
          <w:rFonts w:ascii="Arial" w:hAnsi="Arial" w:cs="Arial"/>
          <w:b/>
          <w:sz w:val="20"/>
          <w:szCs w:val="20"/>
        </w:rPr>
        <w:t xml:space="preserve"> </w:t>
      </w:r>
      <w:r w:rsidR="00D16DAE" w:rsidRPr="00D16DAE">
        <w:rPr>
          <w:rFonts w:ascii="Arial" w:hAnsi="Arial" w:cs="Arial"/>
          <w:b/>
          <w:sz w:val="20"/>
          <w:szCs w:val="20"/>
          <w:highlight w:val="green"/>
          <w:lang w:val="es-ES"/>
        </w:rPr>
        <w:t>CUG0010</w:t>
      </w:r>
      <w:r w:rsidRPr="009E4603">
        <w:rPr>
          <w:rFonts w:ascii="Arial" w:hAnsi="Arial" w:cs="Arial"/>
          <w:b/>
          <w:sz w:val="20"/>
          <w:szCs w:val="20"/>
          <w:lang w:val="es-ES"/>
        </w:rPr>
        <w:t xml:space="preserve">-Consulta </w:t>
      </w:r>
      <w:proofErr w:type="spellStart"/>
      <w:r w:rsidRPr="009E4603">
        <w:rPr>
          <w:rFonts w:ascii="Arial" w:hAnsi="Arial" w:cs="Arial"/>
          <w:b/>
          <w:sz w:val="20"/>
          <w:szCs w:val="20"/>
          <w:lang w:val="es-ES"/>
        </w:rPr>
        <w:t>Runistac</w:t>
      </w:r>
      <w:proofErr w:type="spellEnd"/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9E460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Este caso de uso permite al funcionario de Ministerio realizar la consulta de solicitudes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, a través del Portal HQ-RUNT.</w:t>
      </w: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9E460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</w:rPr>
        <w:t>Ministerio</w:t>
      </w:r>
    </w:p>
    <w:p w:rsidR="009E4603" w:rsidRPr="009E4603" w:rsidRDefault="009E4603" w:rsidP="009E460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9E4603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9E4603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El actor ingresa a la opción “Consulta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” en el Portal HQ-RUNT.</w:t>
      </w:r>
    </w:p>
    <w:p w:rsidR="009E4603" w:rsidRPr="00AB0269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despliega la información de todas las solicitudes registradas hasta el </w:t>
      </w:r>
      <w:r w:rsidR="00AB0269">
        <w:rPr>
          <w:rFonts w:ascii="Arial" w:hAnsi="Arial" w:cs="Arial"/>
          <w:sz w:val="20"/>
          <w:szCs w:val="20"/>
        </w:rPr>
        <w:t xml:space="preserve">día de ejecución de la consulta, </w:t>
      </w:r>
      <w:r w:rsidR="00AB0269" w:rsidRPr="00AB0269">
        <w:rPr>
          <w:rFonts w:ascii="Arial" w:hAnsi="Arial" w:cs="Arial"/>
          <w:sz w:val="20"/>
          <w:szCs w:val="20"/>
          <w:highlight w:val="yellow"/>
        </w:rPr>
        <w:t>con los siguientes datos: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Solicitud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Solicitante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Estado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 Asignación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CCM Solicitados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termina la ejecución del caso de uso.</w:t>
      </w:r>
    </w:p>
    <w:p w:rsidR="009E4603" w:rsidRPr="009E4603" w:rsidRDefault="009E4603" w:rsidP="009E460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9E4603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E4603">
        <w:rPr>
          <w:rFonts w:ascii="Arial" w:hAnsi="Arial" w:cs="Arial"/>
          <w:b/>
          <w:sz w:val="20"/>
          <w:szCs w:val="20"/>
        </w:rPr>
        <w:t>5.1 Ver detalle</w:t>
      </w: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Si en el paso 2 el sistema recupera CCM que se encuentren en estado UTILIZADO, se realiza lo siguiente: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actor selecciona ver detalle.</w:t>
      </w:r>
    </w:p>
    <w:p w:rsidR="009E4603" w:rsidRPr="00BC7CAA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abre una nueva ventana con la información del detalle </w:t>
      </w:r>
      <w:r w:rsidR="00BC7CAA">
        <w:rPr>
          <w:rFonts w:ascii="Arial" w:hAnsi="Arial" w:cs="Arial"/>
          <w:sz w:val="20"/>
          <w:szCs w:val="20"/>
        </w:rPr>
        <w:t xml:space="preserve">del CCM, </w:t>
      </w:r>
      <w:r w:rsidR="00BC7CAA" w:rsidRPr="00BC7CAA">
        <w:rPr>
          <w:rFonts w:ascii="Arial" w:hAnsi="Arial" w:cs="Arial"/>
          <w:sz w:val="20"/>
          <w:szCs w:val="20"/>
          <w:highlight w:val="yellow"/>
        </w:rPr>
        <w:t>con la siguiente información:</w:t>
      </w:r>
    </w:p>
    <w:p w:rsidR="00BC7CAA" w:rsidRP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Estado</w:t>
      </w:r>
    </w:p>
    <w:p w:rsidR="00BC7CAA" w:rsidRDefault="00BC7CAA" w:rsidP="00BC7CAA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BC7CAA">
        <w:rPr>
          <w:rFonts w:ascii="Arial" w:hAnsi="Arial" w:cs="Arial"/>
          <w:sz w:val="20"/>
          <w:szCs w:val="20"/>
          <w:highlight w:val="yellow"/>
        </w:rPr>
        <w:t>Fecha</w:t>
      </w:r>
    </w:p>
    <w:p w:rsidR="00BC7CAA" w:rsidRPr="00BC7CAA" w:rsidRDefault="00BC7CAA" w:rsidP="00BC7CA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</w:rPr>
        <w:t>5.2 No se recuperan solicitudes</w:t>
      </w: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lastRenderedPageBreak/>
        <w:t>Si en el paso 1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del flujo básico de eventos, el sistema no recupera información de </w:t>
      </w:r>
      <w:r>
        <w:rPr>
          <w:rFonts w:ascii="Arial" w:hAnsi="Arial" w:cs="Arial"/>
          <w:sz w:val="20"/>
          <w:szCs w:val="20"/>
          <w:highlight w:val="yellow"/>
        </w:rPr>
        <w:t>las solicitudes registradas</w:t>
      </w:r>
      <w:r w:rsidRPr="00DF32B2">
        <w:rPr>
          <w:rFonts w:ascii="Arial" w:hAnsi="Arial" w:cs="Arial"/>
          <w:sz w:val="20"/>
          <w:szCs w:val="20"/>
          <w:highlight w:val="yellow"/>
        </w:rPr>
        <w:t>, se realiza lo siguiente:</w:t>
      </w:r>
    </w:p>
    <w:p w:rsidR="00AB0269" w:rsidRPr="00AB0269" w:rsidRDefault="00AB0269" w:rsidP="00AB0269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El sistema genera un mensaje ind</w:t>
      </w:r>
      <w:r>
        <w:rPr>
          <w:rFonts w:ascii="Arial" w:hAnsi="Arial" w:cs="Arial"/>
          <w:sz w:val="20"/>
          <w:szCs w:val="20"/>
          <w:highlight w:val="yellow"/>
        </w:rPr>
        <w:t>icando que no se encontró ninguna solicitud registrada</w:t>
      </w:r>
      <w:r w:rsidRPr="00AB0269">
        <w:rPr>
          <w:rFonts w:ascii="Arial" w:hAnsi="Arial" w:cs="Arial"/>
          <w:sz w:val="20"/>
          <w:szCs w:val="20"/>
          <w:highlight w:val="yellow"/>
        </w:rPr>
        <w:t>.</w:t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ab/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9E460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aplica.</w:t>
      </w:r>
    </w:p>
    <w:p w:rsidR="009E4603" w:rsidRPr="009E4603" w:rsidRDefault="009E4603" w:rsidP="009E460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9E460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El actor obtiene la información de la consulta realizada.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9E460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No aplica.</w:t>
      </w:r>
    </w:p>
    <w:p w:rsidR="009E4603" w:rsidRPr="009E4603" w:rsidRDefault="009E4603" w:rsidP="009E4603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9E460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AB0269" w:rsidRDefault="00AB0269" w:rsidP="00AB026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9E460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Default="006477D9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447F8BC" wp14:editId="39DC2AF0">
            <wp:extent cx="5612130" cy="4481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9" w:rsidRPr="009E4603" w:rsidRDefault="006477D9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A5D3B41" wp14:editId="596B44D3">
            <wp:extent cx="5612130" cy="3063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03" w:rsidRPr="009E4603" w:rsidRDefault="009E4603" w:rsidP="009E4603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9E460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9E4603" w:rsidRPr="009E4603" w:rsidRDefault="009E4603" w:rsidP="009E460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5756D3" w:rsidRPr="009E4603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603" w:rsidRPr="009E4603" w:rsidRDefault="009E4603" w:rsidP="009E4603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Default="008E4F3D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sectPr w:rsidR="006E0171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F3D" w:rsidRDefault="008E4F3D" w:rsidP="00F14843">
      <w:pPr>
        <w:spacing w:after="0" w:line="240" w:lineRule="auto"/>
      </w:pPr>
      <w:r>
        <w:separator/>
      </w:r>
    </w:p>
  </w:endnote>
  <w:endnote w:type="continuationSeparator" w:id="0">
    <w:p w:rsidR="008E4F3D" w:rsidRDefault="008E4F3D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F3D" w:rsidRDefault="008E4F3D" w:rsidP="00F14843">
      <w:pPr>
        <w:spacing w:after="0" w:line="240" w:lineRule="auto"/>
      </w:pPr>
      <w:r>
        <w:separator/>
      </w:r>
    </w:p>
  </w:footnote>
  <w:footnote w:type="continuationSeparator" w:id="0">
    <w:p w:rsidR="008E4F3D" w:rsidRDefault="008E4F3D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350B17">
    <w:pPr>
      <w:pStyle w:val="Encabezado"/>
    </w:pPr>
    <w:r w:rsidRPr="00350B17">
      <w:rPr>
        <w:highlight w:val="yellow"/>
      </w:rPr>
      <w:t>CUG0010</w:t>
    </w:r>
    <w:r w:rsidR="00604C72" w:rsidRPr="00350B17">
      <w:rPr>
        <w:highlight w:val="yellow"/>
      </w:rPr>
      <w:t>-</w:t>
    </w:r>
    <w:r w:rsidR="00604C72" w:rsidRPr="00604C72">
      <w:t xml:space="preserve">Consulta </w:t>
    </w:r>
    <w:proofErr w:type="spellStart"/>
    <w:r w:rsidR="00604C72"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651C4"/>
    <w:multiLevelType w:val="hybridMultilevel"/>
    <w:tmpl w:val="BFC69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84CCE"/>
    <w:multiLevelType w:val="hybridMultilevel"/>
    <w:tmpl w:val="70FA9AE4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5">
    <w:nsid w:val="7B314BD6"/>
    <w:multiLevelType w:val="hybridMultilevel"/>
    <w:tmpl w:val="279A83A2"/>
    <w:lvl w:ilvl="0" w:tplc="240A000F">
      <w:start w:val="1"/>
      <w:numFmt w:val="decimal"/>
      <w:lvlText w:val="%1."/>
      <w:lvlJc w:val="left"/>
      <w:pPr>
        <w:ind w:left="2200" w:hanging="360"/>
      </w:pPr>
    </w:lvl>
    <w:lvl w:ilvl="1" w:tplc="240A0019" w:tentative="1">
      <w:start w:val="1"/>
      <w:numFmt w:val="lowerLetter"/>
      <w:lvlText w:val="%2."/>
      <w:lvlJc w:val="left"/>
      <w:pPr>
        <w:ind w:left="2920" w:hanging="360"/>
      </w:pPr>
    </w:lvl>
    <w:lvl w:ilvl="2" w:tplc="240A001B" w:tentative="1">
      <w:start w:val="1"/>
      <w:numFmt w:val="lowerRoman"/>
      <w:lvlText w:val="%3."/>
      <w:lvlJc w:val="right"/>
      <w:pPr>
        <w:ind w:left="3640" w:hanging="180"/>
      </w:pPr>
    </w:lvl>
    <w:lvl w:ilvl="3" w:tplc="240A000F" w:tentative="1">
      <w:start w:val="1"/>
      <w:numFmt w:val="decimal"/>
      <w:lvlText w:val="%4."/>
      <w:lvlJc w:val="left"/>
      <w:pPr>
        <w:ind w:left="4360" w:hanging="360"/>
      </w:pPr>
    </w:lvl>
    <w:lvl w:ilvl="4" w:tplc="240A0019" w:tentative="1">
      <w:start w:val="1"/>
      <w:numFmt w:val="lowerLetter"/>
      <w:lvlText w:val="%5."/>
      <w:lvlJc w:val="left"/>
      <w:pPr>
        <w:ind w:left="5080" w:hanging="360"/>
      </w:pPr>
    </w:lvl>
    <w:lvl w:ilvl="5" w:tplc="240A001B" w:tentative="1">
      <w:start w:val="1"/>
      <w:numFmt w:val="lowerRoman"/>
      <w:lvlText w:val="%6."/>
      <w:lvlJc w:val="right"/>
      <w:pPr>
        <w:ind w:left="5800" w:hanging="180"/>
      </w:pPr>
    </w:lvl>
    <w:lvl w:ilvl="6" w:tplc="240A000F" w:tentative="1">
      <w:start w:val="1"/>
      <w:numFmt w:val="decimal"/>
      <w:lvlText w:val="%7."/>
      <w:lvlJc w:val="left"/>
      <w:pPr>
        <w:ind w:left="6520" w:hanging="360"/>
      </w:pPr>
    </w:lvl>
    <w:lvl w:ilvl="7" w:tplc="240A0019" w:tentative="1">
      <w:start w:val="1"/>
      <w:numFmt w:val="lowerLetter"/>
      <w:lvlText w:val="%8."/>
      <w:lvlJc w:val="left"/>
      <w:pPr>
        <w:ind w:left="7240" w:hanging="360"/>
      </w:pPr>
    </w:lvl>
    <w:lvl w:ilvl="8" w:tplc="2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350B17"/>
    <w:rsid w:val="003C381E"/>
    <w:rsid w:val="00414594"/>
    <w:rsid w:val="005756D3"/>
    <w:rsid w:val="00604C72"/>
    <w:rsid w:val="006477D9"/>
    <w:rsid w:val="00665336"/>
    <w:rsid w:val="006E0171"/>
    <w:rsid w:val="00716E93"/>
    <w:rsid w:val="007F2C74"/>
    <w:rsid w:val="008124BB"/>
    <w:rsid w:val="0082556B"/>
    <w:rsid w:val="00840B50"/>
    <w:rsid w:val="008C1DE6"/>
    <w:rsid w:val="008E4F3D"/>
    <w:rsid w:val="00966029"/>
    <w:rsid w:val="009B5B6F"/>
    <w:rsid w:val="009E4603"/>
    <w:rsid w:val="00AB0269"/>
    <w:rsid w:val="00B16B95"/>
    <w:rsid w:val="00B84430"/>
    <w:rsid w:val="00BC3968"/>
    <w:rsid w:val="00BC7CAA"/>
    <w:rsid w:val="00C146D6"/>
    <w:rsid w:val="00C53EAB"/>
    <w:rsid w:val="00D16DAE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9E460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EF0C-3AEB-47CD-9B02-3DCDC57B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2017-03-16T00:52:00Z</dcterms:modified>
</cp:coreProperties>
</file>