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72698F" w:rsidP="00250C1A">
            <w:pPr>
              <w:spacing w:line="240" w:lineRule="auto"/>
              <w:contextualSpacing/>
              <w:rPr>
                <w:rFonts w:asciiTheme="minorHAnsi" w:hAnsiTheme="minorHAnsi"/>
              </w:rPr>
            </w:pPr>
            <w:r>
              <w:rPr>
                <w:rFonts w:asciiTheme="minorHAnsi" w:hAnsiTheme="minorHAnsi"/>
              </w:rPr>
              <w:t>No lake left behind:</w:t>
            </w:r>
            <w:r w:rsidR="009D61FA" w:rsidRPr="009D61FA">
              <w:rPr>
                <w:rFonts w:asciiTheme="minorHAnsi" w:hAnsiTheme="minorHAnsi"/>
              </w:rPr>
              <w:t xml:space="preserve">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C32703" w:rsidP="00E11AB8">
            <w:pPr>
              <w:spacing w:line="240" w:lineRule="auto"/>
              <w:contextualSpacing/>
              <w:rPr>
                <w:rFonts w:asciiTheme="minorHAnsi" w:hAnsiTheme="minorHAnsi"/>
              </w:rPr>
            </w:pPr>
            <w:hyperlink r:id="rId8" w:history="1">
              <w:r w:rsidRPr="00AD54F4">
                <w:rPr>
                  <w:rStyle w:val="Hyperlink"/>
                  <w:rFonts w:asciiTheme="minorHAnsi" w:hAnsiTheme="minorHAnsi"/>
                </w:rPr>
                <w:t>https://doi.org/10.5281/zenodo.3361750</w:t>
              </w:r>
            </w:hyperlink>
            <w:r>
              <w:rPr>
                <w:rFonts w:asciiTheme="minorHAnsi" w:hAnsiTheme="minorHAnsi"/>
              </w:rPr>
              <w:t xml:space="preserve"> </w:t>
            </w:r>
            <w:bookmarkStart w:id="0" w:name="_GoBack"/>
            <w:bookmarkEnd w:id="0"/>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freshwater conservation, inland waters, LakeCat,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Skaff, Patricia A. Soranno, Kendra Spence Cheruvelil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Soranno. Co-PI: K. Cheruvelil, P. Tan, J. Zhou, E. Stanley, C. Gries, N. Lottig, T. Wagner, E. Hanks, E. Schliep.</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w:t>
            </w:r>
            <w:r w:rsidRPr="00B821CF">
              <w:rPr>
                <w:rFonts w:asciiTheme="minorHAnsi" w:hAnsiTheme="minorHAnsi"/>
              </w:rPr>
              <w:lastRenderedPageBreak/>
              <w:t xml:space="preserve">catchment data from LakeCat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lagoslakei</w:t>
            </w:r>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LakeConnec</w:t>
            </w:r>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sidR="00DA6495">
        <w:rPr>
          <w:rFonts w:ascii="Times New Roman" w:hAnsi="Times New Roman"/>
          <w:i/>
        </w:rPr>
        <w:t xml:space="preserve"> C</w:t>
      </w:r>
      <w:r>
        <w:rPr>
          <w:rFonts w:ascii="Times New Roman" w:hAnsi="Times New Roman"/>
          <w:i/>
        </w:rPr>
        <w:t xml:space="preserve">ontains </w:t>
      </w:r>
      <w:r w:rsidR="00DA6495">
        <w:rPr>
          <w:rFonts w:ascii="Times New Roman" w:hAnsi="Times New Roman"/>
          <w:i/>
        </w:rPr>
        <w:t xml:space="preserve">only </w:t>
      </w:r>
      <w:r>
        <w:rPr>
          <w:rFonts w:ascii="Times New Roman" w:hAnsi="Times New Roman"/>
          <w:i/>
        </w:rPr>
        <w:t>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nLakes</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ProtectedLakes_gap12_Cat80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Number of protected lakes based on 80% catchment protection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ProtectedLakes_gap3_Cat80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 xml:space="preserve">Number of protected lakes based on 80% catchment protection occurring in </w:t>
            </w:r>
            <w:r>
              <w:rPr>
                <w:rFonts w:asciiTheme="minorHAnsi" w:hAnsiTheme="minorHAnsi"/>
                <w:sz w:val="20"/>
              </w:rPr>
              <w:lastRenderedPageBreak/>
              <w:t>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unprotected_lakes</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PropProtected_gap12_Cat80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w:t>
            </w:r>
            <w:r w:rsidRPr="0083178B">
              <w:rPr>
                <w:rFonts w:asciiTheme="minorHAnsi" w:hAnsiTheme="minorHAnsi" w:cstheme="minorHAnsi"/>
                <w:sz w:val="20"/>
                <w:szCs w:val="20"/>
              </w:rPr>
              <w:lastRenderedPageBreak/>
              <w:t>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PropProtected_gap3_Cat80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w:t>
            </w:r>
            <w:r>
              <w:rPr>
                <w:rFonts w:asciiTheme="minorHAnsi" w:hAnsiTheme="minorHAnsi" w:cstheme="minorHAnsi"/>
                <w:sz w:val="20"/>
                <w:szCs w:val="20"/>
              </w:rPr>
              <w:t>multi-use</w:t>
            </w:r>
            <w:r w:rsidRPr="0083178B">
              <w:rPr>
                <w:rFonts w:asciiTheme="minorHAnsi" w:hAnsiTheme="minorHAnsi" w:cstheme="minorHAnsi"/>
                <w:sz w:val="20"/>
                <w:szCs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PropUnprotected</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Lakes from the National Hydrography Dataset plus v2 (NHD).</w:t>
      </w:r>
      <w:r>
        <w:rPr>
          <w:rFonts w:ascii="Times New Roman" w:hAnsi="Times New Roman"/>
          <w:i/>
        </w:rPr>
        <w:t xml:space="preserve"> </w:t>
      </w:r>
      <w:r w:rsidR="00DA6495">
        <w:rPr>
          <w:rFonts w:ascii="Times New Roman" w:hAnsi="Times New Roman"/>
          <w:i/>
        </w:rPr>
        <w:t>C</w:t>
      </w:r>
      <w:r>
        <w:rPr>
          <w:rFonts w:ascii="Times New Roman" w:hAnsi="Times New Roman"/>
          <w:i/>
        </w:rPr>
        <w:t>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lastRenderedPageBreak/>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DA6495" w:rsidP="00B9334B">
            <w:pPr>
              <w:spacing w:after="0" w:line="240" w:lineRule="auto"/>
              <w:rPr>
                <w:rFonts w:asciiTheme="minorHAnsi" w:hAnsiTheme="minorHAnsi"/>
                <w:sz w:val="20"/>
              </w:rPr>
            </w:pPr>
            <w:r>
              <w:rPr>
                <w:rFonts w:asciiTheme="minorHAnsi" w:hAnsiTheme="minorHAnsi"/>
                <w:sz w:val="20"/>
              </w:rPr>
              <w:t>s</w:t>
            </w:r>
            <w:r w:rsidR="00B21AFF">
              <w:rPr>
                <w:rFonts w:asciiTheme="minorHAnsi" w:hAnsiTheme="minorHAnsi"/>
                <w:sz w:val="20"/>
              </w:rPr>
              <w:t>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nLakes</w:t>
            </w:r>
          </w:p>
        </w:tc>
        <w:tc>
          <w:tcPr>
            <w:tcW w:w="1427" w:type="dxa"/>
          </w:tcPr>
          <w:p w:rsidR="00B21AFF" w:rsidRPr="00CA274F" w:rsidRDefault="00DA6495" w:rsidP="00B9334B">
            <w:pPr>
              <w:spacing w:after="0" w:line="240" w:lineRule="auto"/>
              <w:rPr>
                <w:rFonts w:asciiTheme="minorHAnsi" w:hAnsiTheme="minorHAnsi"/>
                <w:sz w:val="20"/>
              </w:rPr>
            </w:pPr>
            <w:r>
              <w:rPr>
                <w:rFonts w:asciiTheme="minorHAnsi" w:hAnsiTheme="minorHAnsi"/>
                <w:sz w:val="20"/>
              </w:rPr>
              <w:t>n</w:t>
            </w:r>
            <w:r w:rsidR="00B21AFF">
              <w:rPr>
                <w:rFonts w:asciiTheme="minorHAnsi" w:hAnsiTheme="minorHAnsi"/>
                <w:sz w:val="20"/>
              </w:rPr>
              <w:t>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Strict_ctr</w:t>
            </w:r>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Multi_ctr</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Stict_Cat80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Strict_Cat100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w:t>
            </w:r>
            <w:r w:rsidRPr="0083178B">
              <w:rPr>
                <w:rFonts w:asciiTheme="minorHAnsi" w:hAnsiTheme="minorHAnsi" w:cstheme="minorHAnsi"/>
                <w:sz w:val="20"/>
                <w:szCs w:val="20"/>
              </w:rPr>
              <w:lastRenderedPageBreak/>
              <w:t>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Unprotected</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r w:rsidRPr="00F54AF5">
              <w:rPr>
                <w:rFonts w:asciiTheme="minorHAnsi" w:hAnsiTheme="minorHAnsi" w:cstheme="minorHAnsi"/>
                <w:sz w:val="20"/>
                <w:szCs w:val="20"/>
              </w:rPr>
              <w:t>unique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 xml:space="preserve">CatAreaSqKm </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c</w:t>
            </w:r>
            <w:r w:rsidR="00B21AFF" w:rsidRPr="00F54AF5">
              <w:rPr>
                <w:rFonts w:asciiTheme="minorHAnsi" w:hAnsiTheme="minorHAnsi" w:cstheme="minorHAnsi"/>
                <w:sz w:val="20"/>
                <w:szCs w:val="20"/>
              </w:rPr>
              <w:t>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WsAreaSqKm</w:t>
            </w:r>
          </w:p>
        </w:tc>
        <w:tc>
          <w:tcPr>
            <w:tcW w:w="1476" w:type="dxa"/>
          </w:tcPr>
          <w:p w:rsidR="00B21AFF"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w</w:t>
            </w:r>
            <w:r w:rsidR="00B21AFF" w:rsidRPr="00F54AF5">
              <w:rPr>
                <w:rFonts w:asciiTheme="minorHAnsi" w:hAnsiTheme="minorHAnsi" w:cstheme="minorHAnsi"/>
                <w:sz w:val="20"/>
                <w:szCs w:val="20"/>
              </w:rPr>
              <w:t>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PctNo_GAP_StatusCat</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w:t>
            </w:r>
            <w:r w:rsidR="00F54AF5" w:rsidRPr="00F54AF5">
              <w:rPr>
                <w:rFonts w:asciiTheme="minorHAnsi" w:hAnsiTheme="minorHAnsi" w:cstheme="minorHAnsi"/>
                <w:sz w:val="20"/>
                <w:szCs w:val="20"/>
              </w:rPr>
              <w:t>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 xml:space="preserve">percent of catchment under GAP status 4 (no </w:t>
            </w:r>
            <w:r w:rsidRPr="00F54AF5">
              <w:rPr>
                <w:rFonts w:asciiTheme="minorHAnsi" w:hAnsiTheme="minorHAnsi" w:cstheme="minorHAnsi"/>
                <w:sz w:val="20"/>
                <w:szCs w:val="20"/>
              </w:rPr>
              <w:lastRenderedPageBreak/>
              <w:t>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w:t>
            </w:r>
            <w:r w:rsidR="001E6E5B">
              <w:rPr>
                <w:rFonts w:asciiTheme="minorHAnsi" w:hAnsiTheme="minorHAnsi" w:cstheme="minorHAnsi"/>
                <w:sz w:val="20"/>
                <w:szCs w:val="20"/>
              </w:rPr>
              <w:t>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f</w:t>
            </w:r>
            <w:r w:rsidR="001E6E5B">
              <w:rPr>
                <w:rFonts w:asciiTheme="minorHAnsi" w:hAnsiTheme="minorHAnsi" w:cstheme="minorHAnsi"/>
                <w:sz w:val="20"/>
                <w:szCs w:val="20"/>
              </w:rPr>
              <w:t>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w:t>
            </w:r>
            <w:r w:rsidR="001E6E5B">
              <w:rPr>
                <w:rFonts w:asciiTheme="minorHAnsi" w:hAnsiTheme="minorHAnsi" w:cstheme="minorHAnsi"/>
                <w:sz w:val="20"/>
                <w:szCs w:val="20"/>
              </w:rPr>
              <w:t>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LakeCat See Hill et al. (2018) for detailed variable descriptions from LakeCat;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r w:rsidR="00A10DF1">
        <w:rPr>
          <w:rFonts w:ascii="Times New Roman" w:hAnsi="Times New Roman"/>
          <w:i/>
        </w:rPr>
        <w:t xml:space="preserve"> The zipped directory LakeCat_csv.7z contains the original LakeCat tables.</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DA6495">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3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240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PctGAP_Status3Cat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2406" w:type="dxa"/>
          </w:tcPr>
          <w:p w:rsidR="00DA6495" w:rsidRPr="006D7B0B" w:rsidRDefault="00DA6495" w:rsidP="00DA6495">
            <w:pPr>
              <w:rPr>
                <w:rFonts w:asciiTheme="minorHAnsi" w:hAnsiTheme="minorHAnsi" w:cstheme="minorHAnsi"/>
                <w:sz w:val="20"/>
                <w:szCs w:val="20"/>
              </w:rPr>
            </w:pPr>
            <w:r>
              <w:rPr>
                <w:rFonts w:asciiTheme="minorHAnsi" w:hAnsiTheme="minorHAnsi" w:cstheme="minorHAnsi"/>
                <w:sz w:val="20"/>
                <w:szCs w:val="20"/>
              </w:rPr>
              <w:t>lake area</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sq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CatAreaSqKM</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sq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DrainageRatio</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ElevCat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mean </w:t>
            </w:r>
            <w:r>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WetIndexCat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topographic wetness index (from LakeCat WetIndx.csv)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of catchment covered by forest based on 2011 NLCD (evergreen, mixed, deciduous) (from LakeCat NLCD2011.csv)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of catchment covered by agriculture based on 2011 NLCD (cropland, hay) (from LakeCat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of catchment covered by wetlands based on 2011 NLCD (woody, herbaceous) (from LakeCat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of catchment covered by evergreen forest based on 2011 NLCD (from LakeCat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RdDensCat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ro</w:t>
            </w:r>
            <w:r>
              <w:rPr>
                <w:rFonts w:asciiTheme="minorHAnsi" w:hAnsiTheme="minorHAnsi" w:cstheme="minorHAnsi"/>
                <w:sz w:val="20"/>
                <w:szCs w:val="20"/>
              </w:rPr>
              <w:t xml:space="preserve">ad density (2010) </w:t>
            </w:r>
            <w:r w:rsidRPr="006D7B0B">
              <w:rPr>
                <w:rFonts w:asciiTheme="minorHAnsi" w:hAnsiTheme="minorHAnsi" w:cstheme="minorHAnsi"/>
                <w:sz w:val="20"/>
                <w:szCs w:val="20"/>
              </w:rPr>
              <w:t>(from LakeCat RoadDensity.csv)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km/sq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catchment covered by impervious surface (2011) (from LakeCat ImperviousSurfaces.csv)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RunoffCat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mean c</w:t>
            </w:r>
            <w:r>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(from LakeCat Runoff.csv)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BFICat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baseflow index (baseflow/total inflow) (2003) (%) (from LakeCat BFI.csv)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sulfur and nitrogen deposition (2008) (from LakeCat NADP.csv)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a/yr</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TotalPctFrstLossCat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percent catchment total forest loss (2002-2013) (from LakeCat ForestLossByYear0013.csv)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w:t>
            </w:r>
            <w:r>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(from LakeCat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 air</w:t>
            </w:r>
            <w:r>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LakeCat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deg C</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A10DF1" w:rsidRPr="00C13E67" w:rsidRDefault="00A10DF1" w:rsidP="00A10DF1">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LAGOS_Lake_Link_v1.7.csv (zipped)</w:t>
      </w:r>
    </w:p>
    <w:p w:rsidR="00A10DF1" w:rsidRPr="00B9334B" w:rsidRDefault="00A10DF1" w:rsidP="00A10DF1">
      <w:pPr>
        <w:rPr>
          <w:rFonts w:ascii="Arial" w:hAnsi="Arial" w:cs="Arial"/>
        </w:rPr>
      </w:pPr>
      <w:r w:rsidRPr="00C13E67">
        <w:rPr>
          <w:rFonts w:ascii="Times New Roman" w:hAnsi="Times New Roman"/>
        </w:rPr>
        <w:t xml:space="preserve">Dataset description: </w:t>
      </w:r>
      <w:r>
        <w:rPr>
          <w:rFonts w:ascii="Times New Roman" w:hAnsi="Times New Roman"/>
          <w:i/>
        </w:rPr>
        <w:t>Crosswalk table for linking LAGOS lakes to NHD plus v2. The original NHD shapefile contains many columns that are not relevant to this analysis. Only those necessary for linking to LAGOS lakes are described below. See full NHD documentation for additional details.</w:t>
      </w:r>
    </w:p>
    <w:p w:rsidR="00A10DF1" w:rsidRPr="001033D4" w:rsidRDefault="00A10DF1" w:rsidP="00A10DF1">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A10DF1" w:rsidRPr="0017567B" w:rsidTr="00962308">
        <w:trPr>
          <w:trHeight w:val="315"/>
        </w:trPr>
        <w:tc>
          <w:tcPr>
            <w:tcW w:w="2738" w:type="dxa"/>
            <w:noWrap/>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Units</w:t>
            </w:r>
          </w:p>
        </w:tc>
        <w:tc>
          <w:tcPr>
            <w:tcW w:w="130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Missing data code</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lagoslakeid</w:t>
            </w:r>
          </w:p>
        </w:tc>
        <w:tc>
          <w:tcPr>
            <w:tcW w:w="2406" w:type="dxa"/>
          </w:tcPr>
          <w:p w:rsidR="00A10DF1" w:rsidRPr="00F54AF5" w:rsidRDefault="00A10DF1" w:rsidP="00962308">
            <w:pPr>
              <w:rPr>
                <w:rFonts w:asciiTheme="minorHAnsi" w:hAnsiTheme="minorHAnsi" w:cstheme="minorHAnsi"/>
                <w:sz w:val="20"/>
                <w:szCs w:val="20"/>
              </w:rPr>
            </w:pPr>
            <w:r>
              <w:rPr>
                <w:rFonts w:asciiTheme="minorHAnsi" w:hAnsiTheme="minorHAnsi" w:cstheme="minorHAnsi"/>
                <w:sz w:val="20"/>
                <w:szCs w:val="20"/>
              </w:rPr>
              <w:t>unique LAGOS</w:t>
            </w:r>
            <w:r w:rsidRPr="00F54AF5">
              <w:rPr>
                <w:rFonts w:asciiTheme="minorHAnsi" w:hAnsiTheme="minorHAnsi" w:cstheme="minorHAnsi"/>
                <w:sz w:val="20"/>
                <w:szCs w:val="20"/>
              </w:rPr>
              <w:t xml:space="preserve">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nhdplusv2_reachcode</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alternate NHD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B9334B" w:rsidRDefault="00A10DF1" w:rsidP="00962308">
            <w:pPr>
              <w:rPr>
                <w:rFonts w:asciiTheme="minorHAnsi" w:hAnsiTheme="minorHAnsi" w:cstheme="minorHAnsi"/>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nhdplusv2_comid</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unique NHD lake ID used in this analysis</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bl>
    <w:p w:rsidR="00A10DF1" w:rsidRDefault="00A10DF1" w:rsidP="001033D4">
      <w:pPr>
        <w:tabs>
          <w:tab w:val="left" w:pos="7710"/>
        </w:tabs>
        <w:rPr>
          <w:rFonts w:ascii="Times New Roman" w:hAnsi="Times New Roman"/>
          <w:b/>
          <w:color w:val="4F81BD" w:themeColor="accent1"/>
          <w:sz w:val="28"/>
        </w:rPr>
      </w:pPr>
    </w:p>
    <w:p w:rsidR="00A10DF1" w:rsidRDefault="00A10DF1" w:rsidP="001033D4">
      <w:pPr>
        <w:tabs>
          <w:tab w:val="left" w:pos="7710"/>
        </w:tabs>
        <w:rPr>
          <w:rFonts w:ascii="Times New Roman" w:hAnsi="Times New Roman"/>
          <w:b/>
          <w:color w:val="4F81BD" w:themeColor="accent1"/>
          <w:sz w:val="28"/>
        </w:rPr>
      </w:pPr>
    </w:p>
    <w:p w:rsidR="00A10DF1" w:rsidRPr="00C13E67" w:rsidRDefault="00A10DF1" w:rsidP="00A10DF1">
      <w:pPr>
        <w:spacing w:after="0" w:line="240" w:lineRule="auto"/>
        <w:rPr>
          <w:rFonts w:ascii="Times New Roman" w:hAnsi="Times New Roman"/>
          <w:i/>
        </w:rPr>
      </w:pPr>
      <w:r>
        <w:rPr>
          <w:rFonts w:ascii="Times New Roman" w:hAnsi="Times New Roman"/>
        </w:rPr>
        <w:lastRenderedPageBreak/>
        <w:t xml:space="preserve">Dataset filename: </w:t>
      </w:r>
      <w:r>
        <w:rPr>
          <w:rFonts w:ascii="Times New Roman" w:hAnsi="Times New Roman"/>
          <w:i/>
        </w:rPr>
        <w:t>LAGOS_US_Lakes1ha_Conn.shp (zipped)</w:t>
      </w:r>
    </w:p>
    <w:p w:rsidR="00A10DF1" w:rsidRPr="00B9334B" w:rsidRDefault="00A10DF1" w:rsidP="00A10DF1">
      <w:pPr>
        <w:rPr>
          <w:rFonts w:ascii="Arial" w:hAnsi="Arial" w:cs="Arial"/>
        </w:rPr>
      </w:pPr>
      <w:r w:rsidRPr="00C13E67">
        <w:rPr>
          <w:rFonts w:ascii="Times New Roman" w:hAnsi="Times New Roman"/>
        </w:rPr>
        <w:t xml:space="preserve">Dataset description: </w:t>
      </w:r>
      <w:r>
        <w:rPr>
          <w:rFonts w:ascii="Times New Roman" w:hAnsi="Times New Roman"/>
          <w:i/>
        </w:rPr>
        <w:t>LAGOS lake connectivity classes based on NHD lake points. LAGOS_Lake_Link_v1.7 crosswalk table is used to link this table to the NHD lakes. See NHD documentation for additional details.</w:t>
      </w:r>
    </w:p>
    <w:p w:rsidR="00A10DF1" w:rsidRPr="001033D4" w:rsidRDefault="00A10DF1" w:rsidP="00A10DF1">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227"/>
        <w:gridCol w:w="883"/>
        <w:gridCol w:w="1306"/>
        <w:gridCol w:w="1127"/>
        <w:gridCol w:w="917"/>
      </w:tblGrid>
      <w:tr w:rsidR="00A10DF1" w:rsidRPr="0017567B" w:rsidTr="00962308">
        <w:trPr>
          <w:trHeight w:val="315"/>
        </w:trPr>
        <w:tc>
          <w:tcPr>
            <w:tcW w:w="2738" w:type="dxa"/>
            <w:noWrap/>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Units</w:t>
            </w:r>
          </w:p>
        </w:tc>
        <w:tc>
          <w:tcPr>
            <w:tcW w:w="130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Missing data code</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FCode</w:t>
            </w:r>
          </w:p>
        </w:tc>
        <w:tc>
          <w:tcPr>
            <w:tcW w:w="2406" w:type="dxa"/>
          </w:tcPr>
          <w:p w:rsidR="00A10DF1" w:rsidRPr="00F54AF5" w:rsidRDefault="00A10DF1" w:rsidP="00962308">
            <w:pPr>
              <w:rPr>
                <w:rFonts w:asciiTheme="minorHAnsi" w:hAnsiTheme="minorHAnsi" w:cstheme="minorHAnsi"/>
                <w:sz w:val="20"/>
                <w:szCs w:val="20"/>
              </w:rPr>
            </w:pPr>
            <w:r>
              <w:rPr>
                <w:rFonts w:asciiTheme="minorHAnsi" w:hAnsiTheme="minorHAnsi" w:cstheme="minorHAnsi"/>
                <w:sz w:val="20"/>
                <w:szCs w:val="20"/>
              </w:rPr>
              <w:t>NHD lake type code</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ComID</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unique NHD lake ID used in this analysis</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B9334B" w:rsidRDefault="00A10DF1" w:rsidP="00962308">
            <w:pPr>
              <w:rPr>
                <w:rFonts w:asciiTheme="minorHAnsi" w:hAnsiTheme="minorHAnsi" w:cstheme="minorHAnsi"/>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lagoslakei</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lagoslakeid; unique LAGOS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LakeConnec</w:t>
            </w:r>
          </w:p>
        </w:tc>
        <w:tc>
          <w:tcPr>
            <w:tcW w:w="2406" w:type="dxa"/>
          </w:tcPr>
          <w:p w:rsidR="00A10DF1" w:rsidRDefault="00A10DF1" w:rsidP="00962308">
            <w:pPr>
              <w:rPr>
                <w:rFonts w:asciiTheme="minorHAnsi" w:hAnsiTheme="minorHAnsi" w:cstheme="minorHAnsi"/>
                <w:sz w:val="20"/>
                <w:szCs w:val="20"/>
              </w:rPr>
            </w:pPr>
            <w:r>
              <w:rPr>
                <w:rFonts w:asciiTheme="minorHAnsi" w:hAnsiTheme="minorHAnsi" w:cstheme="minorHAnsi"/>
                <w:sz w:val="20"/>
                <w:szCs w:val="20"/>
              </w:rPr>
              <w:t>LAGOS lake connectivity class; isolated, headwater, drainage-lake and drainage-lake-stream</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Categorical</w:t>
            </w:r>
          </w:p>
        </w:tc>
        <w:tc>
          <w:tcPr>
            <w:tcW w:w="917" w:type="dxa"/>
          </w:tcPr>
          <w:p w:rsidR="00A10DF1" w:rsidRDefault="00A10DF1" w:rsidP="00962308">
            <w:pPr>
              <w:spacing w:after="0" w:line="240" w:lineRule="auto"/>
              <w:rPr>
                <w:rFonts w:asciiTheme="minorHAnsi" w:hAnsiTheme="minorHAnsi"/>
                <w:sz w:val="20"/>
              </w:rPr>
            </w:pPr>
            <w:r>
              <w:rPr>
                <w:rFonts w:asciiTheme="minorHAnsi" w:hAnsiTheme="minorHAnsi"/>
                <w:sz w:val="20"/>
              </w:rPr>
              <w:t>NA</w:t>
            </w:r>
          </w:p>
        </w:tc>
      </w:tr>
    </w:tbl>
    <w:p w:rsidR="00A10DF1" w:rsidRDefault="00A10DF1"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r>
              <w:rPr>
                <w:rFonts w:asciiTheme="minorHAnsi" w:hAnsiTheme="minorHAnsi"/>
                <w:sz w:val="20"/>
              </w:rPr>
              <w:t>LakeCat</w:t>
            </w:r>
          </w:p>
        </w:tc>
        <w:tc>
          <w:tcPr>
            <w:tcW w:w="3351" w:type="dxa"/>
          </w:tcPr>
          <w:p w:rsidR="0037491B" w:rsidRPr="0037491B" w:rsidRDefault="009C3E78"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9C3E78"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9C3E78"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9C3E78"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lastRenderedPageBreak/>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763"/>
        <w:gridCol w:w="2523"/>
        <w:gridCol w:w="1084"/>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r>
              <w:rPr>
                <w:rFonts w:asciiTheme="minorHAnsi" w:hAnsiTheme="minorHAnsi" w:cstheme="minorHAnsi"/>
                <w:bCs/>
                <w:sz w:val="20"/>
                <w:szCs w:val="20"/>
              </w:rPr>
              <w:t>Rcode/</w:t>
            </w:r>
            <w:r w:rsidR="00F32CBA" w:rsidRPr="00F32CBA">
              <w:rPr>
                <w:rFonts w:asciiTheme="minorHAnsi" w:hAnsiTheme="minorHAnsi" w:cstheme="minorHAnsi"/>
                <w:bCs/>
                <w:sz w:val="20"/>
                <w:szCs w:val="20"/>
              </w:rPr>
              <w:t>LakeCat_LAGOS_connectivity_crosswalk.R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r>
              <w:rPr>
                <w:rStyle w:val="Strong"/>
                <w:rFonts w:asciiTheme="minorHAnsi" w:hAnsiTheme="minorHAnsi" w:cstheme="minorHAnsi"/>
                <w:bCs/>
                <w:sz w:val="20"/>
                <w:szCs w:val="20"/>
              </w:rPr>
              <w:t>Rcode/</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Wrangle LakeCat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r>
              <w:rPr>
                <w:rStyle w:val="Strong"/>
                <w:rFonts w:asciiTheme="minorHAnsi" w:hAnsiTheme="minorHAnsi" w:cstheme="minorHAnsi"/>
                <w:bCs/>
                <w:sz w:val="20"/>
                <w:szCs w:val="20"/>
              </w:rPr>
              <w:t>Rcode/</w:t>
            </w:r>
            <w:r w:rsidR="00F32CBA" w:rsidRPr="00F32CBA">
              <w:rPr>
                <w:rStyle w:val="Strong"/>
                <w:rFonts w:asciiTheme="minorHAnsi" w:hAnsiTheme="minorHAnsi" w:cstheme="minorHAnsi"/>
                <w:bCs/>
                <w:sz w:val="20"/>
                <w:szCs w:val="20"/>
              </w:rPr>
              <w:t>LakeProtectionByStateEcoregion.R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DA6495" w:rsidRPr="00F32CBA" w:rsidTr="00F85428">
        <w:trPr>
          <w:trHeight w:val="300"/>
        </w:trPr>
        <w:tc>
          <w:tcPr>
            <w:tcW w:w="4228" w:type="dxa"/>
            <w:noWrap/>
          </w:tcPr>
          <w:p w:rsidR="00DA6495" w:rsidRDefault="00DA6495"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Rcode/LakeProtectionByStateEcoregion_80pctProtect.R</w:t>
            </w:r>
          </w:p>
        </w:tc>
        <w:tc>
          <w:tcPr>
            <w:tcW w:w="3039"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Same as previous script, but adjusted for the 80% catchment protection threshold</w:t>
            </w:r>
          </w:p>
        </w:tc>
        <w:tc>
          <w:tcPr>
            <w:tcW w:w="1103"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r>
              <w:rPr>
                <w:rStyle w:val="Strong"/>
                <w:rFonts w:asciiTheme="minorHAnsi" w:hAnsiTheme="minorHAnsi" w:cstheme="minorHAnsi"/>
                <w:bCs/>
                <w:sz w:val="20"/>
                <w:szCs w:val="20"/>
              </w:rPr>
              <w:t>Rcode/</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r>
              <w:rPr>
                <w:rStyle w:val="Strong"/>
                <w:rFonts w:asciiTheme="minorHAnsi" w:hAnsiTheme="minorHAnsi" w:cstheme="minorHAnsi"/>
                <w:bCs/>
                <w:sz w:val="20"/>
                <w:szCs w:val="20"/>
              </w:rPr>
              <w:t>Rcode/functions/</w:t>
            </w:r>
            <w:r w:rsidR="00F32CBA" w:rsidRPr="00F32CBA">
              <w:rPr>
                <w:rStyle w:val="Strong"/>
                <w:rFonts w:asciiTheme="minorHAnsi" w:hAnsiTheme="minorHAnsi" w:cstheme="minorHAnsi"/>
                <w:bCs/>
                <w:sz w:val="20"/>
                <w:szCs w:val="20"/>
              </w:rPr>
              <w:t>protected_lakes_by_NARS.R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r>
              <w:rPr>
                <w:rStyle w:val="Strong"/>
                <w:rFonts w:asciiTheme="minorHAnsi" w:hAnsiTheme="minorHAnsi" w:cstheme="minorHAnsi"/>
                <w:bCs/>
                <w:sz w:val="20"/>
                <w:szCs w:val="20"/>
              </w:rPr>
              <w:t>Rcode/functions/</w:t>
            </w:r>
            <w:r w:rsidR="00F32CBA" w:rsidRPr="00F32CBA">
              <w:rPr>
                <w:rStyle w:val="Strong"/>
                <w:rFonts w:asciiTheme="minorHAnsi" w:hAnsiTheme="minorHAnsi" w:cstheme="minorHAnsi"/>
                <w:bCs/>
                <w:sz w:val="20"/>
                <w:szCs w:val="20"/>
              </w:rPr>
              <w:t>protected_lakes_by_state.R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Logistic regression.R</w:t>
            </w:r>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r>
        <w:rPr>
          <w:rFonts w:ascii="Times New Roman" w:hAnsi="Times New Roman"/>
        </w:rPr>
        <w:t>LakeCat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78" w:rsidRDefault="009C3E78" w:rsidP="00B337A9">
      <w:pPr>
        <w:spacing w:after="0" w:line="240" w:lineRule="auto"/>
      </w:pPr>
      <w:r>
        <w:separator/>
      </w:r>
    </w:p>
  </w:endnote>
  <w:endnote w:type="continuationSeparator" w:id="0">
    <w:p w:rsidR="009C3E78" w:rsidRDefault="009C3E78"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C32703">
      <w:rPr>
        <w:i/>
        <w:noProof/>
        <w:color w:val="4F81BD" w:themeColor="accent1"/>
      </w:rPr>
      <w:t>1</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78" w:rsidRDefault="009C3E78" w:rsidP="00B337A9">
      <w:pPr>
        <w:spacing w:after="0" w:line="240" w:lineRule="auto"/>
      </w:pPr>
      <w:r>
        <w:separator/>
      </w:r>
    </w:p>
  </w:footnote>
  <w:footnote w:type="continuationSeparator" w:id="0">
    <w:p w:rsidR="009C3E78" w:rsidRDefault="009C3E78"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98F"/>
    <w:rsid w:val="00726C4F"/>
    <w:rsid w:val="00734BC6"/>
    <w:rsid w:val="00744023"/>
    <w:rsid w:val="007472A8"/>
    <w:rsid w:val="007715E3"/>
    <w:rsid w:val="007842F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B4063"/>
    <w:rsid w:val="009C3E78"/>
    <w:rsid w:val="009C52CF"/>
    <w:rsid w:val="009D61FA"/>
    <w:rsid w:val="009D6656"/>
    <w:rsid w:val="009E0A29"/>
    <w:rsid w:val="009E3279"/>
    <w:rsid w:val="009E352C"/>
    <w:rsid w:val="009E5211"/>
    <w:rsid w:val="009F1EB7"/>
    <w:rsid w:val="009F5111"/>
    <w:rsid w:val="00A013C1"/>
    <w:rsid w:val="00A10230"/>
    <w:rsid w:val="00A10DF1"/>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2703"/>
    <w:rsid w:val="00C37A8E"/>
    <w:rsid w:val="00C42C94"/>
    <w:rsid w:val="00C705B7"/>
    <w:rsid w:val="00C835BC"/>
    <w:rsid w:val="00CA274F"/>
    <w:rsid w:val="00CC5EB8"/>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A6495"/>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1AB8"/>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262034"/>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361750"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E07EA-6EA8-48B0-ACE9-DE6EC9AB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25</cp:revision>
  <dcterms:created xsi:type="dcterms:W3CDTF">2019-04-29T14:16:00Z</dcterms:created>
  <dcterms:modified xsi:type="dcterms:W3CDTF">2019-08-06T18:54:00Z</dcterms:modified>
</cp:coreProperties>
</file>