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FC53DF" w:rsidRDefault="008A5C3C" w:rsidP="008A5C3C">
      <w:pPr>
        <w:spacing w:after="0" w:line="240" w:lineRule="auto"/>
        <w:rPr>
          <w:rFonts w:ascii="Times New Roman" w:hAnsi="Times New Roman"/>
          <w:b/>
          <w:sz w:val="16"/>
        </w:rPr>
      </w:pPr>
      <w:bookmarkStart w:id="0" w:name="_GoBack"/>
      <w:bookmarkEnd w:id="0"/>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CC5EB8" w:rsidP="009D61FA">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Some data files are currently too large to be stored on </w:t>
            </w:r>
            <w:proofErr w:type="spellStart"/>
            <w:r w:rsidR="00684591">
              <w:rPr>
                <w:rFonts w:asciiTheme="minorHAnsi" w:hAnsiTheme="minorHAnsi"/>
              </w:rPr>
              <w:t>github</w:t>
            </w:r>
            <w:proofErr w:type="spellEnd"/>
            <w:r w:rsidR="00684591">
              <w:rPr>
                <w:rFonts w:asciiTheme="minorHAnsi" w:hAnsiTheme="minorHAnsi"/>
              </w:rPr>
              <w:t>, but they will be part of the final archival.</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lastRenderedPageBreak/>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w:t>
            </w:r>
            <w:r w:rsidRPr="00C13E67">
              <w:rPr>
                <w:rFonts w:asciiTheme="minorHAnsi" w:hAnsiTheme="minorHAnsi" w:cstheme="minorHAnsi"/>
                <w:color w:val="000000"/>
                <w:sz w:val="20"/>
              </w:rPr>
              <w:lastRenderedPageBreak/>
              <w:t>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sidR="00DA6495">
        <w:rPr>
          <w:rFonts w:ascii="Times New Roman" w:hAnsi="Times New Roman"/>
          <w:i/>
        </w:rPr>
        <w:t xml:space="preserve"> C</w:t>
      </w:r>
      <w:r>
        <w:rPr>
          <w:rFonts w:ascii="Times New Roman" w:hAnsi="Times New Roman"/>
          <w:i/>
        </w:rPr>
        <w:t xml:space="preserve">ontains </w:t>
      </w:r>
      <w:r w:rsidR="00DA6495">
        <w:rPr>
          <w:rFonts w:ascii="Times New Roman" w:hAnsi="Times New Roman"/>
          <w:i/>
        </w:rPr>
        <w:t xml:space="preserve">only </w:t>
      </w:r>
      <w:r>
        <w:rPr>
          <w:rFonts w:ascii="Times New Roman" w:hAnsi="Times New Roman"/>
          <w:i/>
        </w:rPr>
        <w:t>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ProtectedLakes_gap12_Cat80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Number of protected lakes based on 80% catchment protection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ProtectedLakes_gap3_Cat80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 xml:space="preserve">Number of protected lakes based on 80% catchment </w:t>
            </w:r>
            <w:r>
              <w:rPr>
                <w:rFonts w:asciiTheme="minorHAnsi" w:hAnsiTheme="minorHAnsi"/>
                <w:sz w:val="20"/>
              </w:rPr>
              <w:lastRenderedPageBreak/>
              <w:t>protection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PropProtected_gap12_Cat80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 xml:space="preserve">of lakes protected based on 80% </w:t>
            </w:r>
            <w:r>
              <w:rPr>
                <w:rFonts w:asciiTheme="minorHAnsi" w:hAnsiTheme="minorHAnsi" w:cstheme="minorHAnsi"/>
                <w:sz w:val="20"/>
                <w:szCs w:val="20"/>
              </w:rPr>
              <w:lastRenderedPageBreak/>
              <w:t>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PropProtected_gap3_Cat80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w:t>
            </w:r>
            <w:r>
              <w:rPr>
                <w:rFonts w:asciiTheme="minorHAnsi" w:hAnsiTheme="minorHAnsi" w:cstheme="minorHAnsi"/>
                <w:sz w:val="20"/>
                <w:szCs w:val="20"/>
              </w:rPr>
              <w:t>multi-use</w:t>
            </w:r>
            <w:r w:rsidRPr="0083178B">
              <w:rPr>
                <w:rFonts w:asciiTheme="minorHAnsi" w:hAnsiTheme="minorHAnsi" w:cstheme="minorHAnsi"/>
                <w:sz w:val="20"/>
                <w:szCs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lastRenderedPageBreak/>
        <w:t xml:space="preserve">Dataset description: </w:t>
      </w:r>
      <w:r w:rsidRPr="00C13E67">
        <w:rPr>
          <w:rFonts w:ascii="Times New Roman" w:hAnsi="Times New Roman"/>
          <w:i/>
        </w:rPr>
        <w:t>Lakes from the National Hydrography Dataset plus v2 (NHD).</w:t>
      </w:r>
      <w:r>
        <w:rPr>
          <w:rFonts w:ascii="Times New Roman" w:hAnsi="Times New Roman"/>
          <w:i/>
        </w:rPr>
        <w:t xml:space="preserve"> </w:t>
      </w:r>
      <w:r w:rsidR="00DA6495">
        <w:rPr>
          <w:rFonts w:ascii="Times New Roman" w:hAnsi="Times New Roman"/>
          <w:i/>
        </w:rPr>
        <w:t>C</w:t>
      </w:r>
      <w:r>
        <w:rPr>
          <w:rFonts w:ascii="Times New Roman" w:hAnsi="Times New Roman"/>
          <w:i/>
        </w:rPr>
        <w:t>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DA6495" w:rsidP="00B9334B">
            <w:pPr>
              <w:spacing w:after="0" w:line="240" w:lineRule="auto"/>
              <w:rPr>
                <w:rFonts w:asciiTheme="minorHAnsi" w:hAnsiTheme="minorHAnsi"/>
                <w:sz w:val="20"/>
              </w:rPr>
            </w:pPr>
            <w:r>
              <w:rPr>
                <w:rFonts w:asciiTheme="minorHAnsi" w:hAnsiTheme="minorHAnsi"/>
                <w:sz w:val="20"/>
              </w:rPr>
              <w:t>s</w:t>
            </w:r>
            <w:r w:rsidR="00B21AFF">
              <w:rPr>
                <w:rFonts w:asciiTheme="minorHAnsi" w:hAnsiTheme="minorHAnsi"/>
                <w:sz w:val="20"/>
              </w:rPr>
              <w:t>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DA6495" w:rsidP="00B9334B">
            <w:pPr>
              <w:spacing w:after="0" w:line="240" w:lineRule="auto"/>
              <w:rPr>
                <w:rFonts w:asciiTheme="minorHAnsi" w:hAnsiTheme="minorHAnsi"/>
                <w:sz w:val="20"/>
              </w:rPr>
            </w:pPr>
            <w:r>
              <w:rPr>
                <w:rFonts w:asciiTheme="minorHAnsi" w:hAnsiTheme="minorHAnsi"/>
                <w:sz w:val="20"/>
              </w:rPr>
              <w:t>n</w:t>
            </w:r>
            <w:r w:rsidR="00B21AFF">
              <w:rPr>
                <w:rFonts w:asciiTheme="minorHAnsi" w:hAnsiTheme="minorHAnsi"/>
                <w:sz w:val="20"/>
              </w:rPr>
              <w:t>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Stict_Cat80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lastRenderedPageBreak/>
              <w:t>Strict_Cat100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Unprotected</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lastRenderedPageBreak/>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c</w:t>
            </w:r>
            <w:r w:rsidR="00B21AFF" w:rsidRPr="00F54AF5">
              <w:rPr>
                <w:rFonts w:asciiTheme="minorHAnsi" w:hAnsiTheme="minorHAnsi" w:cstheme="minorHAnsi"/>
                <w:sz w:val="20"/>
                <w:szCs w:val="20"/>
              </w:rPr>
              <w:t>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w</w:t>
            </w:r>
            <w:r w:rsidR="00B21AFF" w:rsidRPr="00F54AF5">
              <w:rPr>
                <w:rFonts w:asciiTheme="minorHAnsi" w:hAnsiTheme="minorHAnsi" w:cstheme="minorHAnsi"/>
                <w:sz w:val="20"/>
                <w:szCs w:val="20"/>
              </w:rPr>
              <w:t>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w:t>
            </w:r>
            <w:r w:rsidR="00F54AF5" w:rsidRPr="00F54AF5">
              <w:rPr>
                <w:rFonts w:asciiTheme="minorHAnsi" w:hAnsiTheme="minorHAnsi" w:cstheme="minorHAnsi"/>
                <w:sz w:val="20"/>
                <w:szCs w:val="20"/>
              </w:rPr>
              <w:t>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 xml:space="preserve">percent of catchment under GAP </w:t>
            </w:r>
            <w:r w:rsidRPr="00F54AF5">
              <w:rPr>
                <w:rFonts w:asciiTheme="minorHAnsi" w:hAnsiTheme="minorHAnsi" w:cstheme="minorHAnsi"/>
                <w:sz w:val="20"/>
                <w:szCs w:val="20"/>
              </w:rPr>
              <w:lastRenderedPageBreak/>
              <w:t>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w:t>
            </w:r>
            <w:r w:rsidR="001E6E5B">
              <w:rPr>
                <w:rFonts w:asciiTheme="minorHAnsi" w:hAnsiTheme="minorHAnsi" w:cstheme="minorHAnsi"/>
                <w:sz w:val="20"/>
                <w:szCs w:val="20"/>
              </w:rPr>
              <w:t>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f</w:t>
            </w:r>
            <w:r w:rsidR="001E6E5B">
              <w:rPr>
                <w:rFonts w:asciiTheme="minorHAnsi" w:hAnsiTheme="minorHAnsi" w:cstheme="minorHAnsi"/>
                <w:sz w:val="20"/>
                <w:szCs w:val="20"/>
              </w:rPr>
              <w:t>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w:t>
            </w:r>
            <w:r w:rsidR="001E6E5B">
              <w:rPr>
                <w:rFonts w:asciiTheme="minorHAnsi" w:hAnsiTheme="minorHAnsi" w:cstheme="minorHAnsi"/>
                <w:sz w:val="20"/>
                <w:szCs w:val="20"/>
              </w:rPr>
              <w:t>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lastRenderedPageBreak/>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DA6495">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3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240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3: managed for multiple uses – subject to extractive (e.g. mining </w:t>
            </w:r>
            <w:r w:rsidRPr="00F54AF5">
              <w:rPr>
                <w:rFonts w:asciiTheme="minorHAnsi" w:hAnsiTheme="minorHAnsi" w:cstheme="minorHAnsi"/>
                <w:sz w:val="20"/>
                <w:szCs w:val="20"/>
              </w:rPr>
              <w:lastRenderedPageBreak/>
              <w:t>or logging) or OHV use</w:t>
            </w: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2406" w:type="dxa"/>
          </w:tcPr>
          <w:p w:rsidR="00DA6495" w:rsidRPr="006D7B0B" w:rsidRDefault="00DA6495" w:rsidP="00DA6495">
            <w:pPr>
              <w:rPr>
                <w:rFonts w:asciiTheme="minorHAnsi" w:hAnsiTheme="minorHAnsi" w:cstheme="minorHAnsi"/>
                <w:sz w:val="20"/>
                <w:szCs w:val="20"/>
              </w:rPr>
            </w:pPr>
            <w:r>
              <w:rPr>
                <w:rFonts w:asciiTheme="minorHAnsi" w:hAnsiTheme="minorHAnsi" w:cstheme="minorHAnsi"/>
                <w:sz w:val="20"/>
                <w:szCs w:val="20"/>
              </w:rPr>
              <w:t>lake area</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ElevCat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mean </w:t>
            </w:r>
            <w:r>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ro</w:t>
            </w:r>
            <w:r>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mean c</w:t>
            </w:r>
            <w:r>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2406" w:type="dxa"/>
          </w:tcPr>
          <w:p w:rsidR="00DA6495" w:rsidRPr="006D7B0B" w:rsidRDefault="00DA6495" w:rsidP="00DA6495">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w:t>
            </w:r>
            <w:r w:rsidRPr="006D7B0B">
              <w:rPr>
                <w:rFonts w:asciiTheme="minorHAnsi" w:hAnsiTheme="minorHAnsi" w:cstheme="minorHAnsi"/>
                <w:sz w:val="20"/>
                <w:szCs w:val="20"/>
              </w:rPr>
              <w:lastRenderedPageBreak/>
              <w:t xml:space="preserve">(2003)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w:t>
            </w:r>
            <w:r>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 air</w:t>
            </w:r>
            <w:r>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CC5EB8"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CC5EB8"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CC5EB8"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CC5EB8"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w:t>
              </w:r>
              <w:r w:rsidR="0037491B" w:rsidRPr="0037491B">
                <w:rPr>
                  <w:rStyle w:val="Hyperlink"/>
                  <w:rFonts w:asciiTheme="minorHAnsi" w:hAnsiTheme="minorHAnsi" w:cstheme="minorHAnsi"/>
                  <w:sz w:val="20"/>
                  <w:szCs w:val="20"/>
                </w:rPr>
                <w:lastRenderedPageBreak/>
                <w:t>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lastRenderedPageBreak/>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763"/>
        <w:gridCol w:w="2523"/>
        <w:gridCol w:w="1084"/>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DA6495" w:rsidRPr="00F32CBA" w:rsidTr="00F85428">
        <w:trPr>
          <w:trHeight w:val="300"/>
        </w:trPr>
        <w:tc>
          <w:tcPr>
            <w:tcW w:w="4228" w:type="dxa"/>
            <w:noWrap/>
          </w:tcPr>
          <w:p w:rsidR="00DA6495" w:rsidRDefault="00DA6495" w:rsidP="00F32CBA">
            <w:pPr>
              <w:pStyle w:val="Heading2"/>
              <w:outlineLvl w:val="1"/>
              <w:rPr>
                <w:rStyle w:val="Strong"/>
                <w:rFonts w:asciiTheme="minorHAnsi" w:hAnsiTheme="minorHAnsi" w:cstheme="minorHAnsi"/>
                <w:bCs/>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/LakeProtectionByStateEcoregion_80pctProtect.R</w:t>
            </w:r>
          </w:p>
        </w:tc>
        <w:tc>
          <w:tcPr>
            <w:tcW w:w="3039"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Same as previous script, but adjusted for the 80% catchment protection threshold</w:t>
            </w:r>
          </w:p>
        </w:tc>
        <w:tc>
          <w:tcPr>
            <w:tcW w:w="1103"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 xml:space="preserve">Logistic </w:t>
            </w:r>
            <w:proofErr w:type="spellStart"/>
            <w:r>
              <w:rPr>
                <w:rStyle w:val="Strong"/>
                <w:rFonts w:asciiTheme="minorHAnsi" w:hAnsiTheme="minorHAnsi" w:cstheme="minorHAnsi"/>
                <w:bCs/>
                <w:sz w:val="20"/>
                <w:szCs w:val="20"/>
              </w:rPr>
              <w:t>regression.R</w:t>
            </w:r>
            <w:proofErr w:type="spellEnd"/>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EB8" w:rsidRDefault="00CC5EB8" w:rsidP="00B337A9">
      <w:pPr>
        <w:spacing w:after="0" w:line="240" w:lineRule="auto"/>
      </w:pPr>
      <w:r>
        <w:separator/>
      </w:r>
    </w:p>
  </w:endnote>
  <w:endnote w:type="continuationSeparator" w:id="0">
    <w:p w:rsidR="00CC5EB8" w:rsidRDefault="00CC5EB8"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9F1EB7">
      <w:rPr>
        <w:i/>
        <w:noProof/>
        <w:color w:val="4F81BD" w:themeColor="accent1"/>
      </w:rPr>
      <w:t>14</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EB8" w:rsidRDefault="00CC5EB8" w:rsidP="00B337A9">
      <w:pPr>
        <w:spacing w:after="0" w:line="240" w:lineRule="auto"/>
      </w:pPr>
      <w:r>
        <w:separator/>
      </w:r>
    </w:p>
  </w:footnote>
  <w:footnote w:type="continuationSeparator" w:id="0">
    <w:p w:rsidR="00CC5EB8" w:rsidRDefault="00CC5EB8"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C52CF"/>
    <w:rsid w:val="009D61FA"/>
    <w:rsid w:val="009D6656"/>
    <w:rsid w:val="009E0A29"/>
    <w:rsid w:val="009E3279"/>
    <w:rsid w:val="009E352C"/>
    <w:rsid w:val="009E5211"/>
    <w:rsid w:val="009F1EB7"/>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5EB8"/>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A6495"/>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F3C3-1F85-4633-8950-28610EBA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21</cp:revision>
  <dcterms:created xsi:type="dcterms:W3CDTF">2019-04-29T14:16:00Z</dcterms:created>
  <dcterms:modified xsi:type="dcterms:W3CDTF">2019-08-06T17:07:00Z</dcterms:modified>
</cp:coreProperties>
</file>