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4584164E" w14:textId="604B04C8"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corridors in the conterminous US: a coarse-filter approach based on lake-stream network</w:t>
      </w:r>
      <w:r w:rsidR="007C2B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53FD0E68" w14:textId="02065300" w:rsidR="00523288" w:rsidRPr="00380E2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Address for correspondence</w:t>
      </w:r>
      <w:r w:rsidR="00EE5C5E">
        <w:rPr>
          <w:rFonts w:ascii="Times New Roman" w:eastAsia="Times New Roman" w:hAnsi="Times New Roman" w:cs="Times New Roman"/>
          <w:sz w:val="24"/>
          <w:szCs w:val="24"/>
        </w:rPr>
        <w:t xml:space="preserve"> (Ian McCullough)</w:t>
      </w:r>
      <w:r>
        <w:rPr>
          <w:rFonts w:ascii="Times New Roman" w:eastAsia="Times New Roman" w:hAnsi="Times New Roman" w:cs="Times New Roman"/>
          <w:sz w:val="24"/>
          <w:szCs w:val="24"/>
        </w:rPr>
        <w:t xml:space="preserv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6FF40E4D" w14:textId="77777777" w:rsidR="00380E2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Disclaimer: 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finding or policy.</w:t>
      </w:r>
    </w:p>
    <w:p w14:paraId="63637D28" w14:textId="62B598BD" w:rsidR="00523288" w:rsidRPr="00FB37ED"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 research</w:t>
      </w:r>
      <w:r>
        <w:rPr>
          <w:rFonts w:ascii="Times New Roman" w:eastAsia="Times New Roman" w:hAnsi="Times New Roman" w:cs="Times New Roman"/>
          <w:sz w:val="24"/>
          <w:szCs w:val="24"/>
        </w:rPr>
        <w:t xml:space="preserve">: All data, metadata, and R analysis scripts are currently available at </w:t>
      </w:r>
      <w:bookmarkStart w:id="0" w:name="_Hlk109735311"/>
      <w:r>
        <w:fldChar w:fldCharType="begin"/>
      </w:r>
      <w:r>
        <w:instrText xml:space="preserve"> HYPERLINK "https://github.com/cont-limno/TripleC" \h </w:instrText>
      </w:r>
      <w:r>
        <w:fldChar w:fldCharType="separate"/>
      </w:r>
      <w:r>
        <w:rPr>
          <w:rFonts w:ascii="Times New Roman" w:eastAsia="Times New Roman" w:hAnsi="Times New Roman" w:cs="Times New Roman"/>
          <w:color w:val="1155CC"/>
          <w:sz w:val="24"/>
          <w:szCs w:val="24"/>
          <w:u w:val="single"/>
        </w:rPr>
        <w:t>https://github.com/cont-limno/TripleC</w:t>
      </w:r>
      <w:r>
        <w:rPr>
          <w:rFonts w:ascii="Times New Roman" w:eastAsia="Times New Roman" w:hAnsi="Times New Roman" w:cs="Times New Roman"/>
          <w:color w:val="1155CC"/>
          <w:sz w:val="24"/>
          <w:szCs w:val="24"/>
          <w:u w:val="single"/>
        </w:rPr>
        <w:fldChar w:fldCharType="end"/>
      </w:r>
      <w:bookmarkEnd w:id="0"/>
      <w:r>
        <w:rPr>
          <w:rFonts w:ascii="Times New Roman" w:eastAsia="Times New Roman" w:hAnsi="Times New Roman" w:cs="Times New Roman"/>
          <w:sz w:val="24"/>
          <w:szCs w:val="24"/>
        </w:rPr>
        <w:t xml:space="preserve">. Upon publication, this repository will be permanently archived in a publicly accessible online location </w:t>
      </w:r>
      <w:r w:rsidR="00D06F36">
        <w:rPr>
          <w:rFonts w:ascii="Times New Roman" w:eastAsia="Times New Roman" w:hAnsi="Times New Roman" w:cs="Times New Roman"/>
          <w:sz w:val="24"/>
          <w:szCs w:val="24"/>
        </w:rPr>
        <w:t xml:space="preserve">(Zenodo) </w:t>
      </w:r>
      <w:r>
        <w:rPr>
          <w:rFonts w:ascii="Times New Roman" w:eastAsia="Times New Roman" w:hAnsi="Times New Roman" w:cs="Times New Roman"/>
          <w:sz w:val="24"/>
          <w:szCs w:val="24"/>
        </w:rPr>
        <w:t>and cited in our methods.</w:t>
      </w:r>
      <w:r w:rsidR="00380E28">
        <w:rPr>
          <w:rFonts w:ascii="Times New Roman" w:eastAsia="Times New Roman" w:hAnsi="Times New Roman" w:cs="Times New Roman"/>
          <w:sz w:val="24"/>
          <w:szCs w:val="24"/>
        </w:rPr>
        <w:t xml:space="preserve"> </w:t>
      </w:r>
      <w:r w:rsidR="00380E28" w:rsidRPr="00773D19">
        <w:rPr>
          <w:rFonts w:ascii="Times New Roman" w:eastAsia="Times New Roman" w:hAnsi="Times New Roman" w:cs="Times New Roman"/>
          <w:sz w:val="24"/>
          <w:szCs w:val="24"/>
        </w:rPr>
        <w:t>We used a combination of data already published and publicly available (cited in manuscript) and data provided as private-for peer review (shared publicly in a repository).</w:t>
      </w:r>
      <w:r w:rsidR="004147CB">
        <w:rPr>
          <w:rFonts w:ascii="Times New Roman" w:eastAsia="Times New Roman" w:hAnsi="Times New Roman" w:cs="Times New Roman"/>
          <w:sz w:val="24"/>
          <w:szCs w:val="24"/>
        </w:rPr>
        <w:t xml:space="preserve"> </w:t>
      </w:r>
      <w:r w:rsidR="004147CB" w:rsidRPr="00FB37ED">
        <w:rPr>
          <w:rFonts w:ascii="Times New Roman" w:eastAsia="Times New Roman" w:hAnsi="Times New Roman" w:cs="Times New Roman"/>
          <w:sz w:val="24"/>
          <w:szCs w:val="24"/>
        </w:rPr>
        <w:t>Publicly available data</w:t>
      </w:r>
      <w:r w:rsidR="00FB37ED" w:rsidRPr="00FB37ED">
        <w:rPr>
          <w:rFonts w:ascii="Times New Roman" w:eastAsia="Times New Roman" w:hAnsi="Times New Roman" w:cs="Times New Roman"/>
          <w:sz w:val="24"/>
          <w:szCs w:val="24"/>
        </w:rPr>
        <w:t xml:space="preserve">sets </w:t>
      </w:r>
      <w:r w:rsidR="00FB37ED" w:rsidRPr="00FB37ED">
        <w:rPr>
          <w:rFonts w:ascii="Times New Roman" w:eastAsia="Times New Roman" w:hAnsi="Times New Roman" w:cs="Times New Roman"/>
          <w:sz w:val="24"/>
          <w:szCs w:val="24"/>
        </w:rPr>
        <w:lastRenderedPageBreak/>
        <w:t xml:space="preserve">utilized for this research are as follows: </w:t>
      </w:r>
      <w:r w:rsidR="001226B2" w:rsidRPr="008D4808">
        <w:rPr>
          <w:rFonts w:ascii="Times New Roman" w:hAnsi="Times New Roman" w:cs="Times New Roman"/>
          <w:sz w:val="24"/>
          <w:szCs w:val="24"/>
        </w:rPr>
        <w:t>LAGOS-US LOCUS v1.0 (</w:t>
      </w:r>
      <w:hyperlink r:id="rId9" w:history="1">
        <w:r w:rsidR="001226B2" w:rsidRPr="00FB37ED">
          <w:rPr>
            <w:rStyle w:val="Hyperlink"/>
            <w:rFonts w:ascii="Times New Roman" w:eastAsia="Times New Roman" w:hAnsi="Times New Roman" w:cs="Times New Roman"/>
            <w:sz w:val="24"/>
            <w:szCs w:val="24"/>
          </w:rPr>
          <w:t>https://doi.org/10.6073/pasta/e5c2fb8d77467d3f03de4667ac2173ca</w:t>
        </w:r>
      </w:hyperlink>
      <w:r w:rsidR="001226B2" w:rsidRPr="00FB37ED">
        <w:rPr>
          <w:rFonts w:ascii="Times New Roman" w:eastAsia="Times New Roman" w:hAnsi="Times New Roman" w:cs="Times New Roman"/>
          <w:sz w:val="24"/>
          <w:szCs w:val="24"/>
        </w:rPr>
        <w:t xml:space="preserve">), </w:t>
      </w:r>
      <w:r w:rsidR="004147CB" w:rsidRPr="00FB37ED">
        <w:rPr>
          <w:rFonts w:ascii="Times New Roman" w:eastAsia="Times New Roman" w:hAnsi="Times New Roman" w:cs="Times New Roman"/>
          <w:sz w:val="24"/>
          <w:szCs w:val="24"/>
        </w:rPr>
        <w:t>LAGOS-US</w:t>
      </w:r>
      <w:r w:rsidR="001226B2" w:rsidRPr="00FB37ED">
        <w:rPr>
          <w:rFonts w:ascii="Times New Roman" w:eastAsia="Times New Roman" w:hAnsi="Times New Roman" w:cs="Times New Roman"/>
          <w:sz w:val="24"/>
          <w:szCs w:val="24"/>
        </w:rPr>
        <w:t xml:space="preserve"> </w:t>
      </w:r>
      <w:r w:rsidR="004147CB" w:rsidRPr="00FB37ED">
        <w:rPr>
          <w:rFonts w:ascii="Times New Roman" w:eastAsia="Times New Roman" w:hAnsi="Times New Roman" w:cs="Times New Roman"/>
          <w:sz w:val="24"/>
          <w:szCs w:val="24"/>
        </w:rPr>
        <w:t>NETWORKS</w:t>
      </w:r>
      <w:r w:rsidR="001226B2" w:rsidRPr="00FB37ED">
        <w:rPr>
          <w:rFonts w:ascii="Times New Roman" w:eastAsia="Times New Roman" w:hAnsi="Times New Roman" w:cs="Times New Roman"/>
          <w:sz w:val="24"/>
          <w:szCs w:val="24"/>
        </w:rPr>
        <w:t xml:space="preserve"> v1.0</w:t>
      </w:r>
      <w:r w:rsidR="004147CB" w:rsidRPr="00FB37ED">
        <w:rPr>
          <w:rFonts w:ascii="Times New Roman" w:eastAsia="Times New Roman" w:hAnsi="Times New Roman" w:cs="Times New Roman"/>
          <w:sz w:val="24"/>
          <w:szCs w:val="24"/>
        </w:rPr>
        <w:t xml:space="preserve"> (</w:t>
      </w:r>
      <w:hyperlink r:id="rId10" w:history="1">
        <w:r w:rsidR="001226B2" w:rsidRPr="008D4808">
          <w:rPr>
            <w:rStyle w:val="Hyperlink"/>
            <w:rFonts w:ascii="Times New Roman" w:hAnsi="Times New Roman" w:cs="Times New Roman"/>
            <w:sz w:val="24"/>
            <w:szCs w:val="24"/>
          </w:rPr>
          <w:t>https://doi.org/10.6073/pasta/98c9f11df55958065985c3e84a4fe995</w:t>
        </w:r>
      </w:hyperlink>
      <w:r w:rsidR="001226B2" w:rsidRPr="008D4808">
        <w:rPr>
          <w:rFonts w:ascii="Times New Roman" w:hAnsi="Times New Roman" w:cs="Times New Roman"/>
          <w:sz w:val="24"/>
          <w:szCs w:val="24"/>
        </w:rPr>
        <w:t xml:space="preserve">), </w:t>
      </w:r>
      <w:r w:rsidR="001226B2" w:rsidRPr="00FB37ED">
        <w:rPr>
          <w:rFonts w:ascii="Times New Roman" w:eastAsia="Times New Roman" w:hAnsi="Times New Roman" w:cs="Times New Roman"/>
          <w:sz w:val="24"/>
          <w:szCs w:val="24"/>
        </w:rPr>
        <w:t>LAGOS-US RESERVOIR (</w:t>
      </w:r>
      <w:hyperlink r:id="rId11" w:history="1">
        <w:r w:rsidR="001226B2" w:rsidRPr="00FB37ED">
          <w:rPr>
            <w:rFonts w:ascii="Times New Roman" w:eastAsia="Times New Roman" w:hAnsi="Times New Roman" w:cs="Times New Roman"/>
            <w:sz w:val="24"/>
            <w:szCs w:val="24"/>
          </w:rPr>
          <w:t>https://doi.org/10.6073/pasta/c850e645d79bb239e1dfeadd0af6b631</w:t>
        </w:r>
      </w:hyperlink>
      <w:r w:rsidR="001226B2" w:rsidRPr="00FB37ED">
        <w:rPr>
          <w:rFonts w:ascii="Times New Roman" w:eastAsia="Times New Roman" w:hAnsi="Times New Roman" w:cs="Times New Roman"/>
          <w:sz w:val="24"/>
          <w:szCs w:val="24"/>
        </w:rPr>
        <w:t xml:space="preserve">), </w:t>
      </w:r>
      <w:r w:rsidR="00F905D3" w:rsidRPr="00FB37ED">
        <w:rPr>
          <w:rFonts w:ascii="Times New Roman" w:eastAsia="Times New Roman" w:hAnsi="Times New Roman" w:cs="Times New Roman"/>
          <w:sz w:val="24"/>
          <w:szCs w:val="24"/>
        </w:rPr>
        <w:t>US Environmental Protection Agency National Aquatic Resource Survey ecoregions (</w:t>
      </w:r>
      <w:hyperlink r:id="rId12" w:history="1">
        <w:r w:rsidR="00F905D3" w:rsidRPr="00FB37ED">
          <w:rPr>
            <w:rStyle w:val="Hyperlink"/>
            <w:rFonts w:ascii="Times New Roman" w:hAnsi="Times New Roman" w:cs="Times New Roman"/>
            <w:sz w:val="24"/>
            <w:szCs w:val="24"/>
          </w:rPr>
          <w:t>https://doi.org/10.1899/08-081.1</w:t>
        </w:r>
      </w:hyperlink>
      <w:r w:rsidR="00F905D3" w:rsidRPr="00FB37ED">
        <w:rPr>
          <w:rFonts w:ascii="Times New Roman" w:hAnsi="Times New Roman" w:cs="Times New Roman"/>
          <w:sz w:val="24"/>
          <w:szCs w:val="24"/>
        </w:rPr>
        <w:t>), and the US Protected Area</w:t>
      </w:r>
      <w:r w:rsidR="002A3D34">
        <w:rPr>
          <w:rFonts w:ascii="Times New Roman" w:hAnsi="Times New Roman" w:cs="Times New Roman"/>
          <w:sz w:val="24"/>
          <w:szCs w:val="24"/>
        </w:rPr>
        <w:t>s</w:t>
      </w:r>
      <w:r w:rsidR="00F905D3" w:rsidRPr="00FB37ED">
        <w:rPr>
          <w:rFonts w:ascii="Times New Roman" w:hAnsi="Times New Roman" w:cs="Times New Roman"/>
          <w:sz w:val="24"/>
          <w:szCs w:val="24"/>
        </w:rPr>
        <w:t xml:space="preserve"> Database v2.0 (</w:t>
      </w:r>
      <w:hyperlink r:id="rId13" w:tgtFrame="_blank" w:history="1">
        <w:r w:rsidR="00F905D3" w:rsidRPr="00FB37ED">
          <w:rPr>
            <w:rStyle w:val="Hyperlink"/>
            <w:rFonts w:ascii="Times New Roman" w:hAnsi="Times New Roman" w:cs="Times New Roman"/>
            <w:sz w:val="24"/>
            <w:szCs w:val="24"/>
          </w:rPr>
          <w:t>https://doi.org/10.5066/P955KPLE</w:t>
        </w:r>
      </w:hyperlink>
      <w:r w:rsidR="00F905D3" w:rsidRPr="00FB37ED">
        <w:rPr>
          <w:rFonts w:ascii="Times New Roman" w:hAnsi="Times New Roman" w:cs="Times New Roman"/>
          <w:sz w:val="24"/>
          <w:szCs w:val="24"/>
        </w:rPr>
        <w:t>).</w:t>
      </w:r>
    </w:p>
    <w:p w14:paraId="0D6D7B95" w14:textId="77777777" w:rsidR="00FB37ED" w:rsidRDefault="00FB37ED" w:rsidP="00FB37ED">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3C2AB136" w14:textId="77777777" w:rsidR="00FB37ED" w:rsidRDefault="00FB37ED" w:rsidP="00FB37ED">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AC55765" w14:textId="46780FFA" w:rsidR="00FB37ED" w:rsidRDefault="00FB37E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lastRenderedPageBreak/>
        <w:t>Abstract</w:t>
      </w:r>
    </w:p>
    <w:p w14:paraId="21B69F52" w14:textId="76D05FA1"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t>
      </w:r>
      <w:r w:rsidR="00D474C2">
        <w:rPr>
          <w:rFonts w:ascii="Times New Roman" w:eastAsia="Gungsuh" w:hAnsi="Times New Roman" w:cs="Times New Roman"/>
          <w:sz w:val="24"/>
          <w:szCs w:val="24"/>
        </w:rPr>
        <w:t>We applied</w:t>
      </w:r>
      <w:r w:rsidR="00295D79">
        <w:rPr>
          <w:rFonts w:ascii="Times New Roman" w:eastAsia="Gungsuh" w:hAnsi="Times New Roman" w:cs="Times New Roman"/>
          <w:sz w:val="24"/>
          <w:szCs w:val="24"/>
        </w:rPr>
        <w:t xml:space="preserve"> a coarse-filter approach</w:t>
      </w:r>
      <w:r w:rsidR="00D474C2">
        <w:rPr>
          <w:rFonts w:ascii="Times New Roman" w:eastAsia="Gungsuh" w:hAnsi="Times New Roman" w:cs="Times New Roman"/>
          <w:sz w:val="24"/>
          <w:szCs w:val="24"/>
        </w:rPr>
        <w:t xml:space="preserve"> to identify potential freshwater corridors for diverse taxa </w:t>
      </w:r>
      <w:r w:rsidR="00A162BA">
        <w:rPr>
          <w:rFonts w:ascii="Times New Roman" w:eastAsia="Gungsuh" w:hAnsi="Times New Roman" w:cs="Times New Roman"/>
          <w:sz w:val="24"/>
          <w:szCs w:val="24"/>
        </w:rPr>
        <w:t xml:space="preserve">by calculating </w:t>
      </w:r>
      <w:r w:rsidR="00A162BA" w:rsidRPr="00F30538">
        <w:rPr>
          <w:rFonts w:ascii="Times New Roman" w:eastAsia="Gungsuh" w:hAnsi="Times New Roman" w:cs="Times New Roman"/>
          <w:sz w:val="24"/>
          <w:szCs w:val="24"/>
        </w:rPr>
        <w:t xml:space="preserve">connectivity scores for 385 </w:t>
      </w:r>
      <w:r w:rsidR="008A19E2">
        <w:rPr>
          <w:rFonts w:ascii="Times New Roman" w:eastAsia="Gungsuh" w:hAnsi="Times New Roman" w:cs="Times New Roman"/>
          <w:sz w:val="24"/>
          <w:szCs w:val="24"/>
        </w:rPr>
        <w:t>lake-stream</w:t>
      </w:r>
      <w:r w:rsidR="00A162BA" w:rsidRPr="00F30538">
        <w:rPr>
          <w:rFonts w:ascii="Times New Roman" w:eastAsia="Gungsuh" w:hAnsi="Times New Roman" w:cs="Times New Roman"/>
          <w:sz w:val="24"/>
          <w:szCs w:val="24"/>
        </w:rPr>
        <w:t xml:space="preserve"> networks</w:t>
      </w:r>
      <w:r w:rsidR="00E153D4">
        <w:rPr>
          <w:rFonts w:ascii="Times New Roman" w:eastAsia="Gungsuh" w:hAnsi="Times New Roman" w:cs="Times New Roman"/>
          <w:sz w:val="24"/>
          <w:szCs w:val="24"/>
        </w:rPr>
        <w:t xml:space="preserve"> across the conterminous US</w:t>
      </w:r>
      <w:r w:rsidR="00A162BA">
        <w:rPr>
          <w:rFonts w:ascii="Times New Roman" w:eastAsia="Gungsuh" w:hAnsi="Times New Roman" w:cs="Times New Roman"/>
          <w:sz w:val="24"/>
          <w:szCs w:val="24"/>
        </w:rPr>
        <w:t xml:space="preserve"> </w:t>
      </w:r>
      <w:r w:rsidR="00F13699">
        <w:rPr>
          <w:rFonts w:ascii="Times New Roman" w:eastAsia="Gungsuh" w:hAnsi="Times New Roman" w:cs="Times New Roman"/>
          <w:sz w:val="24"/>
          <w:szCs w:val="24"/>
        </w:rPr>
        <w:t xml:space="preserve"> based on network size, structure, resistance to fragmentation, and dam prevalence. We also identified</w:t>
      </w:r>
      <w:r w:rsidRPr="00F30538">
        <w:rPr>
          <w:rFonts w:ascii="Times New Roman" w:eastAsia="Gungsuh" w:hAnsi="Times New Roman" w:cs="Times New Roman"/>
          <w:sz w:val="24"/>
          <w:szCs w:val="24"/>
        </w:rPr>
        <w:t xml:space="preserve"> </w:t>
      </w:r>
      <w:r w:rsidR="00A162BA">
        <w:rPr>
          <w:rFonts w:ascii="Times New Roman" w:eastAsia="Gungsuh" w:hAnsi="Times New Roman" w:cs="Times New Roman"/>
          <w:sz w:val="24"/>
          <w:szCs w:val="24"/>
        </w:rPr>
        <w:t xml:space="preserve">2080 </w:t>
      </w:r>
      <w:r w:rsidRPr="00F30538">
        <w:rPr>
          <w:rFonts w:ascii="Times New Roman" w:eastAsia="Gungsuh" w:hAnsi="Times New Roman" w:cs="Times New Roman"/>
          <w:sz w:val="24"/>
          <w:szCs w:val="24"/>
        </w:rPr>
        <w:t xml:space="preserve">disproportionately important </w:t>
      </w:r>
      <w:r w:rsidR="00F13699">
        <w:rPr>
          <w:rFonts w:ascii="Times New Roman" w:eastAsia="Gungsuh" w:hAnsi="Times New Roman" w:cs="Times New Roman"/>
          <w:sz w:val="24"/>
          <w:szCs w:val="24"/>
        </w:rPr>
        <w:t xml:space="preserve">lakes for maintaining intact </w:t>
      </w:r>
      <w:r w:rsidRPr="00F30538">
        <w:rPr>
          <w:rFonts w:ascii="Times New Roman" w:eastAsia="Gungsuh" w:hAnsi="Times New Roman" w:cs="Times New Roman"/>
          <w:sz w:val="24"/>
          <w:szCs w:val="24"/>
        </w:rPr>
        <w:t>network</w:t>
      </w:r>
      <w:r w:rsidR="00F13699">
        <w:rPr>
          <w:rFonts w:ascii="Times New Roman" w:eastAsia="Gungsuh" w:hAnsi="Times New Roman" w:cs="Times New Roman"/>
          <w:sz w:val="24"/>
          <w:szCs w:val="24"/>
        </w:rPr>
        <w:t>s</w:t>
      </w:r>
      <w:r w:rsidRPr="00F30538">
        <w:rPr>
          <w:rFonts w:ascii="Times New Roman" w:eastAsia="Gungsuh" w:hAnsi="Times New Roman" w:cs="Times New Roman"/>
          <w:sz w:val="24"/>
          <w:szCs w:val="24"/>
        </w:rPr>
        <w:t xml:space="preserve"> (i.e., “hubs”</w:t>
      </w:r>
      <w:r w:rsidR="00A162BA">
        <w:rPr>
          <w:rFonts w:ascii="Times New Roman" w:eastAsia="Gungsuh" w:hAnsi="Times New Roman" w:cs="Times New Roman"/>
          <w:sz w:val="24"/>
          <w:szCs w:val="24"/>
        </w:rPr>
        <w:t>; 2% of all network lakes</w:t>
      </w:r>
      <w:r w:rsidRPr="00F30538">
        <w:rPr>
          <w:rFonts w:ascii="Times New Roman" w:eastAsia="Gungsuh" w:hAnsi="Times New Roman" w:cs="Times New Roman"/>
          <w:sz w:val="24"/>
          <w:szCs w:val="24"/>
        </w:rPr>
        <w:t xml:space="preserve">) and </w:t>
      </w:r>
      <w:r w:rsidR="00F13699">
        <w:rPr>
          <w:rFonts w:ascii="Times New Roman" w:eastAsia="Gungsuh" w:hAnsi="Times New Roman" w:cs="Times New Roman"/>
          <w:sz w:val="24"/>
          <w:szCs w:val="24"/>
        </w:rPr>
        <w:t xml:space="preserve">analyzed </w:t>
      </w:r>
      <w:r w:rsidRPr="00F30538">
        <w:rPr>
          <w:rFonts w:ascii="Times New Roman" w:eastAsia="Gungsuh" w:hAnsi="Times New Roman" w:cs="Times New Roman"/>
          <w:sz w:val="24"/>
          <w:szCs w:val="24"/>
        </w:rPr>
        <w:t>the protection status</w:t>
      </w:r>
      <w:r w:rsidR="00F13699">
        <w:rPr>
          <w:rFonts w:ascii="Times New Roman" w:eastAsia="Gungsuh" w:hAnsi="Times New Roman" w:cs="Times New Roman"/>
          <w:sz w:val="24"/>
          <w:szCs w:val="24"/>
        </w:rPr>
        <w:t xml:space="preserve"> of </w:t>
      </w:r>
      <w:r w:rsidR="00A162BA">
        <w:rPr>
          <w:rFonts w:ascii="Times New Roman" w:eastAsia="Gungsuh" w:hAnsi="Times New Roman" w:cs="Times New Roman"/>
          <w:sz w:val="24"/>
          <w:szCs w:val="24"/>
        </w:rPr>
        <w:t>hubs</w:t>
      </w:r>
      <w:r w:rsidR="00F13699">
        <w:rPr>
          <w:rFonts w:ascii="Times New Roman" w:eastAsia="Gungsuh" w:hAnsi="Times New Roman" w:cs="Times New Roman"/>
          <w:sz w:val="24"/>
          <w:szCs w:val="24"/>
        </w:rPr>
        <w:t xml:space="preserve"> and potential freshwater corridors</w:t>
      </w:r>
      <w:r w:rsidRPr="00F30538">
        <w:rPr>
          <w:rFonts w:ascii="Times New Roman" w:eastAsia="Gungsuh" w:hAnsi="Times New Roman" w:cs="Times New Roman"/>
          <w:sz w:val="24"/>
          <w:szCs w:val="24"/>
        </w:rPr>
        <w:t xml:space="preserve">.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corridors in the conterminous US currently may be diminished compared to smaller, undammed networks. Network lakes and hubs were protected at similar rates nationally across different levels of protection (8-18% and 6-20%, respectively), but were generally more protected in the western US. Our results indicate that conterminous US protection of major freshwater corridors and the hubs that maintain them generally fell short of the international conservation goal of protecting an ecologically representative, well-connected set of fresh waters (≥ 17%) by 2020 (Aichi Target 11). Conservation planning efforts might consider focusing on </w:t>
      </w:r>
      <w:r w:rsidRPr="00F30538">
        <w:rPr>
          <w:rFonts w:ascii="Times New Roman" w:eastAsia="Times New Roman" w:hAnsi="Times New Roman" w:cs="Times New Roman"/>
          <w:sz w:val="24"/>
          <w:szCs w:val="24"/>
        </w:rPr>
        <w:t xml:space="preserve">restoring natural hydrologic </w:t>
      </w:r>
      <w:r w:rsidRPr="00F30538">
        <w:rPr>
          <w:rFonts w:ascii="Times New Roman" w:eastAsia="Times New Roman" w:hAnsi="Times New Roman" w:cs="Times New Roman"/>
          <w:sz w:val="24"/>
          <w:szCs w:val="24"/>
        </w:rPr>
        <w:lastRenderedPageBreak/>
        <w:t>connectivity at or near hubs, particularly in larger networks, less protected</w:t>
      </w:r>
      <w:r w:rsidR="0020272A">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or biodiverse regions, to support 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Zavaleta 2009). Such processes operate over a range of spatial and temporal scales from local to continental and transient to </w:t>
      </w:r>
      <w:r w:rsidR="0084721A">
        <w:rPr>
          <w:rFonts w:ascii="Times New Roman" w:eastAsia="Times New Roman" w:hAnsi="Times New Roman" w:cs="Times New Roman"/>
          <w:sz w:val="24"/>
          <w:szCs w:val="24"/>
        </w:rPr>
        <w:t>macro</w:t>
      </w:r>
      <w:r>
        <w:rPr>
          <w:rFonts w:ascii="Times New Roman" w:eastAsia="Times New Roman" w:hAnsi="Times New Roman" w:cs="Times New Roman"/>
          <w:sz w:val="24"/>
          <w:szCs w:val="24"/>
        </w:rPr>
        <w:t>evolutionary (Littlefield et al. 2019, Armstrong et al. 2021). As habitats are increasingly lost, degraded, or fragmented, maintaining connectivity among habitats at these various spatial and temporal scales becomes particularly challenging (Fischer and Lindenmayer 2007). From a biodiversity conservation perspective, it is often critical to identify, create, or protect corridors to ensure long-term population maintenance and the potential for species range shifts under climate change (Beier &amp; Noss 1998, Stralberg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Corridors are natural or human-created features (habitat or non-habitat) that facilitate connectivity among two or more habitat patches (Beier &amp; Noss 1998, Costanza and Terando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(Beier et al. 2008, Pullinger and Johnson 2010). Similarly, other studies have applied graph theory to model connectivity across landscapes reflecting the spatial arrangement of numerous habitat patches and potential corridors across the underlying landscape (Urban and Keitt 2001, Urban et al. 2009). Over time, graph-based studies have been adapted to incorporate more nuanced information on the characteristics of both patches (e.g., shape) and the landscape (e.g., permeability gradients) (Rayfield et al. 2011). </w:t>
      </w:r>
    </w:p>
    <w:p w14:paraId="054EDACB" w14:textId="4463B4BF"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(Beier et al. 2011). Such approaches build off fine-filter graph-based or least-cost approaches, but instead </w:t>
      </w:r>
      <w:r w:rsidR="00B940C2">
        <w:rPr>
          <w:rFonts w:ascii="Times New Roman" w:eastAsia="Times New Roman" w:hAnsi="Times New Roman" w:cs="Times New Roman"/>
          <w:sz w:val="24"/>
          <w:szCs w:val="24"/>
        </w:rPr>
        <w:t xml:space="preserve">of focusing on individual species, </w:t>
      </w:r>
      <w:r>
        <w:rPr>
          <w:rFonts w:ascii="Times New Roman" w:eastAsia="Times New Roman" w:hAnsi="Times New Roman" w:cs="Times New Roman"/>
          <w:sz w:val="24"/>
          <w:szCs w:val="24"/>
        </w:rPr>
        <w:t xml:space="preserve">rely on generalized surfaces of landscape permeability </w:t>
      </w:r>
      <w:r w:rsidR="00731036">
        <w:rPr>
          <w:rFonts w:ascii="Times New Roman" w:eastAsia="Times New Roman" w:hAnsi="Times New Roman" w:cs="Times New Roman"/>
          <w:sz w:val="24"/>
          <w:szCs w:val="24"/>
        </w:rPr>
        <w:t xml:space="preserve">for diverse taxa </w:t>
      </w:r>
      <w:r>
        <w:rPr>
          <w:rFonts w:ascii="Times New Roman" w:eastAsia="Times New Roman" w:hAnsi="Times New Roman" w:cs="Times New Roman"/>
          <w:sz w:val="24"/>
          <w:szCs w:val="24"/>
        </w:rPr>
        <w:t xml:space="preserve">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Nuñez et al. 2013, Belote et al. 2016), coarse-filter approaches can be useful when prioritizing efficiency, relatively mobile, larger-bodied, or generalist species, or diverse abiotic habitat conditions that promote biodiversity (Brost and Beier 2012, Krosby et al. 2014, Costanza and Terando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6820AA48" w14:textId="27A662A5" w:rsidR="00523288" w:rsidRDefault="00523288">
      <w:pPr>
        <w:spacing w:line="480" w:lineRule="auto"/>
        <w:rPr>
          <w:rFonts w:ascii="Times New Roman" w:eastAsia="Times New Roman" w:hAnsi="Times New Roman" w:cs="Times New Roman"/>
          <w:b/>
          <w:sz w:val="24"/>
          <w:szCs w:val="24"/>
        </w:rPr>
      </w:pPr>
    </w:p>
    <w:p w14:paraId="48318265" w14:textId="311C7B99"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there is a rich and growing conservation literature on coarse-filter corridor mapping at broad spatial scales, most of this progress has occurred in the terrestrial realm. </w:t>
      </w:r>
      <w:r>
        <w:rPr>
          <w:rFonts w:ascii="Times New Roman" w:eastAsia="Times New Roman" w:hAnsi="Times New Roman" w:cs="Times New Roman"/>
          <w:sz w:val="24"/>
          <w:szCs w:val="24"/>
        </w:rPr>
        <w:lastRenderedPageBreak/>
        <w:t xml:space="preserve">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Williams-Subiza and Epele 2021). Many studies have demonstrated the importance of </w:t>
      </w:r>
      <w:r w:rsidR="009B303D">
        <w:rPr>
          <w:rFonts w:ascii="Times New Roman" w:eastAsia="Times New Roman" w:hAnsi="Times New Roman" w:cs="Times New Roman"/>
          <w:sz w:val="24"/>
          <w:szCs w:val="24"/>
        </w:rPr>
        <w:t xml:space="preserve">hydrologic </w:t>
      </w:r>
      <w:r>
        <w:rPr>
          <w:rFonts w:ascii="Times New Roman" w:eastAsia="Times New Roman" w:hAnsi="Times New Roman" w:cs="Times New Roman"/>
          <w:sz w:val="24"/>
          <w:szCs w:val="24"/>
        </w:rPr>
        <w:t xml:space="preserve">connectivity for maintaining freshwater populations and community structure across taxa (Altermatt and Fronhofer 2018, de Mendoza et al. 2018, Schmera et al. 2018). Of existing freshwater corridor mapping studies, the majority has focused on river and stream networks at landscape, watershed, or regional scales, without incorporating lentic waterbodies (Collier 2011, Saunders et al. 2016, but also see Gardner et al. 2019, Harvey and Schmadel 2021). </w:t>
      </w:r>
    </w:p>
    <w:p w14:paraId="2E64284C" w14:textId="133B0E2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lack of broad-scale freshwater corridor studies across both lotic and lentic ecosystems may be explained somewhat by the dendritic nature of freshwater </w:t>
      </w:r>
      <w:r w:rsidR="009B303D">
        <w:rPr>
          <w:rFonts w:ascii="Times New Roman" w:eastAsia="Times New Roman" w:hAnsi="Times New Roman" w:cs="Times New Roman"/>
          <w:sz w:val="24"/>
          <w:szCs w:val="24"/>
        </w:rPr>
        <w:t>networks</w:t>
      </w:r>
      <w:r>
        <w:rPr>
          <w:rFonts w:ascii="Times New Roman" w:eastAsia="Times New Roman" w:hAnsi="Times New Roman" w:cs="Times New Roman"/>
          <w:sz w:val="24"/>
          <w:szCs w:val="24"/>
        </w:rPr>
        <w:t xml:space="preserve">. </w:t>
      </w:r>
      <w:r w:rsidR="00790276">
        <w:rPr>
          <w:rFonts w:ascii="Times New Roman" w:eastAsia="Times New Roman" w:hAnsi="Times New Roman" w:cs="Times New Roman"/>
          <w:sz w:val="24"/>
          <w:szCs w:val="24"/>
        </w:rPr>
        <w:t xml:space="preserve">We refer to "freshwater networks” </w:t>
      </w:r>
      <w:r w:rsidR="003E7CEA">
        <w:rPr>
          <w:rFonts w:ascii="Times New Roman" w:eastAsia="Times New Roman" w:hAnsi="Times New Roman" w:cs="Times New Roman"/>
          <w:sz w:val="24"/>
          <w:szCs w:val="24"/>
        </w:rPr>
        <w:t xml:space="preserve">as </w:t>
      </w:r>
      <w:r w:rsidR="00790276">
        <w:rPr>
          <w:rFonts w:ascii="Times New Roman" w:eastAsia="Times New Roman" w:hAnsi="Times New Roman" w:cs="Times New Roman"/>
          <w:sz w:val="24"/>
          <w:szCs w:val="24"/>
        </w:rPr>
        <w:t>hydrologically connected sets of streams, rivers, and lakes (based on surface water). .</w:t>
      </w:r>
      <w:r>
        <w:rPr>
          <w:rFonts w:ascii="Times New Roman" w:eastAsia="Times New Roman" w:hAnsi="Times New Roman" w:cs="Times New Roman"/>
          <w:sz w:val="24"/>
          <w:szCs w:val="24"/>
        </w:rPr>
        <w:t xml:space="preserve"> </w:t>
      </w:r>
      <w:r w:rsidR="00790276">
        <w:rPr>
          <w:rFonts w:ascii="Times New Roman" w:eastAsia="Times New Roman" w:hAnsi="Times New Roman" w:cs="Times New Roman"/>
          <w:sz w:val="24"/>
          <w:szCs w:val="24"/>
        </w:rPr>
        <w:t xml:space="preserve">Such </w:t>
      </w:r>
      <w:r>
        <w:rPr>
          <w:rFonts w:ascii="Times New Roman" w:eastAsia="Times New Roman" w:hAnsi="Times New Roman" w:cs="Times New Roman"/>
          <w:sz w:val="24"/>
          <w:szCs w:val="24"/>
        </w:rPr>
        <w:t>networks are easily fragmented by numerous anthropogenic (e.g., impoundments, hydrologic alterations) or natural (e.g., flow direction, seasonal hydrology)</w:t>
      </w:r>
      <w:r w:rsidR="0084721A">
        <w:rPr>
          <w:rFonts w:ascii="Times New Roman" w:eastAsia="Times New Roman" w:hAnsi="Times New Roman" w:cs="Times New Roman"/>
          <w:sz w:val="24"/>
          <w:szCs w:val="24"/>
        </w:rPr>
        <w:t xml:space="preserve"> factors</w:t>
      </w:r>
      <w:r>
        <w:rPr>
          <w:rFonts w:ascii="Times New Roman" w:eastAsia="Times New Roman" w:hAnsi="Times New Roman" w:cs="Times New Roman"/>
          <w:sz w:val="24"/>
          <w:szCs w:val="24"/>
        </w:rPr>
        <w:t xml:space="preserve"> (Erős et al. 2012, LeMoine et al. 2020), many of which are difficult to represent spatially across multiple regions. 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broad-scale freshwater corridor studies that consider dam-mediated network connectivity based on both lakes and streams.</w:t>
      </w:r>
    </w:p>
    <w:p w14:paraId="536AA9A6" w14:textId="540BEBE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key consideration in freshwater corridor mapping is the imperfect translatability of the terrestrial graph-based approaches to freshwater networks of lakes, streams, and rivers (Nel et al. 2009, Hermoso et al. 2018). Topologically, lakes resemble nodes (i.e., patches) and streams and rivers resemble edges (i.e., corridors) in a traditional graph theory framework, but lakes, streams, or rivers may each represent preferred habitat, with others functioning as marginal habitat or non-habitat corridors depending on the taxa of interest (Tonn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r w:rsidR="00051895">
        <w:rPr>
          <w:rFonts w:ascii="Times New Roman" w:eastAsia="Times New Roman" w:hAnsi="Times New Roman" w:cs="Times New Roman"/>
          <w:sz w:val="24"/>
          <w:szCs w:val="24"/>
        </w:rPr>
        <w:t xml:space="preserve"> </w:t>
      </w:r>
      <w:r w:rsidR="0084721A">
        <w:rPr>
          <w:rFonts w:ascii="Times New Roman" w:eastAsia="Times New Roman" w:hAnsi="Times New Roman" w:cs="Times New Roman"/>
          <w:sz w:val="24"/>
          <w:szCs w:val="24"/>
        </w:rPr>
        <w:t>in the absence of overland</w:t>
      </w:r>
      <w:r w:rsidR="00FD6556">
        <w:rPr>
          <w:rFonts w:ascii="Times New Roman" w:eastAsia="Times New Roman" w:hAnsi="Times New Roman" w:cs="Times New Roman"/>
          <w:sz w:val="24"/>
          <w:szCs w:val="24"/>
        </w:rPr>
        <w:t xml:space="preserve">, </w:t>
      </w:r>
      <w:r w:rsidR="00217EAD">
        <w:rPr>
          <w:rFonts w:ascii="Times New Roman" w:eastAsia="Times New Roman" w:hAnsi="Times New Roman" w:cs="Times New Roman"/>
          <w:sz w:val="24"/>
          <w:szCs w:val="24"/>
        </w:rPr>
        <w:t>volant</w:t>
      </w:r>
      <w:r w:rsidR="00FD6556">
        <w:rPr>
          <w:rFonts w:ascii="Times New Roman" w:eastAsia="Times New Roman" w:hAnsi="Times New Roman" w:cs="Times New Roman"/>
          <w:sz w:val="24"/>
          <w:szCs w:val="24"/>
        </w:rPr>
        <w:t xml:space="preserve"> (e.g., insects or birds)</w:t>
      </w:r>
      <w:r w:rsidR="0084721A">
        <w:rPr>
          <w:rFonts w:ascii="Times New Roman" w:eastAsia="Times New Roman" w:hAnsi="Times New Roman" w:cs="Times New Roman"/>
          <w:sz w:val="24"/>
          <w:szCs w:val="24"/>
        </w:rPr>
        <w:t xml:space="preserve"> or vector-mediated dispersal (e.g., transport by wind or waterfowl)</w:t>
      </w:r>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Keitt 2001, Rayfield et al. 2011). We refer to these as “hubs”: major nodes within freshwater networks that disproportionately influence and reinforce whole-network structural connectivity (Muirhead &amp; MacIsaac 2005) (Figure 1a). Because effects of lakes on network connectivity are generally ignored in many stream and river connectivity studies at broad spatial scales (e.g., Cooper et al. 2017, Kuemmerlen et al. 2019, Barbarossa et al. 2020), we considered lakes as nodes and streams as edges and therefore lakes as potential hubs, but recognize that it may make </w:t>
      </w:r>
      <w:r>
        <w:rPr>
          <w:rFonts w:ascii="Times New Roman" w:eastAsia="Times New Roman" w:hAnsi="Times New Roman" w:cs="Times New Roman"/>
          <w:sz w:val="24"/>
          <w:szCs w:val="24"/>
        </w:rPr>
        <w:lastRenderedPageBreak/>
        <w:t xml:space="preserve">sense to designate stream reaches as nodes under some circumstances (e.g., regions with detailed stream habitat data or few lakes). Furthermore, major dams are commonly associated with lakes (and reservoirs), so an analysis of critical nodes can indicate where network connectivity is most compromised, vulnerable to anthropogenic alterations, or could benefit from restoration. Regardless, conceptually,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(Saura et al. 2014, Dilts et al. 2016). Therefore, protecting and managing hubs to maintain intact freshwater networks for lotic-associated species may be advisable, particularly in a climate change context. For example, loss </w:t>
      </w:r>
      <w:r w:rsidR="0084721A">
        <w:rPr>
          <w:rFonts w:ascii="Times New Roman" w:eastAsia="Times New Roman" w:hAnsi="Times New Roman" w:cs="Times New Roman"/>
          <w:sz w:val="24"/>
          <w:szCs w:val="24"/>
        </w:rPr>
        <w:t xml:space="preserve">or degradation </w:t>
      </w:r>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44B8A8B0" w14:textId="6F1A03D4" w:rsidR="00523288" w:rsidRDefault="00925D81" w:rsidP="00DA5528">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Terando 2019). Protected areas, however, are generally focused on terrestrial biodiversity </w:t>
      </w:r>
      <w:r w:rsidR="00A30212">
        <w:rPr>
          <w:rFonts w:ascii="Times New Roman" w:eastAsia="Times New Roman" w:hAnsi="Times New Roman" w:cs="Times New Roman"/>
          <w:sz w:val="24"/>
          <w:szCs w:val="24"/>
        </w:rPr>
        <w:t xml:space="preserve">and ecosystems </w:t>
      </w:r>
      <w:r>
        <w:rPr>
          <w:rFonts w:ascii="Times New Roman" w:eastAsia="Times New Roman" w:hAnsi="Times New Roman" w:cs="Times New Roman"/>
          <w:sz w:val="24"/>
          <w:szCs w:val="24"/>
        </w:rPr>
        <w:t xml:space="preserve">and have therefore provided mixed benefits for freshwater biodiversity and ecosystems (Saunders et al. 2002, Abell et al. 2007). Past research has focused largely on the lack of representation of freshwater biodiversity and ecosystems in protected areas (Jenkins et al. 2015, Bastin et al. 2019, McCullough et al. 2019b) rather than freshwater connectivity. Notably, global protection targets for freshwater </w:t>
      </w:r>
      <w:r>
        <w:rPr>
          <w:rFonts w:ascii="Times New Roman" w:eastAsia="Times New Roman" w:hAnsi="Times New Roman" w:cs="Times New Roman"/>
          <w:sz w:val="24"/>
          <w:szCs w:val="24"/>
        </w:rPr>
        <w:lastRenderedPageBreak/>
        <w:t>ecosystems (Aichi Target 11; CBD 2010) have been only somewhat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 Although maintaining and restoring freshwater connectivity is a major priority for freshwater biodiversity conservation worldwide, research is still needed to investigate to what extent protected areas help maintain freshwater connectivity (Harper et al. 2021).</w:t>
      </w:r>
    </w:p>
    <w:p w14:paraId="7B2C3E2D" w14:textId="2A193F39"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corridors, and their protected status with respect to the 17% Aichi conservation target. </w:t>
      </w:r>
      <w:r w:rsidR="006A41CF">
        <w:rPr>
          <w:rFonts w:ascii="Times New Roman" w:eastAsia="Times New Roman" w:hAnsi="Times New Roman" w:cs="Times New Roman"/>
          <w:sz w:val="24"/>
          <w:szCs w:val="24"/>
        </w:rPr>
        <w:t xml:space="preserve"> </w:t>
      </w:r>
      <w:r w:rsidR="00833022">
        <w:rPr>
          <w:rFonts w:ascii="Times New Roman" w:eastAsia="Times New Roman" w:hAnsi="Times New Roman" w:cs="Times New Roman"/>
          <w:sz w:val="24"/>
          <w:szCs w:val="24"/>
        </w:rPr>
        <w:t>When mapping potential freshwater corridors, i</w:t>
      </w:r>
      <w:r w:rsidR="003E7CEA">
        <w:rPr>
          <w:rFonts w:ascii="Times New Roman" w:eastAsia="Times New Roman" w:hAnsi="Times New Roman" w:cs="Times New Roman"/>
          <w:sz w:val="24"/>
          <w:szCs w:val="24"/>
        </w:rPr>
        <w:t xml:space="preserve">t is important to analyze entire freshwater networks </w:t>
      </w:r>
      <w:r w:rsidR="004D592F">
        <w:rPr>
          <w:rFonts w:ascii="Times New Roman" w:eastAsia="Times New Roman" w:hAnsi="Times New Roman" w:cs="Times New Roman"/>
          <w:sz w:val="24"/>
          <w:szCs w:val="24"/>
        </w:rPr>
        <w:t>because</w:t>
      </w:r>
      <w:r w:rsidR="00817A1B">
        <w:rPr>
          <w:rFonts w:ascii="Times New Roman" w:eastAsia="Times New Roman" w:hAnsi="Times New Roman" w:cs="Times New Roman"/>
          <w:sz w:val="24"/>
          <w:szCs w:val="24"/>
        </w:rPr>
        <w:t xml:space="preserve"> regional-scale connectivity cannot be achieved with</w:t>
      </w:r>
      <w:r w:rsidR="003E7CEA">
        <w:rPr>
          <w:rFonts w:ascii="Times New Roman" w:eastAsia="Times New Roman" w:hAnsi="Times New Roman" w:cs="Times New Roman"/>
          <w:sz w:val="24"/>
          <w:szCs w:val="24"/>
        </w:rPr>
        <w:t xml:space="preserve">out </w:t>
      </w:r>
      <w:r w:rsidR="00817A1B">
        <w:rPr>
          <w:rFonts w:ascii="Times New Roman" w:eastAsia="Times New Roman" w:hAnsi="Times New Roman" w:cs="Times New Roman"/>
          <w:sz w:val="24"/>
          <w:szCs w:val="24"/>
        </w:rPr>
        <w:t>linking together</w:t>
      </w:r>
      <w:r>
        <w:rPr>
          <w:rFonts w:ascii="Times New Roman" w:eastAsia="Times New Roman" w:hAnsi="Times New Roman" w:cs="Times New Roman"/>
          <w:sz w:val="24"/>
          <w:szCs w:val="24"/>
        </w:rPr>
        <w:t xml:space="preserve">  numerous local corridors (Beier et al. 2008, Beier et al. 2011). This work builds upon the primarily terrestrially-focused coarse-filter connectivity literature for conservation purposes by extending these practices to fresh waters and explicitly considering the role of major nodes (i.e., hubs) in </w:t>
      </w:r>
      <w:r w:rsidR="00833022">
        <w:rPr>
          <w:rFonts w:ascii="Times New Roman" w:eastAsia="Times New Roman" w:hAnsi="Times New Roman" w:cs="Times New Roman"/>
          <w:sz w:val="24"/>
          <w:szCs w:val="24"/>
        </w:rPr>
        <w:t xml:space="preserve">freshwater </w:t>
      </w:r>
      <w:r>
        <w:rPr>
          <w:rFonts w:ascii="Times New Roman" w:eastAsia="Times New Roman" w:hAnsi="Times New Roman" w:cs="Times New Roman"/>
          <w:sz w:val="24"/>
          <w:szCs w:val="24"/>
        </w:rPr>
        <w:t>corridors. This work also represents the first conterminous US-wide analysis of freshwater corridor protection, another topic that has been a major focus in the terrestrial realm. Specifically, we asked:</w:t>
      </w:r>
    </w:p>
    <w:p w14:paraId="6B5A472C" w14:textId="259B276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4C436F03"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corridors and hubs?</w:t>
      </w:r>
    </w:p>
    <w:p w14:paraId="60B4651A" w14:textId="09DA22B3"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Generally, we expected most freshwater networks to be relatively small, heavily dammed, and susceptible to fragmentation, limiting the availability of regional freshwater corridors in the conterminous US. We also expected hub lakes to be more prevalent in regions with more lakes overall and for protection of hub lakes and freshwater corridors to fall below the 17% Aichi target nationally, except in the western US where large protected areas are concentrated. This analysis represents an important step for freshwater biodiversity conservation in a climate change context and is intended to facilitate future biodiversity-</w:t>
      </w:r>
      <w:r w:rsidR="00D474C2">
        <w:rPr>
          <w:rFonts w:ascii="Times New Roman" w:eastAsia="Times New Roman" w:hAnsi="Times New Roman" w:cs="Times New Roman"/>
          <w:sz w:val="24"/>
          <w:szCs w:val="24"/>
        </w:rPr>
        <w:t>connectivity</w:t>
      </w:r>
      <w:r>
        <w:rPr>
          <w:rFonts w:ascii="Times New Roman" w:eastAsia="Times New Roman" w:hAnsi="Times New Roman" w:cs="Times New Roman"/>
          <w:sz w:val="24"/>
          <w:szCs w:val="24"/>
        </w:rPr>
        <w:t xml:space="preserve"> work</w:t>
      </w:r>
      <w:r w:rsidR="00C95ECF">
        <w:rPr>
          <w:rFonts w:ascii="Times New Roman" w:eastAsia="Times New Roman" w:hAnsi="Times New Roman" w:cs="Times New Roman"/>
          <w:sz w:val="24"/>
          <w:szCs w:val="24"/>
        </w:rPr>
        <w:t xml:space="preserve"> from local to continental scales</w:t>
      </w:r>
      <w:r>
        <w:rPr>
          <w:rFonts w:ascii="Times New Roman" w:eastAsia="Times New Roman" w:hAnsi="Times New Roman" w:cs="Times New Roman"/>
          <w:sz w:val="24"/>
          <w:szCs w:val="24"/>
        </w:rPr>
        <w:t>,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4FBB0BD3"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A challenge associated with assessing conterminous US-scale freshwater connectivity is obtaining data at ecologically appropriate resolutions across such a large spatial extent. We applied a novel, conterminous US-scale dataset,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million stream reaches that comprise a total of 898 networks (Fig</w:t>
      </w:r>
      <w:r w:rsidR="00D474C2">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(Cheruvelil et al. 2021, Smith et al. 2021).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also includes on-network dams (n = </w:t>
      </w:r>
      <w:r w:rsidR="0000338F">
        <w:rPr>
          <w:rFonts w:ascii="Times New Roman" w:eastAsia="Times New Roman" w:hAnsi="Times New Roman" w:cs="Times New Roman"/>
          <w:sz w:val="24"/>
          <w:szCs w:val="24"/>
        </w:rPr>
        <w:t>49525</w:t>
      </w:r>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t>
      </w:r>
      <w:r w:rsidR="00D474C2">
        <w:rPr>
          <w:rFonts w:ascii="Times New Roman" w:eastAsia="Times New Roman" w:hAnsi="Times New Roman" w:cs="Times New Roman"/>
          <w:sz w:val="24"/>
          <w:szCs w:val="24"/>
        </w:rPr>
        <w:t>Dam</w:t>
      </w:r>
      <w:r w:rsidR="00EB4EFB">
        <w:rPr>
          <w:rFonts w:ascii="Times New Roman" w:eastAsia="Times New Roman" w:hAnsi="Times New Roman" w:cs="Times New Roman"/>
          <w:sz w:val="24"/>
          <w:szCs w:val="24"/>
        </w:rPr>
        <w:t xml:space="preserve"> locations </w:t>
      </w:r>
      <w:r w:rsidR="00D474C2">
        <w:rPr>
          <w:rFonts w:ascii="Times New Roman" w:eastAsia="Times New Roman" w:hAnsi="Times New Roman" w:cs="Times New Roman"/>
          <w:sz w:val="24"/>
          <w:szCs w:val="24"/>
        </w:rPr>
        <w:t xml:space="preserve">were </w:t>
      </w:r>
      <w:r w:rsidR="00EB4EFB">
        <w:rPr>
          <w:rFonts w:ascii="Times New Roman" w:eastAsia="Times New Roman" w:hAnsi="Times New Roman" w:cs="Times New Roman"/>
          <w:sz w:val="24"/>
          <w:szCs w:val="24"/>
        </w:rPr>
        <w:t xml:space="preserve">based on a systematic, spatially explicit dam </w:t>
      </w:r>
      <w:r w:rsidR="00EB4EFB">
        <w:rPr>
          <w:rFonts w:ascii="Times New Roman" w:eastAsia="Times New Roman" w:hAnsi="Times New Roman" w:cs="Times New Roman"/>
          <w:sz w:val="24"/>
          <w:szCs w:val="24"/>
        </w:rPr>
        <w:lastRenderedPageBreak/>
        <w:t>verification process</w:t>
      </w:r>
      <w:r w:rsidR="00D474C2">
        <w:rPr>
          <w:rFonts w:ascii="Times New Roman" w:eastAsia="Times New Roman" w:hAnsi="Times New Roman" w:cs="Times New Roman"/>
          <w:sz w:val="24"/>
          <w:szCs w:val="24"/>
        </w:rPr>
        <w:t xml:space="preserve"> </w:t>
      </w:r>
      <w:r w:rsidR="00EB4EFB">
        <w:rPr>
          <w:rFonts w:ascii="Times New Roman" w:eastAsia="Times New Roman" w:hAnsi="Times New Roman" w:cs="Times New Roman"/>
          <w:sz w:val="24"/>
          <w:szCs w:val="24"/>
        </w:rPr>
        <w:t>for</w:t>
      </w:r>
      <w:r w:rsidR="00F33018">
        <w:rPr>
          <w:rFonts w:ascii="Times New Roman" w:eastAsia="Times New Roman" w:hAnsi="Times New Roman" w:cs="Times New Roman"/>
          <w:sz w:val="24"/>
          <w:szCs w:val="24"/>
        </w:rPr>
        <w:t xml:space="preserve"> </w:t>
      </w:r>
      <w:r w:rsidR="00EB4EFB">
        <w:rPr>
          <w:rFonts w:ascii="Times New Roman" w:eastAsia="Times New Roman" w:hAnsi="Times New Roman" w:cs="Times New Roman"/>
          <w:sz w:val="24"/>
          <w:szCs w:val="24"/>
        </w:rPr>
        <w:t>the entire conterminous US</w:t>
      </w:r>
      <w:r w:rsidR="00FE326E">
        <w:rPr>
          <w:rFonts w:ascii="Times New Roman" w:eastAsia="Times New Roman" w:hAnsi="Times New Roman" w:cs="Times New Roman"/>
          <w:sz w:val="24"/>
          <w:szCs w:val="24"/>
        </w:rPr>
        <w:t xml:space="preserve"> resulting in an augmented National Anthropogenic Barrier Database (NABD) (Cooper et al. 2017, </w:t>
      </w:r>
      <w:r w:rsidR="00FE326E" w:rsidRPr="005D42A8">
        <w:rPr>
          <w:rFonts w:ascii="Times New Roman" w:eastAsia="Gungsuh" w:hAnsi="Times New Roman" w:cs="Times New Roman"/>
          <w:sz w:val="24"/>
          <w:szCs w:val="24"/>
        </w:rPr>
        <w:t>King et al. 2021 b, c</w:t>
      </w:r>
      <w:r w:rsidR="00FE326E">
        <w:rPr>
          <w:rFonts w:ascii="Times New Roman" w:eastAsia="Times New Roman" w:hAnsi="Times New Roman" w:cs="Times New Roman"/>
          <w:sz w:val="24"/>
          <w:szCs w:val="24"/>
        </w:rPr>
        <w:t>).</w:t>
      </w:r>
      <w:r w:rsidR="00B37202">
        <w:rPr>
          <w:rFonts w:ascii="Times New Roman" w:eastAsia="Times New Roman" w:hAnsi="Times New Roman" w:cs="Times New Roman"/>
          <w:sz w:val="24"/>
          <w:szCs w:val="24"/>
        </w:rPr>
        <w:t xml:space="preserve"> </w:t>
      </w:r>
      <w:r w:rsidR="00FE326E">
        <w:rPr>
          <w:rFonts w:ascii="Times New Roman" w:eastAsia="Times New Roman" w:hAnsi="Times New Roman" w:cs="Times New Roman"/>
          <w:sz w:val="24"/>
          <w:szCs w:val="24"/>
        </w:rPr>
        <w:t>Notably</w:t>
      </w:r>
      <w:r w:rsidR="005E4647">
        <w:rPr>
          <w:rFonts w:ascii="Times New Roman" w:eastAsia="Times New Roman" w:hAnsi="Times New Roman" w:cs="Times New Roman"/>
          <w:sz w:val="24"/>
          <w:szCs w:val="24"/>
        </w:rPr>
        <w:t xml:space="preserve">, </w:t>
      </w:r>
      <w:r w:rsidR="00BF4012">
        <w:rPr>
          <w:rFonts w:ascii="Times New Roman" w:eastAsia="Times New Roman" w:hAnsi="Times New Roman" w:cs="Times New Roman"/>
          <w:sz w:val="24"/>
          <w:szCs w:val="24"/>
        </w:rPr>
        <w:t>LAGOS-US-NETWORKS</w:t>
      </w:r>
      <w:r w:rsidR="00FE326E">
        <w:rPr>
          <w:rFonts w:ascii="Times New Roman" w:eastAsia="Times New Roman" w:hAnsi="Times New Roman" w:cs="Times New Roman"/>
          <w:sz w:val="24"/>
          <w:szCs w:val="24"/>
        </w:rPr>
        <w:t xml:space="preserve"> contains a wide distribution of dam sizes: 49% are ≤ 7.6m</w:t>
      </w:r>
      <w:r w:rsidR="009233F6">
        <w:rPr>
          <w:rFonts w:ascii="Times New Roman" w:eastAsia="Times New Roman" w:hAnsi="Times New Roman" w:cs="Times New Roman"/>
          <w:sz w:val="24"/>
          <w:szCs w:val="24"/>
        </w:rPr>
        <w:t xml:space="preserve"> (25ft) high</w:t>
      </w:r>
      <w:r w:rsidR="00FE326E">
        <w:rPr>
          <w:rFonts w:ascii="Times New Roman" w:eastAsia="Times New Roman" w:hAnsi="Times New Roman" w:cs="Times New Roman"/>
          <w:sz w:val="24"/>
          <w:szCs w:val="24"/>
        </w:rPr>
        <w:t xml:space="preserve"> (i.e., low-head dams)</w:t>
      </w:r>
      <w:r w:rsidR="009233F6">
        <w:rPr>
          <w:rFonts w:ascii="Times New Roman" w:eastAsia="Times New Roman" w:hAnsi="Times New Roman" w:cs="Times New Roman"/>
          <w:sz w:val="24"/>
          <w:szCs w:val="24"/>
        </w:rPr>
        <w:t xml:space="preserve"> and just 2% are ≥ 30.5m (100ft) high.</w:t>
      </w:r>
      <w:r w:rsidR="00FE32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calculated additional connectivity metrics described below using all pairs of connected lakes and the stream distances connecting them. </w:t>
      </w:r>
    </w:p>
    <w:p w14:paraId="5FB4157B" w14:textId="05309A21"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Although we did not weight individual nodes, we analyzed the relationship among nodes within networks using several metrics that broadly represented the density of edges and nodes, accessibility of nodes, susceptibility of networks to fragmentation, and climatic heterogeneity within networks (see Table 1 for individual variable descriptions and justifications). All network connectivity metrics were calculated using the igraph R package (Csardi &amp; Nepusz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are also relevant to slow-dispersing taxa whose resilience under climate change relies more on localized movements. Specifically, our study includes </w:t>
      </w:r>
      <w:r w:rsidR="007C0DC2">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variables that represent susceptibility to fragmentation (minimum cuts, percent articulation points</w:t>
      </w:r>
      <w:r w:rsidR="00723767">
        <w:rPr>
          <w:rFonts w:ascii="Times New Roman" w:eastAsia="Times New Roman" w:hAnsi="Times New Roman" w:cs="Times New Roman"/>
          <w:sz w:val="24"/>
          <w:szCs w:val="24"/>
        </w:rPr>
        <w:t xml:space="preserve">, dam </w:t>
      </w:r>
      <w:r w:rsidR="001C4501">
        <w:rPr>
          <w:rFonts w:ascii="Times New Roman" w:eastAsia="Times New Roman" w:hAnsi="Times New Roman" w:cs="Times New Roman"/>
          <w:sz w:val="24"/>
          <w:szCs w:val="24"/>
        </w:rPr>
        <w:t>prevalence</w:t>
      </w:r>
      <w:r>
        <w:rPr>
          <w:rFonts w:ascii="Times New Roman" w:eastAsia="Times New Roman" w:hAnsi="Times New Roman" w:cs="Times New Roman"/>
          <w:sz w:val="24"/>
          <w:szCs w:val="24"/>
        </w:rPr>
        <w:t xml:space="preserve">), network position (edge density, betweenness centrality), and average dispersal distance between habitats (average lake distance) (Table 1). Given that these are also important considerations for fast-dispersing taxa, our analysis can be used to represent connectivity for </w:t>
      </w:r>
      <w:r>
        <w:rPr>
          <w:rFonts w:ascii="Times New Roman" w:eastAsia="Times New Roman" w:hAnsi="Times New Roman" w:cs="Times New Roman"/>
          <w:sz w:val="24"/>
          <w:szCs w:val="24"/>
        </w:rPr>
        <w:lastRenderedPageBreak/>
        <w:t>diverse freshwater taxa</w:t>
      </w:r>
      <w:r w:rsidR="00B940C2">
        <w:rPr>
          <w:rFonts w:ascii="Times New Roman" w:eastAsia="Times New Roman" w:hAnsi="Times New Roman" w:cs="Times New Roman"/>
          <w:sz w:val="24"/>
          <w:szCs w:val="24"/>
        </w:rPr>
        <w:t xml:space="preserve"> (</w:t>
      </w:r>
      <w:r w:rsidR="00BA28F5">
        <w:rPr>
          <w:rFonts w:ascii="Times New Roman" w:eastAsia="Times New Roman" w:hAnsi="Times New Roman" w:cs="Times New Roman"/>
          <w:sz w:val="24"/>
          <w:szCs w:val="24"/>
        </w:rPr>
        <w:t xml:space="preserve">primarily, </w:t>
      </w:r>
      <w:r w:rsidR="00B940C2">
        <w:rPr>
          <w:rFonts w:ascii="Times New Roman" w:eastAsia="Times New Roman" w:hAnsi="Times New Roman" w:cs="Times New Roman"/>
          <w:sz w:val="24"/>
          <w:szCs w:val="24"/>
        </w:rPr>
        <w:t>strictly freshwater taxa and not semi-aquatic taxa or aerial dispersers)</w:t>
      </w:r>
      <w:r>
        <w:rPr>
          <w:rFonts w:ascii="Times New Roman" w:eastAsia="Times New Roman" w:hAnsi="Times New Roman" w:cs="Times New Roman"/>
          <w:sz w:val="24"/>
          <w:szCs w:val="24"/>
        </w:rPr>
        <w:t xml:space="preserve">. Therefore, a coarse-filter structural connectivity analysis of these networks generally represents a useful step for freshwater biodiversity conservation in a climate change context. </w:t>
      </w:r>
    </w:p>
    <w:p w14:paraId="1AA8EF5F" w14:textId="113E5BAA"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r w:rsidR="00FD4DE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t>
      </w:r>
      <w:r w:rsidR="00723767">
        <w:rPr>
          <w:rFonts w:ascii="Times New Roman" w:eastAsia="Times New Roman" w:hAnsi="Times New Roman" w:cs="Times New Roman"/>
          <w:sz w:val="24"/>
          <w:szCs w:val="24"/>
        </w:rPr>
        <w:t xml:space="preserve">Although we acknowledge that </w:t>
      </w:r>
      <w:r w:rsidR="001C4501">
        <w:rPr>
          <w:rFonts w:ascii="Times New Roman" w:eastAsia="Times New Roman" w:hAnsi="Times New Roman" w:cs="Times New Roman"/>
          <w:sz w:val="24"/>
          <w:szCs w:val="24"/>
        </w:rPr>
        <w:t>our</w:t>
      </w:r>
      <w:r w:rsidR="00723767">
        <w:rPr>
          <w:rFonts w:ascii="Times New Roman" w:eastAsia="Times New Roman" w:hAnsi="Times New Roman" w:cs="Times New Roman"/>
          <w:sz w:val="24"/>
          <w:szCs w:val="24"/>
        </w:rPr>
        <w:t xml:space="preserve"> dam variable</w:t>
      </w:r>
      <w:r w:rsidR="001C4501">
        <w:rPr>
          <w:rFonts w:ascii="Times New Roman" w:eastAsia="Times New Roman" w:hAnsi="Times New Roman" w:cs="Times New Roman"/>
          <w:sz w:val="24"/>
          <w:szCs w:val="24"/>
        </w:rPr>
        <w:t xml:space="preserve"> (dam rate)</w:t>
      </w:r>
      <w:r w:rsidR="00723767">
        <w:rPr>
          <w:rFonts w:ascii="Times New Roman" w:eastAsia="Times New Roman" w:hAnsi="Times New Roman" w:cs="Times New Roman"/>
          <w:sz w:val="24"/>
          <w:szCs w:val="24"/>
        </w:rPr>
        <w:t xml:space="preserve"> does not necessarily represent all dams across the conterminous US</w:t>
      </w:r>
      <w:r w:rsidR="001C4501">
        <w:rPr>
          <w:rFonts w:ascii="Times New Roman" w:eastAsia="Times New Roman" w:hAnsi="Times New Roman" w:cs="Times New Roman"/>
          <w:sz w:val="24"/>
          <w:szCs w:val="24"/>
        </w:rPr>
        <w:t xml:space="preserve"> and their varying characteristics</w:t>
      </w:r>
      <w:r w:rsidR="00723767">
        <w:rPr>
          <w:rFonts w:ascii="Times New Roman" w:eastAsia="Times New Roman" w:hAnsi="Times New Roman" w:cs="Times New Roman"/>
          <w:sz w:val="24"/>
          <w:szCs w:val="24"/>
        </w:rPr>
        <w:t xml:space="preserve">, </w:t>
      </w:r>
      <w:r w:rsidR="001C4501">
        <w:rPr>
          <w:rFonts w:ascii="Times New Roman" w:eastAsia="Times New Roman" w:hAnsi="Times New Roman" w:cs="Times New Roman"/>
          <w:sz w:val="24"/>
          <w:szCs w:val="24"/>
        </w:rPr>
        <w:t xml:space="preserve">dam rate is a </w:t>
      </w:r>
      <w:r w:rsidR="00723767">
        <w:rPr>
          <w:rFonts w:ascii="Times New Roman" w:eastAsia="Times New Roman" w:hAnsi="Times New Roman" w:cs="Times New Roman"/>
          <w:sz w:val="24"/>
          <w:szCs w:val="24"/>
        </w:rPr>
        <w:t>broad proxy for anthropogenic alteration of freshwater networks, similar to how terrestrial coarse-filter studies use land use/cover as a broad proxy of human presence</w:t>
      </w:r>
      <w:r w:rsidR="00A9246C">
        <w:rPr>
          <w:rFonts w:ascii="Times New Roman" w:eastAsia="Times New Roman" w:hAnsi="Times New Roman" w:cs="Times New Roman"/>
          <w:sz w:val="24"/>
          <w:szCs w:val="24"/>
        </w:rPr>
        <w:t xml:space="preserve"> (Theobald et al. 2012, Lawler et al. 2013, Nuñez et al. 2013, Belote et al. 2016)</w:t>
      </w:r>
      <w:r w:rsidR="007237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also d</w:t>
      </w:r>
      <w:r w:rsidR="008E259F">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not account for networks that crossed international borders due to data constraints.</w:t>
      </w:r>
    </w:p>
    <w:p w14:paraId="5DF3C143" w14:textId="40F0CE9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integrated the various freshwater connectivity metrics (all variables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w:t>
      </w:r>
      <w:r>
        <w:rPr>
          <w:rFonts w:ascii="Times New Roman" w:eastAsia="Times New Roman" w:hAnsi="Times New Roman" w:cs="Times New Roman"/>
          <w:sz w:val="24"/>
          <w:szCs w:val="24"/>
        </w:rPr>
        <w:lastRenderedPageBreak/>
        <w:t xml:space="preserve">greater resistance to network fragmentation, respectively (and therefore greater overall connectivity). We then </w:t>
      </w:r>
      <w:r w:rsidR="008E259F">
        <w:rPr>
          <w:rFonts w:ascii="Times New Roman" w:eastAsia="Times New Roman" w:hAnsi="Times New Roman" w:cs="Times New Roman"/>
          <w:sz w:val="24"/>
          <w:szCs w:val="24"/>
        </w:rPr>
        <w:t xml:space="preserve">Z-score normalized </w:t>
      </w:r>
      <w:r>
        <w:rPr>
          <w:rFonts w:ascii="Times New Roman" w:eastAsia="Times New Roman" w:hAnsi="Times New Roman" w:cs="Times New Roman"/>
          <w:sz w:val="24"/>
          <w:szCs w:val="24"/>
        </w:rPr>
        <w:t xml:space="preserve">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(Dinmo 2018). </w:t>
      </w:r>
      <w:r w:rsidR="00821026">
        <w:rPr>
          <w:rFonts w:ascii="Times New Roman" w:eastAsia="Times New Roman" w:hAnsi="Times New Roman" w:cs="Times New Roman"/>
          <w:sz w:val="24"/>
          <w:szCs w:val="24"/>
        </w:rPr>
        <w:t xml:space="preserve">Because each component </w:t>
      </w:r>
      <w:r w:rsidR="00BC589B">
        <w:rPr>
          <w:rFonts w:ascii="Times New Roman" w:eastAsia="Times New Roman" w:hAnsi="Times New Roman" w:cs="Times New Roman"/>
          <w:sz w:val="24"/>
          <w:szCs w:val="24"/>
        </w:rPr>
        <w:t xml:space="preserve">essentially </w:t>
      </w:r>
      <w:r w:rsidR="00821026">
        <w:rPr>
          <w:rFonts w:ascii="Times New Roman" w:eastAsia="Times New Roman" w:hAnsi="Times New Roman" w:cs="Times New Roman"/>
          <w:sz w:val="24"/>
          <w:szCs w:val="24"/>
        </w:rPr>
        <w:t xml:space="preserve">represented an axis within a two-dimensional space, </w:t>
      </w:r>
      <w:r w:rsidR="00BC589B">
        <w:rPr>
          <w:rFonts w:ascii="Times New Roman" w:eastAsia="Times New Roman" w:hAnsi="Times New Roman" w:cs="Times New Roman"/>
          <w:sz w:val="24"/>
          <w:szCs w:val="24"/>
        </w:rPr>
        <w:t xml:space="preserve">composite </w:t>
      </w:r>
      <w:r w:rsidR="00821026">
        <w:rPr>
          <w:rFonts w:ascii="Times New Roman" w:eastAsia="Times New Roman" w:hAnsi="Times New Roman" w:cs="Times New Roman"/>
          <w:sz w:val="24"/>
          <w:szCs w:val="24"/>
        </w:rPr>
        <w:t xml:space="preserve">connectivity scores </w:t>
      </w:r>
      <w:r w:rsidR="00175F6B">
        <w:rPr>
          <w:rFonts w:ascii="Times New Roman" w:eastAsia="Times New Roman" w:hAnsi="Times New Roman" w:cs="Times New Roman"/>
          <w:sz w:val="24"/>
          <w:szCs w:val="24"/>
        </w:rPr>
        <w:t xml:space="preserve">were </w:t>
      </w:r>
      <w:r w:rsidR="00BC589B">
        <w:rPr>
          <w:rFonts w:ascii="Times New Roman" w:eastAsia="Times New Roman" w:hAnsi="Times New Roman" w:cs="Times New Roman"/>
          <w:sz w:val="24"/>
          <w:szCs w:val="24"/>
        </w:rPr>
        <w:t>calculated as</w:t>
      </w:r>
      <w:r w:rsidR="00175F6B">
        <w:rPr>
          <w:rFonts w:ascii="Times New Roman" w:eastAsia="Times New Roman" w:hAnsi="Times New Roman" w:cs="Times New Roman"/>
          <w:sz w:val="24"/>
          <w:szCs w:val="24"/>
        </w:rPr>
        <w:t xml:space="preserve"> </w:t>
      </w:r>
      <w:r w:rsidR="00821026">
        <w:rPr>
          <w:rFonts w:ascii="Times New Roman" w:eastAsia="Times New Roman" w:hAnsi="Times New Roman" w:cs="Times New Roman"/>
          <w:sz w:val="24"/>
          <w:szCs w:val="24"/>
        </w:rPr>
        <w:t>the distance to the origin</w:t>
      </w:r>
      <w:r w:rsidR="00BC589B">
        <w:rPr>
          <w:rFonts w:ascii="Times New Roman" w:eastAsia="Times New Roman" w:hAnsi="Times New Roman" w:cs="Times New Roman"/>
          <w:sz w:val="24"/>
          <w:szCs w:val="24"/>
        </w:rPr>
        <w:t xml:space="preserve"> within this space</w:t>
      </w:r>
      <w:r w:rsidR="00821026">
        <w:rPr>
          <w:rFonts w:ascii="Times New Roman" w:eastAsia="Times New Roman" w:hAnsi="Times New Roman" w:cs="Times New Roman"/>
          <w:sz w:val="24"/>
          <w:szCs w:val="24"/>
        </w:rPr>
        <w:t xml:space="preserve">. </w:t>
      </w:r>
      <w:r w:rsidR="004D592F">
        <w:rPr>
          <w:rFonts w:ascii="Times New Roman" w:eastAsia="Times New Roman" w:hAnsi="Times New Roman" w:cs="Times New Roman"/>
          <w:sz w:val="24"/>
          <w:szCs w:val="24"/>
        </w:rPr>
        <w:t xml:space="preserve">Cutoffs for low, medium, and high scores were determined by visual inspection of the score distribution (Appendix S1: Figure S2). </w:t>
      </w:r>
      <w:r>
        <w:rPr>
          <w:rFonts w:ascii="Times New Roman" w:eastAsia="Times New Roman" w:hAnsi="Times New Roman" w:cs="Times New Roman"/>
          <w:sz w:val="24"/>
          <w:szCs w:val="24"/>
        </w:rPr>
        <w:t>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Hub lake determination</w:t>
      </w:r>
    </w:p>
    <w:p w14:paraId="62F17E07" w14:textId="7A97C983"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per graph theory, 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r w:rsidR="008E259F">
        <w:rPr>
          <w:rFonts w:ascii="Times New Roman" w:eastAsia="Times New Roman" w:hAnsi="Times New Roman" w:cs="Times New Roman"/>
          <w:sz w:val="24"/>
          <w:szCs w:val="24"/>
        </w:rPr>
        <w:t>jointly satisfied three conditions of node importance:</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1) </w:t>
      </w:r>
      <w:r w:rsidRPr="00F30538">
        <w:rPr>
          <w:rFonts w:ascii="Times New Roman" w:eastAsia="Times New Roman" w:hAnsi="Times New Roman" w:cs="Times New Roman"/>
          <w:sz w:val="24"/>
          <w:szCs w:val="24"/>
        </w:rPr>
        <w:t>articulation points in their network</w:t>
      </w:r>
      <w:r w:rsidR="008A1ED9">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2) </w:t>
      </w:r>
      <w:r w:rsidRPr="00F30538">
        <w:rPr>
          <w:rFonts w:ascii="Times New Roman" w:eastAsia="Times New Roman" w:hAnsi="Times New Roman" w:cs="Times New Roman"/>
          <w:sz w:val="24"/>
          <w:szCs w:val="24"/>
        </w:rPr>
        <w:t>in the top quintile of vertex</w:t>
      </w:r>
      <w:r w:rsidRPr="00F30538">
        <w:rPr>
          <w:rFonts w:ascii="Times New Roman" w:eastAsia="Gungsuh" w:hAnsi="Times New Roman" w:cs="Times New Roman"/>
          <w:sz w:val="24"/>
          <w:szCs w:val="24"/>
        </w:rPr>
        <w:t xml:space="preserve"> strength</w:t>
      </w:r>
      <w:r w:rsidR="008A1ED9">
        <w:rPr>
          <w:rFonts w:ascii="Times New Roman" w:eastAsia="Gungsuh" w:hAnsi="Times New Roman" w:cs="Times New Roman"/>
          <w:sz w:val="24"/>
          <w:szCs w:val="24"/>
        </w:rPr>
        <w:t xml:space="preserve"> (i.e., the weighted degree of a node),</w:t>
      </w:r>
      <w:r w:rsidRPr="00F30538">
        <w:rPr>
          <w:rFonts w:ascii="Times New Roman" w:eastAsia="Gungsuh" w:hAnsi="Times New Roman" w:cs="Times New Roman"/>
          <w:sz w:val="24"/>
          <w:szCs w:val="24"/>
        </w:rPr>
        <w:t xml:space="preserve"> and </w:t>
      </w:r>
      <w:r w:rsidR="008A1ED9">
        <w:rPr>
          <w:rFonts w:ascii="Times New Roman" w:eastAsia="Gungsuh" w:hAnsi="Times New Roman" w:cs="Times New Roman"/>
          <w:sz w:val="24"/>
          <w:szCs w:val="24"/>
        </w:rPr>
        <w:t xml:space="preserve">3) in the top quintile of </w:t>
      </w:r>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w:t>
      </w:r>
      <w:r w:rsidRPr="00F30538">
        <w:rPr>
          <w:rFonts w:ascii="Times New Roman" w:eastAsia="Gungsuh" w:hAnsi="Times New Roman" w:cs="Times New Roman"/>
          <w:sz w:val="24"/>
          <w:szCs w:val="24"/>
        </w:rPr>
        <w:lastRenderedPageBreak/>
        <w:t xml:space="preserve">Articulation points are by definition bridges among two or more subnetworks, meaning that an organism must travel through an articulation point to move aquatically from one subnetwork to another. High </w:t>
      </w:r>
      <w:r w:rsidRPr="00F30538">
        <w:rPr>
          <w:rFonts w:ascii="Times New Roman" w:eastAsia="Times New Roman" w:hAnsi="Times New Roman" w:cs="Times New Roman"/>
          <w:sz w:val="24"/>
          <w:szCs w:val="24"/>
        </w:rPr>
        <w:t>vertex</w:t>
      </w:r>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w:t>
      </w:r>
      <w:r w:rsidR="0038525C">
        <w:rPr>
          <w:rFonts w:ascii="Times New Roman" w:eastAsia="Gungsuh" w:hAnsi="Times New Roman" w:cs="Times New Roman"/>
          <w:sz w:val="24"/>
          <w:szCs w:val="24"/>
        </w:rPr>
        <w:t xml:space="preserve">were unable to account for ecologically or hydrologically meaningful differences </w:t>
      </w:r>
      <w:r w:rsidRPr="00F30538">
        <w:rPr>
          <w:rFonts w:ascii="Times New Roman" w:eastAsia="Gungsuh" w:hAnsi="Times New Roman" w:cs="Times New Roman"/>
          <w:sz w:val="24"/>
          <w:szCs w:val="24"/>
        </w:rPr>
        <w:t xml:space="preserve"> between natural lakes and reservoirs</w:t>
      </w:r>
      <w:r w:rsidR="0038525C">
        <w:rPr>
          <w:rFonts w:ascii="Times New Roman" w:eastAsia="Gungsuh" w:hAnsi="Times New Roman" w:cs="Times New Roman"/>
          <w:sz w:val="24"/>
          <w:szCs w:val="24"/>
        </w:rPr>
        <w:t xml:space="preserve"> (e.g., depth, water temperature)</w:t>
      </w:r>
      <w:r w:rsidRPr="00F30538">
        <w:rPr>
          <w:rFonts w:ascii="Times New Roman" w:eastAsia="Gungsuh" w:hAnsi="Times New Roman" w:cs="Times New Roman"/>
          <w:sz w:val="24"/>
          <w:szCs w:val="24"/>
        </w:rPr>
        <w:t xml:space="preserve"> in aforementioned connectivity metrics</w:t>
      </w:r>
      <w:r w:rsidR="0038525C">
        <w:rPr>
          <w:rFonts w:ascii="Times New Roman" w:eastAsia="Gungsuh" w:hAnsi="Times New Roman" w:cs="Times New Roman"/>
          <w:sz w:val="24"/>
          <w:szCs w:val="24"/>
        </w:rPr>
        <w:t xml:space="preserve"> due to data limitations</w:t>
      </w:r>
      <w:r w:rsidR="00BA28F5">
        <w:rPr>
          <w:rFonts w:ascii="Times New Roman" w:eastAsia="Gungsuh" w:hAnsi="Times New Roman" w:cs="Times New Roman"/>
          <w:sz w:val="24"/>
          <w:szCs w:val="24"/>
        </w:rPr>
        <w:t xml:space="preserve"> at the scale of the conterminous US</w:t>
      </w:r>
      <w:r w:rsidRPr="00F30538">
        <w:rPr>
          <w:rFonts w:ascii="Times New Roman" w:eastAsia="Gungsuh" w:hAnsi="Times New Roman" w:cs="Times New Roman"/>
          <w:sz w:val="24"/>
          <w:szCs w:val="24"/>
        </w:rPr>
        <w:t xml:space="preserve">, we reported differences in the prevalence of </w:t>
      </w:r>
      <w:r w:rsidR="006C34B4">
        <w:rPr>
          <w:rFonts w:ascii="Times New Roman" w:eastAsia="Gungsuh" w:hAnsi="Times New Roman" w:cs="Times New Roman"/>
          <w:sz w:val="24"/>
          <w:szCs w:val="24"/>
        </w:rPr>
        <w:t xml:space="preserve">natural lake </w:t>
      </w:r>
      <w:r w:rsidRPr="00F30538">
        <w:rPr>
          <w:rFonts w:ascii="Times New Roman" w:eastAsia="Gungsuh" w:hAnsi="Times New Roman" w:cs="Times New Roman"/>
          <w:sz w:val="24"/>
          <w:szCs w:val="24"/>
        </w:rPr>
        <w:t xml:space="preserve">hubs </w:t>
      </w:r>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r w:rsidRPr="00F30538">
        <w:rPr>
          <w:rFonts w:ascii="Times New Roman" w:eastAsia="Gungsuh" w:hAnsi="Times New Roman" w:cs="Times New Roman"/>
          <w:sz w:val="24"/>
          <w:szCs w:val="24"/>
        </w:rPr>
        <w:t>reservoir</w:t>
      </w:r>
      <w:r w:rsidR="006C34B4">
        <w:rPr>
          <w:rFonts w:ascii="Times New Roman" w:eastAsia="Gungsuh" w:hAnsi="Times New Roman" w:cs="Times New Roman"/>
          <w:sz w:val="24"/>
          <w:szCs w:val="24"/>
        </w:rPr>
        <w:t xml:space="preserve"> hubs</w:t>
      </w:r>
      <w:r w:rsidRPr="00F30538">
        <w:rPr>
          <w:rFonts w:ascii="Times New Roman" w:eastAsia="Gungsuh" w:hAnsi="Times New Roman" w:cs="Times New Roman"/>
          <w:sz w:val="24"/>
          <w:szCs w:val="24"/>
        </w:rPr>
        <w:t xml:space="preserve"> for waterbodies ≥ 4 ha.</w:t>
      </w:r>
      <w:r w:rsidRPr="00F30538">
        <w:rPr>
          <w:rFonts w:ascii="Times New Roman" w:eastAsia="Times New Roman" w:hAnsi="Times New Roman" w:cs="Times New Roman"/>
          <w:sz w:val="24"/>
          <w:szCs w:val="24"/>
        </w:rPr>
        <w:t xml:space="preserve"> This size cutoff is based on LAGOS-US</w:t>
      </w:r>
      <w:r w:rsidR="001226B2">
        <w:rPr>
          <w:rFonts w:ascii="Times New Roman" w:eastAsia="Times New Roman" w:hAnsi="Times New Roman" w:cs="Times New Roman"/>
          <w:sz w:val="24"/>
          <w:szCs w:val="24"/>
        </w:rPr>
        <w:t xml:space="preserve"> </w:t>
      </w:r>
      <w:r w:rsidRPr="00F30538">
        <w:rPr>
          <w:rFonts w:ascii="Times New Roman" w:eastAsia="Times New Roman" w:hAnsi="Times New Roman" w:cs="Times New Roman"/>
          <w:sz w:val="24"/>
          <w:szCs w:val="24"/>
        </w:rPr>
        <w:t xml:space="preserve">RESERVOIR, a database of all 137,465 natural lakes and reservoirs ≥ 4 ha classified by machine learning image interpretation (Polus et al. 2021). This dataset classifies reservoirs as waterbodies directly influenced by impoundments (lakes resulting from river impoundments and </w:t>
      </w:r>
      <w:r w:rsidR="008A1ED9">
        <w:rPr>
          <w:rFonts w:ascii="Times New Roman" w:eastAsia="Times New Roman" w:hAnsi="Times New Roman" w:cs="Times New Roman"/>
          <w:sz w:val="24"/>
          <w:szCs w:val="24"/>
        </w:rPr>
        <w:t xml:space="preserve">pre-existing </w:t>
      </w:r>
      <w:r w:rsidRPr="00F30538">
        <w:rPr>
          <w:rFonts w:ascii="Times New Roman" w:eastAsia="Times New Roman" w:hAnsi="Times New Roman" w:cs="Times New Roman"/>
          <w:sz w:val="24"/>
          <w:szCs w:val="24"/>
        </w:rPr>
        <w:t xml:space="preserve">lakes with </w:t>
      </w:r>
      <w:r w:rsidR="008A1ED9">
        <w:rPr>
          <w:rFonts w:ascii="Times New Roman" w:eastAsia="Times New Roman" w:hAnsi="Times New Roman" w:cs="Times New Roman"/>
          <w:sz w:val="24"/>
          <w:szCs w:val="24"/>
        </w:rPr>
        <w:t xml:space="preserve">large </w:t>
      </w:r>
      <w:r w:rsidRPr="00F30538">
        <w:rPr>
          <w:rFonts w:ascii="Times New Roman" w:eastAsia="Times New Roman" w:hAnsi="Times New Roman" w:cs="Times New Roman"/>
          <w:sz w:val="24"/>
          <w:szCs w:val="24"/>
        </w:rPr>
        <w:t>water control structures</w:t>
      </w:r>
      <w:r w:rsidR="001E238A">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whose influence goes beyond water level control</w:t>
      </w:r>
      <w:r w:rsidRPr="00F30538">
        <w:rPr>
          <w:rFonts w:ascii="Times New Roman" w:eastAsia="Times New Roman" w:hAnsi="Times New Roman" w:cs="Times New Roman"/>
          <w:sz w:val="24"/>
          <w:szCs w:val="24"/>
        </w:rPr>
        <w:t>). Smaller waterbodies &lt; 4 ha could not be reliably classified, but are less likely to be reservoirs (Polus et al. 2021).</w:t>
      </w:r>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48FE16A0" w:rsidR="00523288" w:rsidRDefault="00925D81">
      <w:pPr>
        <w:spacing w:line="480" w:lineRule="auto"/>
        <w:ind w:firstLine="720"/>
        <w:rPr>
          <w:rFonts w:ascii="Times New Roman" w:eastAsia="Times New Roman" w:hAnsi="Times New Roman" w:cs="Times New Roman"/>
          <w:sz w:val="24"/>
          <w:szCs w:val="24"/>
        </w:rPr>
      </w:pPr>
      <w:r w:rsidRPr="00F30538">
        <w:rPr>
          <w:rFonts w:ascii="Times New Roman" w:eastAsia="Times New Roman" w:hAnsi="Times New Roman" w:cs="Times New Roman"/>
          <w:bCs/>
          <w:sz w:val="24"/>
          <w:szCs w:val="24"/>
        </w:rPr>
        <w:t>Because protected areas are usually established for terrestrial ecosystems, defi</w:t>
      </w:r>
      <w:r>
        <w:rPr>
          <w:rFonts w:ascii="Times New Roman" w:eastAsia="Times New Roman" w:hAnsi="Times New Roman" w:cs="Times New Roman"/>
          <w:sz w:val="24"/>
          <w:szCs w:val="24"/>
        </w:rPr>
        <w:t>ning protected freshwater ecosystems depends on different levels of land</w:t>
      </w:r>
      <w:r w:rsidR="004E19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protection and what constitutes freshwater ecosystem protection (i.e., waterbody itself or waterbody and its </w:t>
      </w:r>
      <w:r>
        <w:rPr>
          <w:rFonts w:ascii="Times New Roman" w:eastAsia="Times New Roman" w:hAnsi="Times New Roman" w:cs="Times New Roman"/>
          <w:sz w:val="24"/>
          <w:szCs w:val="24"/>
        </w:rPr>
        <w:lastRenderedPageBreak/>
        <w:t>watershed). Therefore, we considered both strict (i.e., managed for biodiversity; Gap Analysis Program (GAP) status 1-2) and multi-use (i.e., managed for both biodiversity and natural resource extraction; GAP status 1-3) protection (Fig</w:t>
      </w:r>
      <w:r w:rsidR="0038525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(sensu McCullough et al. 2019b). Under these different definitions of protection, the narrowest is based on strict 80% watershed protection, whereas the loosest is based on lake centers occurring within either strict or multi-use protected areas. Watersheds were based on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LOCUS v1.0 (Cheruvelil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67F01DA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metadata, and R analysis scripts are currently available at </w:t>
      </w:r>
      <w:hyperlink r:id="rId14">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w:t>
      </w:r>
      <w:r w:rsidR="00D06F36">
        <w:rPr>
          <w:rFonts w:ascii="Times New Roman" w:eastAsia="Times New Roman" w:hAnsi="Times New Roman" w:cs="Times New Roman"/>
          <w:sz w:val="24"/>
          <w:szCs w:val="24"/>
        </w:rPr>
        <w:t xml:space="preserve"> (Zenodo)</w:t>
      </w:r>
      <w:r>
        <w:rPr>
          <w:rFonts w:ascii="Times New Roman" w:eastAsia="Times New Roman" w:hAnsi="Times New Roman" w:cs="Times New Roman"/>
          <w:sz w:val="24"/>
          <w:szCs w:val="24"/>
        </w:rPr>
        <w:t xml:space="preserve">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Freshwater network characteristics</w:t>
      </w:r>
    </w:p>
    <w:p w14:paraId="29BD962A" w14:textId="1386820E"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corridors are relatively few in number, heavily dammed, and particularly prone to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30072D3C"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identified 2080 hub lakes across the conterminous US, representing 2.4% of network lakes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0899B1BD"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w:t>
      </w:r>
      <w:r w:rsidRPr="00F30538">
        <w:rPr>
          <w:rFonts w:ascii="Times New Roman" w:eastAsia="Gungsuh" w:hAnsi="Times New Roman" w:cs="Times New Roman"/>
          <w:sz w:val="24"/>
          <w:szCs w:val="24"/>
        </w:rPr>
        <w:lastRenderedPageBreak/>
        <w:t xml:space="preserve">107534.6 ha; </w:t>
      </w:r>
      <w:r w:rsidR="00EE5C5E">
        <w:rPr>
          <w:rFonts w:ascii="Times New Roman" w:eastAsia="Times New Roman" w:hAnsi="Times New Roman" w:cs="Times New Roman"/>
          <w:sz w:val="24"/>
          <w:szCs w:val="24"/>
        </w:rPr>
        <w:t xml:space="preserve">Appendix S1: </w:t>
      </w:r>
      <w:r w:rsidRPr="00F30538">
        <w:rPr>
          <w:rFonts w:ascii="Times New Roman" w:eastAsia="Gungsuh" w:hAnsi="Times New Roman" w:cs="Times New Roman"/>
          <w:sz w:val="24"/>
          <w:szCs w:val="24"/>
        </w:rPr>
        <w:t>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0E1C9BF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connectivity scores followed a left-skewed distribution (Figure 4a, b, </w:t>
      </w:r>
      <w:r w:rsidR="00EE5C5E">
        <w:rPr>
          <w:rFonts w:ascii="Times New Roman" w:eastAsia="Times New Roman" w:hAnsi="Times New Roman" w:cs="Times New Roman"/>
          <w:sz w:val="24"/>
          <w:szCs w:val="24"/>
        </w:rPr>
        <w:t xml:space="preserve">Appendix S1: Figure </w:t>
      </w:r>
      <w:r>
        <w:rPr>
          <w:rFonts w:ascii="Times New Roman" w:eastAsia="Times New Roman" w:hAnsi="Times New Roman" w:cs="Times New Roman"/>
          <w:sz w:val="24"/>
          <w:szCs w:val="24"/>
        </w:rPr>
        <w:t xml:space="preserve">S2). Of the 385 assessed networks with &gt; 4 lakes (excluding the Mississippi River network), 286 (67.5%) received scores &lt; 2 (low), 112 (29.1%) received scores between 2 and 4 (medium), and 13 (3.4%) received scores &gt; 4 (high).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w:t>
      </w:r>
      <w:r w:rsidR="00EE5C5E">
        <w:rPr>
          <w:rFonts w:ascii="Times New Roman" w:eastAsia="Times New Roman" w:hAnsi="Times New Roman" w:cs="Times New Roman"/>
          <w:sz w:val="24"/>
          <w:szCs w:val="24"/>
        </w:rPr>
        <w:t>our open data repository</w:t>
      </w:r>
      <w:r>
        <w:rPr>
          <w:rFonts w:ascii="Times New Roman" w:eastAsia="Times New Roman" w:hAnsi="Times New Roman" w:cs="Times New Roman"/>
          <w:sz w:val="24"/>
          <w:szCs w:val="24"/>
        </w:rPr>
        <w:t>.</w:t>
      </w:r>
    </w:p>
    <w:p w14:paraId="16BEA7C4" w14:textId="4A614B8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High-scoring networks were generally larger and contained more lakes and dams (Table 2). The 13 highest-scoring networks spanned 29.3 - 1330.3 km</w:t>
      </w:r>
      <w:r w:rsidR="008B69B2" w:rsidRPr="008B69B2">
        <w:rPr>
          <w:rFonts w:ascii="Times New Roman" w:eastAsia="Times New Roman" w:hAnsi="Times New Roman" w:cs="Times New Roman"/>
          <w:sz w:val="24"/>
          <w:szCs w:val="24"/>
        </w:rPr>
        <w:t xml:space="preserve"> </w:t>
      </w:r>
      <w:r w:rsidR="008B69B2">
        <w:rPr>
          <w:rFonts w:ascii="Times New Roman" w:eastAsia="Times New Roman" w:hAnsi="Times New Roman" w:cs="Times New Roman"/>
          <w:sz w:val="24"/>
          <w:szCs w:val="24"/>
        </w:rPr>
        <w:t>N-S</w:t>
      </w:r>
      <w:r>
        <w:rPr>
          <w:rFonts w:ascii="Times New Roman" w:eastAsia="Times New Roman" w:hAnsi="Times New Roman" w:cs="Times New Roman"/>
          <w:sz w:val="24"/>
          <w:szCs w:val="24"/>
        </w:rPr>
        <w:t xml:space="preserve"> stream distance (median = 498.6 km) and had 15 - 3241 lakes (median = 1303 lakes) and 0 - 1760 dams (median = 454 dams). Conversely, low- to medium-scoring networks ranged 0.9 - 553.9 km of</w:t>
      </w:r>
      <w:r w:rsidR="008B69B2" w:rsidRPr="008B69B2">
        <w:rPr>
          <w:rFonts w:ascii="Times New Roman" w:eastAsia="Times New Roman" w:hAnsi="Times New Roman" w:cs="Times New Roman"/>
          <w:sz w:val="24"/>
          <w:szCs w:val="24"/>
        </w:rPr>
        <w:t xml:space="preserve"> </w:t>
      </w:r>
      <w:r w:rsidR="008B69B2">
        <w:rPr>
          <w:rFonts w:ascii="Times New Roman" w:eastAsia="Times New Roman" w:hAnsi="Times New Roman" w:cs="Times New Roman"/>
          <w:sz w:val="24"/>
          <w:szCs w:val="24"/>
        </w:rPr>
        <w:t>N-S</w:t>
      </w:r>
      <w:r>
        <w:rPr>
          <w:rFonts w:ascii="Times New Roman" w:eastAsia="Times New Roman" w:hAnsi="Times New Roman" w:cs="Times New Roman"/>
          <w:sz w:val="24"/>
          <w:szCs w:val="24"/>
        </w:rPr>
        <w:t xml:space="preserve"> stream distance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w:t>
      </w:r>
      <w:r>
        <w:rPr>
          <w:rFonts w:ascii="Times New Roman" w:eastAsia="Times New Roman" w:hAnsi="Times New Roman" w:cs="Times New Roman"/>
          <w:sz w:val="24"/>
          <w:szCs w:val="24"/>
        </w:rPr>
        <w:lastRenderedPageBreak/>
        <w:t xml:space="preserve">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79A7C85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 3, </w:t>
      </w:r>
      <w:r w:rsidR="00EE5C5E">
        <w:rPr>
          <w:rFonts w:ascii="Times New Roman" w:eastAsia="Times New Roman" w:hAnsi="Times New Roman" w:cs="Times New Roman"/>
          <w:sz w:val="24"/>
          <w:szCs w:val="24"/>
        </w:rPr>
        <w:t xml:space="preserve">Appendix S1: Table </w:t>
      </w:r>
      <w:r>
        <w:rPr>
          <w:rFonts w:ascii="Times New Roman" w:eastAsia="Times New Roman" w:hAnsi="Times New Roman" w:cs="Times New Roman"/>
          <w:sz w:val="24"/>
          <w:szCs w:val="24"/>
        </w:rPr>
        <w:t>S</w:t>
      </w:r>
      <w:r w:rsidR="00EE5C5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t>
      </w:r>
      <w:r>
        <w:rPr>
          <w:rFonts w:ascii="Times New Roman" w:eastAsia="Times New Roman" w:hAnsi="Times New Roman" w:cs="Times New Roman"/>
          <w:sz w:val="24"/>
          <w:szCs w:val="24"/>
        </w:rPr>
        <w:lastRenderedPageBreak/>
        <w:t>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7AC09A0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network lakes, protection varied from 8.2 - 18.4% from the narrowest to loosest definition of protection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sidR="00353F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w:t>
      </w:r>
      <w:r w:rsidR="009019DE">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20A85D9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w:t>
      </w:r>
      <w:r>
        <w:rPr>
          <w:rFonts w:ascii="Times New Roman" w:eastAsia="Times New Roman" w:hAnsi="Times New Roman" w:cs="Times New Roman"/>
          <w:sz w:val="24"/>
          <w:szCs w:val="24"/>
        </w:rPr>
        <w:lastRenderedPageBreak/>
        <w:t xml:space="preserve">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Freshwater connectivity and dams </w:t>
      </w:r>
    </w:p>
    <w:p w14:paraId="3E871223" w14:textId="008185F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Aside from the 12 of 13 networks with high connectivity scores despite dams, the 66 smaller, undammed networks (median = 7.2 km N-S stream distance) provide relatively unimpeded localized corridors for organisms and species to move throughout networks. Importantly, many undammed networks were found along the West, East, and Great Lakes Coasts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Figure S1). These networks are important for many species, particularly diadromous fishes that use both fresh and saltwater for different life stages, and potamodromous fishes that use both the Great Lakes and inland waters for various life stages (D’Amelio et al. 2008, Hall et al. 2011). Nonetheless, our broad-scale analysis suggests that the largest freshwater networks in the conterminous US generally contain abundant dams and may therefore limit functional connectivity, particularly for long-distance migrations and species range shifts under climate change.</w:t>
      </w:r>
    </w:p>
    <w:p w14:paraId="5ECF8FF8" w14:textId="2BE64183"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analysis of freshwater network structure and network hubs indicates not only which networks are highly impacted, but also those most likely to benefit from restoration, particularly by focusing on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likely due to a combination of altered hydrology and water chemistry, elevated water temperatures, and/or invasive species (Johnson et al. 2008). </w:t>
      </w:r>
      <w:r w:rsidR="00AC4980">
        <w:rPr>
          <w:rFonts w:ascii="Times New Roman" w:eastAsia="Times New Roman" w:hAnsi="Times New Roman" w:cs="Times New Roman"/>
          <w:sz w:val="24"/>
          <w:szCs w:val="24"/>
        </w:rPr>
        <w:t xml:space="preserve">Previous studies have shown reduced fish species diversity above dams (Fencl et al. 2017), further suggesting that </w:t>
      </w:r>
      <w:r w:rsidR="00FC1F8C">
        <w:rPr>
          <w:rFonts w:ascii="Times New Roman" w:eastAsia="Times New Roman" w:hAnsi="Times New Roman" w:cs="Times New Roman"/>
          <w:sz w:val="24"/>
          <w:szCs w:val="24"/>
        </w:rPr>
        <w:t>hydrologic</w:t>
      </w:r>
      <w:r w:rsidR="00AC4980">
        <w:rPr>
          <w:rFonts w:ascii="Times New Roman" w:eastAsia="Times New Roman" w:hAnsi="Times New Roman" w:cs="Times New Roman"/>
          <w:sz w:val="24"/>
          <w:szCs w:val="24"/>
        </w:rPr>
        <w:t xml:space="preserve"> restoration measures at dams on or near hub lakes could be an efficient strategy for enhancing freshwater corridors more broadly. </w:t>
      </w:r>
      <w:r>
        <w:rPr>
          <w:rFonts w:ascii="Times New Roman" w:eastAsia="Times New Roman" w:hAnsi="Times New Roman" w:cs="Times New Roman"/>
          <w:sz w:val="24"/>
          <w:szCs w:val="24"/>
        </w:rPr>
        <w:t>Therefore, regular monitoring at and near these centralized hubs</w:t>
      </w:r>
      <w:r w:rsidR="00163B79">
        <w:rPr>
          <w:rFonts w:ascii="Times New Roman" w:eastAsia="Times New Roman" w:hAnsi="Times New Roman" w:cs="Times New Roman"/>
          <w:sz w:val="24"/>
          <w:szCs w:val="24"/>
        </w:rPr>
        <w:t>, particularly reservoir hubs,</w:t>
      </w:r>
      <w:r>
        <w:rPr>
          <w:rFonts w:ascii="Times New Roman" w:eastAsia="Times New Roman" w:hAnsi="Times New Roman" w:cs="Times New Roman"/>
          <w:sz w:val="24"/>
          <w:szCs w:val="24"/>
        </w:rPr>
        <w:t xml:space="preserve"> can assist in early detection of invasive species and mitigation of further degradation of freshwater networks. Although outright removal of large reservoir dams is often societally challenging or unfeasible, connectivity mitigation measures (e.g., fish ladders, lifts) or dam modifications to enhance natural flow regimes at or near hubs could help restore some functionality </w:t>
      </w:r>
      <w:r w:rsidR="00FC1F8C">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freshwater corridors (Renöfält et al. 2009, Muir &amp; Williams 2012, McKay et al. 2013). Similarly, our identification of 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Figure S1).</w:t>
      </w:r>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3B6C07C1"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Graph theory has previously been applied toward conservation in river networks (Erős et al. 2011, Erős &amp; Lowe 2019), including to predict current and future species’ ranges (Chaput-Bardy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corridors across multiple regions of the conterminous US. This repeatable approach leverages publicly available data and can be adjusted to accommodate specific taxa of interest or new or different connectivity variables at different spatial or temporal scales. </w:t>
      </w:r>
    </w:p>
    <w:p w14:paraId="0F2E831F" w14:textId="5331C175"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(Muirhead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(Sarker et al. 2019). Analogous efforts to identify important nodes have a longer history for terrestrial landscapes (e.g., Estrada &amp; Bodin 2008, Saura &amp; Rubio 2010), which have also often included ecological attributes of nodes (Saura &amp; Torné 2009) unlike our species-neutral hub identification. “Stepping stone</w:t>
      </w:r>
      <w:r w:rsidR="000130B5">
        <w:rPr>
          <w:rFonts w:ascii="Times New Roman" w:eastAsia="Times New Roman" w:hAnsi="Times New Roman" w:cs="Times New Roman"/>
          <w:sz w:val="24"/>
          <w:szCs w:val="24"/>
        </w:rPr>
        <w:t>s</w:t>
      </w:r>
      <w:r>
        <w:rPr>
          <w:rFonts w:ascii="Times New Roman" w:eastAsia="Times New Roman" w:hAnsi="Times New Roman" w:cs="Times New Roman"/>
          <w:sz w:val="24"/>
          <w:szCs w:val="24"/>
        </w:rPr>
        <w:t>” ha</w:t>
      </w:r>
      <w:r w:rsidR="000130B5">
        <w:rPr>
          <w:rFonts w:ascii="Times New Roman" w:eastAsia="Times New Roman" w:hAnsi="Times New Roman" w:cs="Times New Roman"/>
          <w:sz w:val="24"/>
          <w:szCs w:val="24"/>
        </w:rPr>
        <w:t>ve</w:t>
      </w:r>
      <w:r>
        <w:rPr>
          <w:rFonts w:ascii="Times New Roman" w:eastAsia="Times New Roman" w:hAnsi="Times New Roman" w:cs="Times New Roman"/>
          <w:sz w:val="24"/>
          <w:szCs w:val="24"/>
        </w:rPr>
        <w:t xml:space="preserve"> been previously quantified using betweenness centrality (Zetterberg et al. 2010) and articulation points (Keitt et al. 1997), and our usage of total </w:t>
      </w:r>
      <w:r w:rsidR="005D42A8">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strength is an extension of using the degree of a node with the added </w:t>
      </w:r>
      <w:r w:rsidR="005D42A8">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 xml:space="preserve">of the distance of those connections. Thus, our multi-metric approach to </w:t>
      </w:r>
      <w:r>
        <w:rPr>
          <w:rFonts w:ascii="Times New Roman" w:eastAsia="Times New Roman" w:hAnsi="Times New Roman" w:cs="Times New Roman"/>
          <w:sz w:val="24"/>
          <w:szCs w:val="24"/>
        </w:rPr>
        <w:lastRenderedPageBreak/>
        <w:t xml:space="preserve">identifying lakes within a network that are potentially more important for maintaining </w:t>
      </w:r>
      <w:r w:rsidR="000130B5">
        <w:rPr>
          <w:rFonts w:ascii="Times New Roman" w:eastAsia="Times New Roman" w:hAnsi="Times New Roman" w:cs="Times New Roman"/>
          <w:sz w:val="24"/>
          <w:szCs w:val="24"/>
        </w:rPr>
        <w:t xml:space="preserve">freshwater </w:t>
      </w:r>
      <w:r>
        <w:rPr>
          <w:rFonts w:ascii="Times New Roman" w:eastAsia="Times New Roman" w:hAnsi="Times New Roman" w:cs="Times New Roman"/>
          <w:sz w:val="24"/>
          <w:szCs w:val="24"/>
        </w:rPr>
        <w:t>corridors across large expanses extends past research and can help prioritize individual locations for conservation, particularly when whole-network conservation is impractical. Finally, although previous studies on patterns of freshwater biodiversity in relation to hub lakes and small ponds have only been conducted at landscape to regional scales, our flexible, continental-scale approach and dataset open the door for broader-scale studies of freshwater biodiversity and connectivity</w:t>
      </w:r>
      <w:r w:rsidR="00163B79">
        <w:rPr>
          <w:rFonts w:ascii="Times New Roman" w:eastAsia="Times New Roman" w:hAnsi="Times New Roman" w:cs="Times New Roman"/>
          <w:sz w:val="24"/>
          <w:szCs w:val="24"/>
        </w:rPr>
        <w:t>, particularly in the context of hub lakes and reservoirs</w:t>
      </w:r>
      <w:r>
        <w:rPr>
          <w:rFonts w:ascii="Times New Roman" w:eastAsia="Times New Roman" w:hAnsi="Times New Roman" w:cs="Times New Roman"/>
          <w:sz w:val="24"/>
          <w:szCs w:val="24"/>
        </w:rPr>
        <w:t xml:space="preserve">. </w:t>
      </w:r>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154054C0"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networks can potentially play important roles in supporting the resilience of biodiversity under climate change, many such networks in the conterminous US are relatively small, contain many dams, and are </w:t>
      </w:r>
      <w:r w:rsidR="00F1611A">
        <w:rPr>
          <w:rFonts w:ascii="Times New Roman" w:eastAsia="Times New Roman" w:hAnsi="Times New Roman" w:cs="Times New Roman"/>
          <w:sz w:val="24"/>
          <w:szCs w:val="24"/>
        </w:rPr>
        <w:t xml:space="preserve">structurally </w:t>
      </w:r>
      <w:r>
        <w:rPr>
          <w:rFonts w:ascii="Times New Roman" w:eastAsia="Times New Roman" w:hAnsi="Times New Roman" w:cs="Times New Roman"/>
          <w:sz w:val="24"/>
          <w:szCs w:val="24"/>
        </w:rPr>
        <w:t xml:space="preserve">susceptible to fragmentation. The relatively small number of large networks, which are likely the only networks capable of supporting regional-scale migrations or species range shifts under climate change, generally are even more heavily dammed and structurally prone to fragmentation. Moreover, most freshwater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Moreover, water level fluctuations further threaten network connectivity as societal demands for water increase and droughts intensify under climate change, especially in the western US. Therefore, even “protected” </w:t>
      </w:r>
      <w:r>
        <w:rPr>
          <w:rFonts w:ascii="Times New Roman" w:eastAsia="Times New Roman" w:hAnsi="Times New Roman" w:cs="Times New Roman"/>
          <w:sz w:val="24"/>
          <w:szCs w:val="24"/>
        </w:rPr>
        <w:lastRenderedPageBreak/>
        <w:t xml:space="preserve">waterbodies are not immune to changing hydrology owing to upstream water withdrawals or climate change. </w:t>
      </w:r>
    </w:p>
    <w:p w14:paraId="5B2731DE" w14:textId="600018B9" w:rsidR="00523288" w:rsidRDefault="00925D81" w:rsidP="0076005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limited or unpredictable resources for conservation, prioritizing the monitoring and protection of network hubs could represent a relatively efficient strategy for maintaining freshwater corridors, but our analysis shows that current protection levels of hub lakes are not only similar to all network lakes in general, but are also relatively low (</w:t>
      </w:r>
      <w:r w:rsidR="006D6BB1">
        <w:rPr>
          <w:rFonts w:ascii="Times New Roman" w:eastAsia="Times New Roman" w:hAnsi="Times New Roman" w:cs="Times New Roman"/>
          <w:sz w:val="24"/>
          <w:szCs w:val="24"/>
        </w:rPr>
        <w:t>5.7-</w:t>
      </w:r>
      <w:r>
        <w:rPr>
          <w:rFonts w:ascii="Times New Roman" w:eastAsia="Times New Roman" w:hAnsi="Times New Roman" w:cs="Times New Roman"/>
          <w:sz w:val="24"/>
          <w:szCs w:val="24"/>
        </w:rPr>
        <w:t>19.9%; only meeting the 17% Aichi target under combined strict and multi-use, non-watershed protection).  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p>
    <w:p w14:paraId="09B1051D" w14:textId="34092179"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w:t>
      </w:r>
      <w:r>
        <w:rPr>
          <w:rFonts w:ascii="Times New Roman" w:eastAsia="Times New Roman" w:hAnsi="Times New Roman" w:cs="Times New Roman"/>
          <w:sz w:val="24"/>
          <w:szCs w:val="24"/>
        </w:rPr>
        <w:lastRenderedPageBreak/>
        <w:t xml:space="preserve">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w:t>
      </w:r>
      <w:r w:rsidR="006A41CF">
        <w:rPr>
          <w:rFonts w:ascii="Times New Roman" w:eastAsia="Times New Roman" w:hAnsi="Times New Roman" w:cs="Times New Roman"/>
          <w:color w:val="000000"/>
          <w:sz w:val="24"/>
          <w:szCs w:val="24"/>
        </w:rPr>
        <w:t>Sacramento/San Joaquin</w:t>
      </w:r>
      <w:r w:rsidR="006A41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w:t>
      </w:r>
      <w:r w:rsidR="006D6BB1">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On the positive side, however, overlap between freshwater biodiversity and several large freshwater networks in these regions suggests that efforts to maintain or enhance these </w:t>
      </w:r>
      <w:r w:rsidR="000130B5">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 xml:space="preserve">corridors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w:t>
      </w:r>
      <w:r w:rsidR="006D6BB1">
        <w:rPr>
          <w:rFonts w:ascii="Times New Roman" w:eastAsia="Times New Roman" w:hAnsi="Times New Roman" w:cs="Times New Roman"/>
          <w:sz w:val="24"/>
          <w:szCs w:val="24"/>
        </w:rPr>
        <w:t>than</w:t>
      </w:r>
      <w:r>
        <w:rPr>
          <w:rFonts w:ascii="Times New Roman" w:eastAsia="Times New Roman" w:hAnsi="Times New Roman" w:cs="Times New Roman"/>
          <w:sz w:val="24"/>
          <w:szCs w:val="24"/>
        </w:rPr>
        <w:t xml:space="preserve"> generalized percent network protection targets (17% or otherwise) given their large effects on network intactness. </w:t>
      </w:r>
    </w:p>
    <w:p w14:paraId="48603676" w14:textId="5D55E65D" w:rsidR="005E32E5"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envision our data, concepts of freshwater corridors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public </w:t>
      </w:r>
      <w:r>
        <w:rPr>
          <w:rFonts w:ascii="Times New Roman" w:eastAsia="Times New Roman" w:hAnsi="Times New Roman" w:cs="Times New Roman"/>
          <w:sz w:val="24"/>
          <w:szCs w:val="24"/>
        </w:rPr>
        <w:lastRenderedPageBreak/>
        <w:t xml:space="preserve">data at scales of both individual lakes and whole lake-stream networks creates flexibility for future studies to integrate other relevant datasets at different spatial and temporal scales or to tailor their approaches to species, taxa, or functional groups of interest. For example, the average lake distance variable (Table 1) could be parameterized to identify lakes or networks that are more accessible for dispersal-limited species or particularly vulnerable to rapid spread of invasive species. </w:t>
      </w:r>
    </w:p>
    <w:p w14:paraId="671DD1D8" w14:textId="2F696E2C" w:rsidR="00523288" w:rsidRDefault="006D6BB1" w:rsidP="008D480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w:t>
      </w:r>
      <w:r w:rsidR="005E32E5">
        <w:rPr>
          <w:rFonts w:ascii="Times New Roman" w:eastAsia="Times New Roman" w:hAnsi="Times New Roman" w:cs="Times New Roman"/>
          <w:sz w:val="24"/>
          <w:szCs w:val="24"/>
        </w:rPr>
        <w:t>, o</w:t>
      </w:r>
      <w:r w:rsidR="00925D81">
        <w:rPr>
          <w:rFonts w:ascii="Times New Roman" w:eastAsia="Times New Roman" w:hAnsi="Times New Roman" w:cs="Times New Roman"/>
          <w:sz w:val="24"/>
          <w:szCs w:val="24"/>
        </w:rPr>
        <w:t xml:space="preserve">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w:t>
      </w:r>
      <w:r>
        <w:rPr>
          <w:rFonts w:ascii="Times New Roman" w:eastAsia="Times New Roman" w:hAnsi="Times New Roman" w:cs="Times New Roman"/>
          <w:sz w:val="24"/>
          <w:szCs w:val="24"/>
        </w:rPr>
        <w:t>More detailed</w:t>
      </w:r>
      <w:r w:rsidR="000E0D3D">
        <w:rPr>
          <w:rFonts w:ascii="Times New Roman" w:eastAsia="Times New Roman" w:hAnsi="Times New Roman" w:cs="Times New Roman"/>
          <w:sz w:val="24"/>
          <w:szCs w:val="24"/>
        </w:rPr>
        <w:t xml:space="preserve"> information on dam characteristics such as dam height could </w:t>
      </w:r>
      <w:r>
        <w:rPr>
          <w:rFonts w:ascii="Times New Roman" w:eastAsia="Times New Roman" w:hAnsi="Times New Roman" w:cs="Times New Roman"/>
          <w:sz w:val="24"/>
          <w:szCs w:val="24"/>
        </w:rPr>
        <w:t xml:space="preserve">also </w:t>
      </w:r>
      <w:r w:rsidR="000E0D3D">
        <w:rPr>
          <w:rFonts w:ascii="Times New Roman" w:eastAsia="Times New Roman" w:hAnsi="Times New Roman" w:cs="Times New Roman"/>
          <w:sz w:val="24"/>
          <w:szCs w:val="24"/>
        </w:rPr>
        <w:t>be incorporated at local to regional scales to represent finer-resolution effects of dams</w:t>
      </w:r>
      <w:r w:rsidR="007249B3">
        <w:rPr>
          <w:rFonts w:ascii="Times New Roman" w:eastAsia="Times New Roman" w:hAnsi="Times New Roman" w:cs="Times New Roman"/>
          <w:sz w:val="24"/>
          <w:szCs w:val="24"/>
        </w:rPr>
        <w:t xml:space="preserve"> on connectivity</w:t>
      </w:r>
      <w:r w:rsidR="000E0D3D">
        <w:rPr>
          <w:rFonts w:ascii="Times New Roman" w:eastAsia="Times New Roman" w:hAnsi="Times New Roman" w:cs="Times New Roman"/>
          <w:sz w:val="24"/>
          <w:szCs w:val="24"/>
        </w:rPr>
        <w:t xml:space="preserve">, particularly </w:t>
      </w:r>
      <w:r w:rsidR="009233F6">
        <w:rPr>
          <w:rFonts w:ascii="Times New Roman" w:eastAsia="Times New Roman" w:hAnsi="Times New Roman" w:cs="Times New Roman"/>
          <w:sz w:val="24"/>
          <w:szCs w:val="24"/>
        </w:rPr>
        <w:t xml:space="preserve">for </w:t>
      </w:r>
      <w:r w:rsidR="000E0D3D">
        <w:rPr>
          <w:rFonts w:ascii="Times New Roman" w:eastAsia="Times New Roman" w:hAnsi="Times New Roman" w:cs="Times New Roman"/>
          <w:sz w:val="24"/>
          <w:szCs w:val="24"/>
        </w:rPr>
        <w:t xml:space="preserve">breachable low-head dams </w:t>
      </w:r>
      <w:r w:rsidR="00F33018">
        <w:rPr>
          <w:rFonts w:ascii="Times New Roman" w:eastAsia="Times New Roman" w:hAnsi="Times New Roman" w:cs="Times New Roman"/>
          <w:sz w:val="24"/>
          <w:szCs w:val="24"/>
        </w:rPr>
        <w:t xml:space="preserve">(7.6m in height or shorter) </w:t>
      </w:r>
      <w:r w:rsidR="000E0D3D">
        <w:rPr>
          <w:rFonts w:ascii="Times New Roman" w:eastAsia="Times New Roman" w:hAnsi="Times New Roman" w:cs="Times New Roman"/>
          <w:sz w:val="24"/>
          <w:szCs w:val="24"/>
        </w:rPr>
        <w:t>that filter certain taxa (Helms et al. 2011</w:t>
      </w:r>
      <w:r w:rsidR="001C0C8A">
        <w:rPr>
          <w:rFonts w:ascii="Times New Roman" w:eastAsia="Times New Roman" w:hAnsi="Times New Roman" w:cs="Times New Roman"/>
          <w:sz w:val="24"/>
          <w:szCs w:val="24"/>
        </w:rPr>
        <w:t>, Fencl et al. 2017</w:t>
      </w:r>
      <w:r w:rsidR="000E0D3D">
        <w:rPr>
          <w:rFonts w:ascii="Times New Roman" w:eastAsia="Times New Roman" w:hAnsi="Times New Roman" w:cs="Times New Roman"/>
          <w:sz w:val="24"/>
          <w:szCs w:val="24"/>
        </w:rPr>
        <w:t xml:space="preserve">).  </w:t>
      </w:r>
      <w:r w:rsidR="00925D81">
        <w:rPr>
          <w:rFonts w:ascii="Times New Roman" w:eastAsia="Times New Roman" w:hAnsi="Times New Roman" w:cs="Times New Roman"/>
          <w:sz w:val="24"/>
          <w:szCs w:val="24"/>
        </w:rPr>
        <w:t xml:space="preserve">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corridors, given that riparian areas often represent terrestrial corridors (Krosby et al. 2018) and regulate water temperature, chemistry, and physical habitat characteristics (Johnson and Almlof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510EE262"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this research was provided by the US National Science Foundation Macrosystems Biology program (EF #1638679 and #1638539). IMM and KBSK conceived of the original study. PJH calculated hub lakes and additional connectivity metrics beyond those in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IMM conducted protection analyses and PJH and KBSK analyzed relationships among hubs, reservoirs, and dams. All authors conducted literature review and exploratory data analyses and wrote portions of the paper. We thank K. Cheruvelil and P. Soranno for constructive comments at early stages of this project and P. Soranno for reviewing an early draft. We also thank N. Smith for processing protected area data. </w:t>
      </w:r>
      <w:r w:rsidR="007C6848">
        <w:rPr>
          <w:rFonts w:ascii="Times New Roman" w:eastAsia="Times New Roman" w:hAnsi="Times New Roman" w:cs="Times New Roman"/>
          <w:sz w:val="24"/>
          <w:szCs w:val="24"/>
        </w:rPr>
        <w:t xml:space="preserve">We appreciate 3 anonymous reviewers whose thoughtful comments resulted in an improved manuscript. </w:t>
      </w:r>
      <w:r>
        <w:rPr>
          <w:rFonts w:ascii="Times New Roman" w:eastAsia="Times New Roman" w:hAnsi="Times New Roman" w:cs="Times New Roman"/>
          <w:sz w:val="24"/>
          <w:szCs w:val="24"/>
        </w:rPr>
        <w:t>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Altermatt, F., &amp; Fronhofer,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rFonts w:ascii="Times New Roman" w:eastAsia="Times New Roman" w:hAnsi="Times New Roman" w:cs="Times New Roman"/>
          <w:sz w:val="24"/>
          <w:szCs w:val="24"/>
        </w:rPr>
      </w:pPr>
    </w:p>
    <w:p w14:paraId="72F1353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Barbarossa, V., Schmitt, R. J., Huijbregts, M. A., Zarfl, C., King, H., &amp; Schipper, A. M. (2020). Impacts of current and future large dams on the geographic range connectivity of freshwater fish worldwide. Proceedings of the National Academy of Sciences, 117(7), 3648-3655.</w:t>
      </w:r>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Bastin, L., Gorelick, N., Saura, S., Bertzky, B., Dubois, G., Fortin, M. J., &amp; Pekel, J. F. (2019). Inland surface waters in protected areas globally: Current coverage and 30-year trends.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Beier, P., Majka,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Beier, P., &amp; Noss, R. F. (1998). Do habitat corridors provide connectivity?.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lastRenderedPageBreak/>
        <w:t xml:space="preserve">Beier, P., Spencer, W., Baldwin, R. F., &amp; McRAE,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Aplet, G. H. (2016). Identifying corridors among large protected areas in the United States.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Bishop-Taylor, R., Tulbure, M. G., &amp; Broich,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Brost, B. M., &amp; Beier,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Dobrowski,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Chaput-Bardy, A., Alcala, N., Secondi, J., &amp; Vuilleumier,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Cheruvelil, K. S., Soranno,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Cumberlidge, N., Darwall, W. R., Pollock, C., Richman, N. I., Soulsby, A., &amp; Böhm,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Daufresne, M., &amp; Grenouillet,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rFonts w:ascii="Times New Roman" w:eastAsia="Times New Roman" w:hAnsi="Times New Roman" w:cs="Times New Roman"/>
          <w:sz w:val="24"/>
          <w:szCs w:val="24"/>
        </w:rPr>
      </w:pPr>
    </w:p>
    <w:p w14:paraId="3693A445"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Cooper, A. R., Infante, D. M., Daniel, W. M., Wehrly,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Costanza, J. K., &amp; Terando,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Csardi G. &amp; Nepusz, T. (2006). The igraph software package for complex network research, InterJournal, Complex Systems 1695. </w:t>
      </w:r>
      <w:hyperlink r:id="rId17">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D'Amelio, S., Mucha, J., Mackereth,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Mendoza, G., Kaivosoja, R., Grönroos, M., Hjort, J., Ilmonen, J., Kärnä, O. M., Paasivirta, L., Tokola, L., &amp; Heino,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Dilts, T. E., Weisberg, P. J., Leitner, P., Matocq, M. D., Inman, R. D., Nussear, K. E., &amp; Esque,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Dinmo, A. (2018). paran: Horn’s test of principal components/factors. </w:t>
      </w:r>
      <w:r w:rsidRPr="005D42A8">
        <w:rPr>
          <w:rFonts w:ascii="Times New Roman" w:eastAsia="Times New Roman" w:hAnsi="Times New Roman" w:cs="Times New Roman"/>
          <w:sz w:val="24"/>
          <w:szCs w:val="24"/>
        </w:rPr>
        <w:t xml:space="preserve">R package version 1.5.2. </w:t>
      </w:r>
      <w:hyperlink r:id="rId18">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Knowler, D. J., Lévêque, C., Naiman, R. J., Prieur-Richard, A., Soto, D., Stiassny, M. L., &amp; Sullivan, C. A. (2006). </w:t>
      </w:r>
      <w:r>
        <w:rPr>
          <w:rFonts w:ascii="Times New Roman" w:eastAsia="Times New Roman" w:hAnsi="Times New Roman" w:cs="Times New Roman"/>
          <w:sz w:val="24"/>
          <w:szCs w:val="24"/>
        </w:rPr>
        <w:lastRenderedPageBreak/>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Quiñones,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Olden, J. D., Schick, R. S., Schmera,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Schmera,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rsidP="00545CD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Bodin,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50C54109" w:rsidR="00523288" w:rsidRDefault="00523288" w:rsidP="00545CD1">
      <w:pPr>
        <w:spacing w:line="480" w:lineRule="auto"/>
        <w:rPr>
          <w:rFonts w:ascii="Times New Roman" w:eastAsia="Times New Roman" w:hAnsi="Times New Roman" w:cs="Times New Roman"/>
          <w:sz w:val="24"/>
          <w:szCs w:val="24"/>
        </w:rPr>
      </w:pPr>
    </w:p>
    <w:p w14:paraId="1E3D1197" w14:textId="4187AD1A" w:rsidR="00545CD1" w:rsidRPr="00545CD1" w:rsidRDefault="00545CD1" w:rsidP="008D4808">
      <w:pPr>
        <w:spacing w:line="480" w:lineRule="auto"/>
        <w:rPr>
          <w:rFonts w:ascii="Times New Roman" w:eastAsia="Times New Roman" w:hAnsi="Times New Roman" w:cs="Times New Roman"/>
          <w:sz w:val="24"/>
          <w:szCs w:val="24"/>
          <w:lang w:val="en-US"/>
        </w:rPr>
      </w:pPr>
      <w:r w:rsidRPr="00545CD1">
        <w:rPr>
          <w:rFonts w:ascii="Times New Roman" w:eastAsia="Times New Roman" w:hAnsi="Times New Roman" w:cs="Times New Roman"/>
          <w:sz w:val="24"/>
          <w:szCs w:val="24"/>
          <w:lang w:val="en-US"/>
        </w:rPr>
        <w:t>Fencl, J. S., Mather, M. E., Smith, J. M., &amp; Hitchman, S. M. (2017). The blind men and the elephant examine biodiversity at low</w:t>
      </w:r>
      <w:r w:rsidRPr="00545CD1">
        <w:rPr>
          <w:rFonts w:ascii="Cambria Math" w:eastAsia="Times New Roman" w:hAnsi="Cambria Math" w:cs="Cambria Math"/>
          <w:sz w:val="24"/>
          <w:szCs w:val="24"/>
          <w:lang w:val="en-US"/>
        </w:rPr>
        <w:t>‐</w:t>
      </w:r>
      <w:r w:rsidRPr="00545CD1">
        <w:rPr>
          <w:rFonts w:ascii="Times New Roman" w:eastAsia="Times New Roman" w:hAnsi="Times New Roman" w:cs="Times New Roman"/>
          <w:sz w:val="24"/>
          <w:szCs w:val="24"/>
          <w:lang w:val="en-US"/>
        </w:rPr>
        <w:t xml:space="preserve">head dams: Are we all dealing with the same dam reality?. </w:t>
      </w:r>
      <w:r w:rsidRPr="00545CD1">
        <w:rPr>
          <w:rFonts w:ascii="Times New Roman" w:eastAsia="Times New Roman" w:hAnsi="Times New Roman" w:cs="Times New Roman"/>
          <w:i/>
          <w:iCs/>
          <w:sz w:val="24"/>
          <w:szCs w:val="24"/>
          <w:lang w:val="en-US"/>
        </w:rPr>
        <w:t>Ecosphere</w:t>
      </w:r>
      <w:r w:rsidRPr="00545CD1">
        <w:rPr>
          <w:rFonts w:ascii="Times New Roman" w:eastAsia="Times New Roman" w:hAnsi="Times New Roman" w:cs="Times New Roman"/>
          <w:sz w:val="24"/>
          <w:szCs w:val="24"/>
          <w:lang w:val="en-US"/>
        </w:rPr>
        <w:t xml:space="preserve">, </w:t>
      </w:r>
      <w:r w:rsidRPr="008D4808">
        <w:rPr>
          <w:rFonts w:ascii="Times New Roman" w:eastAsia="Times New Roman" w:hAnsi="Times New Roman" w:cs="Times New Roman"/>
          <w:sz w:val="24"/>
          <w:szCs w:val="24"/>
          <w:lang w:val="en-US"/>
        </w:rPr>
        <w:t>8</w:t>
      </w:r>
      <w:r w:rsidRPr="00545CD1">
        <w:rPr>
          <w:rFonts w:ascii="Times New Roman" w:eastAsia="Times New Roman" w:hAnsi="Times New Roman" w:cs="Times New Roman"/>
          <w:sz w:val="24"/>
          <w:szCs w:val="24"/>
          <w:lang w:val="en-US"/>
        </w:rPr>
        <w:t>, e01973.</w:t>
      </w:r>
    </w:p>
    <w:p w14:paraId="3A5CC92E" w14:textId="77777777" w:rsidR="00545CD1" w:rsidRDefault="00545CD1" w:rsidP="00545CD1">
      <w:pPr>
        <w:spacing w:line="480" w:lineRule="auto"/>
        <w:rPr>
          <w:rFonts w:ascii="Times New Roman" w:eastAsia="Times New Roman" w:hAnsi="Times New Roman" w:cs="Times New Roman"/>
          <w:sz w:val="24"/>
          <w:szCs w:val="24"/>
        </w:rPr>
      </w:pPr>
    </w:p>
    <w:p w14:paraId="54912364" w14:textId="77777777" w:rsidR="00523288" w:rsidRDefault="00925D81" w:rsidP="00545CD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Skaff, N. K., Cheruvelil, K. S., Webster, K., Scott, C. &amp; Soranno,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Lindenmayer,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Pavelsky,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Jordaan,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rFonts w:ascii="Times New Roman" w:eastAsia="Times New Roman" w:hAnsi="Times New Roman" w:cs="Times New Roman"/>
          <w:sz w:val="24"/>
          <w:szCs w:val="24"/>
        </w:rPr>
      </w:pPr>
    </w:p>
    <w:p w14:paraId="66DBDCA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Harper, M., Mejbel, H. S., Longert, D., Abell, R., Beard, T. D., Bennett, J. R., Carlsen, S. M., Darwall, W., Dell, A., Domisch, S., Dudgeon, D., Freyhof, J., Harrison, I., Hughes, K., Jahnig, S., Jeschke, J. M., Lansdown, R., Lintermans, M., Lynch, A., Meredith, H. M. R., Molur, S., Olden, J. D., Ormerod, S. J., Patricio, H., Reid, A. J., Schmidt-Kloiber, A., Thieme, M., Tickner, D., Turak, E., Weyl, O. L. F., &amp; Cooke, S. J. (2021). Twenty‐five essential research questions to inform the protection and restoration of freshwater biodiversity. Aquatic Conservation: Marine and Freshwater Ecosystems, 31(9), 2632-2653.</w:t>
      </w:r>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65440313"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Harvey, J. W., &amp; Schmadel, N. M. (2021). The river </w:t>
      </w:r>
      <w:r w:rsidR="000152D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orridor’s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Wipfli,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rsidP="000E0D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Zavaleta,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5F49C9B4" w:rsidR="00523288" w:rsidRDefault="00523288" w:rsidP="000E0D3D">
      <w:pPr>
        <w:spacing w:line="480" w:lineRule="auto"/>
        <w:rPr>
          <w:rFonts w:ascii="Times New Roman" w:eastAsia="Times New Roman" w:hAnsi="Times New Roman" w:cs="Times New Roman"/>
          <w:sz w:val="24"/>
          <w:szCs w:val="24"/>
        </w:rPr>
      </w:pPr>
    </w:p>
    <w:p w14:paraId="09925DEE" w14:textId="61718D02" w:rsidR="000E0D3D" w:rsidRPr="000E0D3D" w:rsidRDefault="000E0D3D" w:rsidP="008D4808">
      <w:pPr>
        <w:spacing w:line="480" w:lineRule="auto"/>
        <w:rPr>
          <w:rFonts w:ascii="Times New Roman" w:eastAsia="Times New Roman" w:hAnsi="Times New Roman" w:cs="Times New Roman"/>
          <w:sz w:val="24"/>
          <w:szCs w:val="24"/>
          <w:lang w:val="en-US"/>
        </w:rPr>
      </w:pPr>
      <w:r w:rsidRPr="000E0D3D">
        <w:rPr>
          <w:rFonts w:ascii="Times New Roman" w:eastAsia="Times New Roman" w:hAnsi="Times New Roman" w:cs="Times New Roman"/>
          <w:sz w:val="24"/>
          <w:szCs w:val="24"/>
          <w:lang w:val="en-US"/>
        </w:rPr>
        <w:t xml:space="preserve">Helms, B. S., Werneke, D. C., Gangloff, M. M., Hartfield, E. E., &amp; Feminella, J. W. (2011). The influence of low-head dams on fish assemblages in streams across Alabama. </w:t>
      </w:r>
      <w:r w:rsidRPr="000E0D3D">
        <w:rPr>
          <w:rFonts w:ascii="Times New Roman" w:eastAsia="Times New Roman" w:hAnsi="Times New Roman" w:cs="Times New Roman"/>
          <w:i/>
          <w:iCs/>
          <w:sz w:val="24"/>
          <w:szCs w:val="24"/>
          <w:lang w:val="en-US"/>
        </w:rPr>
        <w:t>Journal of the North American Benthological Society</w:t>
      </w:r>
      <w:r w:rsidRPr="000E0D3D">
        <w:rPr>
          <w:rFonts w:ascii="Times New Roman" w:eastAsia="Times New Roman" w:hAnsi="Times New Roman" w:cs="Times New Roman"/>
          <w:sz w:val="24"/>
          <w:szCs w:val="24"/>
          <w:lang w:val="en-US"/>
        </w:rPr>
        <w:t xml:space="preserve">, </w:t>
      </w:r>
      <w:r w:rsidRPr="008D4808">
        <w:rPr>
          <w:rFonts w:ascii="Times New Roman" w:eastAsia="Times New Roman" w:hAnsi="Times New Roman" w:cs="Times New Roman"/>
          <w:sz w:val="24"/>
          <w:szCs w:val="24"/>
          <w:lang w:val="en-US"/>
        </w:rPr>
        <w:t>30</w:t>
      </w:r>
      <w:r w:rsidRPr="000E0D3D">
        <w:rPr>
          <w:rFonts w:ascii="Times New Roman" w:eastAsia="Times New Roman" w:hAnsi="Times New Roman" w:cs="Times New Roman"/>
          <w:sz w:val="24"/>
          <w:szCs w:val="24"/>
          <w:lang w:val="en-US"/>
        </w:rPr>
        <w:t>, 1095-1106.</w:t>
      </w:r>
    </w:p>
    <w:p w14:paraId="2CCBEFD5" w14:textId="77777777" w:rsidR="000E0D3D" w:rsidRDefault="000E0D3D" w:rsidP="000E0D3D">
      <w:pPr>
        <w:spacing w:line="480" w:lineRule="auto"/>
        <w:rPr>
          <w:rFonts w:ascii="Times New Roman" w:eastAsia="Times New Roman" w:hAnsi="Times New Roman" w:cs="Times New Roman"/>
          <w:sz w:val="24"/>
          <w:szCs w:val="24"/>
        </w:rPr>
      </w:pPr>
    </w:p>
    <w:p w14:paraId="6F63035E" w14:textId="005B1D48" w:rsidR="00523288" w:rsidRDefault="00925D81" w:rsidP="000E0D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Journal of the North American Benthological Society</w:t>
      </w:r>
      <w:r>
        <w:rPr>
          <w:rFonts w:ascii="Times New Roman" w:eastAsia="Times New Roman" w:hAnsi="Times New Roman" w:cs="Times New Roman"/>
          <w:sz w:val="24"/>
          <w:szCs w:val="24"/>
        </w:rPr>
        <w:t>, 27, 860-877.</w:t>
      </w:r>
      <w:r w:rsidR="00F905D3">
        <w:rPr>
          <w:rFonts w:ascii="Times New Roman" w:eastAsia="Times New Roman" w:hAnsi="Times New Roman" w:cs="Times New Roman"/>
          <w:sz w:val="24"/>
          <w:szCs w:val="24"/>
        </w:rPr>
        <w:t xml:space="preserve"> </w:t>
      </w:r>
      <w:hyperlink r:id="rId19" w:history="1">
        <w:r w:rsidR="00F905D3" w:rsidRPr="008D4808">
          <w:rPr>
            <w:rStyle w:val="Hyperlink"/>
            <w:rFonts w:ascii="Times New Roman" w:hAnsi="Times New Roman" w:cs="Times New Roman"/>
            <w:sz w:val="24"/>
            <w:szCs w:val="24"/>
          </w:rPr>
          <w:t>https://doi.org/10.1899/08-081.1</w:t>
        </w:r>
      </w:hyperlink>
      <w:r w:rsidR="00F905D3" w:rsidRPr="008D4808">
        <w:rPr>
          <w:rFonts w:ascii="Times New Roman" w:hAnsi="Times New Roman" w:cs="Times New Roman"/>
          <w:sz w:val="24"/>
          <w:szCs w:val="24"/>
        </w:rPr>
        <w:t>.</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Hermoso, V., Filipe, A. F., Segurado,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Jaeger, K. L., Olden, J. D., &amp; Pelland,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Houtan,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Zanden,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R. K., &amp; Almlöf,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N. E. (2010). Incorporating lakes within the river discontinuum: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Keitt,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King, K. B. S., Bremigan, M. T., Infante, D., &amp; Cheruvelil,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AB45F0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Haite, M., Danila, L., Pang-Ning, T., Zhou, J., &amp; Cheruvelil, K.S. (2021b). LAGOS-US NETWORKS v1.0: Data module of surface water networks characterizing connections among lakes, streams, and rivers in the conterminous U.S. Environmental Data </w:t>
      </w:r>
      <w:r w:rsidRPr="004147CB">
        <w:rPr>
          <w:rFonts w:ascii="Times New Roman" w:eastAsia="Times New Roman" w:hAnsi="Times New Roman" w:cs="Times New Roman"/>
          <w:sz w:val="24"/>
          <w:szCs w:val="24"/>
        </w:rPr>
        <w:t xml:space="preserve">Initiative. </w:t>
      </w:r>
      <w:r w:rsidR="004147CB" w:rsidRPr="008D4808">
        <w:rPr>
          <w:rFonts w:ascii="Times New Roman" w:hAnsi="Times New Roman" w:cs="Times New Roman"/>
          <w:sz w:val="24"/>
          <w:szCs w:val="24"/>
        </w:rPr>
        <w:t>https://doi.org/10.6073/pasta/98c9f11df55958065985c3e84a4fe995.</w:t>
      </w:r>
      <w:r>
        <w:rPr>
          <w:rFonts w:ascii="Times New Roman" w:eastAsia="Times New Roman" w:hAnsi="Times New Roman" w:cs="Times New Roman"/>
          <w:sz w:val="24"/>
          <w:szCs w:val="24"/>
        </w:rPr>
        <w:t>.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&amp; Cheruvelil,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Krosby, M., Breckheimer, I., Pierce, D. J., Singleton, P. H., Hall, S. A., Halupka, K. C., Gaines, W. L., Long, R. A., McRae, B. H., Cosentino, B. L., &amp; Schuett-Hames, J. P. (2015). Focal 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Krosby, M., Theobald, D. M., Norheim, R., &amp; McRae, B. H. (2018). Identifying riparian climate corridors to inform climate adaptation planning. </w:t>
      </w:r>
      <w:r w:rsidRPr="005D42A8">
        <w:rPr>
          <w:rFonts w:ascii="Times New Roman" w:eastAsia="Times New Roman" w:hAnsi="Times New Roman" w:cs="Times New Roman"/>
          <w:i/>
          <w:sz w:val="24"/>
          <w:szCs w:val="24"/>
        </w:rPr>
        <w:t>PLoS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rFonts w:ascii="Times New Roman" w:eastAsia="Times New Roman" w:hAnsi="Times New Roman" w:cs="Times New Roman"/>
          <w:sz w:val="24"/>
          <w:szCs w:val="24"/>
        </w:rPr>
      </w:pPr>
    </w:p>
    <w:p w14:paraId="26055F8A"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lastRenderedPageBreak/>
        <w:t xml:space="preserve">Kuemmerlen, M., Reichert, P., Siber, R., &amp; Schuwirth, N. (2019). </w:t>
      </w:r>
      <w:r>
        <w:rPr>
          <w:rFonts w:ascii="Times New Roman" w:eastAsia="Times New Roman" w:hAnsi="Times New Roman" w:cs="Times New Roman"/>
          <w:sz w:val="24"/>
          <w:szCs w:val="24"/>
        </w:rPr>
        <w:t>Ecological assessment of river networks: From reach to catchment scale. Science of the Total Environment, 650, 1613-1627.</w:t>
      </w:r>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Ruesch,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LeMoine, M. T., Eby, L. A., Clancy, C. G., Nyce, L. G., Jakober,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Littlefield, C. E., Krosby,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Eby, L. A., Falke, J. A., Kovach, R. P., Krabbenhoft, T. J., Kwak, T. J., Lyons, J., Paukert,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Stachelek, J., Diaz, J., Soranno, P. A., &amp; Cheruvelil,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McCullough, I. M., Skaff, N. K., Soranno, P. A., &amp; Cheruvelil, K. S. (2019b). No lake left behind: How well do US protected areas meet lake conservation targets?.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Nuñez,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Schramski, J. R., Conyngham, J. N., &amp; Fischenich,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Deinet, S., &amp; Freeman, R. (2017). The diversity-weighted Living Planet Index: controlling for taxonomic bias in a global biodiversity indicator.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Muirhead,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Thieme, M., &amp; Viers,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Nuñez, T. A., Lawler, J. J., McRae, B. H., Pierce, D. J., Krosby,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Parks, S. A., Carroll, C., Dobrowski,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rFonts w:ascii="Times New Roman" w:eastAsia="Times New Roman" w:hAnsi="Times New Roman" w:cs="Times New Roman"/>
          <w:sz w:val="24"/>
          <w:szCs w:val="24"/>
        </w:rPr>
      </w:pPr>
    </w:p>
    <w:p w14:paraId="3714EB81" w14:textId="74AF8A74" w:rsidR="00902661" w:rsidRPr="005D42A8" w:rsidRDefault="009026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Polus, S. M., Rodriguez, L. K., Wang, Q., Diaz Vazquez, J., Webster, K. E., Tan, P., Zhou, J., Danila, L., Hanly, P. J., Soranno, P. A. &amp; Cheruvelil,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ver 1. Environmental Data Initiative. </w:t>
      </w:r>
      <w:hyperlink r:id="rId20" w:history="1">
        <w:r w:rsidRPr="005D42A8">
          <w:rPr>
            <w:rFonts w:ascii="Times New Roman" w:eastAsia="Times New Roman" w:hAnsi="Times New Roman" w:cs="Times New Roman"/>
            <w:sz w:val="24"/>
            <w:szCs w:val="24"/>
          </w:rPr>
          <w:t>https://doi.org/10.6073/pasta/c850e645d79bb239e1dfeadd0af6b631</w:t>
        </w:r>
      </w:hyperlink>
      <w:r w:rsidR="001226B2">
        <w:rPr>
          <w:rFonts w:ascii="Times New Roman" w:eastAsia="Times New Roman" w:hAnsi="Times New Roman" w:cs="Times New Roman"/>
          <w:sz w:val="24"/>
          <w:szCs w:val="24"/>
        </w:rPr>
        <w:t>. (Accessed 2021-10-01).</w:t>
      </w: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73B312F3" w14:textId="1C6AAACA"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Pullinger,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Renöfält,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Sarker, S., Veremyev, A., Boginski,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Meeuwig,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Febria, C. M., Albright, R., Mehling, M. G., Kavanaugh, M. T. &amp; Burfeind, D. D. (2016). Human impacts on connectivity in marine and </w:t>
      </w:r>
      <w:r>
        <w:rPr>
          <w:rFonts w:ascii="Times New Roman" w:eastAsia="Times New Roman" w:hAnsi="Times New Roman" w:cs="Times New Roman"/>
          <w:sz w:val="24"/>
          <w:szCs w:val="24"/>
        </w:rPr>
        <w:lastRenderedPageBreak/>
        <w:t xml:space="preserve">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Bodin,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&amp; Rubio, L. (2010). A common currency for the different ways in which patches and links can contribute to habitat availability and connectivity in the landscape. </w:t>
      </w:r>
      <w:r>
        <w:rPr>
          <w:rFonts w:ascii="Times New Roman" w:eastAsia="Times New Roman" w:hAnsi="Times New Roman" w:cs="Times New Roman"/>
          <w:i/>
          <w:sz w:val="24"/>
          <w:szCs w:val="24"/>
        </w:rPr>
        <w:t>Ecography</w:t>
      </w:r>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&amp; Torne, J. (2009). Conefor Sensinode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Schmera, D., Árva, D., Boda, P., Bódis, E., Bolgovics, Á., Borics, G., Csercsa, A., Deák, C., Krasznai, E. A., Lukács, B. A., Mauchart, P., Móra, A., Sály, P., Specziár, A., Süveges, K., Szivák, I., Takács, P., Tóth, M., Várbíró, G., Vojtkó, A. E., &amp; Erős,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21">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Cheruvelil, and P.A. Soranno. </w:t>
      </w:r>
      <w:r>
        <w:rPr>
          <w:rFonts w:ascii="Times New Roman" w:eastAsia="Times New Roman" w:hAnsi="Times New Roman" w:cs="Times New Roman"/>
          <w:sz w:val="24"/>
          <w:szCs w:val="24"/>
        </w:rPr>
        <w:t>2021. LAGOS-US LOCUS v1.0: Data module of location, identifiers, and physical characteristics of lakes and their watersheds in the conterminous U.S. ver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Stralberg,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Soulé,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Tonn,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Keitt,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Urban, D. L., Minor, E. S., Treml,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6BDC392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w:t>
      </w:r>
      <w:r w:rsidRPr="00F905D3">
        <w:rPr>
          <w:rFonts w:ascii="Times New Roman" w:eastAsia="Times New Roman" w:hAnsi="Times New Roman" w:cs="Times New Roman"/>
          <w:sz w:val="24"/>
          <w:szCs w:val="24"/>
        </w:rPr>
        <w:t xml:space="preserve">combined feature class. </w:t>
      </w:r>
      <w:hyperlink r:id="rId22" w:tgtFrame="_blank" w:history="1">
        <w:r w:rsidR="00F905D3" w:rsidRPr="008D4808">
          <w:rPr>
            <w:rStyle w:val="Hyperlink"/>
            <w:rFonts w:ascii="Times New Roman" w:hAnsi="Times New Roman" w:cs="Times New Roman"/>
            <w:sz w:val="24"/>
            <w:szCs w:val="24"/>
          </w:rPr>
          <w:t>https://doi.org/10.5066/P955KPLE</w:t>
        </w:r>
      </w:hyperlink>
      <w:r w:rsidR="00F905D3" w:rsidRPr="008D4808">
        <w:rPr>
          <w:rFonts w:ascii="Times New Roman" w:hAnsi="Times New Roman" w:cs="Times New Roman"/>
          <w:sz w:val="24"/>
          <w:szCs w:val="24"/>
        </w:rPr>
        <w:t>.</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Williams‐Subiza, E. A., &amp; Epele,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23"/>
          <w:footerReference w:type="default" r:id="rId24"/>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Mörtberg, U. M., &amp; Balfors,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202" w:type="dxa"/>
        <w:tblLayout w:type="fixed"/>
        <w:tblLook w:val="0400" w:firstRow="0" w:lastRow="0" w:firstColumn="0" w:lastColumn="0" w:noHBand="0" w:noVBand="1"/>
      </w:tblPr>
      <w:tblGrid>
        <w:gridCol w:w="1658"/>
        <w:gridCol w:w="3979"/>
        <w:gridCol w:w="3565"/>
      </w:tblGrid>
      <w:tr w:rsidR="00523288" w:rsidRPr="005E4647" w14:paraId="6FC1303A" w14:textId="77777777" w:rsidTr="008D4808">
        <w:trPr>
          <w:trHeight w:val="314"/>
        </w:trPr>
        <w:tc>
          <w:tcPr>
            <w:tcW w:w="9202" w:type="dxa"/>
            <w:gridSpan w:val="3"/>
            <w:tcBorders>
              <w:left w:val="nil"/>
              <w:bottom w:val="nil"/>
              <w:right w:val="nil"/>
            </w:tcBorders>
            <w:shd w:val="clear" w:color="auto" w:fill="auto"/>
            <w:vAlign w:val="bottom"/>
          </w:tcPr>
          <w:p w14:paraId="7484F254" w14:textId="77777777" w:rsidR="00523288" w:rsidRPr="005E4647" w:rsidRDefault="00523288">
            <w:pPr>
              <w:spacing w:line="240" w:lineRule="auto"/>
              <w:rPr>
                <w:rFonts w:ascii="Times New Roman" w:eastAsia="Times New Roman" w:hAnsi="Times New Roman" w:cs="Times New Roman"/>
              </w:rPr>
            </w:pPr>
          </w:p>
          <w:p w14:paraId="2B5179FA" w14:textId="77777777" w:rsidR="00523288" w:rsidRPr="005E4647" w:rsidRDefault="00925D81">
            <w:pPr>
              <w:spacing w:line="240" w:lineRule="auto"/>
              <w:rPr>
                <w:rFonts w:ascii="Times New Roman" w:eastAsia="Times New Roman" w:hAnsi="Times New Roman" w:cs="Times New Roman"/>
              </w:rPr>
            </w:pPr>
            <w:r w:rsidRPr="007F13DA">
              <w:rPr>
                <w:rFonts w:ascii="Times New Roman" w:eastAsia="Times New Roman" w:hAnsi="Times New Roman" w:cs="Times New Roman"/>
                <w:b/>
                <w:bCs/>
                <w:sz w:val="24"/>
                <w:szCs w:val="24"/>
              </w:rPr>
              <w:t>Table 1</w:t>
            </w:r>
            <w:r w:rsidRPr="007F13DA">
              <w:rPr>
                <w:rFonts w:ascii="Times New Roman" w:eastAsia="Times New Roman" w:hAnsi="Times New Roman" w:cs="Times New Roman"/>
                <w:sz w:val="24"/>
                <w:szCs w:val="24"/>
              </w:rPr>
              <w:t>. Description of network-scale freshwater connectivity metrics and ecological justification for their use in broad-scale freshwater corridor identification</w:t>
            </w:r>
          </w:p>
        </w:tc>
      </w:tr>
      <w:tr w:rsidR="00523288" w:rsidRPr="005E4647" w14:paraId="1A149124" w14:textId="77777777" w:rsidTr="008D4808">
        <w:trPr>
          <w:trHeight w:val="314"/>
        </w:trPr>
        <w:tc>
          <w:tcPr>
            <w:tcW w:w="1658" w:type="dxa"/>
            <w:tcBorders>
              <w:top w:val="single" w:sz="4" w:space="0" w:color="000000"/>
              <w:left w:val="nil"/>
              <w:bottom w:val="single" w:sz="4" w:space="0" w:color="000000"/>
              <w:right w:val="nil"/>
            </w:tcBorders>
            <w:shd w:val="clear" w:color="auto" w:fill="auto"/>
            <w:vAlign w:val="bottom"/>
          </w:tcPr>
          <w:p w14:paraId="61641B0D" w14:textId="77777777" w:rsidR="00523288" w:rsidRPr="005E4647" w:rsidRDefault="00925D81">
            <w:pPr>
              <w:spacing w:line="240" w:lineRule="auto"/>
              <w:jc w:val="center"/>
              <w:rPr>
                <w:rFonts w:ascii="Times New Roman" w:eastAsia="Times New Roman" w:hAnsi="Times New Roman" w:cs="Times New Roman"/>
                <w:b/>
                <w:color w:val="000000"/>
              </w:rPr>
            </w:pPr>
            <w:r w:rsidRPr="005E4647">
              <w:rPr>
                <w:rFonts w:ascii="Times New Roman" w:eastAsia="Times New Roman" w:hAnsi="Times New Roman" w:cs="Times New Roman"/>
                <w:b/>
                <w:color w:val="000000"/>
              </w:rPr>
              <w:t>Variable name</w:t>
            </w:r>
          </w:p>
        </w:tc>
        <w:tc>
          <w:tcPr>
            <w:tcW w:w="3979" w:type="dxa"/>
            <w:tcBorders>
              <w:top w:val="single" w:sz="4" w:space="0" w:color="000000"/>
              <w:left w:val="nil"/>
              <w:bottom w:val="single" w:sz="4" w:space="0" w:color="000000"/>
              <w:right w:val="nil"/>
            </w:tcBorders>
            <w:shd w:val="clear" w:color="auto" w:fill="auto"/>
            <w:vAlign w:val="bottom"/>
          </w:tcPr>
          <w:p w14:paraId="586EB6D6" w14:textId="77777777" w:rsidR="00523288" w:rsidRPr="005E4647" w:rsidRDefault="00925D81">
            <w:pPr>
              <w:spacing w:line="240" w:lineRule="auto"/>
              <w:jc w:val="center"/>
              <w:rPr>
                <w:rFonts w:ascii="Times New Roman" w:eastAsia="Times New Roman" w:hAnsi="Times New Roman" w:cs="Times New Roman"/>
                <w:b/>
                <w:color w:val="000000"/>
              </w:rPr>
            </w:pPr>
            <w:r w:rsidRPr="005E4647">
              <w:rPr>
                <w:rFonts w:ascii="Times New Roman" w:eastAsia="Times New Roman" w:hAnsi="Times New Roman" w:cs="Times New Roman"/>
                <w:b/>
                <w:color w:val="000000"/>
              </w:rPr>
              <w:t>Description</w:t>
            </w:r>
          </w:p>
        </w:tc>
        <w:tc>
          <w:tcPr>
            <w:tcW w:w="3564" w:type="dxa"/>
            <w:tcBorders>
              <w:top w:val="single" w:sz="4" w:space="0" w:color="000000"/>
              <w:left w:val="nil"/>
              <w:bottom w:val="single" w:sz="4" w:space="0" w:color="000000"/>
              <w:right w:val="nil"/>
            </w:tcBorders>
            <w:shd w:val="clear" w:color="auto" w:fill="auto"/>
            <w:vAlign w:val="bottom"/>
          </w:tcPr>
          <w:p w14:paraId="2A6905E9" w14:textId="77777777" w:rsidR="00523288" w:rsidRPr="005E4647" w:rsidRDefault="00925D81">
            <w:pPr>
              <w:spacing w:line="240" w:lineRule="auto"/>
              <w:jc w:val="center"/>
              <w:rPr>
                <w:rFonts w:ascii="Times New Roman" w:eastAsia="Times New Roman" w:hAnsi="Times New Roman" w:cs="Times New Roman"/>
                <w:b/>
              </w:rPr>
            </w:pPr>
            <w:r w:rsidRPr="005E4647">
              <w:rPr>
                <w:rFonts w:ascii="Times New Roman" w:eastAsia="Times New Roman" w:hAnsi="Times New Roman" w:cs="Times New Roman"/>
                <w:b/>
              </w:rPr>
              <w:t>Ecological Justification</w:t>
            </w:r>
          </w:p>
        </w:tc>
      </w:tr>
      <w:tr w:rsidR="00523288" w:rsidRPr="005E4647" w14:paraId="405671AE" w14:textId="77777777" w:rsidTr="008D4808">
        <w:trPr>
          <w:trHeight w:val="763"/>
        </w:trPr>
        <w:tc>
          <w:tcPr>
            <w:tcW w:w="1658" w:type="dxa"/>
            <w:tcBorders>
              <w:top w:val="nil"/>
              <w:left w:val="nil"/>
              <w:bottom w:val="nil"/>
              <w:right w:val="nil"/>
            </w:tcBorders>
            <w:shd w:val="clear" w:color="auto" w:fill="auto"/>
            <w:vAlign w:val="bottom"/>
          </w:tcPr>
          <w:p w14:paraId="2210CF39"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Edge density</w:t>
            </w:r>
          </w:p>
        </w:tc>
        <w:tc>
          <w:tcPr>
            <w:tcW w:w="3979" w:type="dxa"/>
            <w:tcBorders>
              <w:top w:val="nil"/>
              <w:left w:val="nil"/>
              <w:bottom w:val="nil"/>
              <w:right w:val="nil"/>
            </w:tcBorders>
            <w:shd w:val="clear" w:color="auto" w:fill="auto"/>
            <w:vAlign w:val="bottom"/>
          </w:tcPr>
          <w:p w14:paraId="79EA7992" w14:textId="7B395652"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Ratio of stream reaches connecting lakes to the maximum number of potential stream reaches</w:t>
            </w:r>
            <w:r w:rsidR="00D35786" w:rsidRPr="005E4647">
              <w:rPr>
                <w:rFonts w:ascii="Times New Roman" w:eastAsia="Times New Roman" w:hAnsi="Times New Roman" w:cs="Times New Roman"/>
                <w:color w:val="000000"/>
              </w:rPr>
              <w:t xml:space="preserve"> </w:t>
            </w:r>
            <w:r w:rsidR="005D42A8" w:rsidRPr="005E4647">
              <w:rPr>
                <w:rFonts w:ascii="Times New Roman" w:eastAsia="Times New Roman" w:hAnsi="Times New Roman" w:cs="Times New Roman"/>
                <w:color w:val="000000"/>
              </w:rPr>
              <w:t xml:space="preserve">in a theoretical, complete network </w:t>
            </w:r>
          </w:p>
        </w:tc>
        <w:tc>
          <w:tcPr>
            <w:tcW w:w="3564" w:type="dxa"/>
            <w:tcBorders>
              <w:top w:val="nil"/>
              <w:left w:val="nil"/>
              <w:bottom w:val="nil"/>
              <w:right w:val="nil"/>
            </w:tcBorders>
            <w:shd w:val="clear" w:color="auto" w:fill="auto"/>
            <w:vAlign w:val="bottom"/>
          </w:tcPr>
          <w:p w14:paraId="3346DB43" w14:textId="61B171A9"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availability of pathways for traveling within a network</w:t>
            </w:r>
          </w:p>
        </w:tc>
      </w:tr>
      <w:tr w:rsidR="00523288" w:rsidRPr="005E4647" w14:paraId="376F05E0" w14:textId="77777777" w:rsidTr="008D4808">
        <w:trPr>
          <w:trHeight w:val="509"/>
        </w:trPr>
        <w:tc>
          <w:tcPr>
            <w:tcW w:w="1658" w:type="dxa"/>
            <w:tcBorders>
              <w:top w:val="nil"/>
              <w:left w:val="nil"/>
              <w:bottom w:val="nil"/>
              <w:right w:val="nil"/>
            </w:tcBorders>
            <w:shd w:val="clear" w:color="auto" w:fill="auto"/>
            <w:vAlign w:val="bottom"/>
          </w:tcPr>
          <w:p w14:paraId="4F53FFF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Average lake distance (km)</w:t>
            </w:r>
          </w:p>
        </w:tc>
        <w:tc>
          <w:tcPr>
            <w:tcW w:w="3979" w:type="dxa"/>
            <w:tcBorders>
              <w:top w:val="nil"/>
              <w:left w:val="nil"/>
              <w:bottom w:val="nil"/>
              <w:right w:val="nil"/>
            </w:tcBorders>
            <w:shd w:val="clear" w:color="auto" w:fill="auto"/>
            <w:vAlign w:val="bottom"/>
          </w:tcPr>
          <w:p w14:paraId="648FAC2D" w14:textId="6F62538F"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Average stream-course distance between lakes</w:t>
            </w:r>
          </w:p>
        </w:tc>
        <w:tc>
          <w:tcPr>
            <w:tcW w:w="3564" w:type="dxa"/>
            <w:tcBorders>
              <w:top w:val="nil"/>
              <w:left w:val="nil"/>
              <w:bottom w:val="nil"/>
              <w:right w:val="nil"/>
            </w:tcBorders>
            <w:shd w:val="clear" w:color="auto" w:fill="auto"/>
            <w:vAlign w:val="bottom"/>
          </w:tcPr>
          <w:p w14:paraId="76CD2771"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density and accessibility of lakes within a network</w:t>
            </w:r>
          </w:p>
        </w:tc>
      </w:tr>
      <w:tr w:rsidR="00523288" w:rsidRPr="005E4647" w14:paraId="0EA0609A" w14:textId="77777777" w:rsidTr="008D4808">
        <w:trPr>
          <w:trHeight w:val="1272"/>
        </w:trPr>
        <w:tc>
          <w:tcPr>
            <w:tcW w:w="1658" w:type="dxa"/>
            <w:tcBorders>
              <w:top w:val="nil"/>
              <w:left w:val="nil"/>
              <w:bottom w:val="nil"/>
              <w:right w:val="nil"/>
            </w:tcBorders>
            <w:shd w:val="clear" w:color="auto" w:fill="auto"/>
            <w:vAlign w:val="bottom"/>
          </w:tcPr>
          <w:p w14:paraId="3941248A"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Dam rate</w:t>
            </w:r>
          </w:p>
        </w:tc>
        <w:tc>
          <w:tcPr>
            <w:tcW w:w="3979" w:type="dxa"/>
            <w:tcBorders>
              <w:top w:val="nil"/>
              <w:left w:val="nil"/>
              <w:bottom w:val="nil"/>
              <w:right w:val="nil"/>
            </w:tcBorders>
            <w:shd w:val="clear" w:color="auto" w:fill="auto"/>
            <w:vAlign w:val="bottom"/>
          </w:tcPr>
          <w:p w14:paraId="13238486" w14:textId="05DC4502" w:rsidR="00523288" w:rsidRPr="005E4647" w:rsidRDefault="00F30538">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w:t>
            </w:r>
            <w:r w:rsidR="00925D81" w:rsidRPr="005E4647">
              <w:rPr>
                <w:rFonts w:ascii="Times New Roman" w:eastAsia="Times New Roman" w:hAnsi="Times New Roman" w:cs="Times New Roman"/>
                <w:color w:val="000000"/>
              </w:rPr>
              <w:t>atio between the number of lakes and number of dams</w:t>
            </w:r>
            <w:r w:rsidRPr="005E4647">
              <w:rPr>
                <w:rFonts w:ascii="Times New Roman" w:eastAsia="Times New Roman" w:hAnsi="Times New Roman" w:cs="Times New Roman"/>
                <w:color w:val="000000"/>
              </w:rPr>
              <w:t>*</w:t>
            </w:r>
          </w:p>
        </w:tc>
        <w:tc>
          <w:tcPr>
            <w:tcW w:w="3564" w:type="dxa"/>
            <w:tcBorders>
              <w:top w:val="nil"/>
              <w:left w:val="nil"/>
              <w:bottom w:val="nil"/>
              <w:right w:val="nil"/>
            </w:tcBorders>
            <w:shd w:val="clear" w:color="auto" w:fill="auto"/>
            <w:vAlign w:val="bottom"/>
          </w:tcPr>
          <w:p w14:paraId="549FB99B" w14:textId="347249D2"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Represents </w:t>
            </w:r>
            <w:r w:rsidR="00F30538" w:rsidRPr="005E4647">
              <w:rPr>
                <w:rFonts w:ascii="Times New Roman" w:eastAsia="Times New Roman" w:hAnsi="Times New Roman" w:cs="Times New Roman"/>
                <w:color w:val="000000"/>
              </w:rPr>
              <w:t xml:space="preserve">density of </w:t>
            </w:r>
            <w:r w:rsidRPr="005E4647">
              <w:rPr>
                <w:rFonts w:ascii="Times New Roman" w:eastAsia="Times New Roman" w:hAnsi="Times New Roman" w:cs="Times New Roman"/>
                <w:color w:val="000000"/>
              </w:rPr>
              <w:t>connectivity barriers within networks</w:t>
            </w:r>
          </w:p>
        </w:tc>
      </w:tr>
      <w:tr w:rsidR="00523288" w:rsidRPr="005E4647" w14:paraId="7105A337" w14:textId="77777777" w:rsidTr="008D4808">
        <w:trPr>
          <w:trHeight w:val="763"/>
        </w:trPr>
        <w:tc>
          <w:tcPr>
            <w:tcW w:w="1658" w:type="dxa"/>
            <w:tcBorders>
              <w:top w:val="nil"/>
              <w:left w:val="nil"/>
              <w:bottom w:val="nil"/>
              <w:right w:val="nil"/>
            </w:tcBorders>
            <w:shd w:val="clear" w:color="auto" w:fill="auto"/>
            <w:vAlign w:val="bottom"/>
          </w:tcPr>
          <w:p w14:paraId="39A6C000"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Elevation range (m)</w:t>
            </w:r>
          </w:p>
        </w:tc>
        <w:tc>
          <w:tcPr>
            <w:tcW w:w="3979" w:type="dxa"/>
            <w:tcBorders>
              <w:top w:val="nil"/>
              <w:left w:val="nil"/>
              <w:bottom w:val="nil"/>
              <w:right w:val="nil"/>
            </w:tcBorders>
            <w:shd w:val="clear" w:color="auto" w:fill="auto"/>
            <w:vAlign w:val="bottom"/>
          </w:tcPr>
          <w:p w14:paraId="4D20817D" w14:textId="6E500C2E"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Maximum minus minimum elevation among network </w:t>
            </w:r>
            <w:r w:rsidR="00F30538" w:rsidRPr="005E4647">
              <w:rPr>
                <w:rFonts w:ascii="Times New Roman" w:eastAsia="Times New Roman" w:hAnsi="Times New Roman" w:cs="Times New Roman"/>
                <w:color w:val="000000"/>
              </w:rPr>
              <w:t>lakes</w:t>
            </w:r>
          </w:p>
        </w:tc>
        <w:tc>
          <w:tcPr>
            <w:tcW w:w="3564" w:type="dxa"/>
            <w:tcBorders>
              <w:top w:val="nil"/>
              <w:left w:val="nil"/>
              <w:bottom w:val="nil"/>
              <w:right w:val="nil"/>
            </w:tcBorders>
            <w:shd w:val="clear" w:color="auto" w:fill="auto"/>
            <w:vAlign w:val="bottom"/>
          </w:tcPr>
          <w:p w14:paraId="731468CE" w14:textId="0FF0323B"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more localized climatic heterogeneity accessible within a network for both relatively mobile and sessile species</w:t>
            </w:r>
          </w:p>
        </w:tc>
      </w:tr>
      <w:tr w:rsidR="00523288" w:rsidRPr="005E4647" w14:paraId="1EA2444E" w14:textId="77777777" w:rsidTr="008D4808">
        <w:trPr>
          <w:trHeight w:val="763"/>
        </w:trPr>
        <w:tc>
          <w:tcPr>
            <w:tcW w:w="1658" w:type="dxa"/>
            <w:tcBorders>
              <w:top w:val="nil"/>
              <w:left w:val="nil"/>
              <w:bottom w:val="nil"/>
              <w:right w:val="nil"/>
            </w:tcBorders>
            <w:shd w:val="clear" w:color="auto" w:fill="auto"/>
            <w:vAlign w:val="bottom"/>
          </w:tcPr>
          <w:p w14:paraId="005362E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Maximum north-south distance (km)</w:t>
            </w:r>
          </w:p>
        </w:tc>
        <w:tc>
          <w:tcPr>
            <w:tcW w:w="3979" w:type="dxa"/>
            <w:tcBorders>
              <w:top w:val="nil"/>
              <w:left w:val="nil"/>
              <w:bottom w:val="nil"/>
              <w:right w:val="nil"/>
            </w:tcBorders>
            <w:shd w:val="clear" w:color="auto" w:fill="auto"/>
            <w:vAlign w:val="bottom"/>
          </w:tcPr>
          <w:p w14:paraId="1A05FD61"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Maximum north-south distance spanned by the network based on lake and stream connections</w:t>
            </w:r>
          </w:p>
        </w:tc>
        <w:tc>
          <w:tcPr>
            <w:tcW w:w="3564" w:type="dxa"/>
            <w:tcBorders>
              <w:top w:val="nil"/>
              <w:left w:val="nil"/>
              <w:bottom w:val="nil"/>
              <w:right w:val="nil"/>
            </w:tcBorders>
            <w:shd w:val="clear" w:color="auto" w:fill="auto"/>
            <w:vAlign w:val="bottom"/>
          </w:tcPr>
          <w:p w14:paraId="72D6345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large-scale climatic heterogeneity accessible within a network for relatively mobile species</w:t>
            </w:r>
          </w:p>
        </w:tc>
      </w:tr>
      <w:tr w:rsidR="00523288" w:rsidRPr="005E4647" w14:paraId="08629F3D" w14:textId="77777777" w:rsidTr="008D4808">
        <w:trPr>
          <w:trHeight w:val="1018"/>
        </w:trPr>
        <w:tc>
          <w:tcPr>
            <w:tcW w:w="1658" w:type="dxa"/>
            <w:tcBorders>
              <w:top w:val="nil"/>
              <w:left w:val="nil"/>
              <w:bottom w:val="nil"/>
              <w:right w:val="nil"/>
            </w:tcBorders>
            <w:shd w:val="clear" w:color="auto" w:fill="auto"/>
            <w:vAlign w:val="bottom"/>
          </w:tcPr>
          <w:p w14:paraId="52231C75"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Minimum cuts</w:t>
            </w:r>
          </w:p>
        </w:tc>
        <w:tc>
          <w:tcPr>
            <w:tcW w:w="3979" w:type="dxa"/>
            <w:tcBorders>
              <w:top w:val="nil"/>
              <w:left w:val="nil"/>
              <w:bottom w:val="nil"/>
              <w:right w:val="nil"/>
            </w:tcBorders>
            <w:shd w:val="clear" w:color="auto" w:fill="auto"/>
            <w:vAlign w:val="bottom"/>
          </w:tcPr>
          <w:p w14:paraId="28079038" w14:textId="3FFEDF9E"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Minimum number of stream reaches to cut needed to undermine maximum north-south distance</w:t>
            </w:r>
          </w:p>
        </w:tc>
        <w:tc>
          <w:tcPr>
            <w:tcW w:w="3564" w:type="dxa"/>
            <w:tcBorders>
              <w:top w:val="nil"/>
              <w:left w:val="nil"/>
              <w:bottom w:val="nil"/>
              <w:right w:val="nil"/>
            </w:tcBorders>
            <w:shd w:val="clear" w:color="auto" w:fill="auto"/>
            <w:vAlign w:val="bottom"/>
          </w:tcPr>
          <w:p w14:paraId="4534746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susceptibility of a network to fragmentation, particularly in climatic context for relatively mobile species</w:t>
            </w:r>
          </w:p>
        </w:tc>
      </w:tr>
      <w:tr w:rsidR="00523288" w:rsidRPr="005E4647" w14:paraId="50F632B3" w14:textId="77777777" w:rsidTr="008D4808">
        <w:trPr>
          <w:trHeight w:val="1527"/>
        </w:trPr>
        <w:tc>
          <w:tcPr>
            <w:tcW w:w="1658" w:type="dxa"/>
            <w:tcBorders>
              <w:top w:val="nil"/>
              <w:left w:val="nil"/>
              <w:bottom w:val="nil"/>
              <w:right w:val="nil"/>
            </w:tcBorders>
            <w:shd w:val="clear" w:color="auto" w:fill="auto"/>
            <w:vAlign w:val="bottom"/>
          </w:tcPr>
          <w:p w14:paraId="4A83986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Percent articulation points</w:t>
            </w:r>
          </w:p>
        </w:tc>
        <w:tc>
          <w:tcPr>
            <w:tcW w:w="3979" w:type="dxa"/>
            <w:tcBorders>
              <w:top w:val="nil"/>
              <w:left w:val="nil"/>
              <w:bottom w:val="nil"/>
              <w:right w:val="nil"/>
            </w:tcBorders>
            <w:shd w:val="clear" w:color="auto" w:fill="auto"/>
            <w:vAlign w:val="bottom"/>
          </w:tcPr>
          <w:p w14:paraId="3579F4C4" w14:textId="549B4F8D"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The percent of lakes in the network that are articulation points, which are the lakes in the graph that </w:t>
            </w:r>
            <w:r w:rsidR="00F30538" w:rsidRPr="005E4647">
              <w:rPr>
                <w:rFonts w:ascii="Times New Roman" w:eastAsia="Times New Roman" w:hAnsi="Times New Roman" w:cs="Times New Roman"/>
                <w:color w:val="000000"/>
              </w:rPr>
              <w:t xml:space="preserve">prevent </w:t>
            </w:r>
            <w:r w:rsidRPr="005E4647">
              <w:rPr>
                <w:rFonts w:ascii="Times New Roman" w:eastAsia="Times New Roman" w:hAnsi="Times New Roman" w:cs="Times New Roman"/>
                <w:color w:val="000000"/>
              </w:rPr>
              <w:t xml:space="preserve">separation into multiple </w:t>
            </w:r>
            <w:r w:rsidR="005D42A8" w:rsidRPr="005E4647">
              <w:rPr>
                <w:rFonts w:ascii="Times New Roman" w:eastAsia="Times New Roman" w:hAnsi="Times New Roman" w:cs="Times New Roman"/>
                <w:color w:val="000000"/>
              </w:rPr>
              <w:t>sub</w:t>
            </w:r>
            <w:r w:rsidRPr="005E4647">
              <w:rPr>
                <w:rFonts w:ascii="Times New Roman" w:eastAsia="Times New Roman" w:hAnsi="Times New Roman" w:cs="Times New Roman"/>
                <w:color w:val="000000"/>
              </w:rPr>
              <w:t>networks</w:t>
            </w:r>
            <w:r w:rsidR="00F30538" w:rsidRPr="005E4647">
              <w:rPr>
                <w:rFonts w:ascii="Times New Roman" w:eastAsia="Times New Roman" w:hAnsi="Times New Roman" w:cs="Times New Roman"/>
                <w:color w:val="000000"/>
              </w:rPr>
              <w:t>*</w:t>
            </w:r>
          </w:p>
        </w:tc>
        <w:tc>
          <w:tcPr>
            <w:tcW w:w="3564" w:type="dxa"/>
            <w:tcBorders>
              <w:top w:val="nil"/>
              <w:left w:val="nil"/>
              <w:bottom w:val="nil"/>
              <w:right w:val="nil"/>
            </w:tcBorders>
            <w:shd w:val="clear" w:color="auto" w:fill="auto"/>
            <w:vAlign w:val="bottom"/>
          </w:tcPr>
          <w:p w14:paraId="22AFE52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susceptibility of a network to fragmentation</w:t>
            </w:r>
          </w:p>
        </w:tc>
      </w:tr>
      <w:tr w:rsidR="00523288" w:rsidRPr="005E4647" w14:paraId="341DE616" w14:textId="77777777" w:rsidTr="008D4808">
        <w:trPr>
          <w:trHeight w:val="1782"/>
        </w:trPr>
        <w:tc>
          <w:tcPr>
            <w:tcW w:w="1658" w:type="dxa"/>
            <w:tcBorders>
              <w:top w:val="nil"/>
              <w:left w:val="nil"/>
              <w:bottom w:val="single" w:sz="4" w:space="0" w:color="000000"/>
              <w:right w:val="nil"/>
            </w:tcBorders>
            <w:shd w:val="clear" w:color="auto" w:fill="auto"/>
            <w:vAlign w:val="bottom"/>
          </w:tcPr>
          <w:p w14:paraId="1003E5B5"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Average betweenness centrality</w:t>
            </w:r>
          </w:p>
        </w:tc>
        <w:tc>
          <w:tcPr>
            <w:tcW w:w="3979" w:type="dxa"/>
            <w:tcBorders>
              <w:top w:val="nil"/>
              <w:left w:val="nil"/>
              <w:bottom w:val="single" w:sz="4" w:space="0" w:color="000000"/>
              <w:right w:val="nil"/>
            </w:tcBorders>
            <w:shd w:val="clear" w:color="auto" w:fill="auto"/>
            <w:vAlign w:val="bottom"/>
          </w:tcPr>
          <w:p w14:paraId="008FFAB8" w14:textId="15FB327D"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The number of shortest-distance pairwise stream paths in a network that pass through a lake, averaged across network lakes after normalization by the number of lakes within a network (N) using the formula (2BC)/(N*N-3N+2)</w:t>
            </w:r>
          </w:p>
        </w:tc>
        <w:tc>
          <w:tcPr>
            <w:tcW w:w="3564" w:type="dxa"/>
            <w:tcBorders>
              <w:top w:val="nil"/>
              <w:left w:val="nil"/>
              <w:bottom w:val="single" w:sz="4" w:space="0" w:color="000000"/>
              <w:right w:val="nil"/>
            </w:tcBorders>
            <w:shd w:val="clear" w:color="auto" w:fill="auto"/>
            <w:vAlign w:val="bottom"/>
          </w:tcPr>
          <w:p w14:paraId="2E920D88"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lake importance according to position within a network and the convergence of stream pathways</w:t>
            </w:r>
          </w:p>
        </w:tc>
      </w:tr>
    </w:tbl>
    <w:p w14:paraId="1B1A7924" w14:textId="110ED0E4" w:rsidR="007F13DA" w:rsidRDefault="007F13DA" w:rsidP="007F13DA">
      <w:pPr>
        <w:rPr>
          <w:rFonts w:ascii="Times New Roman" w:eastAsia="Times New Roman" w:hAnsi="Times New Roman" w:cs="Times New Roman"/>
          <w:sz w:val="24"/>
          <w:szCs w:val="24"/>
        </w:rPr>
      </w:pPr>
      <w:r w:rsidRPr="007F13DA">
        <w:rPr>
          <w:rFonts w:ascii="Times New Roman" w:eastAsia="Times New Roman" w:hAnsi="Times New Roman" w:cs="Times New Roman"/>
        </w:rPr>
        <w:t>*variable rescaled such that higher values represent greater connectivity</w:t>
      </w:r>
    </w:p>
    <w:p w14:paraId="3D1D52D5" w14:textId="77777777" w:rsidR="007F13DA" w:rsidRDefault="007F13DA" w:rsidP="007F13DA">
      <w:pPr>
        <w:rPr>
          <w:rFonts w:ascii="Times New Roman" w:eastAsia="Times New Roman" w:hAnsi="Times New Roman" w:cs="Times New Roman"/>
          <w:sz w:val="24"/>
          <w:szCs w:val="24"/>
        </w:rPr>
      </w:pPr>
    </w:p>
    <w:p w14:paraId="6C69E426" w14:textId="61A61FC2" w:rsidR="007F13DA" w:rsidRPr="007F13DA" w:rsidRDefault="007F13DA" w:rsidP="007F13DA">
      <w:pPr>
        <w:rPr>
          <w:rFonts w:ascii="Times New Roman" w:eastAsia="Times New Roman" w:hAnsi="Times New Roman" w:cs="Times New Roman"/>
          <w:sz w:val="24"/>
          <w:szCs w:val="24"/>
        </w:rPr>
        <w:sectPr w:rsidR="007F13DA" w:rsidRPr="007F13DA">
          <w:pgSz w:w="12240" w:h="15840"/>
          <w:pgMar w:top="1440" w:right="1440" w:bottom="1440" w:left="1440" w:header="720" w:footer="720" w:gutter="0"/>
          <w:cols w:space="720"/>
        </w:sectPr>
      </w:pPr>
    </w:p>
    <w:p w14:paraId="31761ED2" w14:textId="77777777" w:rsidR="00F30538" w:rsidRDefault="00F30538">
      <w:pPr>
        <w:rPr>
          <w:rFonts w:ascii="Times New Roman" w:eastAsia="Times New Roman" w:hAnsi="Times New Roman" w:cs="Times New Roman"/>
          <w:sz w:val="24"/>
          <w:szCs w:val="24"/>
        </w:rPr>
      </w:pPr>
    </w:p>
    <w:p w14:paraId="356280C3" w14:textId="0F87543A" w:rsidR="00523288" w:rsidRPr="007F13DA" w:rsidRDefault="00925D81">
      <w:pPr>
        <w:rPr>
          <w:rFonts w:ascii="Times New Roman" w:eastAsia="Times New Roman" w:hAnsi="Times New Roman" w:cs="Times New Roman"/>
          <w:sz w:val="24"/>
          <w:szCs w:val="24"/>
        </w:rPr>
      </w:pPr>
      <w:r w:rsidRPr="007F13DA">
        <w:rPr>
          <w:rFonts w:ascii="Times New Roman" w:eastAsia="Times New Roman" w:hAnsi="Times New Roman" w:cs="Times New Roman"/>
          <w:b/>
          <w:bCs/>
          <w:sz w:val="24"/>
          <w:szCs w:val="24"/>
        </w:rPr>
        <w:t>Table 2</w:t>
      </w:r>
      <w:r w:rsidRPr="007F13DA">
        <w:rPr>
          <w:rFonts w:ascii="Times New Roman" w:eastAsia="Times New Roman" w:hAnsi="Times New Roman" w:cs="Times New Roman"/>
          <w:sz w:val="24"/>
          <w:szCs w:val="24"/>
        </w:rPr>
        <w:t>. Freshwater network connectivity scores and statistics and protection status of networks and hub lakes in the conterminous US for high-scoring networks</w:t>
      </w:r>
    </w:p>
    <w:p w14:paraId="1EF29587" w14:textId="77777777" w:rsidR="00523288" w:rsidRPr="007F13DA" w:rsidRDefault="00523288">
      <w:pPr>
        <w:rPr>
          <w:rFonts w:ascii="Times New Roman" w:eastAsia="Times New Roman" w:hAnsi="Times New Roman" w:cs="Times New Roman"/>
        </w:rPr>
      </w:pPr>
    </w:p>
    <w:tbl>
      <w:tblPr>
        <w:tblStyle w:val="a0"/>
        <w:tblW w:w="9436" w:type="dxa"/>
        <w:tblInd w:w="-90" w:type="dxa"/>
        <w:tblLayout w:type="fixed"/>
        <w:tblLook w:val="0400" w:firstRow="0" w:lastRow="0" w:firstColumn="0" w:lastColumn="0" w:noHBand="0" w:noVBand="1"/>
      </w:tblPr>
      <w:tblGrid>
        <w:gridCol w:w="753"/>
        <w:gridCol w:w="788"/>
        <w:gridCol w:w="1957"/>
        <w:gridCol w:w="1190"/>
        <w:gridCol w:w="837"/>
        <w:gridCol w:w="753"/>
        <w:gridCol w:w="787"/>
        <w:gridCol w:w="945"/>
        <w:gridCol w:w="1426"/>
      </w:tblGrid>
      <w:tr w:rsidR="00523288" w:rsidRPr="007F13DA" w14:paraId="5F7C6F05" w14:textId="77777777" w:rsidTr="008D4808">
        <w:trPr>
          <w:trHeight w:val="252"/>
        </w:trPr>
        <w:tc>
          <w:tcPr>
            <w:tcW w:w="753" w:type="dxa"/>
            <w:tcBorders>
              <w:top w:val="single" w:sz="4" w:space="0" w:color="000000"/>
              <w:left w:val="nil"/>
              <w:bottom w:val="single" w:sz="4" w:space="0" w:color="000000"/>
              <w:right w:val="nil"/>
            </w:tcBorders>
            <w:shd w:val="clear" w:color="auto" w:fill="auto"/>
            <w:vAlign w:val="bottom"/>
          </w:tcPr>
          <w:p w14:paraId="5B5F29F8"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Rank</w:t>
            </w:r>
          </w:p>
        </w:tc>
        <w:tc>
          <w:tcPr>
            <w:tcW w:w="788" w:type="dxa"/>
            <w:tcBorders>
              <w:top w:val="single" w:sz="4" w:space="0" w:color="000000"/>
              <w:left w:val="nil"/>
              <w:bottom w:val="single" w:sz="4" w:space="0" w:color="000000"/>
              <w:right w:val="nil"/>
            </w:tcBorders>
            <w:shd w:val="clear" w:color="auto" w:fill="auto"/>
            <w:vAlign w:val="bottom"/>
          </w:tcPr>
          <w:p w14:paraId="6CD9E555"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Score</w:t>
            </w:r>
          </w:p>
        </w:tc>
        <w:tc>
          <w:tcPr>
            <w:tcW w:w="1957" w:type="dxa"/>
            <w:tcBorders>
              <w:top w:val="single" w:sz="4" w:space="0" w:color="000000"/>
              <w:left w:val="nil"/>
              <w:bottom w:val="single" w:sz="4" w:space="0" w:color="000000"/>
              <w:right w:val="nil"/>
            </w:tcBorders>
            <w:shd w:val="clear" w:color="auto" w:fill="auto"/>
            <w:vAlign w:val="bottom"/>
          </w:tcPr>
          <w:p w14:paraId="7E3FF0B3"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Network</w:t>
            </w:r>
          </w:p>
        </w:tc>
        <w:tc>
          <w:tcPr>
            <w:tcW w:w="1190" w:type="dxa"/>
            <w:tcBorders>
              <w:top w:val="single" w:sz="4" w:space="0" w:color="000000"/>
              <w:left w:val="nil"/>
              <w:bottom w:val="single" w:sz="4" w:space="0" w:color="000000"/>
              <w:right w:val="nil"/>
            </w:tcBorders>
            <w:shd w:val="clear" w:color="auto" w:fill="auto"/>
            <w:vAlign w:val="bottom"/>
          </w:tcPr>
          <w:p w14:paraId="760208EC"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Ecoregion</w:t>
            </w:r>
          </w:p>
        </w:tc>
        <w:tc>
          <w:tcPr>
            <w:tcW w:w="837" w:type="dxa"/>
            <w:tcBorders>
              <w:top w:val="single" w:sz="4" w:space="0" w:color="000000"/>
              <w:left w:val="nil"/>
              <w:bottom w:val="single" w:sz="4" w:space="0" w:color="000000"/>
              <w:right w:val="nil"/>
            </w:tcBorders>
            <w:shd w:val="clear" w:color="auto" w:fill="auto"/>
            <w:vAlign w:val="bottom"/>
          </w:tcPr>
          <w:p w14:paraId="471D365A"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Lakes</w:t>
            </w:r>
          </w:p>
        </w:tc>
        <w:tc>
          <w:tcPr>
            <w:tcW w:w="753" w:type="dxa"/>
            <w:tcBorders>
              <w:top w:val="single" w:sz="4" w:space="0" w:color="000000"/>
              <w:left w:val="nil"/>
              <w:bottom w:val="single" w:sz="4" w:space="0" w:color="000000"/>
              <w:right w:val="nil"/>
            </w:tcBorders>
            <w:shd w:val="clear" w:color="auto" w:fill="auto"/>
            <w:vAlign w:val="bottom"/>
          </w:tcPr>
          <w:p w14:paraId="46BAF4D5"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Hubs</w:t>
            </w:r>
          </w:p>
        </w:tc>
        <w:tc>
          <w:tcPr>
            <w:tcW w:w="787" w:type="dxa"/>
            <w:tcBorders>
              <w:top w:val="single" w:sz="4" w:space="0" w:color="000000"/>
              <w:left w:val="nil"/>
              <w:bottom w:val="single" w:sz="4" w:space="0" w:color="000000"/>
              <w:right w:val="nil"/>
            </w:tcBorders>
            <w:shd w:val="clear" w:color="auto" w:fill="auto"/>
            <w:vAlign w:val="bottom"/>
          </w:tcPr>
          <w:p w14:paraId="0D4F7CED"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Dams</w:t>
            </w:r>
          </w:p>
        </w:tc>
        <w:tc>
          <w:tcPr>
            <w:tcW w:w="945" w:type="dxa"/>
            <w:tcBorders>
              <w:top w:val="single" w:sz="4" w:space="0" w:color="000000"/>
              <w:left w:val="nil"/>
              <w:bottom w:val="single" w:sz="4" w:space="0" w:color="000000"/>
              <w:right w:val="nil"/>
            </w:tcBorders>
            <w:shd w:val="clear" w:color="auto" w:fill="auto"/>
            <w:vAlign w:val="bottom"/>
          </w:tcPr>
          <w:p w14:paraId="3D785901"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Dam rate*</w:t>
            </w:r>
          </w:p>
        </w:tc>
        <w:tc>
          <w:tcPr>
            <w:tcW w:w="1422" w:type="dxa"/>
            <w:tcBorders>
              <w:top w:val="single" w:sz="4" w:space="0" w:color="000000"/>
              <w:left w:val="nil"/>
              <w:bottom w:val="single" w:sz="4" w:space="0" w:color="000000"/>
              <w:right w:val="nil"/>
            </w:tcBorders>
            <w:shd w:val="clear" w:color="auto" w:fill="auto"/>
            <w:vAlign w:val="bottom"/>
          </w:tcPr>
          <w:p w14:paraId="4CFB4B16"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North-South distance (km)</w:t>
            </w:r>
          </w:p>
        </w:tc>
      </w:tr>
      <w:tr w:rsidR="00523288" w:rsidRPr="007F13DA" w14:paraId="0F20FDE9" w14:textId="77777777" w:rsidTr="008D4808">
        <w:trPr>
          <w:trHeight w:val="301"/>
        </w:trPr>
        <w:tc>
          <w:tcPr>
            <w:tcW w:w="753" w:type="dxa"/>
            <w:tcBorders>
              <w:top w:val="nil"/>
              <w:left w:val="nil"/>
              <w:bottom w:val="nil"/>
              <w:right w:val="nil"/>
            </w:tcBorders>
            <w:shd w:val="clear" w:color="auto" w:fill="auto"/>
            <w:vAlign w:val="bottom"/>
          </w:tcPr>
          <w:p w14:paraId="43BBFF7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w:t>
            </w:r>
          </w:p>
        </w:tc>
        <w:tc>
          <w:tcPr>
            <w:tcW w:w="788" w:type="dxa"/>
            <w:tcBorders>
              <w:top w:val="nil"/>
              <w:left w:val="nil"/>
              <w:bottom w:val="nil"/>
              <w:right w:val="nil"/>
            </w:tcBorders>
            <w:shd w:val="clear" w:color="auto" w:fill="auto"/>
            <w:vAlign w:val="bottom"/>
          </w:tcPr>
          <w:p w14:paraId="1E443A3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12.02</w:t>
            </w:r>
          </w:p>
        </w:tc>
        <w:tc>
          <w:tcPr>
            <w:tcW w:w="1957" w:type="dxa"/>
            <w:tcBorders>
              <w:top w:val="nil"/>
              <w:left w:val="nil"/>
              <w:bottom w:val="nil"/>
              <w:right w:val="nil"/>
            </w:tcBorders>
            <w:shd w:val="clear" w:color="auto" w:fill="auto"/>
            <w:vAlign w:val="bottom"/>
          </w:tcPr>
          <w:p w14:paraId="3A7B375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Colorado River</w:t>
            </w:r>
          </w:p>
        </w:tc>
        <w:tc>
          <w:tcPr>
            <w:tcW w:w="1190" w:type="dxa"/>
            <w:tcBorders>
              <w:top w:val="nil"/>
              <w:left w:val="nil"/>
              <w:bottom w:val="nil"/>
              <w:right w:val="nil"/>
            </w:tcBorders>
            <w:shd w:val="clear" w:color="auto" w:fill="auto"/>
            <w:vAlign w:val="bottom"/>
          </w:tcPr>
          <w:p w14:paraId="2406BD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837" w:type="dxa"/>
            <w:tcBorders>
              <w:top w:val="nil"/>
              <w:left w:val="nil"/>
              <w:bottom w:val="nil"/>
              <w:right w:val="nil"/>
            </w:tcBorders>
            <w:shd w:val="clear" w:color="auto" w:fill="auto"/>
            <w:vAlign w:val="bottom"/>
          </w:tcPr>
          <w:p w14:paraId="31AB457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2027</w:t>
            </w:r>
          </w:p>
        </w:tc>
        <w:tc>
          <w:tcPr>
            <w:tcW w:w="753" w:type="dxa"/>
            <w:tcBorders>
              <w:top w:val="nil"/>
              <w:left w:val="nil"/>
              <w:bottom w:val="nil"/>
              <w:right w:val="nil"/>
            </w:tcBorders>
            <w:shd w:val="clear" w:color="auto" w:fill="auto"/>
            <w:vAlign w:val="bottom"/>
          </w:tcPr>
          <w:p w14:paraId="1295060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w:t>
            </w:r>
          </w:p>
        </w:tc>
        <w:tc>
          <w:tcPr>
            <w:tcW w:w="787" w:type="dxa"/>
            <w:tcBorders>
              <w:top w:val="nil"/>
              <w:left w:val="nil"/>
              <w:bottom w:val="nil"/>
              <w:right w:val="nil"/>
            </w:tcBorders>
            <w:shd w:val="clear" w:color="auto" w:fill="auto"/>
            <w:vAlign w:val="bottom"/>
          </w:tcPr>
          <w:p w14:paraId="7A160B6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954</w:t>
            </w:r>
          </w:p>
        </w:tc>
        <w:tc>
          <w:tcPr>
            <w:tcW w:w="945" w:type="dxa"/>
            <w:tcBorders>
              <w:top w:val="nil"/>
              <w:left w:val="nil"/>
              <w:bottom w:val="nil"/>
              <w:right w:val="nil"/>
            </w:tcBorders>
            <w:shd w:val="clear" w:color="auto" w:fill="auto"/>
            <w:vAlign w:val="bottom"/>
          </w:tcPr>
          <w:p w14:paraId="3AC0FAE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47.1%</w:t>
            </w:r>
          </w:p>
        </w:tc>
        <w:tc>
          <w:tcPr>
            <w:tcW w:w="1422" w:type="dxa"/>
            <w:tcBorders>
              <w:top w:val="nil"/>
              <w:left w:val="nil"/>
              <w:bottom w:val="nil"/>
              <w:right w:val="nil"/>
            </w:tcBorders>
            <w:shd w:val="clear" w:color="auto" w:fill="auto"/>
            <w:vAlign w:val="bottom"/>
          </w:tcPr>
          <w:p w14:paraId="1865A96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1,330.34</w:t>
            </w:r>
          </w:p>
        </w:tc>
      </w:tr>
      <w:tr w:rsidR="00523288" w:rsidRPr="007F13DA" w14:paraId="01D9FF71" w14:textId="77777777" w:rsidTr="008D4808">
        <w:trPr>
          <w:trHeight w:val="301"/>
        </w:trPr>
        <w:tc>
          <w:tcPr>
            <w:tcW w:w="753" w:type="dxa"/>
            <w:tcBorders>
              <w:top w:val="nil"/>
              <w:left w:val="nil"/>
              <w:bottom w:val="nil"/>
              <w:right w:val="nil"/>
            </w:tcBorders>
            <w:shd w:val="clear" w:color="auto" w:fill="auto"/>
            <w:vAlign w:val="bottom"/>
          </w:tcPr>
          <w:p w14:paraId="7FB9822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w:t>
            </w:r>
          </w:p>
        </w:tc>
        <w:tc>
          <w:tcPr>
            <w:tcW w:w="788" w:type="dxa"/>
            <w:tcBorders>
              <w:top w:val="nil"/>
              <w:left w:val="nil"/>
              <w:bottom w:val="nil"/>
              <w:right w:val="nil"/>
            </w:tcBorders>
            <w:shd w:val="clear" w:color="auto" w:fill="auto"/>
            <w:vAlign w:val="bottom"/>
          </w:tcPr>
          <w:p w14:paraId="0AC3CA7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9.49</w:t>
            </w:r>
          </w:p>
        </w:tc>
        <w:tc>
          <w:tcPr>
            <w:tcW w:w="1957" w:type="dxa"/>
            <w:tcBorders>
              <w:top w:val="nil"/>
              <w:left w:val="nil"/>
              <w:bottom w:val="nil"/>
              <w:right w:val="nil"/>
            </w:tcBorders>
            <w:shd w:val="clear" w:color="auto" w:fill="auto"/>
            <w:vAlign w:val="bottom"/>
          </w:tcPr>
          <w:p w14:paraId="143B3A6F"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Rio Grande</w:t>
            </w:r>
          </w:p>
        </w:tc>
        <w:tc>
          <w:tcPr>
            <w:tcW w:w="1190" w:type="dxa"/>
            <w:tcBorders>
              <w:top w:val="nil"/>
              <w:left w:val="nil"/>
              <w:bottom w:val="nil"/>
              <w:right w:val="nil"/>
            </w:tcBorders>
            <w:shd w:val="clear" w:color="auto" w:fill="auto"/>
            <w:vAlign w:val="bottom"/>
          </w:tcPr>
          <w:p w14:paraId="3F3D69D3"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SPL</w:t>
            </w:r>
          </w:p>
        </w:tc>
        <w:tc>
          <w:tcPr>
            <w:tcW w:w="837" w:type="dxa"/>
            <w:tcBorders>
              <w:top w:val="nil"/>
              <w:left w:val="nil"/>
              <w:bottom w:val="nil"/>
              <w:right w:val="nil"/>
            </w:tcBorders>
            <w:shd w:val="clear" w:color="auto" w:fill="auto"/>
            <w:vAlign w:val="bottom"/>
          </w:tcPr>
          <w:p w14:paraId="321191A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536</w:t>
            </w:r>
          </w:p>
        </w:tc>
        <w:tc>
          <w:tcPr>
            <w:tcW w:w="753" w:type="dxa"/>
            <w:tcBorders>
              <w:top w:val="nil"/>
              <w:left w:val="nil"/>
              <w:bottom w:val="nil"/>
              <w:right w:val="nil"/>
            </w:tcBorders>
            <w:shd w:val="clear" w:color="auto" w:fill="auto"/>
            <w:vAlign w:val="bottom"/>
          </w:tcPr>
          <w:p w14:paraId="670D90E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w:t>
            </w:r>
          </w:p>
        </w:tc>
        <w:tc>
          <w:tcPr>
            <w:tcW w:w="787" w:type="dxa"/>
            <w:tcBorders>
              <w:top w:val="nil"/>
              <w:left w:val="nil"/>
              <w:bottom w:val="nil"/>
              <w:right w:val="nil"/>
            </w:tcBorders>
            <w:shd w:val="clear" w:color="auto" w:fill="auto"/>
            <w:vAlign w:val="bottom"/>
          </w:tcPr>
          <w:p w14:paraId="0E7BE01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388</w:t>
            </w:r>
          </w:p>
        </w:tc>
        <w:tc>
          <w:tcPr>
            <w:tcW w:w="945" w:type="dxa"/>
            <w:tcBorders>
              <w:top w:val="nil"/>
              <w:left w:val="nil"/>
              <w:bottom w:val="nil"/>
              <w:right w:val="nil"/>
            </w:tcBorders>
            <w:shd w:val="clear" w:color="auto" w:fill="auto"/>
            <w:vAlign w:val="bottom"/>
          </w:tcPr>
          <w:p w14:paraId="41503F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72.4%</w:t>
            </w:r>
          </w:p>
        </w:tc>
        <w:tc>
          <w:tcPr>
            <w:tcW w:w="1422" w:type="dxa"/>
            <w:tcBorders>
              <w:top w:val="nil"/>
              <w:left w:val="nil"/>
              <w:bottom w:val="nil"/>
              <w:right w:val="nil"/>
            </w:tcBorders>
            <w:shd w:val="clear" w:color="auto" w:fill="auto"/>
            <w:vAlign w:val="bottom"/>
          </w:tcPr>
          <w:p w14:paraId="3E8EA84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1,312.70</w:t>
            </w:r>
          </w:p>
        </w:tc>
      </w:tr>
      <w:tr w:rsidR="00523288" w:rsidRPr="007F13DA" w14:paraId="75DDA4C0" w14:textId="77777777" w:rsidTr="008D4808">
        <w:trPr>
          <w:trHeight w:val="301"/>
        </w:trPr>
        <w:tc>
          <w:tcPr>
            <w:tcW w:w="753" w:type="dxa"/>
            <w:tcBorders>
              <w:top w:val="nil"/>
              <w:left w:val="nil"/>
              <w:bottom w:val="nil"/>
              <w:right w:val="nil"/>
            </w:tcBorders>
            <w:shd w:val="clear" w:color="auto" w:fill="auto"/>
            <w:vAlign w:val="bottom"/>
          </w:tcPr>
          <w:p w14:paraId="2329312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w:t>
            </w:r>
          </w:p>
        </w:tc>
        <w:tc>
          <w:tcPr>
            <w:tcW w:w="788" w:type="dxa"/>
            <w:tcBorders>
              <w:top w:val="nil"/>
              <w:left w:val="nil"/>
              <w:bottom w:val="nil"/>
              <w:right w:val="nil"/>
            </w:tcBorders>
            <w:shd w:val="clear" w:color="auto" w:fill="auto"/>
            <w:vAlign w:val="bottom"/>
          </w:tcPr>
          <w:p w14:paraId="7E4F40E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8.10</w:t>
            </w:r>
          </w:p>
        </w:tc>
        <w:tc>
          <w:tcPr>
            <w:tcW w:w="1957" w:type="dxa"/>
            <w:tcBorders>
              <w:top w:val="nil"/>
              <w:left w:val="nil"/>
              <w:bottom w:val="nil"/>
              <w:right w:val="nil"/>
            </w:tcBorders>
            <w:shd w:val="clear" w:color="auto" w:fill="auto"/>
            <w:vAlign w:val="bottom"/>
          </w:tcPr>
          <w:p w14:paraId="4179639D"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Columbia River</w:t>
            </w:r>
          </w:p>
        </w:tc>
        <w:tc>
          <w:tcPr>
            <w:tcW w:w="1190" w:type="dxa"/>
            <w:tcBorders>
              <w:top w:val="nil"/>
              <w:left w:val="nil"/>
              <w:bottom w:val="nil"/>
              <w:right w:val="nil"/>
            </w:tcBorders>
            <w:shd w:val="clear" w:color="auto" w:fill="auto"/>
            <w:vAlign w:val="bottom"/>
          </w:tcPr>
          <w:p w14:paraId="68EF5061"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837" w:type="dxa"/>
            <w:tcBorders>
              <w:top w:val="nil"/>
              <w:left w:val="nil"/>
              <w:bottom w:val="nil"/>
              <w:right w:val="nil"/>
            </w:tcBorders>
            <w:shd w:val="clear" w:color="auto" w:fill="auto"/>
            <w:vAlign w:val="bottom"/>
          </w:tcPr>
          <w:p w14:paraId="3FEB8AF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2397</w:t>
            </w:r>
          </w:p>
        </w:tc>
        <w:tc>
          <w:tcPr>
            <w:tcW w:w="753" w:type="dxa"/>
            <w:tcBorders>
              <w:top w:val="nil"/>
              <w:left w:val="nil"/>
              <w:bottom w:val="nil"/>
              <w:right w:val="nil"/>
            </w:tcBorders>
            <w:shd w:val="clear" w:color="auto" w:fill="auto"/>
            <w:vAlign w:val="bottom"/>
          </w:tcPr>
          <w:p w14:paraId="4A3F8EA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55</w:t>
            </w:r>
          </w:p>
        </w:tc>
        <w:tc>
          <w:tcPr>
            <w:tcW w:w="787" w:type="dxa"/>
            <w:tcBorders>
              <w:top w:val="nil"/>
              <w:left w:val="nil"/>
              <w:bottom w:val="nil"/>
              <w:right w:val="nil"/>
            </w:tcBorders>
            <w:shd w:val="clear" w:color="auto" w:fill="auto"/>
            <w:vAlign w:val="bottom"/>
          </w:tcPr>
          <w:p w14:paraId="03519EB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915</w:t>
            </w:r>
          </w:p>
        </w:tc>
        <w:tc>
          <w:tcPr>
            <w:tcW w:w="945" w:type="dxa"/>
            <w:tcBorders>
              <w:top w:val="nil"/>
              <w:left w:val="nil"/>
              <w:bottom w:val="nil"/>
              <w:right w:val="nil"/>
            </w:tcBorders>
            <w:shd w:val="clear" w:color="auto" w:fill="auto"/>
            <w:vAlign w:val="bottom"/>
          </w:tcPr>
          <w:p w14:paraId="6D420BA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38.2%</w:t>
            </w:r>
          </w:p>
        </w:tc>
        <w:tc>
          <w:tcPr>
            <w:tcW w:w="1422" w:type="dxa"/>
            <w:tcBorders>
              <w:top w:val="nil"/>
              <w:left w:val="nil"/>
              <w:bottom w:val="nil"/>
              <w:right w:val="nil"/>
            </w:tcBorders>
            <w:shd w:val="clear" w:color="auto" w:fill="auto"/>
            <w:vAlign w:val="bottom"/>
          </w:tcPr>
          <w:p w14:paraId="19C6ACB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820.36</w:t>
            </w:r>
          </w:p>
        </w:tc>
      </w:tr>
      <w:tr w:rsidR="00523288" w:rsidRPr="007F13DA" w14:paraId="7F779C07" w14:textId="77777777" w:rsidTr="008D4808">
        <w:trPr>
          <w:trHeight w:val="301"/>
        </w:trPr>
        <w:tc>
          <w:tcPr>
            <w:tcW w:w="753" w:type="dxa"/>
            <w:tcBorders>
              <w:top w:val="nil"/>
              <w:left w:val="nil"/>
              <w:bottom w:val="nil"/>
              <w:right w:val="nil"/>
            </w:tcBorders>
            <w:shd w:val="clear" w:color="auto" w:fill="auto"/>
            <w:vAlign w:val="bottom"/>
          </w:tcPr>
          <w:p w14:paraId="53064EA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w:t>
            </w:r>
          </w:p>
        </w:tc>
        <w:tc>
          <w:tcPr>
            <w:tcW w:w="788" w:type="dxa"/>
            <w:tcBorders>
              <w:top w:val="nil"/>
              <w:left w:val="nil"/>
              <w:bottom w:val="nil"/>
              <w:right w:val="nil"/>
            </w:tcBorders>
            <w:shd w:val="clear" w:color="auto" w:fill="auto"/>
            <w:vAlign w:val="bottom"/>
          </w:tcPr>
          <w:p w14:paraId="3403AAD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6.70</w:t>
            </w:r>
          </w:p>
        </w:tc>
        <w:tc>
          <w:tcPr>
            <w:tcW w:w="1957" w:type="dxa"/>
            <w:tcBorders>
              <w:top w:val="nil"/>
              <w:left w:val="nil"/>
              <w:bottom w:val="nil"/>
              <w:right w:val="nil"/>
            </w:tcBorders>
            <w:shd w:val="clear" w:color="auto" w:fill="auto"/>
            <w:vAlign w:val="bottom"/>
          </w:tcPr>
          <w:p w14:paraId="0BBDDBF7" w14:textId="60CC9763"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Sacramento/San Joaquin</w:t>
            </w:r>
          </w:p>
        </w:tc>
        <w:tc>
          <w:tcPr>
            <w:tcW w:w="1190" w:type="dxa"/>
            <w:tcBorders>
              <w:top w:val="nil"/>
              <w:left w:val="nil"/>
              <w:bottom w:val="nil"/>
              <w:right w:val="nil"/>
            </w:tcBorders>
            <w:shd w:val="clear" w:color="auto" w:fill="auto"/>
            <w:vAlign w:val="bottom"/>
          </w:tcPr>
          <w:p w14:paraId="0DAC4EC0"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837" w:type="dxa"/>
            <w:tcBorders>
              <w:top w:val="nil"/>
              <w:left w:val="nil"/>
              <w:bottom w:val="nil"/>
              <w:right w:val="nil"/>
            </w:tcBorders>
            <w:shd w:val="clear" w:color="auto" w:fill="auto"/>
            <w:vAlign w:val="bottom"/>
          </w:tcPr>
          <w:p w14:paraId="2655E22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1780</w:t>
            </w:r>
          </w:p>
        </w:tc>
        <w:tc>
          <w:tcPr>
            <w:tcW w:w="753" w:type="dxa"/>
            <w:tcBorders>
              <w:top w:val="nil"/>
              <w:left w:val="nil"/>
              <w:bottom w:val="nil"/>
              <w:right w:val="nil"/>
            </w:tcBorders>
            <w:shd w:val="clear" w:color="auto" w:fill="auto"/>
            <w:vAlign w:val="bottom"/>
          </w:tcPr>
          <w:p w14:paraId="47D2F5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w:t>
            </w:r>
          </w:p>
        </w:tc>
        <w:tc>
          <w:tcPr>
            <w:tcW w:w="787" w:type="dxa"/>
            <w:tcBorders>
              <w:top w:val="nil"/>
              <w:left w:val="nil"/>
              <w:bottom w:val="nil"/>
              <w:right w:val="nil"/>
            </w:tcBorders>
            <w:shd w:val="clear" w:color="auto" w:fill="auto"/>
            <w:vAlign w:val="bottom"/>
          </w:tcPr>
          <w:p w14:paraId="030EB9C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484</w:t>
            </w:r>
          </w:p>
        </w:tc>
        <w:tc>
          <w:tcPr>
            <w:tcW w:w="945" w:type="dxa"/>
            <w:tcBorders>
              <w:top w:val="nil"/>
              <w:left w:val="nil"/>
              <w:bottom w:val="nil"/>
              <w:right w:val="nil"/>
            </w:tcBorders>
            <w:shd w:val="clear" w:color="auto" w:fill="auto"/>
            <w:vAlign w:val="bottom"/>
          </w:tcPr>
          <w:p w14:paraId="66F8DB0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27.2%</w:t>
            </w:r>
          </w:p>
        </w:tc>
        <w:tc>
          <w:tcPr>
            <w:tcW w:w="1422" w:type="dxa"/>
            <w:tcBorders>
              <w:top w:val="nil"/>
              <w:left w:val="nil"/>
              <w:bottom w:val="nil"/>
              <w:right w:val="nil"/>
            </w:tcBorders>
            <w:shd w:val="clear" w:color="auto" w:fill="auto"/>
            <w:vAlign w:val="bottom"/>
          </w:tcPr>
          <w:p w14:paraId="73F7AB6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629.52</w:t>
            </w:r>
          </w:p>
        </w:tc>
      </w:tr>
      <w:tr w:rsidR="00523288" w:rsidRPr="007F13DA" w14:paraId="417171E6" w14:textId="77777777" w:rsidTr="008D4808">
        <w:trPr>
          <w:trHeight w:val="301"/>
        </w:trPr>
        <w:tc>
          <w:tcPr>
            <w:tcW w:w="753" w:type="dxa"/>
            <w:tcBorders>
              <w:top w:val="nil"/>
              <w:left w:val="nil"/>
              <w:bottom w:val="nil"/>
              <w:right w:val="nil"/>
            </w:tcBorders>
            <w:shd w:val="clear" w:color="auto" w:fill="auto"/>
            <w:vAlign w:val="bottom"/>
          </w:tcPr>
          <w:p w14:paraId="2AA9C47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w:t>
            </w:r>
          </w:p>
        </w:tc>
        <w:tc>
          <w:tcPr>
            <w:tcW w:w="788" w:type="dxa"/>
            <w:tcBorders>
              <w:top w:val="nil"/>
              <w:left w:val="nil"/>
              <w:bottom w:val="nil"/>
              <w:right w:val="nil"/>
            </w:tcBorders>
            <w:shd w:val="clear" w:color="auto" w:fill="auto"/>
            <w:vAlign w:val="bottom"/>
          </w:tcPr>
          <w:p w14:paraId="4DE1B4F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6.21</w:t>
            </w:r>
          </w:p>
        </w:tc>
        <w:tc>
          <w:tcPr>
            <w:tcW w:w="1957" w:type="dxa"/>
            <w:tcBorders>
              <w:top w:val="nil"/>
              <w:left w:val="nil"/>
              <w:bottom w:val="nil"/>
              <w:right w:val="nil"/>
            </w:tcBorders>
            <w:shd w:val="clear" w:color="auto" w:fill="auto"/>
            <w:vAlign w:val="bottom"/>
          </w:tcPr>
          <w:p w14:paraId="66E804A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Brazos River</w:t>
            </w:r>
          </w:p>
        </w:tc>
        <w:tc>
          <w:tcPr>
            <w:tcW w:w="1190" w:type="dxa"/>
            <w:tcBorders>
              <w:top w:val="nil"/>
              <w:left w:val="nil"/>
              <w:bottom w:val="nil"/>
              <w:right w:val="nil"/>
            </w:tcBorders>
            <w:shd w:val="clear" w:color="auto" w:fill="auto"/>
            <w:vAlign w:val="bottom"/>
          </w:tcPr>
          <w:p w14:paraId="6E0758DA"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SPL</w:t>
            </w:r>
          </w:p>
        </w:tc>
        <w:tc>
          <w:tcPr>
            <w:tcW w:w="837" w:type="dxa"/>
            <w:tcBorders>
              <w:top w:val="nil"/>
              <w:left w:val="nil"/>
              <w:bottom w:val="nil"/>
              <w:right w:val="nil"/>
            </w:tcBorders>
            <w:shd w:val="clear" w:color="auto" w:fill="auto"/>
            <w:vAlign w:val="bottom"/>
          </w:tcPr>
          <w:p w14:paraId="2AE8896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1529</w:t>
            </w:r>
          </w:p>
        </w:tc>
        <w:tc>
          <w:tcPr>
            <w:tcW w:w="753" w:type="dxa"/>
            <w:tcBorders>
              <w:top w:val="nil"/>
              <w:left w:val="nil"/>
              <w:bottom w:val="nil"/>
              <w:right w:val="nil"/>
            </w:tcBorders>
            <w:shd w:val="clear" w:color="auto" w:fill="auto"/>
            <w:vAlign w:val="bottom"/>
          </w:tcPr>
          <w:p w14:paraId="35EBDE9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22</w:t>
            </w:r>
          </w:p>
        </w:tc>
        <w:tc>
          <w:tcPr>
            <w:tcW w:w="787" w:type="dxa"/>
            <w:tcBorders>
              <w:top w:val="nil"/>
              <w:left w:val="nil"/>
              <w:bottom w:val="nil"/>
              <w:right w:val="nil"/>
            </w:tcBorders>
            <w:shd w:val="clear" w:color="auto" w:fill="auto"/>
            <w:vAlign w:val="bottom"/>
          </w:tcPr>
          <w:p w14:paraId="34C79DE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1273</w:t>
            </w:r>
          </w:p>
        </w:tc>
        <w:tc>
          <w:tcPr>
            <w:tcW w:w="945" w:type="dxa"/>
            <w:tcBorders>
              <w:top w:val="nil"/>
              <w:left w:val="nil"/>
              <w:bottom w:val="nil"/>
              <w:right w:val="nil"/>
            </w:tcBorders>
            <w:shd w:val="clear" w:color="auto" w:fill="auto"/>
            <w:vAlign w:val="bottom"/>
          </w:tcPr>
          <w:p w14:paraId="6901663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83.3%</w:t>
            </w:r>
          </w:p>
        </w:tc>
        <w:tc>
          <w:tcPr>
            <w:tcW w:w="1422" w:type="dxa"/>
            <w:tcBorders>
              <w:top w:val="nil"/>
              <w:left w:val="nil"/>
              <w:bottom w:val="nil"/>
              <w:right w:val="nil"/>
            </w:tcBorders>
            <w:shd w:val="clear" w:color="auto" w:fill="auto"/>
            <w:vAlign w:val="bottom"/>
          </w:tcPr>
          <w:p w14:paraId="75BBD1E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611.93</w:t>
            </w:r>
          </w:p>
        </w:tc>
      </w:tr>
      <w:tr w:rsidR="00523288" w:rsidRPr="007F13DA" w14:paraId="0BFA2F1A" w14:textId="77777777" w:rsidTr="008D4808">
        <w:trPr>
          <w:trHeight w:val="301"/>
        </w:trPr>
        <w:tc>
          <w:tcPr>
            <w:tcW w:w="753" w:type="dxa"/>
            <w:tcBorders>
              <w:top w:val="nil"/>
              <w:left w:val="nil"/>
              <w:bottom w:val="nil"/>
              <w:right w:val="nil"/>
            </w:tcBorders>
            <w:shd w:val="clear" w:color="auto" w:fill="auto"/>
            <w:vAlign w:val="bottom"/>
          </w:tcPr>
          <w:p w14:paraId="382B67B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w:t>
            </w:r>
          </w:p>
        </w:tc>
        <w:tc>
          <w:tcPr>
            <w:tcW w:w="788" w:type="dxa"/>
            <w:tcBorders>
              <w:top w:val="nil"/>
              <w:left w:val="nil"/>
              <w:bottom w:val="nil"/>
              <w:right w:val="nil"/>
            </w:tcBorders>
            <w:shd w:val="clear" w:color="auto" w:fill="auto"/>
            <w:vAlign w:val="bottom"/>
          </w:tcPr>
          <w:p w14:paraId="74358A5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5.67</w:t>
            </w:r>
          </w:p>
        </w:tc>
        <w:tc>
          <w:tcPr>
            <w:tcW w:w="1957" w:type="dxa"/>
            <w:tcBorders>
              <w:top w:val="nil"/>
              <w:left w:val="nil"/>
              <w:bottom w:val="nil"/>
              <w:right w:val="nil"/>
            </w:tcBorders>
            <w:shd w:val="clear" w:color="auto" w:fill="auto"/>
            <w:vAlign w:val="bottom"/>
          </w:tcPr>
          <w:p w14:paraId="4508859E"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Susquehanna-Hudson</w:t>
            </w:r>
          </w:p>
        </w:tc>
        <w:tc>
          <w:tcPr>
            <w:tcW w:w="1190" w:type="dxa"/>
            <w:tcBorders>
              <w:top w:val="nil"/>
              <w:left w:val="nil"/>
              <w:bottom w:val="nil"/>
              <w:right w:val="nil"/>
            </w:tcBorders>
            <w:shd w:val="clear" w:color="auto" w:fill="auto"/>
            <w:vAlign w:val="bottom"/>
          </w:tcPr>
          <w:p w14:paraId="72FAD4CA"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NAP</w:t>
            </w:r>
          </w:p>
        </w:tc>
        <w:tc>
          <w:tcPr>
            <w:tcW w:w="837" w:type="dxa"/>
            <w:tcBorders>
              <w:top w:val="nil"/>
              <w:left w:val="nil"/>
              <w:bottom w:val="nil"/>
              <w:right w:val="nil"/>
            </w:tcBorders>
            <w:shd w:val="clear" w:color="auto" w:fill="auto"/>
            <w:vAlign w:val="bottom"/>
          </w:tcPr>
          <w:p w14:paraId="1BC233C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2659</w:t>
            </w:r>
          </w:p>
        </w:tc>
        <w:tc>
          <w:tcPr>
            <w:tcW w:w="753" w:type="dxa"/>
            <w:tcBorders>
              <w:top w:val="nil"/>
              <w:left w:val="nil"/>
              <w:bottom w:val="nil"/>
              <w:right w:val="nil"/>
            </w:tcBorders>
            <w:shd w:val="clear" w:color="auto" w:fill="auto"/>
            <w:vAlign w:val="bottom"/>
          </w:tcPr>
          <w:p w14:paraId="044956C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71</w:t>
            </w:r>
          </w:p>
        </w:tc>
        <w:tc>
          <w:tcPr>
            <w:tcW w:w="787" w:type="dxa"/>
            <w:tcBorders>
              <w:top w:val="nil"/>
              <w:left w:val="nil"/>
              <w:bottom w:val="nil"/>
              <w:right w:val="nil"/>
            </w:tcBorders>
            <w:shd w:val="clear" w:color="auto" w:fill="auto"/>
            <w:vAlign w:val="bottom"/>
          </w:tcPr>
          <w:p w14:paraId="0C93B37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1099</w:t>
            </w:r>
          </w:p>
        </w:tc>
        <w:tc>
          <w:tcPr>
            <w:tcW w:w="945" w:type="dxa"/>
            <w:tcBorders>
              <w:top w:val="nil"/>
              <w:left w:val="nil"/>
              <w:bottom w:val="nil"/>
              <w:right w:val="nil"/>
            </w:tcBorders>
            <w:shd w:val="clear" w:color="auto" w:fill="auto"/>
            <w:vAlign w:val="bottom"/>
          </w:tcPr>
          <w:p w14:paraId="1958B08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41.3%</w:t>
            </w:r>
          </w:p>
        </w:tc>
        <w:tc>
          <w:tcPr>
            <w:tcW w:w="1422" w:type="dxa"/>
            <w:tcBorders>
              <w:top w:val="nil"/>
              <w:left w:val="nil"/>
              <w:bottom w:val="nil"/>
              <w:right w:val="nil"/>
            </w:tcBorders>
            <w:shd w:val="clear" w:color="auto" w:fill="auto"/>
            <w:vAlign w:val="bottom"/>
          </w:tcPr>
          <w:p w14:paraId="7A78EBC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505.40</w:t>
            </w:r>
          </w:p>
        </w:tc>
      </w:tr>
      <w:tr w:rsidR="00523288" w:rsidRPr="007F13DA" w14:paraId="1B5C3B19" w14:textId="77777777" w:rsidTr="008D4808">
        <w:trPr>
          <w:trHeight w:val="301"/>
        </w:trPr>
        <w:tc>
          <w:tcPr>
            <w:tcW w:w="753" w:type="dxa"/>
            <w:tcBorders>
              <w:top w:val="nil"/>
              <w:left w:val="nil"/>
              <w:bottom w:val="nil"/>
              <w:right w:val="nil"/>
            </w:tcBorders>
            <w:shd w:val="clear" w:color="auto" w:fill="auto"/>
            <w:vAlign w:val="bottom"/>
          </w:tcPr>
          <w:p w14:paraId="17EDAB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w:t>
            </w:r>
          </w:p>
        </w:tc>
        <w:tc>
          <w:tcPr>
            <w:tcW w:w="788" w:type="dxa"/>
            <w:tcBorders>
              <w:top w:val="nil"/>
              <w:left w:val="nil"/>
              <w:bottom w:val="nil"/>
              <w:right w:val="nil"/>
            </w:tcBorders>
            <w:shd w:val="clear" w:color="auto" w:fill="auto"/>
            <w:vAlign w:val="bottom"/>
          </w:tcPr>
          <w:p w14:paraId="13C6CFF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5.19</w:t>
            </w:r>
          </w:p>
        </w:tc>
        <w:tc>
          <w:tcPr>
            <w:tcW w:w="1957" w:type="dxa"/>
            <w:tcBorders>
              <w:top w:val="nil"/>
              <w:left w:val="nil"/>
              <w:bottom w:val="nil"/>
              <w:right w:val="nil"/>
            </w:tcBorders>
            <w:shd w:val="clear" w:color="auto" w:fill="auto"/>
            <w:vAlign w:val="bottom"/>
          </w:tcPr>
          <w:p w14:paraId="4D24CE7B"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Savannah-Santee</w:t>
            </w:r>
          </w:p>
        </w:tc>
        <w:tc>
          <w:tcPr>
            <w:tcW w:w="1190" w:type="dxa"/>
            <w:tcBorders>
              <w:top w:val="nil"/>
              <w:left w:val="nil"/>
              <w:bottom w:val="nil"/>
              <w:right w:val="nil"/>
            </w:tcBorders>
            <w:shd w:val="clear" w:color="auto" w:fill="auto"/>
            <w:vAlign w:val="bottom"/>
          </w:tcPr>
          <w:p w14:paraId="181234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CPL</w:t>
            </w:r>
          </w:p>
        </w:tc>
        <w:tc>
          <w:tcPr>
            <w:tcW w:w="837" w:type="dxa"/>
            <w:tcBorders>
              <w:top w:val="nil"/>
              <w:left w:val="nil"/>
              <w:bottom w:val="nil"/>
              <w:right w:val="nil"/>
            </w:tcBorders>
            <w:shd w:val="clear" w:color="auto" w:fill="auto"/>
            <w:vAlign w:val="bottom"/>
          </w:tcPr>
          <w:p w14:paraId="0D7F85F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3241</w:t>
            </w:r>
          </w:p>
        </w:tc>
        <w:tc>
          <w:tcPr>
            <w:tcW w:w="753" w:type="dxa"/>
            <w:tcBorders>
              <w:top w:val="nil"/>
              <w:left w:val="nil"/>
              <w:bottom w:val="nil"/>
              <w:right w:val="nil"/>
            </w:tcBorders>
            <w:shd w:val="clear" w:color="auto" w:fill="auto"/>
            <w:vAlign w:val="bottom"/>
          </w:tcPr>
          <w:p w14:paraId="70424B9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72</w:t>
            </w:r>
          </w:p>
        </w:tc>
        <w:tc>
          <w:tcPr>
            <w:tcW w:w="787" w:type="dxa"/>
            <w:tcBorders>
              <w:top w:val="nil"/>
              <w:left w:val="nil"/>
              <w:bottom w:val="nil"/>
              <w:right w:val="nil"/>
            </w:tcBorders>
            <w:shd w:val="clear" w:color="auto" w:fill="auto"/>
            <w:vAlign w:val="bottom"/>
          </w:tcPr>
          <w:p w14:paraId="3A5B907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1760</w:t>
            </w:r>
          </w:p>
        </w:tc>
        <w:tc>
          <w:tcPr>
            <w:tcW w:w="945" w:type="dxa"/>
            <w:tcBorders>
              <w:top w:val="nil"/>
              <w:left w:val="nil"/>
              <w:bottom w:val="nil"/>
              <w:right w:val="nil"/>
            </w:tcBorders>
            <w:shd w:val="clear" w:color="auto" w:fill="auto"/>
            <w:vAlign w:val="bottom"/>
          </w:tcPr>
          <w:p w14:paraId="65C100C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54.3%</w:t>
            </w:r>
          </w:p>
        </w:tc>
        <w:tc>
          <w:tcPr>
            <w:tcW w:w="1422" w:type="dxa"/>
            <w:tcBorders>
              <w:top w:val="nil"/>
              <w:left w:val="nil"/>
              <w:bottom w:val="nil"/>
              <w:right w:val="nil"/>
            </w:tcBorders>
            <w:shd w:val="clear" w:color="auto" w:fill="auto"/>
            <w:vAlign w:val="bottom"/>
          </w:tcPr>
          <w:p w14:paraId="38471E2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491.73</w:t>
            </w:r>
          </w:p>
        </w:tc>
      </w:tr>
      <w:tr w:rsidR="00523288" w:rsidRPr="007F13DA" w14:paraId="48606A0A" w14:textId="77777777" w:rsidTr="008D4808">
        <w:trPr>
          <w:trHeight w:val="301"/>
        </w:trPr>
        <w:tc>
          <w:tcPr>
            <w:tcW w:w="753" w:type="dxa"/>
            <w:tcBorders>
              <w:top w:val="nil"/>
              <w:left w:val="nil"/>
              <w:bottom w:val="nil"/>
              <w:right w:val="nil"/>
            </w:tcBorders>
            <w:shd w:val="clear" w:color="auto" w:fill="auto"/>
            <w:vAlign w:val="bottom"/>
          </w:tcPr>
          <w:p w14:paraId="3C53F6C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w:t>
            </w:r>
          </w:p>
        </w:tc>
        <w:tc>
          <w:tcPr>
            <w:tcW w:w="788" w:type="dxa"/>
            <w:tcBorders>
              <w:top w:val="nil"/>
              <w:left w:val="nil"/>
              <w:bottom w:val="nil"/>
              <w:right w:val="nil"/>
            </w:tcBorders>
            <w:shd w:val="clear" w:color="auto" w:fill="auto"/>
            <w:vAlign w:val="bottom"/>
          </w:tcPr>
          <w:p w14:paraId="7C2E780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5.19</w:t>
            </w:r>
          </w:p>
        </w:tc>
        <w:tc>
          <w:tcPr>
            <w:tcW w:w="1957" w:type="dxa"/>
            <w:tcBorders>
              <w:top w:val="nil"/>
              <w:left w:val="nil"/>
              <w:bottom w:val="nil"/>
              <w:right w:val="nil"/>
            </w:tcBorders>
            <w:shd w:val="clear" w:color="auto" w:fill="auto"/>
            <w:vAlign w:val="bottom"/>
          </w:tcPr>
          <w:p w14:paraId="1DBF483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Potomac River</w:t>
            </w:r>
          </w:p>
        </w:tc>
        <w:tc>
          <w:tcPr>
            <w:tcW w:w="1190" w:type="dxa"/>
            <w:tcBorders>
              <w:top w:val="nil"/>
              <w:left w:val="nil"/>
              <w:bottom w:val="nil"/>
              <w:right w:val="nil"/>
            </w:tcBorders>
            <w:shd w:val="clear" w:color="auto" w:fill="auto"/>
            <w:vAlign w:val="bottom"/>
          </w:tcPr>
          <w:p w14:paraId="4E4204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SAP</w:t>
            </w:r>
          </w:p>
        </w:tc>
        <w:tc>
          <w:tcPr>
            <w:tcW w:w="837" w:type="dxa"/>
            <w:tcBorders>
              <w:top w:val="nil"/>
              <w:left w:val="nil"/>
              <w:bottom w:val="nil"/>
              <w:right w:val="nil"/>
            </w:tcBorders>
            <w:shd w:val="clear" w:color="auto" w:fill="auto"/>
            <w:vAlign w:val="bottom"/>
          </w:tcPr>
          <w:p w14:paraId="55BE12D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420</w:t>
            </w:r>
          </w:p>
        </w:tc>
        <w:tc>
          <w:tcPr>
            <w:tcW w:w="753" w:type="dxa"/>
            <w:tcBorders>
              <w:top w:val="nil"/>
              <w:left w:val="nil"/>
              <w:bottom w:val="nil"/>
              <w:right w:val="nil"/>
            </w:tcBorders>
            <w:shd w:val="clear" w:color="auto" w:fill="auto"/>
            <w:vAlign w:val="bottom"/>
          </w:tcPr>
          <w:p w14:paraId="77E6C0E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w:t>
            </w:r>
          </w:p>
        </w:tc>
        <w:tc>
          <w:tcPr>
            <w:tcW w:w="787" w:type="dxa"/>
            <w:tcBorders>
              <w:top w:val="nil"/>
              <w:left w:val="nil"/>
              <w:bottom w:val="nil"/>
              <w:right w:val="nil"/>
            </w:tcBorders>
            <w:shd w:val="clear" w:color="auto" w:fill="auto"/>
            <w:vAlign w:val="bottom"/>
          </w:tcPr>
          <w:p w14:paraId="6A83AAE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372</w:t>
            </w:r>
          </w:p>
        </w:tc>
        <w:tc>
          <w:tcPr>
            <w:tcW w:w="945" w:type="dxa"/>
            <w:tcBorders>
              <w:top w:val="nil"/>
              <w:left w:val="nil"/>
              <w:bottom w:val="nil"/>
              <w:right w:val="nil"/>
            </w:tcBorders>
            <w:shd w:val="clear" w:color="auto" w:fill="auto"/>
            <w:vAlign w:val="bottom"/>
          </w:tcPr>
          <w:p w14:paraId="5840F86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88.6%</w:t>
            </w:r>
          </w:p>
        </w:tc>
        <w:tc>
          <w:tcPr>
            <w:tcW w:w="1422" w:type="dxa"/>
            <w:tcBorders>
              <w:top w:val="nil"/>
              <w:left w:val="nil"/>
              <w:bottom w:val="nil"/>
              <w:right w:val="nil"/>
            </w:tcBorders>
            <w:shd w:val="clear" w:color="auto" w:fill="auto"/>
            <w:vAlign w:val="bottom"/>
          </w:tcPr>
          <w:p w14:paraId="4F85502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238.12</w:t>
            </w:r>
          </w:p>
        </w:tc>
      </w:tr>
      <w:tr w:rsidR="00523288" w:rsidRPr="007F13DA" w14:paraId="3E309672" w14:textId="77777777" w:rsidTr="008D4808">
        <w:trPr>
          <w:trHeight w:val="301"/>
        </w:trPr>
        <w:tc>
          <w:tcPr>
            <w:tcW w:w="753" w:type="dxa"/>
            <w:tcBorders>
              <w:top w:val="nil"/>
              <w:left w:val="nil"/>
              <w:bottom w:val="nil"/>
              <w:right w:val="nil"/>
            </w:tcBorders>
            <w:shd w:val="clear" w:color="auto" w:fill="auto"/>
            <w:vAlign w:val="bottom"/>
          </w:tcPr>
          <w:p w14:paraId="35D0F03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w:t>
            </w:r>
          </w:p>
        </w:tc>
        <w:tc>
          <w:tcPr>
            <w:tcW w:w="788" w:type="dxa"/>
            <w:tcBorders>
              <w:top w:val="nil"/>
              <w:left w:val="nil"/>
              <w:bottom w:val="nil"/>
              <w:right w:val="nil"/>
            </w:tcBorders>
            <w:shd w:val="clear" w:color="auto" w:fill="auto"/>
            <w:vAlign w:val="bottom"/>
          </w:tcPr>
          <w:p w14:paraId="2B9CBEC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4.94</w:t>
            </w:r>
          </w:p>
        </w:tc>
        <w:tc>
          <w:tcPr>
            <w:tcW w:w="1957" w:type="dxa"/>
            <w:tcBorders>
              <w:top w:val="nil"/>
              <w:left w:val="nil"/>
              <w:bottom w:val="nil"/>
              <w:right w:val="nil"/>
            </w:tcBorders>
            <w:shd w:val="clear" w:color="auto" w:fill="auto"/>
            <w:vAlign w:val="bottom"/>
          </w:tcPr>
          <w:p w14:paraId="3750C79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Suwannee</w:t>
            </w:r>
          </w:p>
        </w:tc>
        <w:tc>
          <w:tcPr>
            <w:tcW w:w="1190" w:type="dxa"/>
            <w:tcBorders>
              <w:top w:val="nil"/>
              <w:left w:val="nil"/>
              <w:bottom w:val="nil"/>
              <w:right w:val="nil"/>
            </w:tcBorders>
            <w:shd w:val="clear" w:color="auto" w:fill="auto"/>
            <w:vAlign w:val="bottom"/>
          </w:tcPr>
          <w:p w14:paraId="3105D522"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CPL</w:t>
            </w:r>
          </w:p>
        </w:tc>
        <w:tc>
          <w:tcPr>
            <w:tcW w:w="837" w:type="dxa"/>
            <w:tcBorders>
              <w:top w:val="nil"/>
              <w:left w:val="nil"/>
              <w:bottom w:val="nil"/>
              <w:right w:val="nil"/>
            </w:tcBorders>
            <w:shd w:val="clear" w:color="auto" w:fill="auto"/>
            <w:vAlign w:val="bottom"/>
          </w:tcPr>
          <w:p w14:paraId="47CE34B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1076</w:t>
            </w:r>
          </w:p>
        </w:tc>
        <w:tc>
          <w:tcPr>
            <w:tcW w:w="753" w:type="dxa"/>
            <w:tcBorders>
              <w:top w:val="nil"/>
              <w:left w:val="nil"/>
              <w:bottom w:val="nil"/>
              <w:right w:val="nil"/>
            </w:tcBorders>
            <w:shd w:val="clear" w:color="auto" w:fill="auto"/>
            <w:vAlign w:val="bottom"/>
          </w:tcPr>
          <w:p w14:paraId="4CC8651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w:t>
            </w:r>
          </w:p>
        </w:tc>
        <w:tc>
          <w:tcPr>
            <w:tcW w:w="787" w:type="dxa"/>
            <w:tcBorders>
              <w:top w:val="nil"/>
              <w:left w:val="nil"/>
              <w:bottom w:val="nil"/>
              <w:right w:val="nil"/>
            </w:tcBorders>
            <w:shd w:val="clear" w:color="auto" w:fill="auto"/>
            <w:vAlign w:val="bottom"/>
          </w:tcPr>
          <w:p w14:paraId="3EDBB1D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268</w:t>
            </w:r>
          </w:p>
        </w:tc>
        <w:tc>
          <w:tcPr>
            <w:tcW w:w="945" w:type="dxa"/>
            <w:tcBorders>
              <w:top w:val="nil"/>
              <w:left w:val="nil"/>
              <w:bottom w:val="nil"/>
              <w:right w:val="nil"/>
            </w:tcBorders>
            <w:shd w:val="clear" w:color="auto" w:fill="auto"/>
            <w:vAlign w:val="bottom"/>
          </w:tcPr>
          <w:p w14:paraId="0D42A10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24.9%</w:t>
            </w:r>
          </w:p>
        </w:tc>
        <w:tc>
          <w:tcPr>
            <w:tcW w:w="1422" w:type="dxa"/>
            <w:tcBorders>
              <w:top w:val="nil"/>
              <w:left w:val="nil"/>
              <w:bottom w:val="nil"/>
              <w:right w:val="nil"/>
            </w:tcBorders>
            <w:shd w:val="clear" w:color="auto" w:fill="auto"/>
            <w:vAlign w:val="bottom"/>
          </w:tcPr>
          <w:p w14:paraId="5028898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245.86</w:t>
            </w:r>
          </w:p>
        </w:tc>
      </w:tr>
      <w:tr w:rsidR="00523288" w:rsidRPr="007F13DA" w14:paraId="59294501" w14:textId="77777777" w:rsidTr="008D4808">
        <w:trPr>
          <w:trHeight w:val="301"/>
        </w:trPr>
        <w:tc>
          <w:tcPr>
            <w:tcW w:w="753" w:type="dxa"/>
            <w:tcBorders>
              <w:top w:val="nil"/>
              <w:left w:val="nil"/>
              <w:bottom w:val="nil"/>
              <w:right w:val="nil"/>
            </w:tcBorders>
            <w:shd w:val="clear" w:color="auto" w:fill="auto"/>
            <w:vAlign w:val="bottom"/>
          </w:tcPr>
          <w:p w14:paraId="6908792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w:t>
            </w:r>
          </w:p>
        </w:tc>
        <w:tc>
          <w:tcPr>
            <w:tcW w:w="788" w:type="dxa"/>
            <w:tcBorders>
              <w:top w:val="nil"/>
              <w:left w:val="nil"/>
              <w:bottom w:val="nil"/>
              <w:right w:val="nil"/>
            </w:tcBorders>
            <w:shd w:val="clear" w:color="auto" w:fill="auto"/>
            <w:vAlign w:val="bottom"/>
          </w:tcPr>
          <w:p w14:paraId="051D33B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4.84</w:t>
            </w:r>
          </w:p>
        </w:tc>
        <w:tc>
          <w:tcPr>
            <w:tcW w:w="1957" w:type="dxa"/>
            <w:tcBorders>
              <w:top w:val="nil"/>
              <w:left w:val="nil"/>
              <w:bottom w:val="nil"/>
              <w:right w:val="nil"/>
            </w:tcBorders>
            <w:shd w:val="clear" w:color="auto" w:fill="auto"/>
            <w:vAlign w:val="bottom"/>
          </w:tcPr>
          <w:p w14:paraId="4C56168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Red River</w:t>
            </w:r>
          </w:p>
        </w:tc>
        <w:tc>
          <w:tcPr>
            <w:tcW w:w="1190" w:type="dxa"/>
            <w:tcBorders>
              <w:top w:val="nil"/>
              <w:left w:val="nil"/>
              <w:bottom w:val="nil"/>
              <w:right w:val="nil"/>
            </w:tcBorders>
            <w:shd w:val="clear" w:color="auto" w:fill="auto"/>
            <w:vAlign w:val="bottom"/>
          </w:tcPr>
          <w:p w14:paraId="1DAAF61D"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UMW</w:t>
            </w:r>
          </w:p>
        </w:tc>
        <w:tc>
          <w:tcPr>
            <w:tcW w:w="837" w:type="dxa"/>
            <w:tcBorders>
              <w:top w:val="nil"/>
              <w:left w:val="nil"/>
              <w:bottom w:val="nil"/>
              <w:right w:val="nil"/>
            </w:tcBorders>
            <w:shd w:val="clear" w:color="auto" w:fill="auto"/>
            <w:vAlign w:val="bottom"/>
          </w:tcPr>
          <w:p w14:paraId="42B06B6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754</w:t>
            </w:r>
          </w:p>
        </w:tc>
        <w:tc>
          <w:tcPr>
            <w:tcW w:w="753" w:type="dxa"/>
            <w:tcBorders>
              <w:top w:val="nil"/>
              <w:left w:val="nil"/>
              <w:bottom w:val="nil"/>
              <w:right w:val="nil"/>
            </w:tcBorders>
            <w:shd w:val="clear" w:color="auto" w:fill="auto"/>
            <w:vAlign w:val="bottom"/>
          </w:tcPr>
          <w:p w14:paraId="0516644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16</w:t>
            </w:r>
          </w:p>
        </w:tc>
        <w:tc>
          <w:tcPr>
            <w:tcW w:w="787" w:type="dxa"/>
            <w:tcBorders>
              <w:top w:val="nil"/>
              <w:left w:val="nil"/>
              <w:bottom w:val="nil"/>
              <w:right w:val="nil"/>
            </w:tcBorders>
            <w:shd w:val="clear" w:color="auto" w:fill="auto"/>
            <w:vAlign w:val="bottom"/>
          </w:tcPr>
          <w:p w14:paraId="4712DC2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250</w:t>
            </w:r>
          </w:p>
        </w:tc>
        <w:tc>
          <w:tcPr>
            <w:tcW w:w="945" w:type="dxa"/>
            <w:tcBorders>
              <w:top w:val="nil"/>
              <w:left w:val="nil"/>
              <w:bottom w:val="nil"/>
              <w:right w:val="nil"/>
            </w:tcBorders>
            <w:shd w:val="clear" w:color="auto" w:fill="auto"/>
            <w:vAlign w:val="bottom"/>
          </w:tcPr>
          <w:p w14:paraId="3994998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33.2%</w:t>
            </w:r>
          </w:p>
        </w:tc>
        <w:tc>
          <w:tcPr>
            <w:tcW w:w="1422" w:type="dxa"/>
            <w:tcBorders>
              <w:top w:val="nil"/>
              <w:left w:val="nil"/>
              <w:bottom w:val="nil"/>
              <w:right w:val="nil"/>
            </w:tcBorders>
            <w:shd w:val="clear" w:color="auto" w:fill="auto"/>
            <w:vAlign w:val="bottom"/>
          </w:tcPr>
          <w:p w14:paraId="14D20C2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380.41</w:t>
            </w:r>
          </w:p>
        </w:tc>
      </w:tr>
      <w:tr w:rsidR="00523288" w:rsidRPr="007F13DA" w14:paraId="0CE6EE62" w14:textId="77777777" w:rsidTr="008D4808">
        <w:trPr>
          <w:trHeight w:val="301"/>
        </w:trPr>
        <w:tc>
          <w:tcPr>
            <w:tcW w:w="753" w:type="dxa"/>
            <w:tcBorders>
              <w:top w:val="nil"/>
              <w:left w:val="nil"/>
              <w:bottom w:val="nil"/>
              <w:right w:val="nil"/>
            </w:tcBorders>
            <w:shd w:val="clear" w:color="auto" w:fill="auto"/>
            <w:vAlign w:val="bottom"/>
          </w:tcPr>
          <w:p w14:paraId="1F49157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11</w:t>
            </w:r>
          </w:p>
        </w:tc>
        <w:tc>
          <w:tcPr>
            <w:tcW w:w="788" w:type="dxa"/>
            <w:tcBorders>
              <w:top w:val="nil"/>
              <w:left w:val="nil"/>
              <w:bottom w:val="nil"/>
              <w:right w:val="nil"/>
            </w:tcBorders>
            <w:shd w:val="clear" w:color="auto" w:fill="auto"/>
            <w:vAlign w:val="bottom"/>
          </w:tcPr>
          <w:p w14:paraId="51C9A23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4.40</w:t>
            </w:r>
          </w:p>
        </w:tc>
        <w:tc>
          <w:tcPr>
            <w:tcW w:w="1957" w:type="dxa"/>
            <w:tcBorders>
              <w:top w:val="nil"/>
              <w:left w:val="nil"/>
              <w:bottom w:val="nil"/>
              <w:right w:val="nil"/>
            </w:tcBorders>
            <w:shd w:val="clear" w:color="auto" w:fill="auto"/>
            <w:vAlign w:val="bottom"/>
          </w:tcPr>
          <w:p w14:paraId="3F60067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James River</w:t>
            </w:r>
          </w:p>
        </w:tc>
        <w:tc>
          <w:tcPr>
            <w:tcW w:w="1190" w:type="dxa"/>
            <w:tcBorders>
              <w:top w:val="nil"/>
              <w:left w:val="nil"/>
              <w:bottom w:val="nil"/>
              <w:right w:val="nil"/>
            </w:tcBorders>
            <w:shd w:val="clear" w:color="auto" w:fill="auto"/>
            <w:vAlign w:val="bottom"/>
          </w:tcPr>
          <w:p w14:paraId="61E50D2C"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SAP</w:t>
            </w:r>
          </w:p>
        </w:tc>
        <w:tc>
          <w:tcPr>
            <w:tcW w:w="837" w:type="dxa"/>
            <w:tcBorders>
              <w:top w:val="nil"/>
              <w:left w:val="nil"/>
              <w:bottom w:val="nil"/>
              <w:right w:val="nil"/>
            </w:tcBorders>
            <w:shd w:val="clear" w:color="auto" w:fill="auto"/>
            <w:vAlign w:val="bottom"/>
          </w:tcPr>
          <w:p w14:paraId="2B373A2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765</w:t>
            </w:r>
          </w:p>
        </w:tc>
        <w:tc>
          <w:tcPr>
            <w:tcW w:w="753" w:type="dxa"/>
            <w:tcBorders>
              <w:top w:val="nil"/>
              <w:left w:val="nil"/>
              <w:bottom w:val="nil"/>
              <w:right w:val="nil"/>
            </w:tcBorders>
            <w:shd w:val="clear" w:color="auto" w:fill="auto"/>
            <w:vAlign w:val="bottom"/>
          </w:tcPr>
          <w:p w14:paraId="00BFF7D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w:t>
            </w:r>
          </w:p>
        </w:tc>
        <w:tc>
          <w:tcPr>
            <w:tcW w:w="787" w:type="dxa"/>
            <w:tcBorders>
              <w:top w:val="nil"/>
              <w:left w:val="nil"/>
              <w:bottom w:val="nil"/>
              <w:right w:val="nil"/>
            </w:tcBorders>
            <w:shd w:val="clear" w:color="auto" w:fill="auto"/>
            <w:vAlign w:val="bottom"/>
          </w:tcPr>
          <w:p w14:paraId="5F92BF2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424</w:t>
            </w:r>
          </w:p>
        </w:tc>
        <w:tc>
          <w:tcPr>
            <w:tcW w:w="945" w:type="dxa"/>
            <w:tcBorders>
              <w:top w:val="nil"/>
              <w:left w:val="nil"/>
              <w:bottom w:val="nil"/>
              <w:right w:val="nil"/>
            </w:tcBorders>
            <w:shd w:val="clear" w:color="auto" w:fill="auto"/>
            <w:vAlign w:val="bottom"/>
          </w:tcPr>
          <w:p w14:paraId="1BBB234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55.4%</w:t>
            </w:r>
          </w:p>
        </w:tc>
        <w:tc>
          <w:tcPr>
            <w:tcW w:w="1422" w:type="dxa"/>
            <w:tcBorders>
              <w:top w:val="nil"/>
              <w:left w:val="nil"/>
              <w:bottom w:val="nil"/>
              <w:right w:val="nil"/>
            </w:tcBorders>
            <w:shd w:val="clear" w:color="auto" w:fill="auto"/>
            <w:vAlign w:val="bottom"/>
          </w:tcPr>
          <w:p w14:paraId="7545AC1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173.63</w:t>
            </w:r>
          </w:p>
        </w:tc>
      </w:tr>
      <w:tr w:rsidR="00523288" w:rsidRPr="007F13DA" w14:paraId="0585D3A5" w14:textId="77777777" w:rsidTr="008D4808">
        <w:trPr>
          <w:trHeight w:val="301"/>
        </w:trPr>
        <w:tc>
          <w:tcPr>
            <w:tcW w:w="753" w:type="dxa"/>
            <w:tcBorders>
              <w:top w:val="nil"/>
              <w:left w:val="nil"/>
              <w:bottom w:val="nil"/>
              <w:right w:val="nil"/>
            </w:tcBorders>
            <w:shd w:val="clear" w:color="auto" w:fill="auto"/>
            <w:vAlign w:val="bottom"/>
          </w:tcPr>
          <w:p w14:paraId="1253CFC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w:t>
            </w:r>
          </w:p>
        </w:tc>
        <w:tc>
          <w:tcPr>
            <w:tcW w:w="788" w:type="dxa"/>
            <w:tcBorders>
              <w:top w:val="nil"/>
              <w:left w:val="nil"/>
              <w:bottom w:val="nil"/>
              <w:right w:val="nil"/>
            </w:tcBorders>
            <w:shd w:val="clear" w:color="auto" w:fill="auto"/>
            <w:vAlign w:val="bottom"/>
          </w:tcPr>
          <w:p w14:paraId="345735F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4.03</w:t>
            </w:r>
          </w:p>
        </w:tc>
        <w:tc>
          <w:tcPr>
            <w:tcW w:w="1957" w:type="dxa"/>
            <w:tcBorders>
              <w:top w:val="nil"/>
              <w:left w:val="nil"/>
              <w:bottom w:val="nil"/>
              <w:right w:val="nil"/>
            </w:tcBorders>
            <w:shd w:val="clear" w:color="auto" w:fill="auto"/>
            <w:vAlign w:val="bottom"/>
          </w:tcPr>
          <w:p w14:paraId="10BE7723"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Lake Creek</w:t>
            </w:r>
          </w:p>
        </w:tc>
        <w:tc>
          <w:tcPr>
            <w:tcW w:w="1190" w:type="dxa"/>
            <w:tcBorders>
              <w:top w:val="nil"/>
              <w:left w:val="nil"/>
              <w:bottom w:val="nil"/>
              <w:right w:val="nil"/>
            </w:tcBorders>
            <w:shd w:val="clear" w:color="auto" w:fill="auto"/>
            <w:vAlign w:val="bottom"/>
          </w:tcPr>
          <w:p w14:paraId="75ED3FD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XER</w:t>
            </w:r>
          </w:p>
        </w:tc>
        <w:tc>
          <w:tcPr>
            <w:tcW w:w="837" w:type="dxa"/>
            <w:tcBorders>
              <w:top w:val="nil"/>
              <w:left w:val="nil"/>
              <w:bottom w:val="nil"/>
              <w:right w:val="nil"/>
            </w:tcBorders>
            <w:shd w:val="clear" w:color="auto" w:fill="auto"/>
            <w:vAlign w:val="bottom"/>
          </w:tcPr>
          <w:p w14:paraId="29B7424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15</w:t>
            </w:r>
          </w:p>
        </w:tc>
        <w:tc>
          <w:tcPr>
            <w:tcW w:w="753" w:type="dxa"/>
            <w:tcBorders>
              <w:top w:val="nil"/>
              <w:left w:val="nil"/>
              <w:bottom w:val="nil"/>
              <w:right w:val="nil"/>
            </w:tcBorders>
            <w:shd w:val="clear" w:color="auto" w:fill="auto"/>
            <w:vAlign w:val="bottom"/>
          </w:tcPr>
          <w:p w14:paraId="7676343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w:t>
            </w:r>
          </w:p>
        </w:tc>
        <w:tc>
          <w:tcPr>
            <w:tcW w:w="787" w:type="dxa"/>
            <w:tcBorders>
              <w:top w:val="nil"/>
              <w:left w:val="nil"/>
              <w:bottom w:val="nil"/>
              <w:right w:val="nil"/>
            </w:tcBorders>
            <w:shd w:val="clear" w:color="auto" w:fill="auto"/>
            <w:vAlign w:val="bottom"/>
          </w:tcPr>
          <w:p w14:paraId="2FBD47E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w:t>
            </w:r>
          </w:p>
        </w:tc>
        <w:tc>
          <w:tcPr>
            <w:tcW w:w="945" w:type="dxa"/>
            <w:tcBorders>
              <w:top w:val="nil"/>
              <w:left w:val="nil"/>
              <w:bottom w:val="nil"/>
              <w:right w:val="nil"/>
            </w:tcBorders>
            <w:shd w:val="clear" w:color="auto" w:fill="auto"/>
            <w:vAlign w:val="bottom"/>
          </w:tcPr>
          <w:p w14:paraId="0B7CCFA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0.0%</w:t>
            </w:r>
          </w:p>
        </w:tc>
        <w:tc>
          <w:tcPr>
            <w:tcW w:w="1422" w:type="dxa"/>
            <w:tcBorders>
              <w:top w:val="nil"/>
              <w:left w:val="nil"/>
              <w:bottom w:val="nil"/>
              <w:right w:val="nil"/>
            </w:tcBorders>
            <w:shd w:val="clear" w:color="auto" w:fill="auto"/>
            <w:vAlign w:val="bottom"/>
          </w:tcPr>
          <w:p w14:paraId="4E35EB0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29.30</w:t>
            </w:r>
          </w:p>
        </w:tc>
      </w:tr>
      <w:tr w:rsidR="00523288" w:rsidRPr="007F13DA" w14:paraId="2D57ABA2" w14:textId="77777777" w:rsidTr="008D4808">
        <w:trPr>
          <w:trHeight w:val="301"/>
        </w:trPr>
        <w:tc>
          <w:tcPr>
            <w:tcW w:w="753" w:type="dxa"/>
            <w:tcBorders>
              <w:top w:val="nil"/>
              <w:left w:val="nil"/>
              <w:bottom w:val="single" w:sz="4" w:space="0" w:color="000000"/>
              <w:right w:val="nil"/>
            </w:tcBorders>
            <w:shd w:val="clear" w:color="auto" w:fill="auto"/>
            <w:vAlign w:val="bottom"/>
          </w:tcPr>
          <w:p w14:paraId="7A15169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w:t>
            </w:r>
          </w:p>
        </w:tc>
        <w:tc>
          <w:tcPr>
            <w:tcW w:w="788" w:type="dxa"/>
            <w:tcBorders>
              <w:top w:val="nil"/>
              <w:left w:val="nil"/>
              <w:bottom w:val="single" w:sz="4" w:space="0" w:color="000000"/>
              <w:right w:val="nil"/>
            </w:tcBorders>
            <w:shd w:val="clear" w:color="auto" w:fill="auto"/>
            <w:vAlign w:val="bottom"/>
          </w:tcPr>
          <w:p w14:paraId="16107AC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4.01</w:t>
            </w:r>
          </w:p>
        </w:tc>
        <w:tc>
          <w:tcPr>
            <w:tcW w:w="1957" w:type="dxa"/>
            <w:tcBorders>
              <w:top w:val="nil"/>
              <w:left w:val="nil"/>
              <w:bottom w:val="single" w:sz="4" w:space="0" w:color="000000"/>
              <w:right w:val="nil"/>
            </w:tcBorders>
            <w:shd w:val="clear" w:color="auto" w:fill="auto"/>
            <w:vAlign w:val="bottom"/>
          </w:tcPr>
          <w:p w14:paraId="114392CB"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Humboldt River</w:t>
            </w:r>
          </w:p>
        </w:tc>
        <w:tc>
          <w:tcPr>
            <w:tcW w:w="1190" w:type="dxa"/>
            <w:tcBorders>
              <w:top w:val="nil"/>
              <w:left w:val="nil"/>
              <w:bottom w:val="single" w:sz="4" w:space="0" w:color="000000"/>
              <w:right w:val="nil"/>
            </w:tcBorders>
            <w:shd w:val="clear" w:color="auto" w:fill="auto"/>
            <w:vAlign w:val="bottom"/>
          </w:tcPr>
          <w:p w14:paraId="68632F70"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XER</w:t>
            </w:r>
          </w:p>
        </w:tc>
        <w:tc>
          <w:tcPr>
            <w:tcW w:w="837" w:type="dxa"/>
            <w:tcBorders>
              <w:top w:val="nil"/>
              <w:left w:val="nil"/>
              <w:bottom w:val="single" w:sz="4" w:space="0" w:color="000000"/>
              <w:right w:val="nil"/>
            </w:tcBorders>
            <w:shd w:val="clear" w:color="auto" w:fill="auto"/>
            <w:vAlign w:val="bottom"/>
          </w:tcPr>
          <w:p w14:paraId="401FD6A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21</w:t>
            </w:r>
          </w:p>
        </w:tc>
        <w:tc>
          <w:tcPr>
            <w:tcW w:w="753" w:type="dxa"/>
            <w:tcBorders>
              <w:top w:val="nil"/>
              <w:left w:val="nil"/>
              <w:bottom w:val="single" w:sz="4" w:space="0" w:color="000000"/>
              <w:right w:val="nil"/>
            </w:tcBorders>
            <w:shd w:val="clear" w:color="auto" w:fill="auto"/>
            <w:vAlign w:val="bottom"/>
          </w:tcPr>
          <w:p w14:paraId="207A548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w:t>
            </w:r>
          </w:p>
        </w:tc>
        <w:tc>
          <w:tcPr>
            <w:tcW w:w="787" w:type="dxa"/>
            <w:tcBorders>
              <w:top w:val="nil"/>
              <w:left w:val="nil"/>
              <w:bottom w:val="single" w:sz="4" w:space="0" w:color="000000"/>
              <w:right w:val="nil"/>
            </w:tcBorders>
            <w:shd w:val="clear" w:color="auto" w:fill="auto"/>
            <w:vAlign w:val="bottom"/>
          </w:tcPr>
          <w:p w14:paraId="100A928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43</w:t>
            </w:r>
          </w:p>
        </w:tc>
        <w:tc>
          <w:tcPr>
            <w:tcW w:w="945" w:type="dxa"/>
            <w:tcBorders>
              <w:top w:val="nil"/>
              <w:left w:val="nil"/>
              <w:bottom w:val="single" w:sz="4" w:space="0" w:color="000000"/>
              <w:right w:val="nil"/>
            </w:tcBorders>
            <w:shd w:val="clear" w:color="auto" w:fill="auto"/>
            <w:vAlign w:val="bottom"/>
          </w:tcPr>
          <w:p w14:paraId="00A4B8D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204.8%</w:t>
            </w:r>
          </w:p>
        </w:tc>
        <w:tc>
          <w:tcPr>
            <w:tcW w:w="1422" w:type="dxa"/>
            <w:tcBorders>
              <w:top w:val="nil"/>
              <w:left w:val="nil"/>
              <w:bottom w:val="single" w:sz="4" w:space="0" w:color="000000"/>
              <w:right w:val="nil"/>
            </w:tcBorders>
            <w:shd w:val="clear" w:color="auto" w:fill="auto"/>
            <w:vAlign w:val="bottom"/>
          </w:tcPr>
          <w:p w14:paraId="4A54AC0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146.39</w:t>
            </w:r>
          </w:p>
        </w:tc>
      </w:tr>
      <w:tr w:rsidR="00523288" w:rsidRPr="007F13DA" w14:paraId="62D716B4" w14:textId="77777777" w:rsidTr="008D4808">
        <w:trPr>
          <w:trHeight w:val="255"/>
        </w:trPr>
        <w:tc>
          <w:tcPr>
            <w:tcW w:w="9436" w:type="dxa"/>
            <w:gridSpan w:val="9"/>
            <w:tcBorders>
              <w:top w:val="nil"/>
              <w:left w:val="nil"/>
              <w:bottom w:val="nil"/>
              <w:right w:val="nil"/>
            </w:tcBorders>
            <w:shd w:val="clear" w:color="auto" w:fill="auto"/>
            <w:vAlign w:val="bottom"/>
          </w:tcPr>
          <w:p w14:paraId="1760422B" w14:textId="77777777" w:rsidR="00523288" w:rsidRPr="007F13DA" w:rsidRDefault="00523288">
            <w:pPr>
              <w:spacing w:line="240" w:lineRule="auto"/>
              <w:rPr>
                <w:rFonts w:ascii="Times New Roman" w:eastAsia="Times New Roman" w:hAnsi="Times New Roman" w:cs="Times New Roman"/>
                <w:color w:val="000000"/>
              </w:rPr>
            </w:pPr>
          </w:p>
        </w:tc>
      </w:tr>
    </w:tbl>
    <w:p w14:paraId="708EE23C" w14:textId="77777777" w:rsidR="00523288" w:rsidRPr="007F13DA" w:rsidRDefault="00925D81">
      <w:pPr>
        <w:rPr>
          <w:rFonts w:ascii="Times New Roman" w:eastAsia="Times New Roman" w:hAnsi="Times New Roman" w:cs="Times New Roman"/>
        </w:rPr>
      </w:pPr>
      <w:r w:rsidRPr="007F13DA">
        <w:rPr>
          <w:rFonts w:ascii="Times New Roman" w:eastAsia="Times New Roman" w:hAnsi="Times New Roman" w:cs="Times New Roman"/>
        </w:rPr>
        <w:t>*Dam rate = number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sidRPr="007F13DA">
        <w:rPr>
          <w:rFonts w:ascii="Times New Roman" w:eastAsia="Times New Roman" w:hAnsi="Times New Roman" w:cs="Times New Roman"/>
          <w:b/>
          <w:bCs/>
          <w:sz w:val="24"/>
          <w:szCs w:val="24"/>
        </w:rPr>
        <w:lastRenderedPageBreak/>
        <w:t>Table 3</w:t>
      </w:r>
      <w:r>
        <w:rPr>
          <w:rFonts w:ascii="Times New Roman" w:eastAsia="Times New Roman" w:hAnsi="Times New Roman" w:cs="Times New Roman"/>
          <w:sz w:val="24"/>
          <w:szCs w:val="24"/>
        </w:rPr>
        <w:t>.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0484" w:type="dxa"/>
        <w:tblLayout w:type="fixed"/>
        <w:tblLook w:val="0400" w:firstRow="0" w:lastRow="0" w:firstColumn="0" w:lastColumn="0" w:noHBand="0" w:noVBand="1"/>
      </w:tblPr>
      <w:tblGrid>
        <w:gridCol w:w="720"/>
        <w:gridCol w:w="1499"/>
        <w:gridCol w:w="815"/>
        <w:gridCol w:w="1037"/>
        <w:gridCol w:w="374"/>
        <w:gridCol w:w="775"/>
        <w:gridCol w:w="1168"/>
        <w:gridCol w:w="812"/>
        <w:gridCol w:w="984"/>
        <w:gridCol w:w="1176"/>
        <w:gridCol w:w="1124"/>
      </w:tblGrid>
      <w:tr w:rsidR="00523288" w14:paraId="07AB9717" w14:textId="77777777" w:rsidTr="00BB28D0">
        <w:trPr>
          <w:trHeight w:val="698"/>
        </w:trPr>
        <w:tc>
          <w:tcPr>
            <w:tcW w:w="720" w:type="dxa"/>
            <w:tcBorders>
              <w:top w:val="single" w:sz="4" w:space="0" w:color="000000"/>
              <w:left w:val="nil"/>
              <w:bottom w:val="nil"/>
              <w:right w:val="nil"/>
            </w:tcBorders>
            <w:shd w:val="clear" w:color="auto" w:fill="auto"/>
            <w:vAlign w:val="bottom"/>
          </w:tcPr>
          <w:p w14:paraId="5A4EA097"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499" w:type="dxa"/>
            <w:tcBorders>
              <w:top w:val="single" w:sz="4" w:space="0" w:color="000000"/>
              <w:left w:val="nil"/>
              <w:bottom w:val="nil"/>
              <w:right w:val="nil"/>
            </w:tcBorders>
            <w:shd w:val="clear" w:color="auto" w:fill="auto"/>
            <w:vAlign w:val="bottom"/>
          </w:tcPr>
          <w:p w14:paraId="1573A171"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2226" w:type="dxa"/>
            <w:gridSpan w:val="3"/>
            <w:tcBorders>
              <w:top w:val="single" w:sz="4" w:space="0" w:color="000000"/>
              <w:left w:val="nil"/>
              <w:bottom w:val="nil"/>
              <w:right w:val="nil"/>
            </w:tcBorders>
            <w:shd w:val="clear" w:color="auto" w:fill="auto"/>
            <w:vAlign w:val="bottom"/>
          </w:tcPr>
          <w:p w14:paraId="100524B3"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Network protection</w:t>
            </w:r>
          </w:p>
        </w:tc>
        <w:tc>
          <w:tcPr>
            <w:tcW w:w="775" w:type="dxa"/>
            <w:tcBorders>
              <w:top w:val="single" w:sz="4" w:space="0" w:color="000000"/>
              <w:left w:val="nil"/>
              <w:bottom w:val="nil"/>
              <w:right w:val="nil"/>
            </w:tcBorders>
            <w:shd w:val="clear" w:color="auto" w:fill="auto"/>
            <w:vAlign w:val="bottom"/>
          </w:tcPr>
          <w:p w14:paraId="305DA6CB"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168" w:type="dxa"/>
            <w:tcBorders>
              <w:top w:val="single" w:sz="4" w:space="0" w:color="000000"/>
              <w:left w:val="nil"/>
              <w:bottom w:val="nil"/>
              <w:right w:val="nil"/>
            </w:tcBorders>
            <w:shd w:val="clear" w:color="auto" w:fill="auto"/>
            <w:vAlign w:val="bottom"/>
          </w:tcPr>
          <w:p w14:paraId="13D48354"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796" w:type="dxa"/>
            <w:gridSpan w:val="2"/>
            <w:tcBorders>
              <w:top w:val="single" w:sz="4" w:space="0" w:color="000000"/>
              <w:left w:val="nil"/>
              <w:bottom w:val="nil"/>
              <w:right w:val="nil"/>
            </w:tcBorders>
            <w:shd w:val="clear" w:color="auto" w:fill="auto"/>
            <w:vAlign w:val="bottom"/>
          </w:tcPr>
          <w:p w14:paraId="5ABEEF3A"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Hub protection</w:t>
            </w:r>
          </w:p>
        </w:tc>
        <w:tc>
          <w:tcPr>
            <w:tcW w:w="1176" w:type="dxa"/>
            <w:tcBorders>
              <w:top w:val="single" w:sz="4" w:space="0" w:color="000000"/>
              <w:left w:val="nil"/>
              <w:bottom w:val="nil"/>
              <w:right w:val="nil"/>
            </w:tcBorders>
            <w:shd w:val="clear" w:color="auto" w:fill="auto"/>
            <w:vAlign w:val="bottom"/>
          </w:tcPr>
          <w:p w14:paraId="69EC695F"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124" w:type="dxa"/>
            <w:tcBorders>
              <w:top w:val="single" w:sz="4" w:space="0" w:color="000000"/>
              <w:left w:val="nil"/>
              <w:bottom w:val="nil"/>
              <w:right w:val="nil"/>
            </w:tcBorders>
            <w:shd w:val="clear" w:color="auto" w:fill="auto"/>
            <w:vAlign w:val="bottom"/>
          </w:tcPr>
          <w:p w14:paraId="2D935188"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r>
      <w:tr w:rsidR="00523288" w14:paraId="21DDE3CE" w14:textId="77777777" w:rsidTr="00BB28D0">
        <w:trPr>
          <w:trHeight w:val="809"/>
        </w:trPr>
        <w:tc>
          <w:tcPr>
            <w:tcW w:w="720" w:type="dxa"/>
            <w:tcBorders>
              <w:top w:val="nil"/>
              <w:left w:val="nil"/>
              <w:bottom w:val="single" w:sz="4" w:space="0" w:color="000000"/>
              <w:right w:val="nil"/>
            </w:tcBorders>
            <w:shd w:val="clear" w:color="auto" w:fill="auto"/>
            <w:vAlign w:val="bottom"/>
          </w:tcPr>
          <w:p w14:paraId="5CD0082C"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Rank</w:t>
            </w:r>
          </w:p>
        </w:tc>
        <w:tc>
          <w:tcPr>
            <w:tcW w:w="1499" w:type="dxa"/>
            <w:tcBorders>
              <w:top w:val="nil"/>
              <w:left w:val="nil"/>
              <w:bottom w:val="single" w:sz="4" w:space="0" w:color="000000"/>
              <w:right w:val="nil"/>
            </w:tcBorders>
            <w:shd w:val="clear" w:color="auto" w:fill="auto"/>
            <w:vAlign w:val="bottom"/>
          </w:tcPr>
          <w:p w14:paraId="33D67061"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Network</w:t>
            </w:r>
          </w:p>
        </w:tc>
        <w:tc>
          <w:tcPr>
            <w:tcW w:w="815" w:type="dxa"/>
            <w:tcBorders>
              <w:top w:val="nil"/>
              <w:left w:val="nil"/>
              <w:bottom w:val="single" w:sz="4" w:space="0" w:color="000000"/>
              <w:right w:val="nil"/>
            </w:tcBorders>
            <w:shd w:val="clear" w:color="auto" w:fill="auto"/>
            <w:vAlign w:val="bottom"/>
          </w:tcPr>
          <w:p w14:paraId="44A1FE66"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lake center</w:t>
            </w:r>
          </w:p>
        </w:tc>
        <w:tc>
          <w:tcPr>
            <w:tcW w:w="1037" w:type="dxa"/>
            <w:tcBorders>
              <w:top w:val="nil"/>
              <w:left w:val="nil"/>
              <w:bottom w:val="single" w:sz="4" w:space="0" w:color="000000"/>
              <w:right w:val="nil"/>
            </w:tcBorders>
            <w:shd w:val="clear" w:color="auto" w:fill="auto"/>
            <w:vAlign w:val="bottom"/>
          </w:tcPr>
          <w:p w14:paraId="15A95BA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lake center</w:t>
            </w:r>
          </w:p>
        </w:tc>
        <w:tc>
          <w:tcPr>
            <w:tcW w:w="1149" w:type="dxa"/>
            <w:gridSpan w:val="2"/>
            <w:tcBorders>
              <w:top w:val="nil"/>
              <w:left w:val="nil"/>
              <w:bottom w:val="single" w:sz="4" w:space="0" w:color="000000"/>
              <w:right w:val="nil"/>
            </w:tcBorders>
            <w:shd w:val="clear" w:color="auto" w:fill="auto"/>
            <w:vAlign w:val="bottom"/>
          </w:tcPr>
          <w:p w14:paraId="1D2D21C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80% watershed</w:t>
            </w:r>
          </w:p>
        </w:tc>
        <w:tc>
          <w:tcPr>
            <w:tcW w:w="1168" w:type="dxa"/>
            <w:tcBorders>
              <w:top w:val="nil"/>
              <w:left w:val="nil"/>
              <w:bottom w:val="single" w:sz="4" w:space="0" w:color="000000"/>
              <w:right w:val="nil"/>
            </w:tcBorders>
            <w:shd w:val="clear" w:color="auto" w:fill="auto"/>
            <w:vAlign w:val="bottom"/>
          </w:tcPr>
          <w:p w14:paraId="6774C306"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80% watershed</w:t>
            </w:r>
          </w:p>
        </w:tc>
        <w:tc>
          <w:tcPr>
            <w:tcW w:w="812" w:type="dxa"/>
            <w:tcBorders>
              <w:top w:val="nil"/>
              <w:left w:val="nil"/>
              <w:bottom w:val="single" w:sz="4" w:space="0" w:color="000000"/>
              <w:right w:val="nil"/>
            </w:tcBorders>
            <w:shd w:val="clear" w:color="auto" w:fill="auto"/>
            <w:vAlign w:val="bottom"/>
          </w:tcPr>
          <w:p w14:paraId="056ABC30"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lake center</w:t>
            </w:r>
          </w:p>
        </w:tc>
        <w:tc>
          <w:tcPr>
            <w:tcW w:w="984" w:type="dxa"/>
            <w:tcBorders>
              <w:top w:val="nil"/>
              <w:left w:val="nil"/>
              <w:bottom w:val="single" w:sz="4" w:space="0" w:color="000000"/>
              <w:right w:val="nil"/>
            </w:tcBorders>
            <w:shd w:val="clear" w:color="auto" w:fill="auto"/>
            <w:vAlign w:val="bottom"/>
          </w:tcPr>
          <w:p w14:paraId="6AC22C57"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lake center</w:t>
            </w:r>
          </w:p>
        </w:tc>
        <w:tc>
          <w:tcPr>
            <w:tcW w:w="1176" w:type="dxa"/>
            <w:tcBorders>
              <w:top w:val="nil"/>
              <w:left w:val="nil"/>
              <w:bottom w:val="single" w:sz="4" w:space="0" w:color="000000"/>
              <w:right w:val="nil"/>
            </w:tcBorders>
            <w:shd w:val="clear" w:color="auto" w:fill="auto"/>
            <w:vAlign w:val="bottom"/>
          </w:tcPr>
          <w:p w14:paraId="362BFA9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80% watershed</w:t>
            </w:r>
          </w:p>
        </w:tc>
        <w:tc>
          <w:tcPr>
            <w:tcW w:w="1124" w:type="dxa"/>
            <w:tcBorders>
              <w:top w:val="nil"/>
              <w:left w:val="nil"/>
              <w:bottom w:val="single" w:sz="4" w:space="0" w:color="000000"/>
              <w:right w:val="nil"/>
            </w:tcBorders>
            <w:shd w:val="clear" w:color="auto" w:fill="auto"/>
            <w:vAlign w:val="bottom"/>
          </w:tcPr>
          <w:p w14:paraId="50387B45"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80% watershed</w:t>
            </w:r>
          </w:p>
        </w:tc>
      </w:tr>
      <w:tr w:rsidR="00523288" w14:paraId="06202B7B" w14:textId="77777777" w:rsidTr="00BB28D0">
        <w:trPr>
          <w:trHeight w:val="316"/>
        </w:trPr>
        <w:tc>
          <w:tcPr>
            <w:tcW w:w="720" w:type="dxa"/>
            <w:tcBorders>
              <w:top w:val="nil"/>
              <w:left w:val="nil"/>
              <w:bottom w:val="nil"/>
              <w:right w:val="nil"/>
            </w:tcBorders>
            <w:shd w:val="clear" w:color="auto" w:fill="auto"/>
            <w:vAlign w:val="bottom"/>
          </w:tcPr>
          <w:p w14:paraId="5879123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w:t>
            </w:r>
          </w:p>
        </w:tc>
        <w:tc>
          <w:tcPr>
            <w:tcW w:w="1499" w:type="dxa"/>
            <w:tcBorders>
              <w:top w:val="nil"/>
              <w:left w:val="nil"/>
              <w:bottom w:val="nil"/>
              <w:right w:val="nil"/>
            </w:tcBorders>
            <w:shd w:val="clear" w:color="auto" w:fill="auto"/>
            <w:vAlign w:val="bottom"/>
          </w:tcPr>
          <w:p w14:paraId="37BD245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Colorado River</w:t>
            </w:r>
          </w:p>
        </w:tc>
        <w:tc>
          <w:tcPr>
            <w:tcW w:w="815" w:type="dxa"/>
            <w:tcBorders>
              <w:top w:val="nil"/>
              <w:left w:val="nil"/>
              <w:bottom w:val="nil"/>
              <w:right w:val="nil"/>
            </w:tcBorders>
            <w:shd w:val="clear" w:color="auto" w:fill="auto"/>
            <w:vAlign w:val="bottom"/>
          </w:tcPr>
          <w:p w14:paraId="6E2825A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41.1%</w:t>
            </w:r>
          </w:p>
        </w:tc>
        <w:tc>
          <w:tcPr>
            <w:tcW w:w="1037" w:type="dxa"/>
            <w:tcBorders>
              <w:top w:val="nil"/>
              <w:left w:val="nil"/>
              <w:bottom w:val="nil"/>
              <w:right w:val="nil"/>
            </w:tcBorders>
            <w:shd w:val="clear" w:color="auto" w:fill="auto"/>
            <w:vAlign w:val="bottom"/>
          </w:tcPr>
          <w:p w14:paraId="153A324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68.9%</w:t>
            </w:r>
          </w:p>
        </w:tc>
        <w:tc>
          <w:tcPr>
            <w:tcW w:w="1149" w:type="dxa"/>
            <w:gridSpan w:val="2"/>
            <w:tcBorders>
              <w:top w:val="nil"/>
              <w:left w:val="nil"/>
              <w:bottom w:val="nil"/>
              <w:right w:val="nil"/>
            </w:tcBorders>
            <w:shd w:val="clear" w:color="auto" w:fill="auto"/>
            <w:vAlign w:val="bottom"/>
          </w:tcPr>
          <w:p w14:paraId="74A835F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39.1%</w:t>
            </w:r>
          </w:p>
        </w:tc>
        <w:tc>
          <w:tcPr>
            <w:tcW w:w="1168" w:type="dxa"/>
            <w:tcBorders>
              <w:top w:val="nil"/>
              <w:left w:val="nil"/>
              <w:bottom w:val="nil"/>
              <w:right w:val="nil"/>
            </w:tcBorders>
            <w:shd w:val="clear" w:color="auto" w:fill="auto"/>
            <w:vAlign w:val="bottom"/>
          </w:tcPr>
          <w:p w14:paraId="742C4DC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72.6%</w:t>
            </w:r>
          </w:p>
        </w:tc>
        <w:tc>
          <w:tcPr>
            <w:tcW w:w="812" w:type="dxa"/>
            <w:tcBorders>
              <w:top w:val="nil"/>
              <w:left w:val="nil"/>
              <w:bottom w:val="nil"/>
              <w:right w:val="nil"/>
            </w:tcBorders>
            <w:shd w:val="clear" w:color="auto" w:fill="auto"/>
            <w:vAlign w:val="bottom"/>
          </w:tcPr>
          <w:p w14:paraId="62B1AD7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26.2%</w:t>
            </w:r>
          </w:p>
        </w:tc>
        <w:tc>
          <w:tcPr>
            <w:tcW w:w="984" w:type="dxa"/>
            <w:tcBorders>
              <w:top w:val="nil"/>
              <w:left w:val="nil"/>
              <w:bottom w:val="nil"/>
              <w:right w:val="nil"/>
            </w:tcBorders>
            <w:shd w:val="clear" w:color="auto" w:fill="auto"/>
            <w:vAlign w:val="bottom"/>
          </w:tcPr>
          <w:p w14:paraId="555912D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83.3%</w:t>
            </w:r>
          </w:p>
        </w:tc>
        <w:tc>
          <w:tcPr>
            <w:tcW w:w="1176" w:type="dxa"/>
            <w:tcBorders>
              <w:top w:val="nil"/>
              <w:left w:val="nil"/>
              <w:bottom w:val="nil"/>
              <w:right w:val="nil"/>
            </w:tcBorders>
            <w:shd w:val="clear" w:color="auto" w:fill="auto"/>
            <w:vAlign w:val="bottom"/>
          </w:tcPr>
          <w:p w14:paraId="55347CB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26.2%</w:t>
            </w:r>
          </w:p>
        </w:tc>
        <w:tc>
          <w:tcPr>
            <w:tcW w:w="1124" w:type="dxa"/>
            <w:tcBorders>
              <w:top w:val="nil"/>
              <w:left w:val="nil"/>
              <w:bottom w:val="nil"/>
              <w:right w:val="nil"/>
            </w:tcBorders>
            <w:shd w:val="clear" w:color="auto" w:fill="auto"/>
            <w:vAlign w:val="bottom"/>
          </w:tcPr>
          <w:p w14:paraId="59A0BA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76.2%</w:t>
            </w:r>
          </w:p>
        </w:tc>
      </w:tr>
      <w:tr w:rsidR="00523288" w14:paraId="63D48E58" w14:textId="77777777" w:rsidTr="00BB28D0">
        <w:trPr>
          <w:trHeight w:val="316"/>
        </w:trPr>
        <w:tc>
          <w:tcPr>
            <w:tcW w:w="720" w:type="dxa"/>
            <w:tcBorders>
              <w:top w:val="nil"/>
              <w:left w:val="nil"/>
              <w:bottom w:val="nil"/>
              <w:right w:val="nil"/>
            </w:tcBorders>
            <w:shd w:val="clear" w:color="auto" w:fill="auto"/>
            <w:vAlign w:val="bottom"/>
          </w:tcPr>
          <w:p w14:paraId="1B30B2C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w:t>
            </w:r>
          </w:p>
        </w:tc>
        <w:tc>
          <w:tcPr>
            <w:tcW w:w="1499" w:type="dxa"/>
            <w:tcBorders>
              <w:top w:val="nil"/>
              <w:left w:val="nil"/>
              <w:bottom w:val="nil"/>
              <w:right w:val="nil"/>
            </w:tcBorders>
            <w:shd w:val="clear" w:color="auto" w:fill="auto"/>
            <w:vAlign w:val="bottom"/>
          </w:tcPr>
          <w:p w14:paraId="36472C66"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Rio Grande</w:t>
            </w:r>
          </w:p>
        </w:tc>
        <w:tc>
          <w:tcPr>
            <w:tcW w:w="815" w:type="dxa"/>
            <w:tcBorders>
              <w:top w:val="nil"/>
              <w:left w:val="nil"/>
              <w:bottom w:val="nil"/>
              <w:right w:val="nil"/>
            </w:tcBorders>
            <w:shd w:val="clear" w:color="auto" w:fill="auto"/>
            <w:vAlign w:val="bottom"/>
          </w:tcPr>
          <w:p w14:paraId="637F100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17.2%</w:t>
            </w:r>
          </w:p>
        </w:tc>
        <w:tc>
          <w:tcPr>
            <w:tcW w:w="1037" w:type="dxa"/>
            <w:tcBorders>
              <w:top w:val="nil"/>
              <w:left w:val="nil"/>
              <w:bottom w:val="nil"/>
              <w:right w:val="nil"/>
            </w:tcBorders>
            <w:shd w:val="clear" w:color="auto" w:fill="auto"/>
            <w:vAlign w:val="bottom"/>
          </w:tcPr>
          <w:p w14:paraId="1C97E27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30.4%</w:t>
            </w:r>
          </w:p>
        </w:tc>
        <w:tc>
          <w:tcPr>
            <w:tcW w:w="1149" w:type="dxa"/>
            <w:gridSpan w:val="2"/>
            <w:tcBorders>
              <w:top w:val="nil"/>
              <w:left w:val="nil"/>
              <w:bottom w:val="nil"/>
              <w:right w:val="nil"/>
            </w:tcBorders>
            <w:shd w:val="clear" w:color="auto" w:fill="auto"/>
            <w:vAlign w:val="bottom"/>
          </w:tcPr>
          <w:p w14:paraId="09D7F95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11.2%</w:t>
            </w:r>
          </w:p>
        </w:tc>
        <w:tc>
          <w:tcPr>
            <w:tcW w:w="1168" w:type="dxa"/>
            <w:tcBorders>
              <w:top w:val="nil"/>
              <w:left w:val="nil"/>
              <w:bottom w:val="nil"/>
              <w:right w:val="nil"/>
            </w:tcBorders>
            <w:shd w:val="clear" w:color="auto" w:fill="auto"/>
            <w:vAlign w:val="bottom"/>
          </w:tcPr>
          <w:p w14:paraId="3D84B5E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30.0%</w:t>
            </w:r>
          </w:p>
        </w:tc>
        <w:tc>
          <w:tcPr>
            <w:tcW w:w="812" w:type="dxa"/>
            <w:tcBorders>
              <w:top w:val="nil"/>
              <w:left w:val="nil"/>
              <w:bottom w:val="nil"/>
              <w:right w:val="nil"/>
            </w:tcBorders>
            <w:shd w:val="clear" w:color="auto" w:fill="auto"/>
            <w:vAlign w:val="bottom"/>
          </w:tcPr>
          <w:p w14:paraId="2744179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nil"/>
              <w:right w:val="nil"/>
            </w:tcBorders>
            <w:shd w:val="clear" w:color="auto" w:fill="auto"/>
            <w:vAlign w:val="bottom"/>
          </w:tcPr>
          <w:p w14:paraId="7A49FB8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23.1%</w:t>
            </w:r>
          </w:p>
        </w:tc>
        <w:tc>
          <w:tcPr>
            <w:tcW w:w="1176" w:type="dxa"/>
            <w:tcBorders>
              <w:top w:val="nil"/>
              <w:left w:val="nil"/>
              <w:bottom w:val="nil"/>
              <w:right w:val="nil"/>
            </w:tcBorders>
            <w:shd w:val="clear" w:color="auto" w:fill="auto"/>
            <w:vAlign w:val="bottom"/>
          </w:tcPr>
          <w:p w14:paraId="03437E0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4F46A27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30.8%</w:t>
            </w:r>
          </w:p>
        </w:tc>
      </w:tr>
      <w:tr w:rsidR="00523288" w14:paraId="6B1BDCF3" w14:textId="77777777" w:rsidTr="00BB28D0">
        <w:trPr>
          <w:trHeight w:val="316"/>
        </w:trPr>
        <w:tc>
          <w:tcPr>
            <w:tcW w:w="720" w:type="dxa"/>
            <w:tcBorders>
              <w:top w:val="nil"/>
              <w:left w:val="nil"/>
              <w:bottom w:val="nil"/>
              <w:right w:val="nil"/>
            </w:tcBorders>
            <w:shd w:val="clear" w:color="auto" w:fill="auto"/>
            <w:vAlign w:val="bottom"/>
          </w:tcPr>
          <w:p w14:paraId="6C65BD4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w:t>
            </w:r>
          </w:p>
        </w:tc>
        <w:tc>
          <w:tcPr>
            <w:tcW w:w="1499" w:type="dxa"/>
            <w:tcBorders>
              <w:top w:val="nil"/>
              <w:left w:val="nil"/>
              <w:bottom w:val="nil"/>
              <w:right w:val="nil"/>
            </w:tcBorders>
            <w:shd w:val="clear" w:color="auto" w:fill="auto"/>
            <w:vAlign w:val="bottom"/>
          </w:tcPr>
          <w:p w14:paraId="161A470D"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Columbia River</w:t>
            </w:r>
          </w:p>
        </w:tc>
        <w:tc>
          <w:tcPr>
            <w:tcW w:w="815" w:type="dxa"/>
            <w:tcBorders>
              <w:top w:val="nil"/>
              <w:left w:val="nil"/>
              <w:bottom w:val="nil"/>
              <w:right w:val="nil"/>
            </w:tcBorders>
            <w:shd w:val="clear" w:color="auto" w:fill="auto"/>
            <w:vAlign w:val="bottom"/>
          </w:tcPr>
          <w:p w14:paraId="092468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36.3%</w:t>
            </w:r>
          </w:p>
        </w:tc>
        <w:tc>
          <w:tcPr>
            <w:tcW w:w="1037" w:type="dxa"/>
            <w:tcBorders>
              <w:top w:val="nil"/>
              <w:left w:val="nil"/>
              <w:bottom w:val="nil"/>
              <w:right w:val="nil"/>
            </w:tcBorders>
            <w:shd w:val="clear" w:color="auto" w:fill="auto"/>
            <w:vAlign w:val="bottom"/>
          </w:tcPr>
          <w:p w14:paraId="54CA123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67.0%</w:t>
            </w:r>
          </w:p>
        </w:tc>
        <w:tc>
          <w:tcPr>
            <w:tcW w:w="1149" w:type="dxa"/>
            <w:gridSpan w:val="2"/>
            <w:tcBorders>
              <w:top w:val="nil"/>
              <w:left w:val="nil"/>
              <w:bottom w:val="nil"/>
              <w:right w:val="nil"/>
            </w:tcBorders>
            <w:shd w:val="clear" w:color="auto" w:fill="auto"/>
            <w:vAlign w:val="bottom"/>
          </w:tcPr>
          <w:p w14:paraId="6729199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32.5%</w:t>
            </w:r>
          </w:p>
        </w:tc>
        <w:tc>
          <w:tcPr>
            <w:tcW w:w="1168" w:type="dxa"/>
            <w:tcBorders>
              <w:top w:val="nil"/>
              <w:left w:val="nil"/>
              <w:bottom w:val="nil"/>
              <w:right w:val="nil"/>
            </w:tcBorders>
            <w:shd w:val="clear" w:color="auto" w:fill="auto"/>
            <w:vAlign w:val="bottom"/>
          </w:tcPr>
          <w:p w14:paraId="2EC7F21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67.0%</w:t>
            </w:r>
          </w:p>
        </w:tc>
        <w:tc>
          <w:tcPr>
            <w:tcW w:w="812" w:type="dxa"/>
            <w:tcBorders>
              <w:top w:val="nil"/>
              <w:left w:val="nil"/>
              <w:bottom w:val="nil"/>
              <w:right w:val="nil"/>
            </w:tcBorders>
            <w:shd w:val="clear" w:color="auto" w:fill="auto"/>
            <w:vAlign w:val="bottom"/>
          </w:tcPr>
          <w:p w14:paraId="479EA78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12.7%</w:t>
            </w:r>
          </w:p>
        </w:tc>
        <w:tc>
          <w:tcPr>
            <w:tcW w:w="984" w:type="dxa"/>
            <w:tcBorders>
              <w:top w:val="nil"/>
              <w:left w:val="nil"/>
              <w:bottom w:val="nil"/>
              <w:right w:val="nil"/>
            </w:tcBorders>
            <w:shd w:val="clear" w:color="auto" w:fill="auto"/>
            <w:vAlign w:val="bottom"/>
          </w:tcPr>
          <w:p w14:paraId="2C8DE41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43.6%</w:t>
            </w:r>
          </w:p>
        </w:tc>
        <w:tc>
          <w:tcPr>
            <w:tcW w:w="1176" w:type="dxa"/>
            <w:tcBorders>
              <w:top w:val="nil"/>
              <w:left w:val="nil"/>
              <w:bottom w:val="nil"/>
              <w:right w:val="nil"/>
            </w:tcBorders>
            <w:shd w:val="clear" w:color="auto" w:fill="auto"/>
            <w:vAlign w:val="bottom"/>
          </w:tcPr>
          <w:p w14:paraId="5A73744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16.4%</w:t>
            </w:r>
          </w:p>
        </w:tc>
        <w:tc>
          <w:tcPr>
            <w:tcW w:w="1124" w:type="dxa"/>
            <w:tcBorders>
              <w:top w:val="nil"/>
              <w:left w:val="nil"/>
              <w:bottom w:val="nil"/>
              <w:right w:val="nil"/>
            </w:tcBorders>
            <w:shd w:val="clear" w:color="auto" w:fill="auto"/>
            <w:vAlign w:val="bottom"/>
          </w:tcPr>
          <w:p w14:paraId="1A41D8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47.3%</w:t>
            </w:r>
          </w:p>
        </w:tc>
      </w:tr>
      <w:tr w:rsidR="00523288" w14:paraId="58EC9A05" w14:textId="77777777" w:rsidTr="00BB28D0">
        <w:trPr>
          <w:trHeight w:val="316"/>
        </w:trPr>
        <w:tc>
          <w:tcPr>
            <w:tcW w:w="720" w:type="dxa"/>
            <w:tcBorders>
              <w:top w:val="nil"/>
              <w:left w:val="nil"/>
              <w:bottom w:val="nil"/>
              <w:right w:val="nil"/>
            </w:tcBorders>
            <w:shd w:val="clear" w:color="auto" w:fill="auto"/>
            <w:vAlign w:val="bottom"/>
          </w:tcPr>
          <w:p w14:paraId="26F83B6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w:t>
            </w:r>
          </w:p>
        </w:tc>
        <w:tc>
          <w:tcPr>
            <w:tcW w:w="1499" w:type="dxa"/>
            <w:tcBorders>
              <w:top w:val="nil"/>
              <w:left w:val="nil"/>
              <w:bottom w:val="nil"/>
              <w:right w:val="nil"/>
            </w:tcBorders>
            <w:shd w:val="clear" w:color="auto" w:fill="auto"/>
            <w:vAlign w:val="bottom"/>
          </w:tcPr>
          <w:p w14:paraId="058EE613" w14:textId="77777777" w:rsidR="00BB28D0"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Sacramento/</w:t>
            </w:r>
          </w:p>
          <w:p w14:paraId="1C0CCD32" w14:textId="6864FEC6"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San Joaquin</w:t>
            </w:r>
          </w:p>
        </w:tc>
        <w:tc>
          <w:tcPr>
            <w:tcW w:w="815" w:type="dxa"/>
            <w:tcBorders>
              <w:top w:val="nil"/>
              <w:left w:val="nil"/>
              <w:bottom w:val="nil"/>
              <w:right w:val="nil"/>
            </w:tcBorders>
            <w:shd w:val="clear" w:color="auto" w:fill="auto"/>
            <w:vAlign w:val="bottom"/>
          </w:tcPr>
          <w:p w14:paraId="3228AFA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52.9%</w:t>
            </w:r>
          </w:p>
        </w:tc>
        <w:tc>
          <w:tcPr>
            <w:tcW w:w="1037" w:type="dxa"/>
            <w:tcBorders>
              <w:top w:val="nil"/>
              <w:left w:val="nil"/>
              <w:bottom w:val="nil"/>
              <w:right w:val="nil"/>
            </w:tcBorders>
            <w:shd w:val="clear" w:color="auto" w:fill="auto"/>
            <w:vAlign w:val="bottom"/>
          </w:tcPr>
          <w:p w14:paraId="5DE7BE9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65.3%</w:t>
            </w:r>
          </w:p>
        </w:tc>
        <w:tc>
          <w:tcPr>
            <w:tcW w:w="1149" w:type="dxa"/>
            <w:gridSpan w:val="2"/>
            <w:tcBorders>
              <w:top w:val="nil"/>
              <w:left w:val="nil"/>
              <w:bottom w:val="nil"/>
              <w:right w:val="nil"/>
            </w:tcBorders>
            <w:shd w:val="clear" w:color="auto" w:fill="auto"/>
            <w:vAlign w:val="bottom"/>
          </w:tcPr>
          <w:p w14:paraId="1E87525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51.5%</w:t>
            </w:r>
          </w:p>
        </w:tc>
        <w:tc>
          <w:tcPr>
            <w:tcW w:w="1168" w:type="dxa"/>
            <w:tcBorders>
              <w:top w:val="nil"/>
              <w:left w:val="nil"/>
              <w:bottom w:val="nil"/>
              <w:right w:val="nil"/>
            </w:tcBorders>
            <w:shd w:val="clear" w:color="auto" w:fill="auto"/>
            <w:vAlign w:val="bottom"/>
          </w:tcPr>
          <w:p w14:paraId="486DAE6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62.4%</w:t>
            </w:r>
          </w:p>
        </w:tc>
        <w:tc>
          <w:tcPr>
            <w:tcW w:w="812" w:type="dxa"/>
            <w:tcBorders>
              <w:top w:val="nil"/>
              <w:left w:val="nil"/>
              <w:bottom w:val="nil"/>
              <w:right w:val="nil"/>
            </w:tcBorders>
            <w:shd w:val="clear" w:color="auto" w:fill="auto"/>
            <w:vAlign w:val="bottom"/>
          </w:tcPr>
          <w:p w14:paraId="32C7F85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46.9%</w:t>
            </w:r>
          </w:p>
        </w:tc>
        <w:tc>
          <w:tcPr>
            <w:tcW w:w="984" w:type="dxa"/>
            <w:tcBorders>
              <w:top w:val="nil"/>
              <w:left w:val="nil"/>
              <w:bottom w:val="nil"/>
              <w:right w:val="nil"/>
            </w:tcBorders>
            <w:shd w:val="clear" w:color="auto" w:fill="auto"/>
            <w:vAlign w:val="bottom"/>
          </w:tcPr>
          <w:p w14:paraId="3C8DE19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59.2%</w:t>
            </w:r>
          </w:p>
        </w:tc>
        <w:tc>
          <w:tcPr>
            <w:tcW w:w="1176" w:type="dxa"/>
            <w:tcBorders>
              <w:top w:val="nil"/>
              <w:left w:val="nil"/>
              <w:bottom w:val="nil"/>
              <w:right w:val="nil"/>
            </w:tcBorders>
            <w:shd w:val="clear" w:color="auto" w:fill="auto"/>
            <w:vAlign w:val="bottom"/>
          </w:tcPr>
          <w:p w14:paraId="2A133C9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42.9%</w:t>
            </w:r>
          </w:p>
        </w:tc>
        <w:tc>
          <w:tcPr>
            <w:tcW w:w="1124" w:type="dxa"/>
            <w:tcBorders>
              <w:top w:val="nil"/>
              <w:left w:val="nil"/>
              <w:bottom w:val="nil"/>
              <w:right w:val="nil"/>
            </w:tcBorders>
            <w:shd w:val="clear" w:color="auto" w:fill="auto"/>
            <w:vAlign w:val="bottom"/>
          </w:tcPr>
          <w:p w14:paraId="3F090AB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46.9%</w:t>
            </w:r>
          </w:p>
        </w:tc>
      </w:tr>
      <w:tr w:rsidR="00523288" w14:paraId="44553C9A" w14:textId="77777777" w:rsidTr="00BB28D0">
        <w:trPr>
          <w:trHeight w:val="316"/>
        </w:trPr>
        <w:tc>
          <w:tcPr>
            <w:tcW w:w="720" w:type="dxa"/>
            <w:tcBorders>
              <w:top w:val="nil"/>
              <w:left w:val="nil"/>
              <w:bottom w:val="nil"/>
              <w:right w:val="nil"/>
            </w:tcBorders>
            <w:shd w:val="clear" w:color="auto" w:fill="auto"/>
            <w:vAlign w:val="bottom"/>
          </w:tcPr>
          <w:p w14:paraId="07DD8A9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w:t>
            </w:r>
          </w:p>
        </w:tc>
        <w:tc>
          <w:tcPr>
            <w:tcW w:w="1499" w:type="dxa"/>
            <w:tcBorders>
              <w:top w:val="nil"/>
              <w:left w:val="nil"/>
              <w:bottom w:val="nil"/>
              <w:right w:val="nil"/>
            </w:tcBorders>
            <w:shd w:val="clear" w:color="auto" w:fill="auto"/>
            <w:vAlign w:val="bottom"/>
          </w:tcPr>
          <w:p w14:paraId="591B3F83"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Brazos River</w:t>
            </w:r>
          </w:p>
        </w:tc>
        <w:tc>
          <w:tcPr>
            <w:tcW w:w="815" w:type="dxa"/>
            <w:tcBorders>
              <w:top w:val="nil"/>
              <w:left w:val="nil"/>
              <w:bottom w:val="nil"/>
              <w:right w:val="nil"/>
            </w:tcBorders>
            <w:shd w:val="clear" w:color="auto" w:fill="auto"/>
            <w:vAlign w:val="bottom"/>
          </w:tcPr>
          <w:p w14:paraId="0560715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w:t>
            </w:r>
          </w:p>
        </w:tc>
        <w:tc>
          <w:tcPr>
            <w:tcW w:w="1037" w:type="dxa"/>
            <w:tcBorders>
              <w:top w:val="nil"/>
              <w:left w:val="nil"/>
              <w:bottom w:val="nil"/>
              <w:right w:val="nil"/>
            </w:tcBorders>
            <w:shd w:val="clear" w:color="auto" w:fill="auto"/>
            <w:vAlign w:val="bottom"/>
          </w:tcPr>
          <w:p w14:paraId="5FE7D3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2.4%</w:t>
            </w:r>
          </w:p>
        </w:tc>
        <w:tc>
          <w:tcPr>
            <w:tcW w:w="1149" w:type="dxa"/>
            <w:gridSpan w:val="2"/>
            <w:tcBorders>
              <w:top w:val="nil"/>
              <w:left w:val="nil"/>
              <w:bottom w:val="nil"/>
              <w:right w:val="nil"/>
            </w:tcBorders>
            <w:shd w:val="clear" w:color="auto" w:fill="auto"/>
            <w:vAlign w:val="bottom"/>
          </w:tcPr>
          <w:p w14:paraId="5B9823B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0.9%</w:t>
            </w:r>
          </w:p>
        </w:tc>
        <w:tc>
          <w:tcPr>
            <w:tcW w:w="1168" w:type="dxa"/>
            <w:tcBorders>
              <w:top w:val="nil"/>
              <w:left w:val="nil"/>
              <w:bottom w:val="nil"/>
              <w:right w:val="nil"/>
            </w:tcBorders>
            <w:shd w:val="clear" w:color="auto" w:fill="auto"/>
            <w:vAlign w:val="bottom"/>
          </w:tcPr>
          <w:p w14:paraId="769DF6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w:t>
            </w:r>
          </w:p>
        </w:tc>
        <w:tc>
          <w:tcPr>
            <w:tcW w:w="812" w:type="dxa"/>
            <w:tcBorders>
              <w:top w:val="nil"/>
              <w:left w:val="nil"/>
              <w:bottom w:val="nil"/>
              <w:right w:val="nil"/>
            </w:tcBorders>
            <w:shd w:val="clear" w:color="auto" w:fill="auto"/>
            <w:vAlign w:val="bottom"/>
          </w:tcPr>
          <w:p w14:paraId="2513A97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22.7%</w:t>
            </w:r>
          </w:p>
        </w:tc>
        <w:tc>
          <w:tcPr>
            <w:tcW w:w="984" w:type="dxa"/>
            <w:tcBorders>
              <w:top w:val="nil"/>
              <w:left w:val="nil"/>
              <w:bottom w:val="nil"/>
              <w:right w:val="nil"/>
            </w:tcBorders>
            <w:shd w:val="clear" w:color="auto" w:fill="auto"/>
            <w:vAlign w:val="bottom"/>
          </w:tcPr>
          <w:p w14:paraId="7E5A055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22.7%</w:t>
            </w:r>
          </w:p>
        </w:tc>
        <w:tc>
          <w:tcPr>
            <w:tcW w:w="1176" w:type="dxa"/>
            <w:tcBorders>
              <w:top w:val="nil"/>
              <w:left w:val="nil"/>
              <w:bottom w:val="nil"/>
              <w:right w:val="nil"/>
            </w:tcBorders>
            <w:shd w:val="clear" w:color="auto" w:fill="auto"/>
            <w:vAlign w:val="bottom"/>
          </w:tcPr>
          <w:p w14:paraId="5E8BA7C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9.1%</w:t>
            </w:r>
          </w:p>
        </w:tc>
        <w:tc>
          <w:tcPr>
            <w:tcW w:w="1124" w:type="dxa"/>
            <w:tcBorders>
              <w:top w:val="nil"/>
              <w:left w:val="nil"/>
              <w:bottom w:val="nil"/>
              <w:right w:val="nil"/>
            </w:tcBorders>
            <w:shd w:val="clear" w:color="auto" w:fill="auto"/>
            <w:vAlign w:val="bottom"/>
          </w:tcPr>
          <w:p w14:paraId="2EB081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9.1%</w:t>
            </w:r>
          </w:p>
        </w:tc>
      </w:tr>
      <w:tr w:rsidR="00523288" w14:paraId="643362BF" w14:textId="77777777" w:rsidTr="00BB28D0">
        <w:trPr>
          <w:trHeight w:val="316"/>
        </w:trPr>
        <w:tc>
          <w:tcPr>
            <w:tcW w:w="720" w:type="dxa"/>
            <w:tcBorders>
              <w:top w:val="nil"/>
              <w:left w:val="nil"/>
              <w:bottom w:val="nil"/>
              <w:right w:val="nil"/>
            </w:tcBorders>
            <w:shd w:val="clear" w:color="auto" w:fill="auto"/>
            <w:vAlign w:val="bottom"/>
          </w:tcPr>
          <w:p w14:paraId="1502B35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w:t>
            </w:r>
          </w:p>
        </w:tc>
        <w:tc>
          <w:tcPr>
            <w:tcW w:w="1499" w:type="dxa"/>
            <w:tcBorders>
              <w:top w:val="nil"/>
              <w:left w:val="nil"/>
              <w:bottom w:val="nil"/>
              <w:right w:val="nil"/>
            </w:tcBorders>
            <w:shd w:val="clear" w:color="auto" w:fill="auto"/>
            <w:vAlign w:val="bottom"/>
          </w:tcPr>
          <w:p w14:paraId="23A6F0D1"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Susquehanna-Hudson</w:t>
            </w:r>
          </w:p>
        </w:tc>
        <w:tc>
          <w:tcPr>
            <w:tcW w:w="815" w:type="dxa"/>
            <w:tcBorders>
              <w:top w:val="nil"/>
              <w:left w:val="nil"/>
              <w:bottom w:val="nil"/>
              <w:right w:val="nil"/>
            </w:tcBorders>
            <w:shd w:val="clear" w:color="auto" w:fill="auto"/>
            <w:vAlign w:val="bottom"/>
          </w:tcPr>
          <w:p w14:paraId="56713E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5.3%</w:t>
            </w:r>
          </w:p>
        </w:tc>
        <w:tc>
          <w:tcPr>
            <w:tcW w:w="1037" w:type="dxa"/>
            <w:tcBorders>
              <w:top w:val="nil"/>
              <w:left w:val="nil"/>
              <w:bottom w:val="nil"/>
              <w:right w:val="nil"/>
            </w:tcBorders>
            <w:shd w:val="clear" w:color="auto" w:fill="auto"/>
            <w:vAlign w:val="bottom"/>
          </w:tcPr>
          <w:p w14:paraId="5167F31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11.7%</w:t>
            </w:r>
          </w:p>
        </w:tc>
        <w:tc>
          <w:tcPr>
            <w:tcW w:w="1149" w:type="dxa"/>
            <w:gridSpan w:val="2"/>
            <w:tcBorders>
              <w:top w:val="nil"/>
              <w:left w:val="nil"/>
              <w:bottom w:val="nil"/>
              <w:right w:val="nil"/>
            </w:tcBorders>
            <w:shd w:val="clear" w:color="auto" w:fill="auto"/>
            <w:vAlign w:val="bottom"/>
          </w:tcPr>
          <w:p w14:paraId="1BE5811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11.9%</w:t>
            </w:r>
          </w:p>
        </w:tc>
        <w:tc>
          <w:tcPr>
            <w:tcW w:w="1168" w:type="dxa"/>
            <w:tcBorders>
              <w:top w:val="nil"/>
              <w:left w:val="nil"/>
              <w:bottom w:val="nil"/>
              <w:right w:val="nil"/>
            </w:tcBorders>
            <w:shd w:val="clear" w:color="auto" w:fill="auto"/>
            <w:vAlign w:val="bottom"/>
          </w:tcPr>
          <w:p w14:paraId="4E95162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15.8%</w:t>
            </w:r>
          </w:p>
        </w:tc>
        <w:tc>
          <w:tcPr>
            <w:tcW w:w="812" w:type="dxa"/>
            <w:tcBorders>
              <w:top w:val="nil"/>
              <w:left w:val="nil"/>
              <w:bottom w:val="nil"/>
              <w:right w:val="nil"/>
            </w:tcBorders>
            <w:shd w:val="clear" w:color="auto" w:fill="auto"/>
            <w:vAlign w:val="bottom"/>
          </w:tcPr>
          <w:p w14:paraId="487EEF9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12.7%</w:t>
            </w:r>
          </w:p>
        </w:tc>
        <w:tc>
          <w:tcPr>
            <w:tcW w:w="984" w:type="dxa"/>
            <w:tcBorders>
              <w:top w:val="nil"/>
              <w:left w:val="nil"/>
              <w:bottom w:val="nil"/>
              <w:right w:val="nil"/>
            </w:tcBorders>
            <w:shd w:val="clear" w:color="auto" w:fill="auto"/>
            <w:vAlign w:val="bottom"/>
          </w:tcPr>
          <w:p w14:paraId="48BA5A8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19.7%</w:t>
            </w:r>
          </w:p>
        </w:tc>
        <w:tc>
          <w:tcPr>
            <w:tcW w:w="1176" w:type="dxa"/>
            <w:tcBorders>
              <w:top w:val="nil"/>
              <w:left w:val="nil"/>
              <w:bottom w:val="nil"/>
              <w:right w:val="nil"/>
            </w:tcBorders>
            <w:shd w:val="clear" w:color="auto" w:fill="auto"/>
            <w:vAlign w:val="bottom"/>
          </w:tcPr>
          <w:p w14:paraId="302F013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4.2%</w:t>
            </w:r>
          </w:p>
        </w:tc>
        <w:tc>
          <w:tcPr>
            <w:tcW w:w="1124" w:type="dxa"/>
            <w:tcBorders>
              <w:top w:val="nil"/>
              <w:left w:val="nil"/>
              <w:bottom w:val="nil"/>
              <w:right w:val="nil"/>
            </w:tcBorders>
            <w:shd w:val="clear" w:color="auto" w:fill="auto"/>
            <w:vAlign w:val="bottom"/>
          </w:tcPr>
          <w:p w14:paraId="164EB2F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9.9%</w:t>
            </w:r>
          </w:p>
        </w:tc>
      </w:tr>
      <w:tr w:rsidR="00523288" w14:paraId="010743D3" w14:textId="77777777" w:rsidTr="00BB28D0">
        <w:trPr>
          <w:trHeight w:val="316"/>
        </w:trPr>
        <w:tc>
          <w:tcPr>
            <w:tcW w:w="720" w:type="dxa"/>
            <w:tcBorders>
              <w:top w:val="nil"/>
              <w:left w:val="nil"/>
              <w:bottom w:val="nil"/>
              <w:right w:val="nil"/>
            </w:tcBorders>
            <w:shd w:val="clear" w:color="auto" w:fill="auto"/>
            <w:vAlign w:val="bottom"/>
          </w:tcPr>
          <w:p w14:paraId="2260371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w:t>
            </w:r>
          </w:p>
        </w:tc>
        <w:tc>
          <w:tcPr>
            <w:tcW w:w="1499" w:type="dxa"/>
            <w:tcBorders>
              <w:top w:val="nil"/>
              <w:left w:val="nil"/>
              <w:bottom w:val="nil"/>
              <w:right w:val="nil"/>
            </w:tcBorders>
            <w:shd w:val="clear" w:color="auto" w:fill="auto"/>
            <w:vAlign w:val="bottom"/>
          </w:tcPr>
          <w:p w14:paraId="602F4BCB"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Savannah-Santee</w:t>
            </w:r>
          </w:p>
        </w:tc>
        <w:tc>
          <w:tcPr>
            <w:tcW w:w="815" w:type="dxa"/>
            <w:tcBorders>
              <w:top w:val="nil"/>
              <w:left w:val="nil"/>
              <w:bottom w:val="nil"/>
              <w:right w:val="nil"/>
            </w:tcBorders>
            <w:shd w:val="clear" w:color="auto" w:fill="auto"/>
            <w:vAlign w:val="bottom"/>
          </w:tcPr>
          <w:p w14:paraId="117B99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w:t>
            </w:r>
          </w:p>
        </w:tc>
        <w:tc>
          <w:tcPr>
            <w:tcW w:w="1037" w:type="dxa"/>
            <w:tcBorders>
              <w:top w:val="nil"/>
              <w:left w:val="nil"/>
              <w:bottom w:val="nil"/>
              <w:right w:val="nil"/>
            </w:tcBorders>
            <w:shd w:val="clear" w:color="auto" w:fill="auto"/>
            <w:vAlign w:val="bottom"/>
          </w:tcPr>
          <w:p w14:paraId="4DAAFCD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2.7%</w:t>
            </w:r>
          </w:p>
        </w:tc>
        <w:tc>
          <w:tcPr>
            <w:tcW w:w="1149" w:type="dxa"/>
            <w:gridSpan w:val="2"/>
            <w:tcBorders>
              <w:top w:val="nil"/>
              <w:left w:val="nil"/>
              <w:bottom w:val="nil"/>
              <w:right w:val="nil"/>
            </w:tcBorders>
            <w:shd w:val="clear" w:color="auto" w:fill="auto"/>
            <w:vAlign w:val="bottom"/>
          </w:tcPr>
          <w:p w14:paraId="33B350C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0.6%</w:t>
            </w:r>
          </w:p>
        </w:tc>
        <w:tc>
          <w:tcPr>
            <w:tcW w:w="1168" w:type="dxa"/>
            <w:tcBorders>
              <w:top w:val="nil"/>
              <w:left w:val="nil"/>
              <w:bottom w:val="nil"/>
              <w:right w:val="nil"/>
            </w:tcBorders>
            <w:shd w:val="clear" w:color="auto" w:fill="auto"/>
            <w:vAlign w:val="bottom"/>
          </w:tcPr>
          <w:p w14:paraId="012F89E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812" w:type="dxa"/>
            <w:tcBorders>
              <w:top w:val="nil"/>
              <w:left w:val="nil"/>
              <w:bottom w:val="nil"/>
              <w:right w:val="nil"/>
            </w:tcBorders>
            <w:shd w:val="clear" w:color="auto" w:fill="auto"/>
            <w:vAlign w:val="bottom"/>
          </w:tcPr>
          <w:p w14:paraId="17C992E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6.9%</w:t>
            </w:r>
          </w:p>
        </w:tc>
        <w:tc>
          <w:tcPr>
            <w:tcW w:w="984" w:type="dxa"/>
            <w:tcBorders>
              <w:top w:val="nil"/>
              <w:left w:val="nil"/>
              <w:bottom w:val="nil"/>
              <w:right w:val="nil"/>
            </w:tcBorders>
            <w:shd w:val="clear" w:color="auto" w:fill="auto"/>
            <w:vAlign w:val="bottom"/>
          </w:tcPr>
          <w:p w14:paraId="2B15355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6.9%</w:t>
            </w:r>
          </w:p>
        </w:tc>
        <w:tc>
          <w:tcPr>
            <w:tcW w:w="1176" w:type="dxa"/>
            <w:tcBorders>
              <w:top w:val="nil"/>
              <w:left w:val="nil"/>
              <w:bottom w:val="nil"/>
              <w:right w:val="nil"/>
            </w:tcBorders>
            <w:shd w:val="clear" w:color="auto" w:fill="auto"/>
            <w:vAlign w:val="bottom"/>
          </w:tcPr>
          <w:p w14:paraId="67ABD08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456CFBD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2342F3DD" w14:textId="77777777" w:rsidTr="00BB28D0">
        <w:trPr>
          <w:trHeight w:val="316"/>
        </w:trPr>
        <w:tc>
          <w:tcPr>
            <w:tcW w:w="720" w:type="dxa"/>
            <w:tcBorders>
              <w:top w:val="nil"/>
              <w:left w:val="nil"/>
              <w:bottom w:val="nil"/>
              <w:right w:val="nil"/>
            </w:tcBorders>
            <w:shd w:val="clear" w:color="auto" w:fill="auto"/>
            <w:vAlign w:val="bottom"/>
          </w:tcPr>
          <w:p w14:paraId="0EC1B6C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w:t>
            </w:r>
          </w:p>
        </w:tc>
        <w:tc>
          <w:tcPr>
            <w:tcW w:w="1499" w:type="dxa"/>
            <w:tcBorders>
              <w:top w:val="nil"/>
              <w:left w:val="nil"/>
              <w:bottom w:val="nil"/>
              <w:right w:val="nil"/>
            </w:tcBorders>
            <w:shd w:val="clear" w:color="auto" w:fill="auto"/>
            <w:vAlign w:val="bottom"/>
          </w:tcPr>
          <w:p w14:paraId="388D5120"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Potomac River</w:t>
            </w:r>
          </w:p>
        </w:tc>
        <w:tc>
          <w:tcPr>
            <w:tcW w:w="815" w:type="dxa"/>
            <w:tcBorders>
              <w:top w:val="nil"/>
              <w:left w:val="nil"/>
              <w:bottom w:val="nil"/>
              <w:right w:val="nil"/>
            </w:tcBorders>
            <w:shd w:val="clear" w:color="auto" w:fill="auto"/>
            <w:vAlign w:val="bottom"/>
          </w:tcPr>
          <w:p w14:paraId="206E086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w:t>
            </w:r>
          </w:p>
        </w:tc>
        <w:tc>
          <w:tcPr>
            <w:tcW w:w="1037" w:type="dxa"/>
            <w:tcBorders>
              <w:top w:val="nil"/>
              <w:left w:val="nil"/>
              <w:bottom w:val="nil"/>
              <w:right w:val="nil"/>
            </w:tcBorders>
            <w:shd w:val="clear" w:color="auto" w:fill="auto"/>
            <w:vAlign w:val="bottom"/>
          </w:tcPr>
          <w:p w14:paraId="3844925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11.7%</w:t>
            </w:r>
          </w:p>
        </w:tc>
        <w:tc>
          <w:tcPr>
            <w:tcW w:w="1149" w:type="dxa"/>
            <w:gridSpan w:val="2"/>
            <w:tcBorders>
              <w:top w:val="nil"/>
              <w:left w:val="nil"/>
              <w:bottom w:val="nil"/>
              <w:right w:val="nil"/>
            </w:tcBorders>
            <w:shd w:val="clear" w:color="auto" w:fill="auto"/>
            <w:vAlign w:val="bottom"/>
          </w:tcPr>
          <w:p w14:paraId="39AEB4F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5.5%</w:t>
            </w:r>
          </w:p>
        </w:tc>
        <w:tc>
          <w:tcPr>
            <w:tcW w:w="1168" w:type="dxa"/>
            <w:tcBorders>
              <w:top w:val="nil"/>
              <w:left w:val="nil"/>
              <w:bottom w:val="nil"/>
              <w:right w:val="nil"/>
            </w:tcBorders>
            <w:shd w:val="clear" w:color="auto" w:fill="auto"/>
            <w:vAlign w:val="bottom"/>
          </w:tcPr>
          <w:p w14:paraId="7E60A19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10.0%</w:t>
            </w:r>
          </w:p>
        </w:tc>
        <w:tc>
          <w:tcPr>
            <w:tcW w:w="812" w:type="dxa"/>
            <w:tcBorders>
              <w:top w:val="nil"/>
              <w:left w:val="nil"/>
              <w:bottom w:val="nil"/>
              <w:right w:val="nil"/>
            </w:tcBorders>
            <w:shd w:val="clear" w:color="auto" w:fill="auto"/>
            <w:vAlign w:val="bottom"/>
          </w:tcPr>
          <w:p w14:paraId="5C2443D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11.1%</w:t>
            </w:r>
          </w:p>
        </w:tc>
        <w:tc>
          <w:tcPr>
            <w:tcW w:w="984" w:type="dxa"/>
            <w:tcBorders>
              <w:top w:val="nil"/>
              <w:left w:val="nil"/>
              <w:bottom w:val="nil"/>
              <w:right w:val="nil"/>
            </w:tcBorders>
            <w:shd w:val="clear" w:color="auto" w:fill="auto"/>
            <w:vAlign w:val="bottom"/>
          </w:tcPr>
          <w:p w14:paraId="764AB60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33.3%</w:t>
            </w:r>
          </w:p>
        </w:tc>
        <w:tc>
          <w:tcPr>
            <w:tcW w:w="1176" w:type="dxa"/>
            <w:tcBorders>
              <w:top w:val="nil"/>
              <w:left w:val="nil"/>
              <w:bottom w:val="nil"/>
              <w:right w:val="nil"/>
            </w:tcBorders>
            <w:shd w:val="clear" w:color="auto" w:fill="auto"/>
            <w:vAlign w:val="bottom"/>
          </w:tcPr>
          <w:p w14:paraId="2B35926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11.1%</w:t>
            </w:r>
          </w:p>
        </w:tc>
        <w:tc>
          <w:tcPr>
            <w:tcW w:w="1124" w:type="dxa"/>
            <w:tcBorders>
              <w:top w:val="nil"/>
              <w:left w:val="nil"/>
              <w:bottom w:val="nil"/>
              <w:right w:val="nil"/>
            </w:tcBorders>
            <w:shd w:val="clear" w:color="auto" w:fill="auto"/>
            <w:vAlign w:val="bottom"/>
          </w:tcPr>
          <w:p w14:paraId="413EDA2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22.2%</w:t>
            </w:r>
          </w:p>
        </w:tc>
      </w:tr>
      <w:tr w:rsidR="00523288" w14:paraId="66759A38" w14:textId="77777777" w:rsidTr="00BB28D0">
        <w:trPr>
          <w:trHeight w:val="316"/>
        </w:trPr>
        <w:tc>
          <w:tcPr>
            <w:tcW w:w="720" w:type="dxa"/>
            <w:tcBorders>
              <w:top w:val="nil"/>
              <w:left w:val="nil"/>
              <w:bottom w:val="nil"/>
              <w:right w:val="nil"/>
            </w:tcBorders>
            <w:shd w:val="clear" w:color="auto" w:fill="auto"/>
            <w:vAlign w:val="bottom"/>
          </w:tcPr>
          <w:p w14:paraId="5A9230E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w:t>
            </w:r>
          </w:p>
        </w:tc>
        <w:tc>
          <w:tcPr>
            <w:tcW w:w="1499" w:type="dxa"/>
            <w:tcBorders>
              <w:top w:val="nil"/>
              <w:left w:val="nil"/>
              <w:bottom w:val="nil"/>
              <w:right w:val="nil"/>
            </w:tcBorders>
            <w:shd w:val="clear" w:color="auto" w:fill="auto"/>
            <w:vAlign w:val="bottom"/>
          </w:tcPr>
          <w:p w14:paraId="356A58DF"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Suwannee</w:t>
            </w:r>
          </w:p>
        </w:tc>
        <w:tc>
          <w:tcPr>
            <w:tcW w:w="815" w:type="dxa"/>
            <w:tcBorders>
              <w:top w:val="nil"/>
              <w:left w:val="nil"/>
              <w:bottom w:val="nil"/>
              <w:right w:val="nil"/>
            </w:tcBorders>
            <w:shd w:val="clear" w:color="auto" w:fill="auto"/>
            <w:vAlign w:val="bottom"/>
          </w:tcPr>
          <w:p w14:paraId="4BE025C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0.5%</w:t>
            </w:r>
          </w:p>
        </w:tc>
        <w:tc>
          <w:tcPr>
            <w:tcW w:w="1037" w:type="dxa"/>
            <w:tcBorders>
              <w:top w:val="nil"/>
              <w:left w:val="nil"/>
              <w:bottom w:val="nil"/>
              <w:right w:val="nil"/>
            </w:tcBorders>
            <w:shd w:val="clear" w:color="auto" w:fill="auto"/>
            <w:vAlign w:val="bottom"/>
          </w:tcPr>
          <w:p w14:paraId="7115F0B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1149" w:type="dxa"/>
            <w:gridSpan w:val="2"/>
            <w:tcBorders>
              <w:top w:val="nil"/>
              <w:left w:val="nil"/>
              <w:bottom w:val="nil"/>
              <w:right w:val="nil"/>
            </w:tcBorders>
            <w:shd w:val="clear" w:color="auto" w:fill="auto"/>
            <w:vAlign w:val="bottom"/>
          </w:tcPr>
          <w:p w14:paraId="71BFDFB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68" w:type="dxa"/>
            <w:tcBorders>
              <w:top w:val="nil"/>
              <w:left w:val="nil"/>
              <w:bottom w:val="nil"/>
              <w:right w:val="nil"/>
            </w:tcBorders>
            <w:shd w:val="clear" w:color="auto" w:fill="auto"/>
            <w:vAlign w:val="bottom"/>
          </w:tcPr>
          <w:p w14:paraId="68F63D7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0.2%</w:t>
            </w:r>
          </w:p>
        </w:tc>
        <w:tc>
          <w:tcPr>
            <w:tcW w:w="812" w:type="dxa"/>
            <w:tcBorders>
              <w:top w:val="nil"/>
              <w:left w:val="nil"/>
              <w:bottom w:val="nil"/>
              <w:right w:val="nil"/>
            </w:tcBorders>
            <w:shd w:val="clear" w:color="auto" w:fill="auto"/>
            <w:vAlign w:val="bottom"/>
          </w:tcPr>
          <w:p w14:paraId="49A174F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w:t>
            </w:r>
          </w:p>
        </w:tc>
        <w:tc>
          <w:tcPr>
            <w:tcW w:w="984" w:type="dxa"/>
            <w:tcBorders>
              <w:top w:val="nil"/>
              <w:left w:val="nil"/>
              <w:bottom w:val="nil"/>
              <w:right w:val="nil"/>
            </w:tcBorders>
            <w:shd w:val="clear" w:color="auto" w:fill="auto"/>
            <w:vAlign w:val="bottom"/>
          </w:tcPr>
          <w:p w14:paraId="52112D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7.9%</w:t>
            </w:r>
          </w:p>
        </w:tc>
        <w:tc>
          <w:tcPr>
            <w:tcW w:w="1176" w:type="dxa"/>
            <w:tcBorders>
              <w:top w:val="nil"/>
              <w:left w:val="nil"/>
              <w:bottom w:val="nil"/>
              <w:right w:val="nil"/>
            </w:tcBorders>
            <w:shd w:val="clear" w:color="auto" w:fill="auto"/>
            <w:vAlign w:val="bottom"/>
          </w:tcPr>
          <w:p w14:paraId="7807A40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582D8C8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24ADD95A" w14:textId="77777777" w:rsidTr="00BB28D0">
        <w:trPr>
          <w:trHeight w:val="316"/>
        </w:trPr>
        <w:tc>
          <w:tcPr>
            <w:tcW w:w="720" w:type="dxa"/>
            <w:tcBorders>
              <w:top w:val="nil"/>
              <w:left w:val="nil"/>
              <w:bottom w:val="nil"/>
              <w:right w:val="nil"/>
            </w:tcBorders>
            <w:shd w:val="clear" w:color="auto" w:fill="auto"/>
            <w:vAlign w:val="bottom"/>
          </w:tcPr>
          <w:p w14:paraId="48AA3B7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w:t>
            </w:r>
          </w:p>
        </w:tc>
        <w:tc>
          <w:tcPr>
            <w:tcW w:w="1499" w:type="dxa"/>
            <w:tcBorders>
              <w:top w:val="nil"/>
              <w:left w:val="nil"/>
              <w:bottom w:val="nil"/>
              <w:right w:val="nil"/>
            </w:tcBorders>
            <w:shd w:val="clear" w:color="auto" w:fill="auto"/>
            <w:vAlign w:val="bottom"/>
          </w:tcPr>
          <w:p w14:paraId="45B9593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Red River</w:t>
            </w:r>
          </w:p>
        </w:tc>
        <w:tc>
          <w:tcPr>
            <w:tcW w:w="815" w:type="dxa"/>
            <w:tcBorders>
              <w:top w:val="nil"/>
              <w:left w:val="nil"/>
              <w:bottom w:val="nil"/>
              <w:right w:val="nil"/>
            </w:tcBorders>
            <w:shd w:val="clear" w:color="auto" w:fill="auto"/>
            <w:vAlign w:val="bottom"/>
          </w:tcPr>
          <w:p w14:paraId="72A08A4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17.1%</w:t>
            </w:r>
          </w:p>
        </w:tc>
        <w:tc>
          <w:tcPr>
            <w:tcW w:w="1037" w:type="dxa"/>
            <w:tcBorders>
              <w:top w:val="nil"/>
              <w:left w:val="nil"/>
              <w:bottom w:val="nil"/>
              <w:right w:val="nil"/>
            </w:tcBorders>
            <w:shd w:val="clear" w:color="auto" w:fill="auto"/>
            <w:vAlign w:val="bottom"/>
          </w:tcPr>
          <w:p w14:paraId="13E5332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23.9%</w:t>
            </w:r>
          </w:p>
        </w:tc>
        <w:tc>
          <w:tcPr>
            <w:tcW w:w="1149" w:type="dxa"/>
            <w:gridSpan w:val="2"/>
            <w:tcBorders>
              <w:top w:val="nil"/>
              <w:left w:val="nil"/>
              <w:bottom w:val="nil"/>
              <w:right w:val="nil"/>
            </w:tcBorders>
            <w:shd w:val="clear" w:color="auto" w:fill="auto"/>
            <w:vAlign w:val="bottom"/>
          </w:tcPr>
          <w:p w14:paraId="5AE796D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3.3%</w:t>
            </w:r>
          </w:p>
        </w:tc>
        <w:tc>
          <w:tcPr>
            <w:tcW w:w="1168" w:type="dxa"/>
            <w:tcBorders>
              <w:top w:val="nil"/>
              <w:left w:val="nil"/>
              <w:bottom w:val="nil"/>
              <w:right w:val="nil"/>
            </w:tcBorders>
            <w:shd w:val="clear" w:color="auto" w:fill="auto"/>
            <w:vAlign w:val="bottom"/>
          </w:tcPr>
          <w:p w14:paraId="01936B4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4.4%</w:t>
            </w:r>
          </w:p>
        </w:tc>
        <w:tc>
          <w:tcPr>
            <w:tcW w:w="812" w:type="dxa"/>
            <w:tcBorders>
              <w:top w:val="nil"/>
              <w:left w:val="nil"/>
              <w:bottom w:val="nil"/>
              <w:right w:val="nil"/>
            </w:tcBorders>
            <w:shd w:val="clear" w:color="auto" w:fill="auto"/>
            <w:vAlign w:val="bottom"/>
          </w:tcPr>
          <w:p w14:paraId="0F86AE0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18.8%</w:t>
            </w:r>
          </w:p>
        </w:tc>
        <w:tc>
          <w:tcPr>
            <w:tcW w:w="984" w:type="dxa"/>
            <w:tcBorders>
              <w:top w:val="nil"/>
              <w:left w:val="nil"/>
              <w:bottom w:val="nil"/>
              <w:right w:val="nil"/>
            </w:tcBorders>
            <w:shd w:val="clear" w:color="auto" w:fill="auto"/>
            <w:vAlign w:val="bottom"/>
          </w:tcPr>
          <w:p w14:paraId="3CCFF1D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18.8%</w:t>
            </w:r>
          </w:p>
        </w:tc>
        <w:tc>
          <w:tcPr>
            <w:tcW w:w="1176" w:type="dxa"/>
            <w:tcBorders>
              <w:top w:val="nil"/>
              <w:left w:val="nil"/>
              <w:bottom w:val="nil"/>
              <w:right w:val="nil"/>
            </w:tcBorders>
            <w:shd w:val="clear" w:color="auto" w:fill="auto"/>
            <w:vAlign w:val="bottom"/>
          </w:tcPr>
          <w:p w14:paraId="107E285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6.3%</w:t>
            </w:r>
          </w:p>
        </w:tc>
        <w:tc>
          <w:tcPr>
            <w:tcW w:w="1124" w:type="dxa"/>
            <w:tcBorders>
              <w:top w:val="nil"/>
              <w:left w:val="nil"/>
              <w:bottom w:val="nil"/>
              <w:right w:val="nil"/>
            </w:tcBorders>
            <w:shd w:val="clear" w:color="auto" w:fill="auto"/>
            <w:vAlign w:val="bottom"/>
          </w:tcPr>
          <w:p w14:paraId="52DDDE8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12.5%</w:t>
            </w:r>
          </w:p>
        </w:tc>
      </w:tr>
      <w:tr w:rsidR="00523288" w14:paraId="70E9DF09" w14:textId="77777777" w:rsidTr="00BB28D0">
        <w:trPr>
          <w:trHeight w:val="316"/>
        </w:trPr>
        <w:tc>
          <w:tcPr>
            <w:tcW w:w="720" w:type="dxa"/>
            <w:tcBorders>
              <w:top w:val="nil"/>
              <w:left w:val="nil"/>
              <w:bottom w:val="nil"/>
              <w:right w:val="nil"/>
            </w:tcBorders>
            <w:shd w:val="clear" w:color="auto" w:fill="auto"/>
            <w:vAlign w:val="bottom"/>
          </w:tcPr>
          <w:p w14:paraId="3C7807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w:t>
            </w:r>
          </w:p>
        </w:tc>
        <w:tc>
          <w:tcPr>
            <w:tcW w:w="1499" w:type="dxa"/>
            <w:tcBorders>
              <w:top w:val="nil"/>
              <w:left w:val="nil"/>
              <w:bottom w:val="nil"/>
              <w:right w:val="nil"/>
            </w:tcBorders>
            <w:shd w:val="clear" w:color="auto" w:fill="auto"/>
            <w:vAlign w:val="bottom"/>
          </w:tcPr>
          <w:p w14:paraId="63B3176C"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James River</w:t>
            </w:r>
          </w:p>
        </w:tc>
        <w:tc>
          <w:tcPr>
            <w:tcW w:w="815" w:type="dxa"/>
            <w:tcBorders>
              <w:top w:val="nil"/>
              <w:left w:val="nil"/>
              <w:bottom w:val="nil"/>
              <w:right w:val="nil"/>
            </w:tcBorders>
            <w:shd w:val="clear" w:color="auto" w:fill="auto"/>
            <w:vAlign w:val="bottom"/>
          </w:tcPr>
          <w:p w14:paraId="68966FA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2.7%</w:t>
            </w:r>
          </w:p>
        </w:tc>
        <w:tc>
          <w:tcPr>
            <w:tcW w:w="1037" w:type="dxa"/>
            <w:tcBorders>
              <w:top w:val="nil"/>
              <w:left w:val="nil"/>
              <w:bottom w:val="nil"/>
              <w:right w:val="nil"/>
            </w:tcBorders>
            <w:shd w:val="clear" w:color="auto" w:fill="auto"/>
            <w:vAlign w:val="bottom"/>
          </w:tcPr>
          <w:p w14:paraId="6E478A8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w:t>
            </w:r>
          </w:p>
        </w:tc>
        <w:tc>
          <w:tcPr>
            <w:tcW w:w="1149" w:type="dxa"/>
            <w:gridSpan w:val="2"/>
            <w:tcBorders>
              <w:top w:val="nil"/>
              <w:left w:val="nil"/>
              <w:bottom w:val="nil"/>
              <w:right w:val="nil"/>
            </w:tcBorders>
            <w:shd w:val="clear" w:color="auto" w:fill="auto"/>
            <w:vAlign w:val="bottom"/>
          </w:tcPr>
          <w:p w14:paraId="499A43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0.7%</w:t>
            </w:r>
          </w:p>
        </w:tc>
        <w:tc>
          <w:tcPr>
            <w:tcW w:w="1168" w:type="dxa"/>
            <w:tcBorders>
              <w:top w:val="nil"/>
              <w:left w:val="nil"/>
              <w:bottom w:val="nil"/>
              <w:right w:val="nil"/>
            </w:tcBorders>
            <w:shd w:val="clear" w:color="auto" w:fill="auto"/>
            <w:vAlign w:val="bottom"/>
          </w:tcPr>
          <w:p w14:paraId="3E2997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w:t>
            </w:r>
          </w:p>
        </w:tc>
        <w:tc>
          <w:tcPr>
            <w:tcW w:w="812" w:type="dxa"/>
            <w:tcBorders>
              <w:top w:val="nil"/>
              <w:left w:val="nil"/>
              <w:bottom w:val="nil"/>
              <w:right w:val="nil"/>
            </w:tcBorders>
            <w:shd w:val="clear" w:color="auto" w:fill="auto"/>
            <w:vAlign w:val="bottom"/>
          </w:tcPr>
          <w:p w14:paraId="5CA20D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nil"/>
              <w:right w:val="nil"/>
            </w:tcBorders>
            <w:shd w:val="clear" w:color="auto" w:fill="auto"/>
            <w:vAlign w:val="bottom"/>
          </w:tcPr>
          <w:p w14:paraId="4FE911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8.3%</w:t>
            </w:r>
          </w:p>
        </w:tc>
        <w:tc>
          <w:tcPr>
            <w:tcW w:w="1176" w:type="dxa"/>
            <w:tcBorders>
              <w:top w:val="nil"/>
              <w:left w:val="nil"/>
              <w:bottom w:val="nil"/>
              <w:right w:val="nil"/>
            </w:tcBorders>
            <w:shd w:val="clear" w:color="auto" w:fill="auto"/>
            <w:vAlign w:val="bottom"/>
          </w:tcPr>
          <w:p w14:paraId="3B4196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5E25F3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56C96958" w14:textId="77777777" w:rsidTr="00BB28D0">
        <w:trPr>
          <w:trHeight w:val="316"/>
        </w:trPr>
        <w:tc>
          <w:tcPr>
            <w:tcW w:w="720" w:type="dxa"/>
            <w:tcBorders>
              <w:top w:val="nil"/>
              <w:left w:val="nil"/>
              <w:bottom w:val="nil"/>
              <w:right w:val="nil"/>
            </w:tcBorders>
            <w:shd w:val="clear" w:color="auto" w:fill="auto"/>
            <w:vAlign w:val="bottom"/>
          </w:tcPr>
          <w:p w14:paraId="571E47A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1499" w:type="dxa"/>
            <w:tcBorders>
              <w:top w:val="nil"/>
              <w:left w:val="nil"/>
              <w:bottom w:val="nil"/>
              <w:right w:val="nil"/>
            </w:tcBorders>
            <w:shd w:val="clear" w:color="auto" w:fill="auto"/>
            <w:vAlign w:val="bottom"/>
          </w:tcPr>
          <w:p w14:paraId="3FAF43A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Lake Creek</w:t>
            </w:r>
          </w:p>
        </w:tc>
        <w:tc>
          <w:tcPr>
            <w:tcW w:w="815" w:type="dxa"/>
            <w:tcBorders>
              <w:top w:val="nil"/>
              <w:left w:val="nil"/>
              <w:bottom w:val="nil"/>
              <w:right w:val="nil"/>
            </w:tcBorders>
            <w:shd w:val="clear" w:color="auto" w:fill="auto"/>
            <w:vAlign w:val="bottom"/>
          </w:tcPr>
          <w:p w14:paraId="41C35F2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w:t>
            </w:r>
          </w:p>
        </w:tc>
        <w:tc>
          <w:tcPr>
            <w:tcW w:w="1037" w:type="dxa"/>
            <w:tcBorders>
              <w:top w:val="nil"/>
              <w:left w:val="nil"/>
              <w:bottom w:val="nil"/>
              <w:right w:val="nil"/>
            </w:tcBorders>
            <w:shd w:val="clear" w:color="auto" w:fill="auto"/>
            <w:vAlign w:val="bottom"/>
          </w:tcPr>
          <w:p w14:paraId="7F25E37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53.3%</w:t>
            </w:r>
          </w:p>
        </w:tc>
        <w:tc>
          <w:tcPr>
            <w:tcW w:w="1149" w:type="dxa"/>
            <w:gridSpan w:val="2"/>
            <w:tcBorders>
              <w:top w:val="nil"/>
              <w:left w:val="nil"/>
              <w:bottom w:val="nil"/>
              <w:right w:val="nil"/>
            </w:tcBorders>
            <w:shd w:val="clear" w:color="auto" w:fill="auto"/>
            <w:vAlign w:val="bottom"/>
          </w:tcPr>
          <w:p w14:paraId="6B94EC1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68" w:type="dxa"/>
            <w:tcBorders>
              <w:top w:val="nil"/>
              <w:left w:val="nil"/>
              <w:bottom w:val="nil"/>
              <w:right w:val="nil"/>
            </w:tcBorders>
            <w:shd w:val="clear" w:color="auto" w:fill="auto"/>
            <w:vAlign w:val="bottom"/>
          </w:tcPr>
          <w:p w14:paraId="4B329C8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20.0%</w:t>
            </w:r>
          </w:p>
        </w:tc>
        <w:tc>
          <w:tcPr>
            <w:tcW w:w="812" w:type="dxa"/>
            <w:tcBorders>
              <w:top w:val="nil"/>
              <w:left w:val="nil"/>
              <w:bottom w:val="nil"/>
              <w:right w:val="nil"/>
            </w:tcBorders>
            <w:shd w:val="clear" w:color="auto" w:fill="auto"/>
            <w:vAlign w:val="bottom"/>
          </w:tcPr>
          <w:p w14:paraId="6FACB7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984" w:type="dxa"/>
            <w:tcBorders>
              <w:top w:val="nil"/>
              <w:left w:val="nil"/>
              <w:bottom w:val="nil"/>
              <w:right w:val="nil"/>
            </w:tcBorders>
            <w:shd w:val="clear" w:color="auto" w:fill="auto"/>
            <w:vAlign w:val="bottom"/>
          </w:tcPr>
          <w:p w14:paraId="5015C58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1176" w:type="dxa"/>
            <w:tcBorders>
              <w:top w:val="nil"/>
              <w:left w:val="nil"/>
              <w:bottom w:val="nil"/>
              <w:right w:val="nil"/>
            </w:tcBorders>
            <w:shd w:val="clear" w:color="auto" w:fill="auto"/>
            <w:vAlign w:val="bottom"/>
          </w:tcPr>
          <w:p w14:paraId="6E4730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1124" w:type="dxa"/>
            <w:tcBorders>
              <w:top w:val="nil"/>
              <w:left w:val="nil"/>
              <w:bottom w:val="nil"/>
              <w:right w:val="nil"/>
            </w:tcBorders>
            <w:shd w:val="clear" w:color="auto" w:fill="auto"/>
            <w:vAlign w:val="bottom"/>
          </w:tcPr>
          <w:p w14:paraId="3C0CEC1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r>
      <w:tr w:rsidR="00523288" w14:paraId="16919F64" w14:textId="77777777" w:rsidTr="00BB28D0">
        <w:trPr>
          <w:trHeight w:val="316"/>
        </w:trPr>
        <w:tc>
          <w:tcPr>
            <w:tcW w:w="720" w:type="dxa"/>
            <w:tcBorders>
              <w:top w:val="nil"/>
              <w:left w:val="nil"/>
              <w:bottom w:val="single" w:sz="4" w:space="0" w:color="000000"/>
              <w:right w:val="nil"/>
            </w:tcBorders>
            <w:shd w:val="clear" w:color="auto" w:fill="auto"/>
            <w:vAlign w:val="bottom"/>
          </w:tcPr>
          <w:p w14:paraId="07DB4A0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13</w:t>
            </w:r>
          </w:p>
        </w:tc>
        <w:tc>
          <w:tcPr>
            <w:tcW w:w="1499" w:type="dxa"/>
            <w:tcBorders>
              <w:top w:val="nil"/>
              <w:left w:val="nil"/>
              <w:bottom w:val="single" w:sz="4" w:space="0" w:color="000000"/>
              <w:right w:val="nil"/>
            </w:tcBorders>
            <w:shd w:val="clear" w:color="auto" w:fill="auto"/>
            <w:vAlign w:val="bottom"/>
          </w:tcPr>
          <w:p w14:paraId="02B2FDEE"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Humboldt River</w:t>
            </w:r>
          </w:p>
        </w:tc>
        <w:tc>
          <w:tcPr>
            <w:tcW w:w="815" w:type="dxa"/>
            <w:tcBorders>
              <w:top w:val="nil"/>
              <w:left w:val="nil"/>
              <w:bottom w:val="single" w:sz="4" w:space="0" w:color="000000"/>
              <w:right w:val="nil"/>
            </w:tcBorders>
            <w:shd w:val="clear" w:color="auto" w:fill="auto"/>
            <w:vAlign w:val="bottom"/>
          </w:tcPr>
          <w:p w14:paraId="27C446B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28.6%</w:t>
            </w:r>
          </w:p>
        </w:tc>
        <w:tc>
          <w:tcPr>
            <w:tcW w:w="1037" w:type="dxa"/>
            <w:tcBorders>
              <w:top w:val="nil"/>
              <w:left w:val="nil"/>
              <w:bottom w:val="single" w:sz="4" w:space="0" w:color="000000"/>
              <w:right w:val="nil"/>
            </w:tcBorders>
            <w:shd w:val="clear" w:color="auto" w:fill="auto"/>
            <w:vAlign w:val="bottom"/>
          </w:tcPr>
          <w:p w14:paraId="2FD9974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47.6%</w:t>
            </w:r>
          </w:p>
        </w:tc>
        <w:tc>
          <w:tcPr>
            <w:tcW w:w="1149" w:type="dxa"/>
            <w:gridSpan w:val="2"/>
            <w:tcBorders>
              <w:top w:val="nil"/>
              <w:left w:val="nil"/>
              <w:bottom w:val="single" w:sz="4" w:space="0" w:color="000000"/>
              <w:right w:val="nil"/>
            </w:tcBorders>
            <w:shd w:val="clear" w:color="auto" w:fill="auto"/>
            <w:vAlign w:val="bottom"/>
          </w:tcPr>
          <w:p w14:paraId="498C48A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23.8%</w:t>
            </w:r>
          </w:p>
        </w:tc>
        <w:tc>
          <w:tcPr>
            <w:tcW w:w="1168" w:type="dxa"/>
            <w:tcBorders>
              <w:top w:val="nil"/>
              <w:left w:val="nil"/>
              <w:bottom w:val="single" w:sz="4" w:space="0" w:color="000000"/>
              <w:right w:val="nil"/>
            </w:tcBorders>
            <w:shd w:val="clear" w:color="auto" w:fill="auto"/>
            <w:vAlign w:val="bottom"/>
          </w:tcPr>
          <w:p w14:paraId="25CBA5F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76.2%</w:t>
            </w:r>
          </w:p>
        </w:tc>
        <w:tc>
          <w:tcPr>
            <w:tcW w:w="812" w:type="dxa"/>
            <w:tcBorders>
              <w:top w:val="nil"/>
              <w:left w:val="nil"/>
              <w:bottom w:val="single" w:sz="4" w:space="0" w:color="000000"/>
              <w:right w:val="nil"/>
            </w:tcBorders>
            <w:shd w:val="clear" w:color="auto" w:fill="auto"/>
            <w:vAlign w:val="bottom"/>
          </w:tcPr>
          <w:p w14:paraId="10AB3EF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single" w:sz="4" w:space="0" w:color="000000"/>
              <w:right w:val="nil"/>
            </w:tcBorders>
            <w:shd w:val="clear" w:color="auto" w:fill="auto"/>
            <w:vAlign w:val="bottom"/>
          </w:tcPr>
          <w:p w14:paraId="149B46B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76" w:type="dxa"/>
            <w:tcBorders>
              <w:top w:val="nil"/>
              <w:left w:val="nil"/>
              <w:bottom w:val="single" w:sz="4" w:space="0" w:color="000000"/>
              <w:right w:val="nil"/>
            </w:tcBorders>
            <w:shd w:val="clear" w:color="auto" w:fill="auto"/>
            <w:vAlign w:val="bottom"/>
          </w:tcPr>
          <w:p w14:paraId="23F4FB8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single" w:sz="4" w:space="0" w:color="000000"/>
              <w:right w:val="nil"/>
            </w:tcBorders>
            <w:shd w:val="clear" w:color="auto" w:fill="auto"/>
            <w:vAlign w:val="bottom"/>
          </w:tcPr>
          <w:p w14:paraId="0861449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rsidSect="003E77D3">
          <w:pgSz w:w="12240" w:h="15840"/>
          <w:pgMar w:top="1440" w:right="1440" w:bottom="1440" w:left="1440" w:header="720" w:footer="720" w:gutter="0"/>
          <w:cols w:space="720"/>
          <w:docGrid w:linePitch="299"/>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D771A9B"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4E9E5048"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w:t>
      </w:r>
      <w:r w:rsidR="001226B2">
        <w:rPr>
          <w:rFonts w:ascii="Times New Roman" w:eastAsia="Gungsuh" w:hAnsi="Times New Roman" w:cs="Times New Roman"/>
          <w:sz w:val="24"/>
          <w:szCs w:val="24"/>
        </w:rPr>
        <w:t xml:space="preserve"> </w:t>
      </w:r>
      <w:r w:rsidRPr="005D42A8">
        <w:rPr>
          <w:rFonts w:ascii="Times New Roman" w:eastAsia="Gungsuh" w:hAnsi="Times New Roman" w:cs="Times New Roman"/>
          <w:sz w:val="24"/>
          <w:szCs w:val="24"/>
        </w:rPr>
        <w:t>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03029618"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Graphical depiction of a hypothetical network showing the three network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39C65DEB"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w:t>
      </w:r>
      <w:r w:rsidR="007F13D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0947E1A4"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1D4C731B"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057525" cy="5924550"/>
                    </a:xfrm>
                    <a:prstGeom prst="rect">
                      <a:avLst/>
                    </a:prstGeom>
                    <a:ln/>
                  </pic:spPr>
                </pic:pic>
              </a:graphicData>
            </a:graphic>
          </wp:inline>
        </w:drawing>
      </w:r>
    </w:p>
    <w:p w14:paraId="791078D4" w14:textId="1717C40F"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w:t>
      </w:r>
      <w:r w:rsidR="001226B2">
        <w:rPr>
          <w:rFonts w:ascii="Times New Roman" w:eastAsia="Gungsuh" w:hAnsi="Times New Roman" w:cs="Times New Roman"/>
          <w:sz w:val="24"/>
          <w:szCs w:val="24"/>
        </w:rPr>
        <w:t xml:space="preserve"> </w:t>
      </w:r>
      <w:r w:rsidRPr="005D42A8">
        <w:rPr>
          <w:rFonts w:ascii="Times New Roman" w:eastAsia="Gungsuh" w:hAnsi="Times New Roman" w:cs="Times New Roman"/>
          <w:sz w:val="24"/>
          <w:szCs w:val="24"/>
        </w:rPr>
        <w:t>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7"/>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2F2D52E2" w14:textId="2C880E43"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Figure 3.</w:t>
      </w:r>
      <w:r w:rsidR="00201A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Graphical depiction of a hypothetical network showing the three network </w:t>
      </w:r>
      <w:r w:rsidR="005D42A8">
        <w:rPr>
          <w:rFonts w:ascii="Times New Roman" w:eastAsia="Times New Roman" w:hAnsi="Times New Roman" w:cs="Times New Roman"/>
          <w:color w:val="000000"/>
          <w:sz w:val="24"/>
          <w:szCs w:val="24"/>
        </w:rPr>
        <w:t xml:space="preserve">importance </w:t>
      </w:r>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61F6D7A0"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5943600"/>
                    </a:xfrm>
                    <a:prstGeom prst="rect">
                      <a:avLst/>
                    </a:prstGeom>
                    <a:ln/>
                  </pic:spPr>
                </pic:pic>
              </a:graphicData>
            </a:graphic>
          </wp:inline>
        </w:drawing>
      </w:r>
    </w:p>
    <w:p w14:paraId="7DD4181E" w14:textId="61B02ACE"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9882E" w14:textId="77777777" w:rsidR="00984639" w:rsidRDefault="00984639">
      <w:pPr>
        <w:spacing w:line="240" w:lineRule="auto"/>
      </w:pPr>
      <w:r>
        <w:separator/>
      </w:r>
    </w:p>
  </w:endnote>
  <w:endnote w:type="continuationSeparator" w:id="0">
    <w:p w14:paraId="34859122" w14:textId="77777777" w:rsidR="00984639" w:rsidRDefault="00984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C6DA" w14:textId="77777777" w:rsidR="00523288" w:rsidRDefault="00523288">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1B3BB" w14:textId="77777777" w:rsidR="00984639" w:rsidRDefault="00984639">
      <w:pPr>
        <w:spacing w:line="240" w:lineRule="auto"/>
      </w:pPr>
      <w:r>
        <w:separator/>
      </w:r>
    </w:p>
  </w:footnote>
  <w:footnote w:type="continuationSeparator" w:id="0">
    <w:p w14:paraId="5D2C392E" w14:textId="77777777" w:rsidR="00984639" w:rsidRDefault="009846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0339266">
    <w:abstractNumId w:val="1"/>
  </w:num>
  <w:num w:numId="2" w16cid:durableId="578487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130B5"/>
    <w:rsid w:val="000152DE"/>
    <w:rsid w:val="000237D7"/>
    <w:rsid w:val="00051895"/>
    <w:rsid w:val="00057A44"/>
    <w:rsid w:val="00067434"/>
    <w:rsid w:val="000E0D3D"/>
    <w:rsid w:val="001135CE"/>
    <w:rsid w:val="001226B2"/>
    <w:rsid w:val="00163B79"/>
    <w:rsid w:val="00175F6B"/>
    <w:rsid w:val="00180F4F"/>
    <w:rsid w:val="001C0C8A"/>
    <w:rsid w:val="001C4501"/>
    <w:rsid w:val="001D7FF3"/>
    <w:rsid w:val="001E238A"/>
    <w:rsid w:val="00201A78"/>
    <w:rsid w:val="0020272A"/>
    <w:rsid w:val="00217EAD"/>
    <w:rsid w:val="00240CFF"/>
    <w:rsid w:val="002441B8"/>
    <w:rsid w:val="002645B7"/>
    <w:rsid w:val="00295D79"/>
    <w:rsid w:val="00296C11"/>
    <w:rsid w:val="00297BED"/>
    <w:rsid w:val="002A3D34"/>
    <w:rsid w:val="002C51AA"/>
    <w:rsid w:val="00302410"/>
    <w:rsid w:val="00337BE7"/>
    <w:rsid w:val="00353FE2"/>
    <w:rsid w:val="00365CAB"/>
    <w:rsid w:val="00380E28"/>
    <w:rsid w:val="0038525C"/>
    <w:rsid w:val="003A5D5D"/>
    <w:rsid w:val="003D4A6E"/>
    <w:rsid w:val="003E77D3"/>
    <w:rsid w:val="003E7CEA"/>
    <w:rsid w:val="004147CB"/>
    <w:rsid w:val="00450EBD"/>
    <w:rsid w:val="004C71AE"/>
    <w:rsid w:val="004D592F"/>
    <w:rsid w:val="004E19FE"/>
    <w:rsid w:val="0051091C"/>
    <w:rsid w:val="00523288"/>
    <w:rsid w:val="00545CD1"/>
    <w:rsid w:val="00561677"/>
    <w:rsid w:val="005B138B"/>
    <w:rsid w:val="005C28B7"/>
    <w:rsid w:val="005C3382"/>
    <w:rsid w:val="005D42A8"/>
    <w:rsid w:val="005E32E5"/>
    <w:rsid w:val="005E4647"/>
    <w:rsid w:val="00611953"/>
    <w:rsid w:val="0062181D"/>
    <w:rsid w:val="00670818"/>
    <w:rsid w:val="00671D43"/>
    <w:rsid w:val="00691FD4"/>
    <w:rsid w:val="006A41CF"/>
    <w:rsid w:val="006C34B4"/>
    <w:rsid w:val="006D6BB1"/>
    <w:rsid w:val="006F3C72"/>
    <w:rsid w:val="00723767"/>
    <w:rsid w:val="007249B3"/>
    <w:rsid w:val="00731036"/>
    <w:rsid w:val="007451A9"/>
    <w:rsid w:val="00760054"/>
    <w:rsid w:val="00790276"/>
    <w:rsid w:val="007A53A2"/>
    <w:rsid w:val="007B7ADE"/>
    <w:rsid w:val="007C0DC2"/>
    <w:rsid w:val="007C2BE1"/>
    <w:rsid w:val="007C6848"/>
    <w:rsid w:val="007F13DA"/>
    <w:rsid w:val="00810B67"/>
    <w:rsid w:val="00817A1B"/>
    <w:rsid w:val="00821026"/>
    <w:rsid w:val="00833019"/>
    <w:rsid w:val="00833022"/>
    <w:rsid w:val="0084721A"/>
    <w:rsid w:val="00857FC5"/>
    <w:rsid w:val="008A19E2"/>
    <w:rsid w:val="008A1ED9"/>
    <w:rsid w:val="008B69B2"/>
    <w:rsid w:val="008D4808"/>
    <w:rsid w:val="008D5B7E"/>
    <w:rsid w:val="008E259F"/>
    <w:rsid w:val="009019DE"/>
    <w:rsid w:val="00902661"/>
    <w:rsid w:val="00914E2F"/>
    <w:rsid w:val="009233F6"/>
    <w:rsid w:val="00925D81"/>
    <w:rsid w:val="009377BD"/>
    <w:rsid w:val="00940163"/>
    <w:rsid w:val="009439B8"/>
    <w:rsid w:val="0095431D"/>
    <w:rsid w:val="00965680"/>
    <w:rsid w:val="00984639"/>
    <w:rsid w:val="009B303D"/>
    <w:rsid w:val="009C4A11"/>
    <w:rsid w:val="009F4D54"/>
    <w:rsid w:val="00A00EAE"/>
    <w:rsid w:val="00A162BA"/>
    <w:rsid w:val="00A30212"/>
    <w:rsid w:val="00A9246C"/>
    <w:rsid w:val="00AA0353"/>
    <w:rsid w:val="00AC4980"/>
    <w:rsid w:val="00B06C97"/>
    <w:rsid w:val="00B37202"/>
    <w:rsid w:val="00B940C2"/>
    <w:rsid w:val="00BA28F5"/>
    <w:rsid w:val="00BB28D0"/>
    <w:rsid w:val="00BC589B"/>
    <w:rsid w:val="00BD1503"/>
    <w:rsid w:val="00BF4012"/>
    <w:rsid w:val="00C544E3"/>
    <w:rsid w:val="00C95ECF"/>
    <w:rsid w:val="00CA7471"/>
    <w:rsid w:val="00CD3374"/>
    <w:rsid w:val="00D06F36"/>
    <w:rsid w:val="00D35786"/>
    <w:rsid w:val="00D474C2"/>
    <w:rsid w:val="00D57B35"/>
    <w:rsid w:val="00DA5528"/>
    <w:rsid w:val="00DC5E18"/>
    <w:rsid w:val="00E153D4"/>
    <w:rsid w:val="00E27918"/>
    <w:rsid w:val="00E33986"/>
    <w:rsid w:val="00E37050"/>
    <w:rsid w:val="00E83D35"/>
    <w:rsid w:val="00E94C6C"/>
    <w:rsid w:val="00EB4EFB"/>
    <w:rsid w:val="00ED00A7"/>
    <w:rsid w:val="00EE5C5E"/>
    <w:rsid w:val="00F04DBC"/>
    <w:rsid w:val="00F13699"/>
    <w:rsid w:val="00F15BAA"/>
    <w:rsid w:val="00F1611A"/>
    <w:rsid w:val="00F30538"/>
    <w:rsid w:val="00F33018"/>
    <w:rsid w:val="00F61ABC"/>
    <w:rsid w:val="00F72850"/>
    <w:rsid w:val="00F7430F"/>
    <w:rsid w:val="00F76816"/>
    <w:rsid w:val="00F905D3"/>
    <w:rsid w:val="00FB37ED"/>
    <w:rsid w:val="00FC1F8C"/>
    <w:rsid w:val="00FD4DEE"/>
    <w:rsid w:val="00FD6556"/>
    <w:rsid w:val="00FE326E"/>
    <w:rsid w:val="00FE4F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 w:type="character" w:styleId="Hyperlink">
    <w:name w:val="Hyperlink"/>
    <w:basedOn w:val="DefaultParagraphFont"/>
    <w:uiPriority w:val="99"/>
    <w:unhideWhenUsed/>
    <w:rsid w:val="001226B2"/>
    <w:rPr>
      <w:color w:val="0000FF" w:themeColor="hyperlink"/>
      <w:u w:val="single"/>
    </w:rPr>
  </w:style>
  <w:style w:type="character" w:styleId="UnresolvedMention">
    <w:name w:val="Unresolved Mention"/>
    <w:basedOn w:val="DefaultParagraphFont"/>
    <w:uiPriority w:val="99"/>
    <w:semiHidden/>
    <w:unhideWhenUsed/>
    <w:rsid w:val="00122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474461">
      <w:bodyDiv w:val="1"/>
      <w:marLeft w:val="0"/>
      <w:marRight w:val="0"/>
      <w:marTop w:val="0"/>
      <w:marBottom w:val="0"/>
      <w:divBdr>
        <w:top w:val="none" w:sz="0" w:space="0" w:color="auto"/>
        <w:left w:val="none" w:sz="0" w:space="0" w:color="auto"/>
        <w:bottom w:val="none" w:sz="0" w:space="0" w:color="auto"/>
        <w:right w:val="none" w:sz="0" w:space="0" w:color="auto"/>
      </w:divBdr>
      <w:divsChild>
        <w:div w:id="894048116">
          <w:marLeft w:val="0"/>
          <w:marRight w:val="0"/>
          <w:marTop w:val="0"/>
          <w:marBottom w:val="0"/>
          <w:divBdr>
            <w:top w:val="none" w:sz="0" w:space="0" w:color="auto"/>
            <w:left w:val="none" w:sz="0" w:space="0" w:color="auto"/>
            <w:bottom w:val="none" w:sz="0" w:space="0" w:color="auto"/>
            <w:right w:val="none" w:sz="0" w:space="0" w:color="auto"/>
          </w:divBdr>
        </w:div>
      </w:divsChild>
    </w:div>
    <w:div w:id="1767647860">
      <w:bodyDiv w:val="1"/>
      <w:marLeft w:val="0"/>
      <w:marRight w:val="0"/>
      <w:marTop w:val="0"/>
      <w:marBottom w:val="0"/>
      <w:divBdr>
        <w:top w:val="none" w:sz="0" w:space="0" w:color="auto"/>
        <w:left w:val="none" w:sz="0" w:space="0" w:color="auto"/>
        <w:bottom w:val="none" w:sz="0" w:space="0" w:color="auto"/>
        <w:right w:val="none" w:sz="0" w:space="0" w:color="auto"/>
      </w:divBdr>
      <w:divsChild>
        <w:div w:id="9487814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doi.org/10.5066/P955KPLE" TargetMode="External"/><Relationship Id="rId18" Type="http://schemas.openxmlformats.org/officeDocument/2006/relationships/hyperlink" Target="https://cran.r-project.org/package=paran"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www.cbd.int/gbo/gbo5/publication/gbo-5-spm-en.pdf" TargetMode="External"/><Relationship Id="rId7" Type="http://schemas.openxmlformats.org/officeDocument/2006/relationships/endnotes" Target="endnotes.xml"/><Relationship Id="rId12" Type="http://schemas.openxmlformats.org/officeDocument/2006/relationships/hyperlink" Target="https://doi.org/10.1899/08-081.1" TargetMode="External"/><Relationship Id="rId17" Type="http://schemas.openxmlformats.org/officeDocument/2006/relationships/hyperlink" Target="https://igraph.org"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cbd.int/decision/cop/?id=12268" TargetMode="External"/><Relationship Id="rId20" Type="http://schemas.openxmlformats.org/officeDocument/2006/relationships/hyperlink" Target="https://doi.org/10.6073/pasta/c850e645d79bb239e1dfeadd0af6b63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6073/pasta/c850e645d79bb239e1dfeadd0af6b631"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bd.int/decision/cop/?id=12268" TargetMode="External"/><Relationship Id="rId23" Type="http://schemas.openxmlformats.org/officeDocument/2006/relationships/header" Target="header1.xml"/><Relationship Id="rId28" Type="http://schemas.openxmlformats.org/officeDocument/2006/relationships/image" Target="media/image4.png"/><Relationship Id="rId10" Type="http://schemas.openxmlformats.org/officeDocument/2006/relationships/hyperlink" Target="https://doi.org/10.6073/pasta/98c9f11df55958065985c3e84a4fe995" TargetMode="External"/><Relationship Id="rId19" Type="http://schemas.openxmlformats.org/officeDocument/2006/relationships/hyperlink" Target="https://doi.org/10.1899/08-081.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6073/pasta/e5c2fb8d77467d3f03de4667ac2173ca" TargetMode="External"/><Relationship Id="rId14" Type="http://schemas.openxmlformats.org/officeDocument/2006/relationships/hyperlink" Target="https://github.com/cont-limno/TripleC" TargetMode="External"/><Relationship Id="rId22" Type="http://schemas.openxmlformats.org/officeDocument/2006/relationships/hyperlink" Target="https://doi.org/10.5066/P955KPLE" TargetMode="External"/><Relationship Id="rId27" Type="http://schemas.openxmlformats.org/officeDocument/2006/relationships/image" Target="media/image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12634</Words>
  <Characters>72019</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immcc</dc:creator>
  <cp:lastModifiedBy>immccull@gmail.com</cp:lastModifiedBy>
  <cp:revision>6</cp:revision>
  <dcterms:created xsi:type="dcterms:W3CDTF">2022-08-03T19:10:00Z</dcterms:created>
  <dcterms:modified xsi:type="dcterms:W3CDTF">2022-08-06T19:51:00Z</dcterms:modified>
</cp:coreProperties>
</file>