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jc w:val="center"/>
      </w:pPr>
      <w:r>
        <w:rPr>
          <w:b/>
          <w:color w:val="1F4E5F"/>
          <w:sz w:val="80"/>
        </w:rPr>
        <w:t>CALCJUD</w:t>
      </w:r>
    </w:p>
    <w:p>
      <w:pPr>
        <w:jc w:val="center"/>
      </w:pPr>
      <w:r>
        <w:rPr>
          <w:color w:val="444444"/>
          <w:sz w:val="36"/>
        </w:rPr>
        <w:t>Ferramenta de Cálculos Judiciais de IRPF</w:t>
      </w:r>
    </w:p>
    <w:p>
      <w:pPr>
        <w:spacing w:before="600"/>
        <w:jc w:val="center"/>
      </w:pPr>
      <w:r>
        <w:rPr>
          <w:i/>
          <w:sz w:val="26"/>
        </w:rPr>
        <w:t>Documentação Funcional e Técnica</w:t>
      </w:r>
    </w:p>
    <w:p>
      <w:pPr>
        <w:spacing w:before="4000"/>
        <w:jc w:val="center"/>
      </w:pPr>
      <w:r>
        <w:rPr>
          <w:color w:val="666666"/>
          <w:sz w:val="22"/>
        </w:rPr>
        <w:t>Tribunal Regional Federal da 2ª Região (TRF2)</w:t>
      </w:r>
    </w:p>
    <w:p>
      <w:pPr>
        <w:jc w:val="center"/>
      </w:pPr>
      <w:r>
        <w:rPr>
          <w:color w:val="666666"/>
          <w:sz w:val="22"/>
        </w:rPr>
        <w:t>28/08/2026</w:t>
      </w:r>
    </w:p>
    <w:p>
      <w:r>
        <w:br w:type="page"/>
      </w:r>
    </w:p>
    <w:p>
      <w:pPr>
        <w:spacing w:after="280"/>
      </w:pPr>
      <w:r>
        <w:rPr>
          <w:b/>
          <w:color w:val="1F4E5F"/>
          <w:sz w:val="36"/>
        </w:rPr>
        <w:t>Sumário</w:t>
      </w:r>
    </w:p>
    <w:p>
      <w:pPr>
        <w:spacing w:after="160"/>
      </w:pPr>
      <w:hyperlink w:anchor="sec-contexto">
        <w:r>
          <w:rPr>
            <w:color w:val="1F4E5F"/>
            <w:u w:val="single"/>
          </w:rPr>
          <w:t>1. Contexto e origem do projeto</w:t>
        </w:r>
      </w:hyperlink>
    </w:p>
    <w:p>
      <w:pPr>
        <w:spacing w:after="160"/>
      </w:pPr>
      <w:hyperlink w:anchor="sec-objetivo">
        <w:r>
          <w:rPr>
            <w:color w:val="1F4E5F"/>
            <w:u w:val="single"/>
          </w:rPr>
          <w:t>2. Objetivo</w:t>
        </w:r>
      </w:hyperlink>
    </w:p>
    <w:p>
      <w:pPr>
        <w:spacing w:after="160"/>
      </w:pPr>
      <w:hyperlink w:anchor="sec-como-utilizar">
        <w:r>
          <w:rPr>
            <w:color w:val="1F4E5F"/>
            <w:u w:val="single"/>
          </w:rPr>
          <w:t>3. Como utilizar</w:t>
        </w:r>
      </w:hyperlink>
    </w:p>
    <w:p>
      <w:pPr>
        <w:spacing w:after="160"/>
      </w:pPr>
      <w:hyperlink w:anchor="sec-detalhes-tecnicos">
        <w:r>
          <w:rPr>
            <w:color w:val="1F4E5F"/>
            <w:u w:val="single"/>
          </w:rPr>
          <w:t>4. Detalhes Técnicos</w:t>
        </w:r>
      </w:hyperlink>
    </w:p>
    <w:p>
      <w:pPr>
        <w:spacing w:after="160"/>
      </w:pPr>
      <w:hyperlink w:anchor="sec-referencias">
        <w:r>
          <w:rPr>
            <w:color w:val="1F4E5F"/>
            <w:u w:val="single"/>
          </w:rPr>
          <w:t>5. Referências e materiais relacionados</w:t>
        </w:r>
      </w:hyperlink>
    </w:p>
    <w:p>
      <w:pPr>
        <w:spacing w:after="160"/>
      </w:pPr>
      <w:hyperlink w:anchor="sec-acesso">
        <w:r>
          <w:rPr>
            <w:color w:val="1F4E5F"/>
            <w:u w:val="single"/>
          </w:rPr>
          <w:t>6. Acesso ao Sistema</w:t>
        </w:r>
      </w:hyperlink>
    </w:p>
    <w:p>
      <w:r>
        <w:br w:type="page"/>
      </w:r>
    </w:p>
    <w:p>
      <w:bookmarkStart w:id="1" w:name="sec-contexto"/>
      <w:pPr>
        <w:pStyle w:val="Heading1"/>
      </w:pPr>
      <w:bookmarkEnd w:id="1"/>
      <w:r>
        <w:rPr>
          <w:i w:val="0"/>
        </w:rPr>
        <w:t>Contexto e origem do projeto</w:t>
      </w:r>
    </w:p>
    <w:p>
      <w:pPr>
        <w:spacing w:after="160"/>
      </w:pPr>
      <w:r>
        <w:rPr>
          <w:i w:val="0"/>
        </w:rPr>
        <w:t xml:space="preserve">O CALCJUD nasceu como iniciativa para </w:t>
      </w:r>
      <w:r>
        <w:rPr>
          <w:b/>
        </w:rPr>
        <w:t>unificar duas planilhas Excel</w:t>
      </w:r>
      <w:r>
        <w:rPr>
          <w:i w:val="0"/>
        </w:rPr>
        <w:t xml:space="preserve"> mantidas pela </w:t>
      </w:r>
      <w:r>
        <w:rPr>
          <w:b/>
        </w:rPr>
        <w:t>DCAL (Divisão de Cálculos)</w:t>
      </w:r>
      <w:r>
        <w:rPr>
          <w:i w:val="0"/>
        </w:rPr>
        <w:t xml:space="preserve"> do TRF2/JFRJ, hoje distribuídas pela intranet e usadas manualmente pelas contadorias:</w:t>
      </w:r>
    </w:p>
    <w:p>
      <w:pPr>
        <w:pStyle w:val="ListBullet"/>
        <w:spacing w:after="60"/>
      </w:pPr>
      <w:r>
        <w:rPr>
          <w:b/>
        </w:rPr>
        <w:t>Planilha de Cálculo de Ajuste Anual de IRPF</w:t>
      </w:r>
      <w:r>
        <w:rPr>
          <w:i w:val="0"/>
        </w:rPr>
        <w:t xml:space="preserve"> — calcula o ajuste anual do Imposto de Renda Pessoa Física de um único ano, com acréscimo/decréscimo de valores não tributáveis.</w:t>
      </w:r>
    </w:p>
    <w:p>
      <w:pPr>
        <w:pStyle w:val="ListBullet"/>
        <w:spacing w:after="60"/>
      </w:pPr>
      <w:r>
        <w:rPr>
          <w:b/>
        </w:rPr>
        <w:t>Planilha de Cálculo de Declaração Anual do Imposto de Renda</w:t>
      </w:r>
      <w:r>
        <w:rPr>
          <w:i w:val="0"/>
        </w:rPr>
        <w:t xml:space="preserve"> ("Soluções para Contadorias") — recalcula uma declaração de IRPF já entregue, aplicando alterações (acréscimos e decréscimos) aos valores originais de qualquer rubrica, para múltiplos anos.</w:t>
      </w:r>
    </w:p>
    <w:p>
      <w:pPr>
        <w:spacing w:after="160"/>
      </w:pPr>
      <w:r>
        <w:rPr>
          <w:i w:val="0"/>
        </w:rPr>
        <w:t xml:space="preserve">O cálculo realizado não é uma declaração de IR "avulsa": é o </w:t>
      </w:r>
      <w:r>
        <w:rPr>
          <w:b/>
        </w:rPr>
        <w:t>cálculo judicial de diferenças de Imposto de Renda dentro de um processo em trâmite</w:t>
      </w:r>
      <w:r>
        <w:rPr>
          <w:i w:val="0"/>
        </w:rPr>
        <w:t xml:space="preserve"> (por exemplo, discussão sobre a incidência de IR sobre determinados rendimentos), incluindo a apuração de correção monetária e juros de mora sobre a diferença, respeitando o teto de 60 salários mínimos dos Juizados Especiais/RPV, para juntada da memória de cálculo ao processo.</w:t>
      </w:r>
    </w:p>
    <w:p>
      <w:pPr>
        <w:spacing w:after="160"/>
      </w:pPr>
      <w:r>
        <w:rPr>
          <w:i w:val="0"/>
        </w:rPr>
        <w:t xml:space="preserve">Um primeiro projeto de migração dessas planilhas para uma ferramenta única foi iniciado em parceria com a Assessoria de Governança da SG, mas foi interrompido com o desligamento da estagiária de TI responsável pelo desenvolvimento. O </w:t>
      </w:r>
      <w:r>
        <w:rPr>
          <w:b/>
        </w:rPr>
        <w:t>CALCJUD</w:t>
      </w:r>
      <w:r>
        <w:rPr>
          <w:i w:val="0"/>
        </w:rPr>
        <w:t xml:space="preserve"> (este repositório) é a versão da ferramenta resultante desse esforço — já implementa, em </w:t>
      </w:r>
      <w:r>
        <w:t>src/services/calculoIRPF.ts</w:t>
      </w:r>
      <w:r>
        <w:rPr>
          <w:rFonts w:ascii="Consolas" w:hAnsi="Consolas"/>
          <w:i/>
          <w:color w:val="666666"/>
          <w:sz w:val="17"/>
        </w:rPr>
        <w:t xml:space="preserve"> (../src/services/calculoIRPF.ts)</w:t>
      </w:r>
      <w:r>
        <w:rPr>
          <w:i w:val="0"/>
        </w:rPr>
        <w:t>, a sequência de cálculo em 8 partes descrita na especificação funcional levantada naquele projeto (dados do processo → recálculo ano a ano → separação de diferenças antes/depois da distribuição → aplicação do teto do RPV → atualização até a data final → totais de principal e juros).</w:t>
      </w:r>
    </w:p>
    <w:p>
      <w:bookmarkStart w:id="2" w:name="sec-objetivo"/>
      <w:pPr>
        <w:pStyle w:val="Heading1"/>
      </w:pPr>
      <w:bookmarkEnd w:id="2"/>
      <w:r>
        <w:rPr>
          <w:i w:val="0"/>
        </w:rPr>
        <w:t>Objetivo</w:t>
      </w:r>
    </w:p>
    <w:p>
      <w:pPr>
        <w:spacing w:after="160"/>
      </w:pPr>
      <w:r>
        <w:rPr>
          <w:i w:val="0"/>
        </w:rPr>
        <w:t>Oferecer uma ferramenta web única, substituindo as duas planilhas manuais, para:</w:t>
      </w:r>
    </w:p>
    <w:p>
      <w:pPr>
        <w:pStyle w:val="ListBullet"/>
        <w:spacing w:after="60"/>
      </w:pPr>
      <w:r>
        <w:rPr>
          <w:b/>
        </w:rPr>
        <w:t>Ajuste Anual</w:t>
      </w:r>
      <w:r>
        <w:rPr>
          <w:i w:val="0"/>
        </w:rPr>
        <w:t>: recalcular o imposto devido de um único ano-calendário a partir dos dados originais da declaração e de alterações (acréscimos/decréscimos) em rendimentos, deduções, incentivos e RRA (Rendimentos Recebidos Acumuladamente), apurando o imposto a pagar ou a restituir.</w:t>
      </w:r>
    </w:p>
    <w:p>
      <w:pPr>
        <w:pStyle w:val="ListBullet"/>
        <w:spacing w:after="60"/>
      </w:pPr>
      <w:r>
        <w:rPr>
          <w:b/>
        </w:rPr>
        <w:t>Retificação</w:t>
      </w:r>
      <w:r>
        <w:rPr>
          <w:i w:val="0"/>
        </w:rPr>
        <w:t>: calcular, para um processo judicial com um ou mais anos-calendário, os valores devidos com correção monetária e juros até a data de distribuição e/ou até uma data final, aplicando o teto do RPV/Juizados Especiais (60 salários mínimos) e produzindo o resumo de principal devido, juros devidos e total de execução.</w:t>
      </w:r>
    </w:p>
    <w:p>
      <w:pPr>
        <w:pStyle w:val="ListBullet"/>
        <w:spacing w:after="60"/>
      </w:pPr>
      <w:r>
        <w:rPr>
          <w:b/>
        </w:rPr>
        <w:t>Consulta</w:t>
      </w:r>
      <w:r>
        <w:rPr>
          <w:i w:val="0"/>
        </w:rPr>
        <w:t>: permitir a qualquer pessoa (parte, advogado, servidor) verificar a autenticidade de um cálculo já realizado a partir do seu ID único.</w:t>
      </w:r>
    </w:p>
    <w:p>
      <w:pPr>
        <w:pStyle w:val="ListBullet"/>
        <w:spacing w:after="60"/>
      </w:pPr>
      <w:r>
        <w:rPr>
          <w:b/>
        </w:rPr>
        <w:t>Transparência dos parâmetros</w:t>
      </w:r>
      <w:r>
        <w:rPr>
          <w:i w:val="0"/>
        </w:rPr>
        <w:t>: expor publicamente as tabelas fiscais (faixas de IR, teto do simplificado, salário mínimo histórico, índices econômicos) usadas nos cálculos.</w:t>
      </w:r>
    </w:p>
    <w:p>
      <w:pPr>
        <w:pStyle w:val="ListBullet"/>
        <w:spacing w:after="60"/>
      </w:pPr>
      <w:r>
        <w:rPr>
          <w:b/>
        </w:rPr>
        <w:t>Relatório para juntada</w:t>
      </w:r>
      <w:r>
        <w:rPr>
          <w:i w:val="0"/>
        </w:rPr>
        <w:t>: gerar a memória de cálculo completa em PDF, pronta para ser anexada ao processo.</w:t>
      </w:r>
    </w:p>
    <w:p>
      <w:pPr>
        <w:pStyle w:val="ListBullet"/>
        <w:spacing w:after="60"/>
      </w:pPr>
      <w:r>
        <w:rPr>
          <w:b/>
        </w:rPr>
        <w:t>Administração</w:t>
      </w:r>
      <w:r>
        <w:rPr>
          <w:i w:val="0"/>
        </w:rPr>
        <w:t>: permitir que usuários administradores mantenham as tabelas auxiliares atualizadas e controlem a disponibilidade pública do sistema, sem depender de alteração de código.</w:t>
      </w:r>
    </w:p>
    <w:p>
      <w:pPr>
        <w:spacing w:after="160"/>
      </w:pPr>
      <w:r>
        <w:rPr>
          <w:i w:val="0"/>
        </w:rPr>
        <w:t xml:space="preserve">O uso de cálculo em si (Ajuste Anual, Retificação e Consulta) é </w:t>
      </w:r>
      <w:r>
        <w:rPr>
          <w:b/>
        </w:rPr>
        <w:t>público e não exige login</w:t>
      </w:r>
      <w:r>
        <w:rPr>
          <w:i w:val="0"/>
        </w:rPr>
        <w:t>. O login administrativo é necessário apenas para alterar parâmetros, tabelas auxiliares e configurações do sistema.</w:t>
      </w:r>
    </w:p>
    <w:p>
      <w:bookmarkStart w:id="3" w:name="sec-como-utilizar"/>
      <w:pPr>
        <w:pStyle w:val="Heading1"/>
      </w:pPr>
      <w:bookmarkEnd w:id="3"/>
      <w:r>
        <w:rPr>
          <w:i w:val="0"/>
        </w:rPr>
        <w:t>Como utilizar</w:t>
      </w:r>
    </w:p>
    <w:p>
      <w:pPr>
        <w:pStyle w:val="Heading2"/>
      </w:pPr>
      <w:r>
        <w:rPr>
          <w:i w:val="0"/>
        </w:rPr>
        <w:t>Página inicial</w:t>
      </w:r>
    </w:p>
    <w:p>
      <w:pPr>
        <w:spacing w:after="160"/>
      </w:pPr>
      <w:r>
        <w:rPr>
          <w:i w:val="0"/>
        </w:rPr>
        <w:t xml:space="preserve">Apresenta três atalhos — </w:t>
      </w:r>
      <w:r>
        <w:rPr>
          <w:b/>
        </w:rPr>
        <w:t>Ajuste Anual</w:t>
      </w:r>
      <w:r>
        <w:rPr>
          <w:i w:val="0"/>
        </w:rPr>
        <w:t xml:space="preserve">, </w:t>
      </w:r>
      <w:r>
        <w:rPr>
          <w:b/>
        </w:rPr>
        <w:t>Retificação</w:t>
      </w:r>
      <w:r>
        <w:rPr>
          <w:i w:val="0"/>
        </w:rPr>
        <w:t xml:space="preserve"> e </w:t>
      </w:r>
      <w:r>
        <w:rPr>
          <w:b/>
        </w:rPr>
        <w:t>Buscar por ID</w:t>
      </w:r>
      <w:r>
        <w:rPr>
          <w:i w:val="0"/>
        </w:rPr>
        <w:t xml:space="preserve"> — cada um podendo estar habilitado ou desabilitado conforme a configuração de disponibilidade definida pelos administradores (ver </w:t>
      </w:r>
      <w:r>
        <w:t>Disponibilidade</w:t>
      </w:r>
      <w:r>
        <w:rPr>
          <w:rFonts w:ascii="Consolas" w:hAnsi="Consolas"/>
          <w:i/>
          <w:color w:val="666666"/>
          <w:sz w:val="17"/>
        </w:rPr>
        <w:t xml:space="preserve"> (#administração-do-sistema)</w:t>
      </w:r>
      <w:r>
        <w:rPr>
          <w:i w:val="0"/>
        </w:rPr>
        <w:t xml:space="preserve"> abaixo). Também há um atalho para </w:t>
      </w:r>
      <w:r>
        <w:rPr>
          <w:b/>
        </w:rPr>
        <w:t>Visualizar parâmetros</w:t>
      </w:r>
      <w:r>
        <w:rPr>
          <w:i w:val="0"/>
        </w:rPr>
        <w:t xml:space="preserve"> e o botão de </w:t>
      </w:r>
      <w:r>
        <w:rPr>
          <w:b/>
        </w:rPr>
        <w:t>Login admin</w:t>
      </w:r>
      <w:r>
        <w:rPr>
          <w:i w:val="0"/>
        </w:rPr>
        <w:t>.</w:t>
      </w:r>
    </w:p>
    <w:p>
      <w:pPr>
        <w:pStyle w:val="Heading2"/>
      </w:pPr>
      <w:r>
        <w:rPr>
          <w:i w:val="0"/>
        </w:rPr>
        <w:t>Ajuste Anual (</w:t>
      </w:r>
      <w:r>
        <w:rPr>
          <w:rFonts w:ascii="Consolas" w:hAnsi="Consolas"/>
          <w:color w:val="C0265F"/>
          <w:sz w:val="19"/>
        </w:rPr>
        <w:t>/calculo/ajuste-anual</w:t>
      </w:r>
      <w:r>
        <w:rPr>
          <w:i w:val="0"/>
        </w:rPr>
        <w:t>)</w:t>
      </w:r>
    </w:p>
    <w:p>
      <w:pPr>
        <w:pStyle w:val="ListNumber"/>
        <w:spacing w:after="60"/>
      </w:pPr>
      <w:r>
        <w:rPr>
          <w:i w:val="0"/>
        </w:rPr>
        <w:t>Informe o ano-calendário e o tipo de declaração (completa ou simplificada).</w:t>
      </w:r>
    </w:p>
    <w:p>
      <w:pPr>
        <w:pStyle w:val="ListNumber"/>
        <w:spacing w:after="60"/>
      </w:pPr>
      <w:r>
        <w:rPr>
          <w:i w:val="0"/>
        </w:rPr>
        <w:t>Preencha os dados originais da declaração: rendimentos tributáveis, deduções legais, deduções de incentivo (apenas na declaração completa), imposto sobre RRA, imposto pago/retido e o valor do ajuste anual já apurado na declaração original.</w:t>
      </w:r>
    </w:p>
    <w:p>
      <w:pPr>
        <w:pStyle w:val="ListNumber"/>
        <w:spacing w:after="60"/>
      </w:pPr>
      <w:r>
        <w:rPr>
          <w:i w:val="0"/>
        </w:rPr>
        <w:t>Informe as alterações a aplicar (valores a somar/subtrair de rendimentos, deduções, incentivo e RRA).</w:t>
      </w:r>
    </w:p>
    <w:p>
      <w:pPr>
        <w:pStyle w:val="ListNumber"/>
        <w:spacing w:after="60"/>
      </w:pPr>
      <w:r>
        <w:rPr>
          <w:i w:val="0"/>
        </w:rPr>
        <w:t>O sistema valida a consistência dos dados informados (o ajuste anual informado deve bater com o que a fórmula calcula a partir dos dados originais) e apresenta o resultado recalculado, com o imposto devido e o valor a pagar/restituir.</w:t>
      </w:r>
    </w:p>
    <w:p>
      <w:pPr>
        <w:pStyle w:val="Heading2"/>
      </w:pPr>
      <w:r>
        <w:rPr>
          <w:i w:val="0"/>
        </w:rPr>
        <w:t>Retificação (</w:t>
      </w:r>
      <w:r>
        <w:rPr>
          <w:rFonts w:ascii="Consolas" w:hAnsi="Consolas"/>
          <w:color w:val="C0265F"/>
          <w:sz w:val="19"/>
        </w:rPr>
        <w:t>/calculo/retificacao</w:t>
      </w:r>
      <w:r>
        <w:rPr>
          <w:i w:val="0"/>
        </w:rPr>
        <w:t>)</w:t>
      </w:r>
    </w:p>
    <w:p>
      <w:pPr>
        <w:pStyle w:val="ListNumber"/>
        <w:spacing w:after="60"/>
      </w:pPr>
      <w:r>
        <w:rPr>
          <w:i w:val="0"/>
        </w:rPr>
        <w:t xml:space="preserve">Informe os </w:t>
      </w:r>
      <w:r>
        <w:rPr>
          <w:b/>
        </w:rPr>
        <w:t>dados do processo</w:t>
      </w:r>
      <w:r>
        <w:rPr>
          <w:i w:val="0"/>
        </w:rPr>
        <w:t>: número do processo, nome do autor e data do ajuizamento.</w:t>
      </w:r>
    </w:p>
    <w:p>
      <w:pPr>
        <w:pStyle w:val="ListNumber"/>
        <w:spacing w:after="60"/>
      </w:pPr>
      <w:r>
        <w:rPr>
          <w:i w:val="0"/>
        </w:rPr>
        <w:t xml:space="preserve">Escolha o </w:t>
      </w:r>
      <w:r>
        <w:rPr>
          <w:b/>
        </w:rPr>
        <w:t>tipo de correção monetária</w:t>
      </w:r>
      <w:r>
        <w:rPr>
          <w:i w:val="0"/>
        </w:rPr>
        <w:t>: SELIC, SELIC até 06/2009 seguida de rentabilidade da poupança, ou sem correção; informe também o percentual de honorários.</w:t>
      </w:r>
    </w:p>
    <w:p>
      <w:pPr>
        <w:pStyle w:val="ListNumber"/>
        <w:spacing w:after="60"/>
      </w:pPr>
      <w:r>
        <w:rPr>
          <w:i w:val="0"/>
        </w:rPr>
        <w:t xml:space="preserve">Quando há correção, defina se o total deve ser </w:t>
      </w:r>
      <w:r>
        <w:rPr>
          <w:b/>
        </w:rPr>
        <w:t>limitado na data do ajuizamento</w:t>
      </w:r>
      <w:r>
        <w:rPr>
          <w:i w:val="0"/>
        </w:rPr>
        <w:t xml:space="preserve"> ("Limita total na data do ajuizamento") e até quando o cálculo deve ser atualizado ("Atualiza cálculo até").</w:t>
      </w:r>
    </w:p>
    <w:p>
      <w:pPr>
        <w:pStyle w:val="ListNumber"/>
        <w:spacing w:after="60"/>
      </w:pPr>
      <w:r>
        <w:rPr>
          <w:i w:val="0"/>
        </w:rPr>
        <w:t xml:space="preserve">Clique em </w:t>
      </w:r>
      <w:r>
        <w:rPr>
          <w:b/>
        </w:rPr>
        <w:t>Adicionar ano</w:t>
      </w:r>
      <w:r>
        <w:rPr>
          <w:i w:val="0"/>
        </w:rPr>
        <w:t xml:space="preserve"> para incluir cada ano-calendário envolvido: preencha os dados originais da declaração daquele ano e, se necessário, uma ou mais </w:t>
      </w:r>
      <w:r>
        <w:rPr>
          <w:b/>
        </w:rPr>
        <w:t>alterações</w:t>
      </w:r>
      <w:r>
        <w:rPr>
          <w:i w:val="0"/>
        </w:rPr>
        <w:t xml:space="preserve"> (cada uma com data, número de folha opcional, valores a somar/subtrair por rubrica e motivo/observação) — repita para quantos anos forem necessários.</w:t>
      </w:r>
    </w:p>
    <w:p>
      <w:pPr>
        <w:pStyle w:val="ListNumber"/>
        <w:spacing w:after="60"/>
      </w:pPr>
      <w:r>
        <w:rPr>
          <w:i w:val="0"/>
        </w:rPr>
        <w:t xml:space="preserve">Clique em </w:t>
      </w:r>
      <w:r>
        <w:rPr>
          <w:b/>
        </w:rPr>
        <w:t>Simular Retificação</w:t>
      </w:r>
      <w:r>
        <w:rPr>
          <w:i w:val="0"/>
        </w:rPr>
        <w:t xml:space="preserve"> para calcular o resultado consolidado: diferenças por ano, separação entre valores "até a distribuição" e "depois da distribuição", aplicação do teto do RPV quando cabível, e os totais finais de principal devido, juros devidos e total de execução.</w:t>
      </w:r>
    </w:p>
    <w:p>
      <w:pPr>
        <w:pStyle w:val="Heading2"/>
      </w:pPr>
      <w:r>
        <w:rPr>
          <w:i w:val="0"/>
        </w:rPr>
        <w:t>Resultado e Relatório</w:t>
      </w:r>
    </w:p>
    <w:p>
      <w:pPr>
        <w:spacing w:after="160"/>
      </w:pPr>
      <w:r>
        <w:rPr>
          <w:i w:val="0"/>
        </w:rPr>
        <w:t xml:space="preserve">Após simular um cálculo (Ajuste Anual ou Retificação), o sistema exibe uma tela de </w:t>
      </w:r>
      <w:r>
        <w:rPr>
          <w:b/>
        </w:rPr>
        <w:t>Resultado</w:t>
      </w:r>
      <w:r>
        <w:rPr>
          <w:i w:val="0"/>
        </w:rPr>
        <w:t xml:space="preserve"> com o detalhamento da memória de cálculo. A partir dali é possível gerar o </w:t>
      </w:r>
      <w:r>
        <w:rPr>
          <w:b/>
        </w:rPr>
        <w:t>Relatório</w:t>
      </w:r>
      <w:r>
        <w:rPr>
          <w:i w:val="0"/>
        </w:rPr>
        <w:t xml:space="preserve"> (</w:t>
      </w:r>
      <w:r>
        <w:rPr>
          <w:rFonts w:ascii="Consolas" w:hAnsi="Consolas"/>
          <w:color w:val="C0265F"/>
          <w:sz w:val="19"/>
        </w:rPr>
        <w:t>/relatorio/:id</w:t>
      </w:r>
      <w:r>
        <w:rPr>
          <w:i w:val="0"/>
        </w:rPr>
        <w:t xml:space="preserve">, após persistido no banco) com a memória de cálculo completa e exportá-lo/baixá-lo em </w:t>
      </w:r>
      <w:r>
        <w:rPr>
          <w:b/>
        </w:rPr>
        <w:t>PDF</w:t>
      </w:r>
      <w:r>
        <w:rPr>
          <w:i w:val="0"/>
        </w:rPr>
        <w:t xml:space="preserve"> — pronto para juntada ao processo — via </w:t>
      </w:r>
      <w:r>
        <w:t>src/services/pdfGenerator.ts</w:t>
      </w:r>
      <w:r>
        <w:rPr>
          <w:rFonts w:ascii="Consolas" w:hAnsi="Consolas"/>
          <w:i/>
          <w:color w:val="666666"/>
          <w:sz w:val="17"/>
        </w:rPr>
        <w:t xml:space="preserve"> (../src/services/pdfGenerator.ts)</w:t>
      </w:r>
      <w:r>
        <w:rPr>
          <w:i w:val="0"/>
        </w:rPr>
        <w:t>.</w:t>
      </w:r>
    </w:p>
    <w:p>
      <w:pPr>
        <w:pStyle w:val="Heading2"/>
      </w:pPr>
      <w:r>
        <w:rPr>
          <w:i w:val="0"/>
        </w:rPr>
        <w:t>Buscar por ID (</w:t>
      </w:r>
      <w:r>
        <w:rPr>
          <w:rFonts w:ascii="Consolas" w:hAnsi="Consolas"/>
          <w:color w:val="C0265F"/>
          <w:sz w:val="19"/>
        </w:rPr>
        <w:t>/consulta</w:t>
      </w:r>
      <w:r>
        <w:rPr>
          <w:i w:val="0"/>
        </w:rPr>
        <w:t>)</w:t>
      </w:r>
    </w:p>
    <w:p>
      <w:pPr>
        <w:spacing w:after="160"/>
      </w:pPr>
      <w:r>
        <w:rPr>
          <w:i w:val="0"/>
        </w:rPr>
        <w:t>Informe o ID (UUID) de um cálculo já realizado para abrir diretamente o respectivo relatório e conferir sua autenticidade e integridade.</w:t>
      </w:r>
    </w:p>
    <w:p>
      <w:pPr>
        <w:pStyle w:val="Heading2"/>
      </w:pPr>
      <w:r>
        <w:rPr>
          <w:i w:val="0"/>
        </w:rPr>
        <w:t>Parâmetros (</w:t>
      </w:r>
      <w:r>
        <w:rPr>
          <w:rFonts w:ascii="Consolas" w:hAnsi="Consolas"/>
          <w:color w:val="C0265F"/>
          <w:sz w:val="19"/>
        </w:rPr>
        <w:t>/parametros</w:t>
      </w:r>
      <w:r>
        <w:rPr>
          <w:i w:val="0"/>
        </w:rPr>
        <w:t>)</w:t>
      </w:r>
    </w:p>
    <w:p>
      <w:pPr>
        <w:spacing w:after="160"/>
      </w:pPr>
      <w:r>
        <w:rPr>
          <w:i w:val="0"/>
        </w:rPr>
        <w:t>Página com três abas:</w:t>
      </w:r>
    </w:p>
    <w:p>
      <w:pPr>
        <w:pStyle w:val="ListBullet"/>
        <w:spacing w:after="60"/>
      </w:pPr>
      <w:r>
        <w:rPr>
          <w:b/>
        </w:rPr>
        <w:t>Tabelas</w:t>
      </w:r>
      <w:r>
        <w:rPr>
          <w:i w:val="0"/>
        </w:rPr>
        <w:t xml:space="preserve"> — consulta pública (leitura) de qualquer uma das tabelas auxiliares usadas nos cálculos (parâmetros de IR, faixas de IR, salário mínimo, índices econômicos, taxas históricas, templates de cálculo e regras de sub-período). Em sessão administrativa, a tabela selecionada também pode ser criada, editada ou excluída.</w:t>
      </w:r>
    </w:p>
    <w:p>
      <w:pPr>
        <w:pStyle w:val="ListBullet"/>
        <w:spacing w:after="60"/>
      </w:pPr>
      <w:r>
        <w:rPr>
          <w:b/>
        </w:rPr>
        <w:t>Acesso admin</w:t>
      </w:r>
      <w:r>
        <w:rPr>
          <w:i w:val="0"/>
        </w:rPr>
        <w:t xml:space="preserve"> — (visível para qualquer visitante, mas só operável logado) permite a um administrador convidar novos administradores por e-mail e visualizar a lista de administradores ativos e de convites pendentes.</w:t>
      </w:r>
    </w:p>
    <w:p>
      <w:pPr>
        <w:pStyle w:val="ListBullet"/>
        <w:spacing w:after="60"/>
      </w:pPr>
      <w:r>
        <w:rPr>
          <w:b/>
        </w:rPr>
        <w:t>Disponibilidade</w:t>
      </w:r>
      <w:r>
        <w:rPr>
          <w:i w:val="0"/>
        </w:rPr>
        <w:t xml:space="preserve"> — permite a um administrador ligar/desligar o sistema inteiro ou, individualmente, os módulos de Ajuste Anual e Retificação para o público.</w:t>
      </w:r>
    </w:p>
    <w:p>
      <w:pPr>
        <w:pStyle w:val="Heading2"/>
      </w:pPr>
      <w:r>
        <w:rPr>
          <w:i w:val="0"/>
        </w:rPr>
        <w:t>Administração do sistema</w:t>
      </w:r>
    </w:p>
    <w:p>
      <w:pPr>
        <w:spacing w:after="160"/>
      </w:pPr>
      <w:r>
        <w:rPr>
          <w:i w:val="0"/>
        </w:rPr>
        <w:t xml:space="preserve">Consulte a seção </w:t>
      </w:r>
      <w:r>
        <w:t>Acesso ao Sistema</w:t>
      </w:r>
      <w:r>
        <w:rPr>
          <w:rFonts w:ascii="Consolas" w:hAnsi="Consolas"/>
          <w:i/>
          <w:color w:val="666666"/>
          <w:sz w:val="17"/>
        </w:rPr>
        <w:t xml:space="preserve"> (#acesso-ao-sistema)</w:t>
      </w:r>
      <w:r>
        <w:rPr>
          <w:i w:val="0"/>
        </w:rPr>
        <w:t xml:space="preserve"> para o passo a passo de login administrativo, primeiro acesso e convite de novos administradores.</w:t>
      </w:r>
    </w:p>
    <w:p>
      <w:bookmarkStart w:id="4" w:name="sec-detalhes-tecnicos"/>
      <w:pPr>
        <w:pStyle w:val="Heading1"/>
      </w:pPr>
      <w:bookmarkEnd w:id="4"/>
      <w:r>
        <w:rPr>
          <w:i w:val="0"/>
        </w:rPr>
        <w:t>Detalhes Técnicos</w:t>
      </w:r>
    </w:p>
    <w:p>
      <w:pPr>
        <w:pStyle w:val="Heading2"/>
      </w:pPr>
      <w:r>
        <w:rPr>
          <w:i w:val="0"/>
        </w:rPr>
        <w:t>Linguagens e principais tecnologias</w:t>
      </w:r>
    </w:p>
    <w:p>
      <w:pPr>
        <w:pStyle w:val="ListBullet"/>
        <w:spacing w:after="60"/>
      </w:pPr>
      <w:r>
        <w:rPr>
          <w:b/>
        </w:rPr>
        <w:t>Linguagem principal</w:t>
      </w:r>
      <w:r>
        <w:rPr>
          <w:i w:val="0"/>
        </w:rPr>
        <w:t>: TypeScript (React com JSX/TSX) no front-end.</w:t>
      </w:r>
    </w:p>
    <w:p>
      <w:pPr>
        <w:pStyle w:val="ListBullet"/>
        <w:spacing w:after="60"/>
      </w:pPr>
      <w:r>
        <w:rPr>
          <w:b/>
        </w:rPr>
        <w:t>SQL / PL/pgSQL</w:t>
      </w:r>
      <w:r>
        <w:rPr>
          <w:i w:val="0"/>
        </w:rPr>
        <w:t>: funções, triggers e políticas de segurança do banco de dados (</w:t>
      </w:r>
      <w:r>
        <w:t>supabase/schema.sql</w:t>
      </w:r>
      <w:r>
        <w:rPr>
          <w:rFonts w:ascii="Consolas" w:hAnsi="Consolas"/>
          <w:i/>
          <w:color w:val="666666"/>
          <w:sz w:val="17"/>
        </w:rPr>
        <w:t xml:space="preserve"> (../supabase/schema.sql)</w:t>
      </w:r>
      <w:r>
        <w:rPr>
          <w:i w:val="0"/>
        </w:rPr>
        <w:t>).</w:t>
      </w:r>
    </w:p>
    <w:p>
      <w:pPr>
        <w:pStyle w:val="ListBullet"/>
        <w:spacing w:after="60"/>
      </w:pPr>
      <w:r>
        <w:rPr>
          <w:b/>
        </w:rPr>
        <w:t>Framework de UI</w:t>
      </w:r>
      <w:r>
        <w:rPr>
          <w:i w:val="0"/>
        </w:rPr>
        <w:t xml:space="preserve">: React 18, com roteamento via </w:t>
      </w:r>
      <w:r>
        <w:rPr>
          <w:rFonts w:ascii="Consolas" w:hAnsi="Consolas"/>
          <w:color w:val="C0265F"/>
          <w:sz w:val="19"/>
        </w:rPr>
        <w:t>react-router-dom</w:t>
      </w:r>
      <w:r>
        <w:rPr>
          <w:i w:val="0"/>
        </w:rPr>
        <w:t xml:space="preserve"> (rotas em </w:t>
      </w:r>
      <w:r>
        <w:t>src/App.tsx</w:t>
      </w:r>
      <w:r>
        <w:rPr>
          <w:rFonts w:ascii="Consolas" w:hAnsi="Consolas"/>
          <w:i/>
          <w:color w:val="666666"/>
          <w:sz w:val="17"/>
        </w:rPr>
        <w:t xml:space="preserve"> (../src/App.tsx)</w:t>
      </w:r>
      <w:r>
        <w:rPr>
          <w:i w:val="0"/>
        </w:rPr>
        <w:t xml:space="preserve">, com </w:t>
      </w:r>
      <w:r>
        <w:rPr>
          <w:i/>
        </w:rPr>
        <w:t>code splitting</w:t>
      </w:r>
      <w:r>
        <w:rPr>
          <w:i w:val="0"/>
        </w:rPr>
        <w:t xml:space="preserve"> por página via </w:t>
      </w:r>
      <w:r>
        <w:rPr>
          <w:rFonts w:ascii="Consolas" w:hAnsi="Consolas"/>
          <w:color w:val="C0265F"/>
          <w:sz w:val="19"/>
        </w:rPr>
        <w:t>React.lazy</w:t>
      </w:r>
      <w:r>
        <w:rPr>
          <w:i w:val="0"/>
        </w:rPr>
        <w:t>).</w:t>
      </w:r>
    </w:p>
    <w:p>
      <w:pPr>
        <w:pStyle w:val="ListBullet"/>
        <w:spacing w:after="60"/>
      </w:pPr>
      <w:r>
        <w:rPr>
          <w:b/>
        </w:rPr>
        <w:t>Build / dev server</w:t>
      </w:r>
      <w:r>
        <w:rPr>
          <w:i w:val="0"/>
        </w:rPr>
        <w:t xml:space="preserve">: Vite 5, com plugin </w:t>
      </w:r>
      <w:r>
        <w:rPr>
          <w:rFonts w:ascii="Consolas" w:hAnsi="Consolas"/>
          <w:color w:val="C0265F"/>
          <w:sz w:val="19"/>
        </w:rPr>
        <w:t>@vitejs/plugin-react-swc</w:t>
      </w:r>
      <w:r>
        <w:rPr>
          <w:i w:val="0"/>
        </w:rPr>
        <w:t xml:space="preserve">. Configuração em </w:t>
      </w:r>
      <w:r>
        <w:t>vite.config.ts</w:t>
      </w:r>
      <w:r>
        <w:rPr>
          <w:rFonts w:ascii="Consolas" w:hAnsi="Consolas"/>
          <w:i/>
          <w:color w:val="666666"/>
          <w:sz w:val="17"/>
        </w:rPr>
        <w:t xml:space="preserve"> (../vite.config.ts)</w:t>
      </w:r>
      <w:r>
        <w:rPr>
          <w:i w:val="0"/>
        </w:rPr>
        <w:t>.</w:t>
      </w:r>
    </w:p>
    <w:p>
      <w:pPr>
        <w:pStyle w:val="ListBullet"/>
        <w:spacing w:after="60"/>
      </w:pPr>
      <w:r>
        <w:rPr>
          <w:b/>
        </w:rPr>
        <w:t>Estilização</w:t>
      </w:r>
      <w:r>
        <w:rPr>
          <w:i w:val="0"/>
        </w:rPr>
        <w:t xml:space="preserve">: Tailwind CSS, com biblioteca de componentes shadcn/ui (baseada em Radix UI) em </w:t>
      </w:r>
      <w:r>
        <w:t>src/components/ui/</w:t>
      </w:r>
      <w:r>
        <w:rPr>
          <w:rFonts w:ascii="Consolas" w:hAnsi="Consolas"/>
          <w:i/>
          <w:color w:val="666666"/>
          <w:sz w:val="17"/>
        </w:rPr>
        <w:t xml:space="preserve"> (../src/components/ui/)</w:t>
      </w:r>
      <w:r>
        <w:rPr>
          <w:i w:val="0"/>
        </w:rPr>
        <w:t>.</w:t>
      </w:r>
    </w:p>
    <w:p>
      <w:pPr>
        <w:pStyle w:val="ListBullet"/>
        <w:spacing w:after="60"/>
      </w:pPr>
      <w:r>
        <w:rPr>
          <w:b/>
        </w:rPr>
        <w:t>Gerenciamento de estado assíncrono/cache</w:t>
      </w:r>
      <w:r>
        <w:rPr>
          <w:i w:val="0"/>
        </w:rPr>
        <w:t>: TanStack Query (</w:t>
      </w:r>
      <w:r>
        <w:rPr>
          <w:rFonts w:ascii="Consolas" w:hAnsi="Consolas"/>
          <w:color w:val="C0265F"/>
          <w:sz w:val="19"/>
        </w:rPr>
        <w:t>@tanstack/react-query</w:t>
      </w:r>
      <w:r>
        <w:rPr>
          <w:i w:val="0"/>
        </w:rPr>
        <w:t xml:space="preserve">), usado nos hooks de acesso a dados como </w:t>
      </w:r>
      <w:r>
        <w:t>src/hooks/useIRData.ts</w:t>
      </w:r>
      <w:r>
        <w:rPr>
          <w:rFonts w:ascii="Consolas" w:hAnsi="Consolas"/>
          <w:i/>
          <w:color w:val="666666"/>
          <w:sz w:val="17"/>
        </w:rPr>
        <w:t xml:space="preserve"> (../src/hooks/useIRData.ts)</w:t>
      </w:r>
      <w:r>
        <w:rPr>
          <w:i w:val="0"/>
        </w:rPr>
        <w:t xml:space="preserve">, </w:t>
      </w:r>
      <w:r>
        <w:t>src/hooks/useRetificacaoContexto.ts</w:t>
      </w:r>
      <w:r>
        <w:rPr>
          <w:rFonts w:ascii="Consolas" w:hAnsi="Consolas"/>
          <w:i/>
          <w:color w:val="666666"/>
          <w:sz w:val="17"/>
        </w:rPr>
        <w:t xml:space="preserve"> (../src/hooks/useRetificacaoContexto.ts)</w:t>
      </w:r>
      <w:r>
        <w:rPr>
          <w:i w:val="0"/>
        </w:rPr>
        <w:t xml:space="preserve"> e </w:t>
      </w:r>
      <w:r>
        <w:t>src/hooks/useSystemSettings.ts</w:t>
      </w:r>
      <w:r>
        <w:rPr>
          <w:rFonts w:ascii="Consolas" w:hAnsi="Consolas"/>
          <w:i/>
          <w:color w:val="666666"/>
          <w:sz w:val="17"/>
        </w:rPr>
        <w:t xml:space="preserve"> (../src/hooks/useSystemSettings.ts)</w:t>
      </w:r>
      <w:r>
        <w:rPr>
          <w:i w:val="0"/>
        </w:rPr>
        <w:t>.</w:t>
      </w:r>
    </w:p>
    <w:p>
      <w:pPr>
        <w:pStyle w:val="ListBullet"/>
        <w:spacing w:after="60"/>
      </w:pPr>
      <w:r>
        <w:rPr>
          <w:b/>
        </w:rPr>
        <w:t>Formulários e validação de esquema</w:t>
      </w:r>
      <w:r>
        <w:rPr>
          <w:i w:val="0"/>
        </w:rPr>
        <w:t xml:space="preserve">: </w:t>
      </w:r>
      <w:r>
        <w:rPr>
          <w:rFonts w:ascii="Consolas" w:hAnsi="Consolas"/>
          <w:color w:val="C0265F"/>
          <w:sz w:val="19"/>
        </w:rPr>
        <w:t>react-hook-form</w:t>
      </w:r>
      <w:r>
        <w:rPr>
          <w:i w:val="0"/>
        </w:rPr>
        <w:t xml:space="preserve"> e </w:t>
      </w:r>
      <w:r>
        <w:rPr>
          <w:rFonts w:ascii="Consolas" w:hAnsi="Consolas"/>
          <w:color w:val="C0265F"/>
          <w:sz w:val="19"/>
        </w:rPr>
        <w:t>zod</w:t>
      </w:r>
      <w:r>
        <w:rPr>
          <w:i w:val="0"/>
        </w:rPr>
        <w:t>.</w:t>
      </w:r>
    </w:p>
    <w:p>
      <w:pPr>
        <w:pStyle w:val="ListBullet"/>
        <w:spacing w:after="60"/>
      </w:pPr>
      <w:r>
        <w:rPr>
          <w:b/>
        </w:rPr>
        <w:t>Geração de PDF</w:t>
      </w:r>
      <w:r>
        <w:rPr>
          <w:i w:val="0"/>
        </w:rPr>
        <w:t xml:space="preserve">: </w:t>
      </w:r>
      <w:r>
        <w:rPr>
          <w:rFonts w:ascii="Consolas" w:hAnsi="Consolas"/>
          <w:color w:val="C0265F"/>
          <w:sz w:val="19"/>
        </w:rPr>
        <w:t>jspdf</w:t>
      </w:r>
      <w:r>
        <w:rPr>
          <w:i w:val="0"/>
        </w:rPr>
        <w:t xml:space="preserve"> e </w:t>
      </w:r>
      <w:r>
        <w:rPr>
          <w:rFonts w:ascii="Consolas" w:hAnsi="Consolas"/>
          <w:color w:val="C0265F"/>
          <w:sz w:val="19"/>
        </w:rPr>
        <w:t>jspdf-autotable</w:t>
      </w:r>
      <w:r>
        <w:rPr>
          <w:i w:val="0"/>
        </w:rPr>
        <w:t xml:space="preserve"> (</w:t>
      </w:r>
      <w:r>
        <w:t>src/services/pdfGenerator.ts</w:t>
      </w:r>
      <w:r>
        <w:rPr>
          <w:rFonts w:ascii="Consolas" w:hAnsi="Consolas"/>
          <w:i/>
          <w:color w:val="666666"/>
          <w:sz w:val="17"/>
        </w:rPr>
        <w:t xml:space="preserve"> (../src/services/pdfGenerator.ts)</w:t>
      </w:r>
      <w:r>
        <w:rPr>
          <w:i w:val="0"/>
        </w:rPr>
        <w:t>).</w:t>
      </w:r>
    </w:p>
    <w:p>
      <w:pPr>
        <w:pStyle w:val="ListBullet"/>
        <w:spacing w:after="60"/>
      </w:pPr>
      <w:r>
        <w:rPr>
          <w:b/>
        </w:rPr>
        <w:t>Gráficos</w:t>
      </w:r>
      <w:r>
        <w:rPr>
          <w:i w:val="0"/>
        </w:rPr>
        <w:t xml:space="preserve"> (quando aplicável na UI): </w:t>
      </w:r>
      <w:r>
        <w:rPr>
          <w:rFonts w:ascii="Consolas" w:hAnsi="Consolas"/>
          <w:color w:val="C0265F"/>
          <w:sz w:val="19"/>
        </w:rPr>
        <w:t>recharts</w:t>
      </w:r>
      <w:r>
        <w:rPr>
          <w:i w:val="0"/>
        </w:rPr>
        <w:t>.</w:t>
      </w:r>
    </w:p>
    <w:p>
      <w:pPr>
        <w:pStyle w:val="ListBullet"/>
        <w:spacing w:after="60"/>
      </w:pPr>
      <w:r>
        <w:rPr>
          <w:b/>
        </w:rPr>
        <w:t>Testes</w:t>
      </w:r>
      <w:r>
        <w:rPr>
          <w:i w:val="0"/>
        </w:rPr>
        <w:t>: Vitest para testes unitários (</w:t>
      </w:r>
      <w:r>
        <w:t>src/test/</w:t>
      </w:r>
      <w:r>
        <w:rPr>
          <w:rFonts w:ascii="Consolas" w:hAnsi="Consolas"/>
          <w:i/>
          <w:color w:val="666666"/>
          <w:sz w:val="17"/>
        </w:rPr>
        <w:t xml:space="preserve"> (../src/test/)</w:t>
      </w:r>
      <w:r>
        <w:rPr>
          <w:i w:val="0"/>
        </w:rPr>
        <w:t>) e Playwright para testes end-to-end (</w:t>
      </w:r>
      <w:r>
        <w:t>playwright.config.ts</w:t>
      </w:r>
      <w:r>
        <w:rPr>
          <w:rFonts w:ascii="Consolas" w:hAnsi="Consolas"/>
          <w:i/>
          <w:color w:val="666666"/>
          <w:sz w:val="17"/>
        </w:rPr>
        <w:t xml:space="preserve"> (../playwright.config.ts)</w:t>
      </w:r>
      <w:r>
        <w:rPr>
          <w:i w:val="0"/>
        </w:rPr>
        <w:t xml:space="preserve">, </w:t>
      </w:r>
      <w:r>
        <w:t>playwright-fixture.ts</w:t>
      </w:r>
      <w:r>
        <w:rPr>
          <w:rFonts w:ascii="Consolas" w:hAnsi="Consolas"/>
          <w:i/>
          <w:color w:val="666666"/>
          <w:sz w:val="17"/>
        </w:rPr>
        <w:t xml:space="preserve"> (../playwright-fixture.ts)</w:t>
      </w:r>
      <w:r>
        <w:rPr>
          <w:i w:val="0"/>
        </w:rPr>
        <w:t>).</w:t>
      </w:r>
    </w:p>
    <w:p>
      <w:pPr>
        <w:pStyle w:val="ListBullet"/>
        <w:spacing w:after="60"/>
      </w:pPr>
      <w:r>
        <w:rPr>
          <w:b/>
        </w:rPr>
        <w:t>Lint</w:t>
      </w:r>
      <w:r>
        <w:rPr>
          <w:i w:val="0"/>
        </w:rPr>
        <w:t xml:space="preserve">: ESLint com </w:t>
      </w:r>
      <w:r>
        <w:rPr>
          <w:rFonts w:ascii="Consolas" w:hAnsi="Consolas"/>
          <w:color w:val="C0265F"/>
          <w:sz w:val="19"/>
        </w:rPr>
        <w:t>typescript-eslint</w:t>
      </w:r>
      <w:r>
        <w:rPr>
          <w:i w:val="0"/>
        </w:rPr>
        <w:t>.</w:t>
      </w:r>
    </w:p>
    <w:p>
      <w:pPr>
        <w:pStyle w:val="ListBullet"/>
        <w:spacing w:after="60"/>
      </w:pPr>
      <w:r>
        <w:rPr>
          <w:b/>
        </w:rPr>
        <w:t>Gerenciador de pacotes</w:t>
      </w:r>
      <w:r>
        <w:rPr>
          <w:i w:val="0"/>
        </w:rPr>
        <w:t xml:space="preserve">: Bun (arquivos </w:t>
      </w:r>
      <w:r>
        <w:rPr>
          <w:rFonts w:ascii="Consolas" w:hAnsi="Consolas"/>
          <w:color w:val="C0265F"/>
          <w:sz w:val="19"/>
        </w:rPr>
        <w:t>bun.lock</w:t>
      </w:r>
      <w:r>
        <w:rPr>
          <w:i w:val="0"/>
        </w:rPr>
        <w:t>/</w:t>
      </w:r>
      <w:r>
        <w:rPr>
          <w:rFonts w:ascii="Consolas" w:hAnsi="Consolas"/>
          <w:color w:val="C0265F"/>
          <w:sz w:val="19"/>
        </w:rPr>
        <w:t>bun.lockb</w:t>
      </w:r>
      <w:r>
        <w:rPr>
          <w:i w:val="0"/>
        </w:rPr>
        <w:t xml:space="preserve">); </w:t>
      </w:r>
      <w:r>
        <w:rPr>
          <w:rFonts w:ascii="Consolas" w:hAnsi="Consolas"/>
          <w:color w:val="C0265F"/>
          <w:sz w:val="19"/>
        </w:rPr>
        <w:t>npm</w:t>
      </w:r>
      <w:r>
        <w:rPr>
          <w:i w:val="0"/>
        </w:rPr>
        <w:t xml:space="preserve"> também funciona via </w:t>
      </w:r>
      <w:r>
        <w:rPr>
          <w:rFonts w:ascii="Consolas" w:hAnsi="Consolas"/>
          <w:color w:val="C0265F"/>
          <w:sz w:val="19"/>
        </w:rPr>
        <w:t>package-lock.json</w:t>
      </w:r>
      <w:r>
        <w:rPr>
          <w:i w:val="0"/>
        </w:rPr>
        <w:t>.</w:t>
      </w:r>
    </w:p>
    <w:p>
      <w:pPr>
        <w:pStyle w:val="ListBullet"/>
        <w:spacing w:after="60"/>
      </w:pPr>
      <w:r>
        <w:rPr>
          <w:b/>
        </w:rPr>
        <w:t>Hospedagem/deploy</w:t>
      </w:r>
      <w:r>
        <w:rPr>
          <w:i w:val="0"/>
        </w:rPr>
        <w:t xml:space="preserve">: Vercel, como aplicação estática </w:t>
      </w:r>
      <w:r>
        <w:rPr>
          <w:i/>
        </w:rPr>
        <w:t>single-page</w:t>
      </w:r>
      <w:r>
        <w:rPr>
          <w:i w:val="0"/>
        </w:rPr>
        <w:t xml:space="preserve"> (rewrite de todas as rotas para </w:t>
      </w:r>
      <w:r>
        <w:rPr>
          <w:rFonts w:ascii="Consolas" w:hAnsi="Consolas"/>
          <w:color w:val="C0265F"/>
          <w:sz w:val="19"/>
        </w:rPr>
        <w:t>index.html</w:t>
      </w:r>
      <w:r>
        <w:rPr>
          <w:i w:val="0"/>
        </w:rPr>
        <w:t xml:space="preserve">, ver </w:t>
      </w:r>
      <w:r>
        <w:t>vercel.json</w:t>
      </w:r>
      <w:r>
        <w:rPr>
          <w:rFonts w:ascii="Consolas" w:hAnsi="Consolas"/>
          <w:i/>
          <w:color w:val="666666"/>
          <w:sz w:val="17"/>
        </w:rPr>
        <w:t xml:space="preserve"> (../vercel.json)</w:t>
      </w:r>
      <w:r>
        <w:rPr>
          <w:i w:val="0"/>
        </w:rPr>
        <w:t>).</w:t>
      </w:r>
    </w:p>
    <w:p>
      <w:pPr>
        <w:pStyle w:val="Heading2"/>
      </w:pPr>
      <w:r>
        <w:rPr>
          <w:i w:val="0"/>
        </w:rPr>
        <w:t>Arquitetura da aplicação</w:t>
      </w:r>
    </w:p>
    <w:p>
      <w:pPr>
        <w:spacing w:after="160"/>
      </w:pPr>
      <w:r>
        <w:rPr>
          <w:i w:val="0"/>
        </w:rPr>
        <w:t xml:space="preserve">A aplicação é uma </w:t>
      </w:r>
      <w:r>
        <w:rPr>
          <w:b/>
        </w:rPr>
        <w:t>SPA (Single Page Application)</w:t>
      </w:r>
      <w:r>
        <w:rPr>
          <w:i w:val="0"/>
        </w:rPr>
        <w:t xml:space="preserve"> sem backend próprio: todo o build é estático (gerado pelo Vite) e toda persistência/autenticação é feita diretamente do navegador para o </w:t>
      </w:r>
      <w:r>
        <w:rPr>
          <w:b/>
        </w:rPr>
        <w:t>Supabase</w:t>
      </w:r>
      <w:r>
        <w:rPr>
          <w:i w:val="0"/>
        </w:rPr>
        <w:t xml:space="preserve">, via SDK </w:t>
      </w:r>
      <w:r>
        <w:rPr>
          <w:rFonts w:ascii="Consolas" w:hAnsi="Consolas"/>
          <w:color w:val="C0265F"/>
          <w:sz w:val="19"/>
        </w:rPr>
        <w:t>@supabase/supabase-js</w:t>
      </w:r>
      <w:r>
        <w:rPr>
          <w:i w:val="0"/>
        </w:rPr>
        <w:t>.</w:t>
      </w:r>
    </w:p>
    <w:p>
      <w:pPr>
        <w:spacing w:after="160"/>
      </w:pPr>
      <w:r>
        <w:rPr>
          <w:i w:val="0"/>
        </w:rPr>
        <w:t>Existem dois clientes Supabase no código:</w:t>
      </w:r>
    </w:p>
    <w:p>
      <w:pPr>
        <w:pStyle w:val="ListBullet"/>
        <w:spacing w:after="60"/>
      </w:pPr>
      <w:r>
        <w:t>src/integrations/supabase/client.ts</w:t>
      </w:r>
      <w:r>
        <w:rPr>
          <w:rFonts w:ascii="Consolas" w:hAnsi="Consolas"/>
          <w:i/>
          <w:color w:val="666666"/>
          <w:sz w:val="17"/>
        </w:rPr>
        <w:t xml:space="preserve"> (../src/integrations/supabase/client.ts)</w:t>
      </w:r>
      <w:r>
        <w:rPr>
          <w:i w:val="0"/>
        </w:rPr>
        <w:t xml:space="preserve"> — cliente "gerado" a partir de variáveis de ambiente (</w:t>
      </w:r>
      <w:r>
        <w:rPr>
          <w:rFonts w:ascii="Consolas" w:hAnsi="Consolas"/>
          <w:color w:val="C0265F"/>
          <w:sz w:val="19"/>
        </w:rPr>
        <w:t>VITE_SUPABASE_URL</w:t>
      </w:r>
      <w:r>
        <w:rPr>
          <w:i w:val="0"/>
        </w:rPr>
        <w:t xml:space="preserve">, </w:t>
      </w:r>
      <w:r>
        <w:rPr>
          <w:rFonts w:ascii="Consolas" w:hAnsi="Consolas"/>
          <w:color w:val="C0265F"/>
          <w:sz w:val="19"/>
        </w:rPr>
        <w:t>VITE_SUPABASE_PUBLISHABLE_KEY</w:t>
      </w:r>
      <w:r>
        <w:rPr>
          <w:i w:val="0"/>
        </w:rPr>
        <w:t>), usado como referência/base para outros ambientes Supabase.</w:t>
      </w:r>
    </w:p>
    <w:p>
      <w:pPr>
        <w:pStyle w:val="ListBullet"/>
        <w:spacing w:after="60"/>
      </w:pPr>
      <w:r>
        <w:t>src/integrations/supabase/externalClient.ts</w:t>
      </w:r>
      <w:r>
        <w:rPr>
          <w:rFonts w:ascii="Consolas" w:hAnsi="Consolas"/>
          <w:i/>
          <w:color w:val="666666"/>
          <w:sz w:val="17"/>
        </w:rPr>
        <w:t xml:space="preserve"> (../src/integrations/supabase/externalClient.ts)</w:t>
      </w:r>
      <w:r>
        <w:rPr>
          <w:i w:val="0"/>
        </w:rPr>
        <w:t xml:space="preserve"> — aponta diretamente para o projeto Supabase de produção do CALCJUD e é o cliente efetivamente utilizado pela aplicação (autenticação, tabelas auxiliares, cálculos, configurações do sistema).</w:t>
      </w:r>
    </w:p>
    <w:p>
      <w:pPr>
        <w:spacing w:after="160"/>
      </w:pPr>
      <w:r>
        <w:rPr>
          <w:i w:val="0"/>
        </w:rPr>
        <w:t xml:space="preserve">A </w:t>
      </w:r>
      <w:r>
        <w:rPr>
          <w:b/>
        </w:rPr>
        <w:t>lógica de negócio do cálculo do IRPF é 100% front-end</w:t>
      </w:r>
      <w:r>
        <w:rPr>
          <w:i w:val="0"/>
        </w:rPr>
        <w:t xml:space="preserve">, implementada de forma determinística em </w:t>
      </w:r>
      <w:r>
        <w:t>src/services/calculoIRPF.ts</w:t>
      </w:r>
      <w:r>
        <w:rPr>
          <w:rFonts w:ascii="Consolas" w:hAnsi="Consolas"/>
          <w:i/>
          <w:color w:val="666666"/>
          <w:sz w:val="17"/>
        </w:rPr>
        <w:t xml:space="preserve"> (../src/services/calculoIRPF.ts)</w:t>
      </w:r>
      <w:r>
        <w:rPr>
          <w:i w:val="0"/>
        </w:rPr>
        <w:t>:</w:t>
      </w:r>
    </w:p>
    <w:p>
      <w:pPr>
        <w:pStyle w:val="ListBullet"/>
        <w:spacing w:after="60"/>
      </w:pPr>
      <w:r>
        <w:rPr>
          <w:rFonts w:ascii="Consolas" w:hAnsi="Consolas"/>
          <w:color w:val="C0265F"/>
          <w:sz w:val="19"/>
        </w:rPr>
        <w:t>calcularAjusteAnual</w:t>
      </w:r>
      <w:r>
        <w:rPr>
          <w:i w:val="0"/>
        </w:rPr>
        <w:t xml:space="preserve"> — cálculo de um único ano (usado tanto pela tela de Ajuste Anual quanto como base de cada ano dentro da Retificação).</w:t>
      </w:r>
    </w:p>
    <w:p>
      <w:pPr>
        <w:pStyle w:val="ListBullet"/>
        <w:spacing w:after="60"/>
      </w:pPr>
      <w:r>
        <w:rPr>
          <w:rFonts w:ascii="Consolas" w:hAnsi="Consolas"/>
          <w:color w:val="C0265F"/>
          <w:sz w:val="19"/>
        </w:rPr>
        <w:t>calcularRetificacao</w:t>
      </w:r>
      <w:r>
        <w:rPr>
          <w:i w:val="0"/>
        </w:rPr>
        <w:t xml:space="preserve"> — orquestra as 8 partes do cálculo multi-ano (dados do processo, recálculo por ano, classificação "até/depois da distribuição", aplicação do teto do RPV, atualização até a data final, totais de principal e juros), consumindo as tabelas auxiliares carregadas do Supabase (faixas de IR, parâmetros por ano, salário mínimo, índices econômicos, taxas históricas, templates e regras de sub-período) por meio de </w:t>
      </w:r>
      <w:r>
        <w:t>src/hooks/useRetificacaoContexto.ts</w:t>
      </w:r>
      <w:r>
        <w:rPr>
          <w:rFonts w:ascii="Consolas" w:hAnsi="Consolas"/>
          <w:i/>
          <w:color w:val="666666"/>
          <w:sz w:val="17"/>
        </w:rPr>
        <w:t xml:space="preserve"> (../src/hooks/useRetificacaoContexto.ts)</w:t>
      </w:r>
      <w:r>
        <w:rPr>
          <w:i w:val="0"/>
        </w:rPr>
        <w:t>.</w:t>
      </w:r>
    </w:p>
    <w:p>
      <w:pPr>
        <w:spacing w:after="160"/>
      </w:pPr>
      <w:r>
        <w:rPr>
          <w:i w:val="0"/>
        </w:rPr>
        <w:t xml:space="preserve">O banco de dados, portanto, funciona apenas como fonte dos </w:t>
      </w:r>
      <w:r>
        <w:rPr>
          <w:b/>
        </w:rPr>
        <w:t>parâmetros e séries históricas de entrada</w:t>
      </w:r>
      <w:r>
        <w:rPr>
          <w:i w:val="0"/>
        </w:rPr>
        <w:t xml:space="preserve"> e como repositório dos </w:t>
      </w:r>
      <w:r>
        <w:rPr>
          <w:b/>
        </w:rPr>
        <w:t>cálculos já realizados</w:t>
      </w:r>
      <w:r>
        <w:rPr>
          <w:i w:val="0"/>
        </w:rPr>
        <w:t xml:space="preserve"> — nenhuma fórmula fica armazenada ou executada no banco (à exceção do recálculo automático de fatores acumulados de correção/juros em </w:t>
      </w:r>
      <w:r>
        <w:rPr>
          <w:rFonts w:ascii="Consolas" w:hAnsi="Consolas"/>
          <w:color w:val="C0265F"/>
          <w:sz w:val="19"/>
        </w:rPr>
        <w:t>taxas_historicas</w:t>
      </w:r>
      <w:r>
        <w:rPr>
          <w:i w:val="0"/>
        </w:rPr>
        <w:t>, feito via trigger).</w:t>
      </w:r>
    </w:p>
    <w:p>
      <w:pPr>
        <w:pStyle w:val="Heading2"/>
      </w:pPr>
      <w:r>
        <w:rPr>
          <w:i w:val="0"/>
        </w:rPr>
        <w:t>Estrutura de pastas (resumo)</w:t>
      </w:r>
    </w:p>
    <w:p>
      <w:pPr>
        <w:shd w:val="clear" w:color="auto" w:fill="F1F1F1"/>
        <w:spacing w:after="200"/>
        <w:ind w:left="227"/>
      </w:pPr>
      <w:r>
        <w:rPr>
          <w:rFonts w:ascii="Consolas" w:hAnsi="Consolas"/>
          <w:color w:val="2D2D2D"/>
          <w:sz w:val="18"/>
        </w:rPr>
        <w:t>src/</w:t>
        <w:br/>
      </w:r>
      <w:r>
        <w:rPr>
          <w:rFonts w:ascii="Consolas" w:hAnsi="Consolas"/>
          <w:color w:val="2D2D2D"/>
          <w:sz w:val="18"/>
        </w:rPr>
        <w:t xml:space="preserve">  components/        Componentes de UI reutilizáveis (formulários, tabelas, diálogos) e shadcn/ui em components/ui/</w:t>
        <w:br/>
      </w:r>
      <w:r>
        <w:rPr>
          <w:rFonts w:ascii="Consolas" w:hAnsi="Consolas"/>
          <w:color w:val="2D2D2D"/>
          <w:sz w:val="18"/>
        </w:rPr>
        <w:t xml:space="preserve">  contexts/           AuthContext.tsx — sessão, papel de admin, login/logout/primeiro acesso</w:t>
        <w:br/>
      </w:r>
      <w:r>
        <w:rPr>
          <w:rFonts w:ascii="Consolas" w:hAnsi="Consolas"/>
          <w:color w:val="2D2D2D"/>
          <w:sz w:val="18"/>
        </w:rPr>
        <w:t xml:space="preserve">  hooks/               useIRData, useRetificacaoContexto, useSystemSettings — acesso a dados via TanStack Query</w:t>
        <w:br/>
      </w:r>
      <w:r>
        <w:rPr>
          <w:rFonts w:ascii="Consolas" w:hAnsi="Consolas"/>
          <w:color w:val="2D2D2D"/>
          <w:sz w:val="18"/>
        </w:rPr>
        <w:t xml:space="preserve">  integrations/supabase/  Clientes Supabase e tipos gerados do banco</w:t>
        <w:br/>
      </w:r>
      <w:r>
        <w:rPr>
          <w:rFonts w:ascii="Consolas" w:hAnsi="Consolas"/>
          <w:color w:val="2D2D2D"/>
          <w:sz w:val="18"/>
        </w:rPr>
        <w:t xml:space="preserve">  lib/                 adminTables.ts — configuração declarativa das tabelas editáveis no painel admin</w:t>
        <w:br/>
      </w:r>
      <w:r>
        <w:rPr>
          <w:rFonts w:ascii="Consolas" w:hAnsi="Consolas"/>
          <w:color w:val="2D2D2D"/>
          <w:sz w:val="18"/>
        </w:rPr>
        <w:t xml:space="preserve">  pages/               Uma página por rota (Index, AjusteAnual, Retificacao, Resultado, ResultadoRetificacao, Relatorio, Consulta, Parametros, NotFound)</w:t>
        <w:br/>
      </w:r>
      <w:r>
        <w:rPr>
          <w:rFonts w:ascii="Consolas" w:hAnsi="Consolas"/>
          <w:color w:val="2D2D2D"/>
          <w:sz w:val="18"/>
        </w:rPr>
        <w:t xml:space="preserve">  services/            calculoIRPF.ts (regras de cálculo) e pdfGenerator.ts (geração do relatório em PDF)</w:t>
        <w:br/>
      </w:r>
      <w:r>
        <w:rPr>
          <w:rFonts w:ascii="Consolas" w:hAnsi="Consolas"/>
          <w:color w:val="2D2D2D"/>
          <w:sz w:val="18"/>
        </w:rPr>
        <w:t xml:space="preserve">  test/                 Testes unitários (Vitest)</w:t>
        <w:br/>
      </w:r>
      <w:r>
        <w:rPr>
          <w:rFonts w:ascii="Consolas" w:hAnsi="Consolas"/>
          <w:color w:val="2D2D2D"/>
          <w:sz w:val="18"/>
        </w:rPr>
        <w:t>supabase/</w:t>
        <w:br/>
      </w:r>
      <w:r>
        <w:rPr>
          <w:rFonts w:ascii="Consolas" w:hAnsi="Consolas"/>
          <w:color w:val="2D2D2D"/>
          <w:sz w:val="18"/>
        </w:rPr>
        <w:t xml:space="preserve">  schema.sql           Script idempotente com todo o esquema, funções, triggers e políticas de RLS</w:t>
        <w:br/>
      </w:r>
      <w:r>
        <w:rPr>
          <w:rFonts w:ascii="Consolas" w:hAnsi="Consolas"/>
          <w:color w:val="2D2D2D"/>
          <w:sz w:val="18"/>
        </w:rPr>
        <w:t xml:space="preserve">  migrations/           Migrações incrementais aplicadas ao projeto Supabase</w:t>
        <w:br/>
      </w:r>
      <w:r>
        <w:rPr>
          <w:rFonts w:ascii="Consolas" w:hAnsi="Consolas"/>
          <w:color w:val="2D2D2D"/>
          <w:sz w:val="18"/>
        </w:rPr>
        <w:t xml:space="preserve">  seed*.sql             Dados iniciais (índices econômicos e templates/regras de cálculo)</w:t>
      </w:r>
    </w:p>
    <w:p>
      <w:pPr>
        <w:pStyle w:val="Heading2"/>
      </w:pPr>
      <w:r>
        <w:rPr>
          <w:i w:val="0"/>
        </w:rPr>
        <w:t>Banco de dados</w:t>
      </w:r>
    </w:p>
    <w:p>
      <w:pPr>
        <w:pStyle w:val="ListBullet"/>
        <w:spacing w:after="60"/>
      </w:pPr>
      <w:r>
        <w:rPr>
          <w:b/>
        </w:rPr>
        <w:t>SGBD</w:t>
      </w:r>
      <w:r>
        <w:rPr>
          <w:i w:val="0"/>
        </w:rPr>
        <w:t xml:space="preserve">: PostgreSQL, hospedado e gerenciado pelo </w:t>
      </w:r>
      <w:r>
        <w:rPr>
          <w:b/>
        </w:rPr>
        <w:t>Supabase</w:t>
      </w:r>
      <w:r>
        <w:rPr>
          <w:i w:val="0"/>
        </w:rPr>
        <w:t>, que também fornece autenticação (Supabase Auth), API REST/RPC automática (PostgREST) e Row Level Security (RLS).</w:t>
      </w:r>
    </w:p>
    <w:p>
      <w:pPr>
        <w:pStyle w:val="ListBullet"/>
        <w:spacing w:after="60"/>
      </w:pPr>
      <w:r>
        <w:rPr>
          <w:b/>
        </w:rPr>
        <w:t>Definição do esquema</w:t>
      </w:r>
      <w:r>
        <w:rPr>
          <w:i w:val="0"/>
        </w:rPr>
        <w:t xml:space="preserve">: consolidada em </w:t>
      </w:r>
      <w:r>
        <w:t>supabase/schema.sql</w:t>
      </w:r>
      <w:r>
        <w:rPr>
          <w:rFonts w:ascii="Consolas" w:hAnsi="Consolas"/>
          <w:i/>
          <w:color w:val="666666"/>
          <w:sz w:val="17"/>
        </w:rPr>
        <w:t xml:space="preserve"> (../supabase/schema.sql)</w:t>
      </w:r>
      <w:r>
        <w:rPr>
          <w:i w:val="0"/>
        </w:rPr>
        <w:t xml:space="preserve"> (script idempotente, pode ser reaplicado com segurança) e versionada de forma incremental em </w:t>
      </w:r>
      <w:r>
        <w:t>supabase/migrations/</w:t>
      </w:r>
      <w:r>
        <w:rPr>
          <w:rFonts w:ascii="Consolas" w:hAnsi="Consolas"/>
          <w:i/>
          <w:color w:val="666666"/>
          <w:sz w:val="17"/>
        </w:rPr>
        <w:t xml:space="preserve"> (../supabase/migrations/)</w:t>
      </w:r>
      <w:r>
        <w:rPr>
          <w:i w:val="0"/>
        </w:rPr>
        <w:t>.</w:t>
      </w:r>
    </w:p>
    <w:p>
      <w:pPr>
        <w:spacing w:after="160"/>
      </w:pPr>
      <w:r>
        <w:rPr>
          <w:b/>
        </w:rPr>
        <w:t>Principais tabelas: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start w:w="100" w:type="dxa"/>
          <w:end w:w="100" w:type="dxa"/>
        </w:tblCellMar>
      </w:tblPr>
      <w:tblGrid>
        <w:gridCol w:w="4788"/>
        <w:gridCol w:w="4788"/>
      </w:tblGrid>
      <w:tr>
        <w:tc>
          <w:tcPr>
            <w:tcW w:type="dxa" w:w="4788"/>
            <w:shd w:val="clear" w:color="auto" w:fill="1F4E5F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Tabela</w:t>
            </w:r>
          </w:p>
        </w:tc>
        <w:tc>
          <w:tcPr>
            <w:tcW w:type="dxa" w:w="4788"/>
            <w:shd w:val="clear" w:color="auto" w:fill="1F4E5F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ir_parametros</w:t>
            </w:r>
          </w:p>
        </w:tc>
        <w:tc>
          <w:tcPr>
            <w:tcW w:type="dxa" w:w="4788"/>
          </w:tcPr>
          <w:p>
            <w:r/>
            <w:r>
              <w:rPr>
                <w:i w:val="0"/>
                <w:sz w:val="19"/>
              </w:rPr>
              <w:t>Parâmetros gerais de IR por ano-calendário: teto do desconto simplificado e data de início de correção do ano.</w:t>
            </w:r>
          </w:p>
        </w:tc>
      </w:tr>
      <w:tr>
        <w:tc>
          <w:tcPr>
            <w:tcW w:type="dxa" w:w="4788"/>
            <w:shd w:val="clear" w:color="auto" w:fill="F2F6F7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ir_faixas</w:t>
            </w:r>
          </w:p>
        </w:tc>
        <w:tc>
          <w:tcPr>
            <w:tcW w:type="dxa" w:w="4788"/>
            <w:shd w:val="clear" w:color="auto" w:fill="F2F6F7"/>
          </w:tcPr>
          <w:p>
            <w:r/>
            <w:r>
              <w:rPr>
                <w:i w:val="0"/>
                <w:sz w:val="19"/>
              </w:rPr>
              <w:t>Faixas progressivas de alíquota e parcela a deduzir, por ano-calendário.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calculos</w:t>
            </w:r>
          </w:p>
        </w:tc>
        <w:tc>
          <w:tcPr>
            <w:tcW w:type="dxa" w:w="4788"/>
          </w:tcPr>
          <w:p>
            <w:r/>
            <w:r>
              <w:rPr>
                <w:i w:val="0"/>
                <w:sz w:val="19"/>
              </w:rPr>
              <w:t>Histórico de cálculos realizados (tipo — ajuste anual ou retificação —, ano, processo, autor, dados de entrada e resultado em JSONB); é a tabela usada na Consulta pública por ID.</w:t>
            </w:r>
          </w:p>
        </w:tc>
      </w:tr>
      <w:tr>
        <w:tc>
          <w:tcPr>
            <w:tcW w:type="dxa" w:w="4788"/>
            <w:shd w:val="clear" w:color="auto" w:fill="F2F6F7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salario_minimo</w:t>
            </w:r>
          </w:p>
        </w:tc>
        <w:tc>
          <w:tcPr>
            <w:tcW w:type="dxa" w:w="4788"/>
            <w:shd w:val="clear" w:color="auto" w:fill="F2F6F7"/>
          </w:tcPr>
          <w:p>
            <w:r/>
            <w:r>
              <w:rPr>
                <w:i w:val="0"/>
                <w:sz w:val="19"/>
              </w:rPr>
              <w:t>Série histórica de salário mínimo por data de referência, usada para apurar o teto do RPV (60 salários mínimos).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indices_economicos</w:t>
            </w:r>
          </w:p>
        </w:tc>
        <w:tc>
          <w:tcPr>
            <w:tcW w:type="dxa" w:w="4788"/>
          </w:tcPr>
          <w:p>
            <w:r/>
            <w:r>
              <w:rPr>
                <w:i w:val="0"/>
                <w:sz w:val="19"/>
              </w:rPr>
              <w:t>Cadastro de índices de correção monetária e de juros (ex.: SELIC, poupança, UFIR), com sua natureza (</w:t>
            </w:r>
            <w:r>
              <w:rPr>
                <w:rFonts w:ascii="Consolas" w:hAnsi="Consolas"/>
                <w:color w:val="C0265F"/>
                <w:sz w:val="19"/>
              </w:rPr>
              <w:t>CORRECAO</w:t>
            </w:r>
            <w:r>
              <w:rPr>
                <w:i w:val="0"/>
                <w:sz w:val="19"/>
              </w:rPr>
              <w:t xml:space="preserve"> ou </w:t>
            </w:r>
            <w:r>
              <w:rPr>
                <w:rFonts w:ascii="Consolas" w:hAnsi="Consolas"/>
                <w:color w:val="C0265F"/>
                <w:sz w:val="19"/>
              </w:rPr>
              <w:t>JUROS</w:t>
            </w:r>
            <w:r>
              <w:rPr>
                <w:i w:val="0"/>
                <w:sz w:val="19"/>
              </w:rPr>
              <w:t>).</w:t>
            </w:r>
          </w:p>
        </w:tc>
      </w:tr>
      <w:tr>
        <w:tc>
          <w:tcPr>
            <w:tcW w:type="dxa" w:w="4788"/>
            <w:shd w:val="clear" w:color="auto" w:fill="F2F6F7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taxas_historicas</w:t>
            </w:r>
          </w:p>
        </w:tc>
        <w:tc>
          <w:tcPr>
            <w:tcW w:type="dxa" w:w="4788"/>
            <w:shd w:val="clear" w:color="auto" w:fill="F2F6F7"/>
          </w:tcPr>
          <w:p>
            <w:r/>
            <w:r>
              <w:rPr>
                <w:i w:val="0"/>
                <w:sz w:val="19"/>
              </w:rPr>
              <w:t xml:space="preserve">Série mensal de percentuais por índice, com fator multiplicador e fator acumulado recalculados automaticamente (trigger </w:t>
            </w:r>
            <w:r>
              <w:rPr>
                <w:rFonts w:ascii="Consolas" w:hAnsi="Consolas"/>
                <w:color w:val="C0265F"/>
                <w:sz w:val="19"/>
              </w:rPr>
              <w:t>handle_taxas_historicas_write</w:t>
            </w:r>
            <w:r>
              <w:rPr>
                <w:i w:val="0"/>
                <w:sz w:val="19"/>
              </w:rPr>
              <w:t xml:space="preserve"> / função </w:t>
            </w:r>
            <w:r>
              <w:rPr>
                <w:rFonts w:ascii="Consolas" w:hAnsi="Consolas"/>
                <w:color w:val="C0265F"/>
                <w:sz w:val="19"/>
              </w:rPr>
              <w:t>recalculate_taxas_historicas</w:t>
            </w:r>
            <w:r>
              <w:rPr>
                <w:i w:val="0"/>
                <w:sz w:val="19"/>
              </w:rPr>
              <w:t>) sempre que uma taxa é inserida, alterada ou removida.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templates_calculo</w:t>
            </w:r>
          </w:p>
        </w:tc>
        <w:tc>
          <w:tcPr>
            <w:tcW w:type="dxa" w:w="4788"/>
          </w:tcPr>
          <w:p>
            <w:r/>
            <w:r>
              <w:rPr>
                <w:i w:val="0"/>
                <w:sz w:val="19"/>
              </w:rPr>
              <w:t>Templates de cálculo correspondentes aos tipos de correção disponíveis na Retificação (SELIC, SELIC + poupança, sem correção).</w:t>
            </w:r>
          </w:p>
        </w:tc>
      </w:tr>
      <w:tr>
        <w:tc>
          <w:tcPr>
            <w:tcW w:type="dxa" w:w="4788"/>
            <w:shd w:val="clear" w:color="auto" w:fill="F2F6F7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regras_subperiodo</w:t>
            </w:r>
          </w:p>
        </w:tc>
        <w:tc>
          <w:tcPr>
            <w:tcW w:type="dxa" w:w="4788"/>
            <w:shd w:val="clear" w:color="auto" w:fill="F2F6F7"/>
          </w:tcPr>
          <w:p>
            <w:r/>
            <w:r>
              <w:rPr>
                <w:i w:val="0"/>
                <w:sz w:val="19"/>
              </w:rPr>
              <w:t>Regras de correção/juros vigentes por sub-período dentro de cada template (qual índice de correção e de juros usar em cada intervalo de datas).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admin_invites</w:t>
            </w:r>
          </w:p>
        </w:tc>
        <w:tc>
          <w:tcPr>
            <w:tcW w:type="dxa" w:w="4788"/>
          </w:tcPr>
          <w:p>
            <w:r/>
            <w:r>
              <w:rPr>
                <w:i w:val="0"/>
                <w:sz w:val="19"/>
              </w:rPr>
              <w:t>Convites pendentes/aceitos de novos administradores, por e-mail.</w:t>
            </w:r>
          </w:p>
        </w:tc>
      </w:tr>
      <w:tr>
        <w:tc>
          <w:tcPr>
            <w:tcW w:type="dxa" w:w="4788"/>
            <w:shd w:val="clear" w:color="auto" w:fill="F2F6F7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admin_users</w:t>
            </w:r>
          </w:p>
        </w:tc>
        <w:tc>
          <w:tcPr>
            <w:tcW w:type="dxa" w:w="4788"/>
            <w:shd w:val="clear" w:color="auto" w:fill="F2F6F7"/>
          </w:tcPr>
          <w:p>
            <w:r/>
            <w:r>
              <w:rPr>
                <w:i w:val="0"/>
                <w:sz w:val="19"/>
              </w:rPr>
              <w:t xml:space="preserve">Usuários com privilégio de administrador (vinculados a </w:t>
            </w:r>
            <w:r>
              <w:rPr>
                <w:rFonts w:ascii="Consolas" w:hAnsi="Consolas"/>
                <w:color w:val="C0265F"/>
                <w:sz w:val="19"/>
              </w:rPr>
              <w:t>auth.users</w:t>
            </w:r>
            <w:r>
              <w:rPr>
                <w:i w:val="0"/>
                <w:sz w:val="19"/>
              </w:rPr>
              <w:t xml:space="preserve"> do Supabase Auth).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system_settings</w:t>
            </w:r>
          </w:p>
        </w:tc>
        <w:tc>
          <w:tcPr>
            <w:tcW w:type="dxa" w:w="4788"/>
          </w:tcPr>
          <w:p>
            <w:r/>
            <w:r>
              <w:rPr>
                <w:i w:val="0"/>
                <w:sz w:val="19"/>
              </w:rPr>
              <w:t>Chave única (linha singleton) com as chaves de disponibilidade pública: sistema inteiro, Ajuste Anual e Retificação.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</w:rPr>
        <w:t>Segurança dos dados:</w:t>
      </w:r>
    </w:p>
    <w:p>
      <w:pPr>
        <w:pStyle w:val="ListBullet"/>
        <w:spacing w:after="60"/>
      </w:pPr>
      <w:r>
        <w:rPr>
          <w:i w:val="0"/>
        </w:rPr>
        <w:t>Row Level Security (RLS) habilitada em todas as tabelas de negócio.</w:t>
      </w:r>
    </w:p>
    <w:p>
      <w:pPr>
        <w:pStyle w:val="ListBullet"/>
        <w:spacing w:after="60"/>
      </w:pPr>
      <w:r>
        <w:rPr>
          <w:i w:val="0"/>
        </w:rPr>
        <w:t>Leitura pública (</w:t>
      </w:r>
      <w:r>
        <w:rPr>
          <w:rFonts w:ascii="Consolas" w:hAnsi="Consolas"/>
          <w:color w:val="C0265F"/>
          <w:sz w:val="19"/>
        </w:rPr>
        <w:t>SELECT</w:t>
      </w:r>
      <w:r>
        <w:rPr>
          <w:i w:val="0"/>
        </w:rPr>
        <w:t xml:space="preserve">) liberada para as tabelas fiscais/paramétricas e para </w:t>
      </w:r>
      <w:r>
        <w:rPr>
          <w:rFonts w:ascii="Consolas" w:hAnsi="Consolas"/>
          <w:color w:val="C0265F"/>
          <w:sz w:val="19"/>
        </w:rPr>
        <w:t>calculos</w:t>
      </w:r>
      <w:r>
        <w:rPr>
          <w:i w:val="0"/>
        </w:rPr>
        <w:t xml:space="preserve"> e </w:t>
      </w:r>
      <w:r>
        <w:rPr>
          <w:rFonts w:ascii="Consolas" w:hAnsi="Consolas"/>
          <w:color w:val="C0265F"/>
          <w:sz w:val="19"/>
        </w:rPr>
        <w:t>system_settings</w:t>
      </w:r>
      <w:r>
        <w:rPr>
          <w:i w:val="0"/>
        </w:rPr>
        <w:t>.</w:t>
      </w:r>
    </w:p>
    <w:p>
      <w:pPr>
        <w:pStyle w:val="ListBullet"/>
        <w:spacing w:after="60"/>
      </w:pPr>
      <w:r>
        <w:rPr>
          <w:i w:val="0"/>
        </w:rPr>
        <w:t>Escrita (</w:t>
      </w:r>
      <w:r>
        <w:rPr>
          <w:rFonts w:ascii="Consolas" w:hAnsi="Consolas"/>
          <w:color w:val="C0265F"/>
          <w:sz w:val="19"/>
        </w:rPr>
        <w:t>INSERT</w:t>
      </w:r>
      <w:r>
        <w:rPr>
          <w:i w:val="0"/>
        </w:rPr>
        <w:t>/</w:t>
      </w:r>
      <w:r>
        <w:rPr>
          <w:rFonts w:ascii="Consolas" w:hAnsi="Consolas"/>
          <w:color w:val="C0265F"/>
          <w:sz w:val="19"/>
        </w:rPr>
        <w:t>UPDATE</w:t>
      </w:r>
      <w:r>
        <w:rPr>
          <w:i w:val="0"/>
        </w:rPr>
        <w:t>/</w:t>
      </w:r>
      <w:r>
        <w:rPr>
          <w:rFonts w:ascii="Consolas" w:hAnsi="Consolas"/>
          <w:color w:val="C0265F"/>
          <w:sz w:val="19"/>
        </w:rPr>
        <w:t>DELETE</w:t>
      </w:r>
      <w:r>
        <w:rPr>
          <w:i w:val="0"/>
        </w:rPr>
        <w:t xml:space="preserve">) restrita a usuários administradores, verificados pela função </w:t>
      </w:r>
      <w:r>
        <w:rPr>
          <w:rFonts w:ascii="Consolas" w:hAnsi="Consolas"/>
          <w:color w:val="C0265F"/>
          <w:sz w:val="19"/>
        </w:rPr>
        <w:t>public.is_admin()</w:t>
      </w:r>
      <w:r>
        <w:rPr>
          <w:i w:val="0"/>
        </w:rPr>
        <w:t xml:space="preserve"> (</w:t>
      </w:r>
      <w:r>
        <w:rPr>
          <w:rFonts w:ascii="Consolas" w:hAnsi="Consolas"/>
          <w:color w:val="C0265F"/>
          <w:sz w:val="19"/>
        </w:rPr>
        <w:t>SECURITY DEFINER</w:t>
      </w:r>
      <w:r>
        <w:rPr>
          <w:i w:val="0"/>
        </w:rPr>
        <w:t xml:space="preserve">, consulta a tabela </w:t>
      </w:r>
      <w:r>
        <w:rPr>
          <w:rFonts w:ascii="Consolas" w:hAnsi="Consolas"/>
          <w:color w:val="C0265F"/>
          <w:sz w:val="19"/>
        </w:rPr>
        <w:t>admin_users</w:t>
      </w:r>
      <w:r>
        <w:rPr>
          <w:i w:val="0"/>
        </w:rPr>
        <w:t xml:space="preserve"> a partir de </w:t>
      </w:r>
      <w:r>
        <w:rPr>
          <w:rFonts w:ascii="Consolas" w:hAnsi="Consolas"/>
          <w:color w:val="C0265F"/>
          <w:sz w:val="19"/>
        </w:rPr>
        <w:t>auth.uid()</w:t>
      </w:r>
      <w:r>
        <w:rPr>
          <w:i w:val="0"/>
        </w:rPr>
        <w:t>).</w:t>
      </w:r>
    </w:p>
    <w:p>
      <w:pPr>
        <w:pStyle w:val="ListBullet"/>
        <w:spacing w:after="60"/>
      </w:pPr>
      <w:r>
        <w:rPr>
          <w:i w:val="0"/>
        </w:rPr>
        <w:t xml:space="preserve">A promoção a administrador é automática: ao ser criado um usuário no Supabase Auth cujo e-mail conste em </w:t>
      </w:r>
      <w:r>
        <w:rPr>
          <w:rFonts w:ascii="Consolas" w:hAnsi="Consolas"/>
          <w:color w:val="C0265F"/>
          <w:sz w:val="19"/>
        </w:rPr>
        <w:t>admin_invites</w:t>
      </w:r>
      <w:r>
        <w:rPr>
          <w:i w:val="0"/>
        </w:rPr>
        <w:t xml:space="preserve"> como convite pendente, um trigger (</w:t>
      </w:r>
      <w:r>
        <w:rPr>
          <w:rFonts w:ascii="Consolas" w:hAnsi="Consolas"/>
          <w:color w:val="C0265F"/>
          <w:sz w:val="19"/>
        </w:rPr>
        <w:t>handle_auth_user_admin_sync</w:t>
      </w:r>
      <w:r>
        <w:rPr>
          <w:i w:val="0"/>
        </w:rPr>
        <w:t xml:space="preserve"> / </w:t>
      </w:r>
      <w:r>
        <w:rPr>
          <w:rFonts w:ascii="Consolas" w:hAnsi="Consolas"/>
          <w:color w:val="C0265F"/>
          <w:sz w:val="19"/>
        </w:rPr>
        <w:t>grant_admin_by_email</w:t>
      </w:r>
      <w:r>
        <w:rPr>
          <w:i w:val="0"/>
        </w:rPr>
        <w:t xml:space="preserve">) grava a linha correspondente em </w:t>
      </w:r>
      <w:r>
        <w:rPr>
          <w:rFonts w:ascii="Consolas" w:hAnsi="Consolas"/>
          <w:color w:val="C0265F"/>
          <w:sz w:val="19"/>
        </w:rPr>
        <w:t>admin_users</w:t>
      </w:r>
      <w:r>
        <w:rPr>
          <w:i w:val="0"/>
        </w:rPr>
        <w:t xml:space="preserve"> e marca o convite como aceito.</w:t>
      </w:r>
    </w:p>
    <w:p>
      <w:pPr>
        <w:pStyle w:val="Heading2"/>
      </w:pPr>
      <w:r>
        <w:rPr>
          <w:i w:val="0"/>
        </w:rPr>
        <w:t>Testes</w:t>
      </w:r>
    </w:p>
    <w:p>
      <w:pPr>
        <w:pStyle w:val="ListBullet"/>
        <w:spacing w:after="60"/>
      </w:pPr>
      <w:r>
        <w:rPr>
          <w:b/>
        </w:rPr>
        <w:t>Unitários</w:t>
      </w:r>
      <w:r>
        <w:rPr>
          <w:i w:val="0"/>
        </w:rPr>
        <w:t xml:space="preserve"> (Vitest): validam principalmente as regras de cálculo determinísticas de </w:t>
      </w:r>
      <w:r>
        <w:t>src/services/calculoIRPF.ts</w:t>
      </w:r>
      <w:r>
        <w:rPr>
          <w:rFonts w:ascii="Consolas" w:hAnsi="Consolas"/>
          <w:i/>
          <w:color w:val="666666"/>
          <w:sz w:val="17"/>
        </w:rPr>
        <w:t xml:space="preserve"> (../src/services/calculoIRPF.ts)</w:t>
      </w:r>
      <w:r>
        <w:rPr>
          <w:i w:val="0"/>
        </w:rPr>
        <w:t xml:space="preserve">. Rodar com </w:t>
      </w:r>
      <w:r>
        <w:rPr>
          <w:rFonts w:ascii="Consolas" w:hAnsi="Consolas"/>
          <w:color w:val="C0265F"/>
          <w:sz w:val="19"/>
        </w:rPr>
        <w:t>bun run test</w:t>
      </w:r>
      <w:r>
        <w:rPr>
          <w:i w:val="0"/>
        </w:rPr>
        <w:t xml:space="preserve"> (ou </w:t>
      </w:r>
      <w:r>
        <w:rPr>
          <w:rFonts w:ascii="Consolas" w:hAnsi="Consolas"/>
          <w:color w:val="C0265F"/>
          <w:sz w:val="19"/>
        </w:rPr>
        <w:t>npm run test</w:t>
      </w:r>
      <w:r>
        <w:rPr>
          <w:i w:val="0"/>
        </w:rPr>
        <w:t xml:space="preserve">); </w:t>
      </w:r>
      <w:r>
        <w:rPr>
          <w:rFonts w:ascii="Consolas" w:hAnsi="Consolas"/>
          <w:color w:val="C0265F"/>
          <w:sz w:val="19"/>
        </w:rPr>
        <w:t>test:watch</w:t>
      </w:r>
      <w:r>
        <w:rPr>
          <w:i w:val="0"/>
        </w:rPr>
        <w:t xml:space="preserve"> para modo interativo.</w:t>
      </w:r>
    </w:p>
    <w:p>
      <w:pPr>
        <w:pStyle w:val="ListBullet"/>
        <w:spacing w:after="60"/>
      </w:pPr>
      <w:r>
        <w:rPr>
          <w:b/>
        </w:rPr>
        <w:t>End-to-end</w:t>
      </w:r>
      <w:r>
        <w:rPr>
          <w:i w:val="0"/>
        </w:rPr>
        <w:t xml:space="preserve"> (Playwright): fluxo de navegação/interação na aplicação real, configurado em </w:t>
      </w:r>
      <w:r>
        <w:t>playwright.config.ts</w:t>
      </w:r>
      <w:r>
        <w:rPr>
          <w:rFonts w:ascii="Consolas" w:hAnsi="Consolas"/>
          <w:i/>
          <w:color w:val="666666"/>
          <w:sz w:val="17"/>
        </w:rPr>
        <w:t xml:space="preserve"> (../playwright.config.ts)</w:t>
      </w:r>
      <w:r>
        <w:rPr>
          <w:i w:val="0"/>
        </w:rPr>
        <w:t>.</w:t>
      </w:r>
    </w:p>
    <w:p>
      <w:pPr>
        <w:pStyle w:val="Heading2"/>
      </w:pPr>
      <w:r>
        <w:rPr>
          <w:i w:val="0"/>
        </w:rPr>
        <w:t>Executando o projeto localmente</w:t>
      </w:r>
    </w:p>
    <w:p>
      <w:pPr>
        <w:spacing w:after="160"/>
      </w:pPr>
      <w:r>
        <w:rPr>
          <w:i w:val="0"/>
        </w:rPr>
        <w:t xml:space="preserve">Pré-requisitos: Node.js 18+ e, preferencialmente, </w:t>
      </w:r>
      <w:hyperlink r:id="rId9">
        <w:r>
          <w:rPr>
            <w:color w:val="1155CC"/>
            <w:u w:val="single"/>
          </w:rPr>
          <w:t>Bun</w:t>
        </w:r>
      </w:hyperlink>
      <w:r>
        <w:rPr>
          <w:i w:val="0"/>
        </w:rPr>
        <w:t xml:space="preserve"> instalado (</w:t>
      </w:r>
      <w:r>
        <w:rPr>
          <w:rFonts w:ascii="Consolas" w:hAnsi="Consolas"/>
          <w:color w:val="C0265F"/>
          <w:sz w:val="19"/>
        </w:rPr>
        <w:t>npm</w:t>
      </w:r>
      <w:r>
        <w:rPr>
          <w:i w:val="0"/>
        </w:rPr>
        <w:t xml:space="preserve"> também funciona).</w:t>
      </w:r>
    </w:p>
    <w:p>
      <w:pPr>
        <w:shd w:val="clear" w:color="auto" w:fill="F1F1F1"/>
        <w:spacing w:after="200"/>
        <w:ind w:left="227"/>
      </w:pPr>
      <w:r>
        <w:rPr>
          <w:rFonts w:ascii="Consolas" w:hAnsi="Consolas"/>
          <w:color w:val="2D2D2D"/>
          <w:sz w:val="18"/>
        </w:rPr>
        <w:t>git clone https://github.com/contaagoijf/judicial-calculator</w:t>
        <w:br/>
      </w:r>
      <w:r>
        <w:rPr>
          <w:rFonts w:ascii="Consolas" w:hAnsi="Consolas"/>
          <w:color w:val="2D2D2D"/>
          <w:sz w:val="18"/>
        </w:rPr>
        <w:t>cd judicial-calculator</w:t>
        <w:br/>
      </w:r>
      <w:r>
        <w:rPr>
          <w:rFonts w:ascii="Consolas" w:hAnsi="Consolas"/>
          <w:color w:val="2D2D2D"/>
          <w:sz w:val="18"/>
        </w:rPr>
        <w:t>bun install              # ou: npm install</w:t>
        <w:br/>
      </w:r>
      <w:r>
        <w:rPr>
          <w:rFonts w:ascii="Consolas" w:hAnsi="Consolas"/>
          <w:color w:val="2D2D2D"/>
          <w:sz w:val="18"/>
        </w:rPr>
        <w:t xml:space="preserve"> </w:t>
        <w:br/>
      </w:r>
      <w:r>
        <w:rPr>
          <w:rFonts w:ascii="Consolas" w:hAnsi="Consolas"/>
          <w:color w:val="2D2D2D"/>
          <w:sz w:val="18"/>
        </w:rPr>
        <w:t>cp .env.example .env      # preencha com as credenciais do projeto Supabase</w:t>
        <w:br/>
      </w:r>
      <w:r>
        <w:rPr>
          <w:rFonts w:ascii="Consolas" w:hAnsi="Consolas"/>
          <w:color w:val="2D2D2D"/>
          <w:sz w:val="18"/>
        </w:rPr>
        <w:t>bun run dev               # ou: npm run dev</w:t>
      </w:r>
    </w:p>
    <w:p>
      <w:pPr>
        <w:spacing w:after="160"/>
      </w:pPr>
      <w:r>
        <w:rPr>
          <w:i w:val="0"/>
        </w:rPr>
        <w:t xml:space="preserve">O servidor de desenvolvimento sobe em </w:t>
      </w:r>
      <w:r>
        <w:rPr>
          <w:rFonts w:ascii="Consolas" w:hAnsi="Consolas"/>
          <w:color w:val="C0265F"/>
          <w:sz w:val="19"/>
        </w:rPr>
        <w:t>http://localhost:8080</w:t>
      </w:r>
      <w:r>
        <w:rPr>
          <w:i w:val="0"/>
        </w:rPr>
        <w:t xml:space="preserve"> (porta definida em </w:t>
      </w:r>
      <w:r>
        <w:t>vite.config.ts</w:t>
      </w:r>
      <w:r>
        <w:rPr>
          <w:rFonts w:ascii="Consolas" w:hAnsi="Consolas"/>
          <w:i/>
          <w:color w:val="666666"/>
          <w:sz w:val="17"/>
        </w:rPr>
        <w:t xml:space="preserve"> (../vite.config.ts)</w:t>
      </w:r>
      <w:r>
        <w:rPr>
          <w:i w:val="0"/>
        </w:rPr>
        <w:t>).</w:t>
      </w:r>
    </w:p>
    <w:p>
      <w:pPr>
        <w:spacing w:after="160"/>
      </w:pPr>
      <w:r>
        <w:rPr>
          <w:b/>
        </w:rPr>
        <w:t>Scripts disponíveis</w:t>
      </w:r>
      <w:r>
        <w:rPr>
          <w:i w:val="0"/>
        </w:rPr>
        <w:t xml:space="preserve"> (ver </w:t>
      </w:r>
      <w:r>
        <w:t>package.json</w:t>
      </w:r>
      <w:r>
        <w:rPr>
          <w:rFonts w:ascii="Consolas" w:hAnsi="Consolas"/>
          <w:i/>
          <w:color w:val="666666"/>
          <w:sz w:val="17"/>
        </w:rPr>
        <w:t xml:space="preserve"> (../package.json)</w:t>
      </w:r>
      <w:r>
        <w:rPr>
          <w:i w:val="0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start w:w="100" w:type="dxa"/>
          <w:end w:w="100" w:type="dxa"/>
        </w:tblCellMar>
      </w:tblPr>
      <w:tblGrid>
        <w:gridCol w:w="4788"/>
        <w:gridCol w:w="4788"/>
      </w:tblGrid>
      <w:tr>
        <w:tc>
          <w:tcPr>
            <w:tcW w:type="dxa" w:w="4788"/>
            <w:shd w:val="clear" w:color="auto" w:fill="1F4E5F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Script</w:t>
            </w:r>
          </w:p>
        </w:tc>
        <w:tc>
          <w:tcPr>
            <w:tcW w:type="dxa" w:w="4788"/>
            <w:shd w:val="clear" w:color="auto" w:fill="1F4E5F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dev</w:t>
            </w:r>
          </w:p>
        </w:tc>
        <w:tc>
          <w:tcPr>
            <w:tcW w:type="dxa" w:w="4788"/>
          </w:tcPr>
          <w:p>
            <w:r/>
            <w:r>
              <w:rPr>
                <w:i w:val="0"/>
                <w:sz w:val="19"/>
              </w:rPr>
              <w:t>Inicia o servidor de desenvolvimento (Vite).</w:t>
            </w:r>
          </w:p>
        </w:tc>
      </w:tr>
      <w:tr>
        <w:tc>
          <w:tcPr>
            <w:tcW w:type="dxa" w:w="4788"/>
            <w:shd w:val="clear" w:color="auto" w:fill="F2F6F7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build</w:t>
            </w:r>
          </w:p>
        </w:tc>
        <w:tc>
          <w:tcPr>
            <w:tcW w:type="dxa" w:w="4788"/>
            <w:shd w:val="clear" w:color="auto" w:fill="F2F6F7"/>
          </w:tcPr>
          <w:p>
            <w:r/>
            <w:r>
              <w:rPr>
                <w:i w:val="0"/>
                <w:sz w:val="19"/>
              </w:rPr>
              <w:t>Gera o build de produção.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build:dev</w:t>
            </w:r>
          </w:p>
        </w:tc>
        <w:tc>
          <w:tcPr>
            <w:tcW w:type="dxa" w:w="4788"/>
          </w:tcPr>
          <w:p>
            <w:r/>
            <w:r>
              <w:rPr>
                <w:i w:val="0"/>
                <w:sz w:val="19"/>
              </w:rPr>
              <w:t>Gera o build em modo desenvolvimento (sem otimizações).</w:t>
            </w:r>
          </w:p>
        </w:tc>
      </w:tr>
      <w:tr>
        <w:tc>
          <w:tcPr>
            <w:tcW w:type="dxa" w:w="4788"/>
            <w:shd w:val="clear" w:color="auto" w:fill="F2F6F7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preview</w:t>
            </w:r>
          </w:p>
        </w:tc>
        <w:tc>
          <w:tcPr>
            <w:tcW w:type="dxa" w:w="4788"/>
            <w:shd w:val="clear" w:color="auto" w:fill="F2F6F7"/>
          </w:tcPr>
          <w:p>
            <w:r/>
            <w:r>
              <w:rPr>
                <w:i w:val="0"/>
                <w:sz w:val="19"/>
              </w:rPr>
              <w:t>Serve o build de produção localmente para conferência.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lint</w:t>
            </w:r>
          </w:p>
        </w:tc>
        <w:tc>
          <w:tcPr>
            <w:tcW w:type="dxa" w:w="4788"/>
          </w:tcPr>
          <w:p>
            <w:r/>
            <w:r>
              <w:rPr>
                <w:i w:val="0"/>
                <w:sz w:val="19"/>
              </w:rPr>
              <w:t>Executa o ESLint.</w:t>
            </w:r>
          </w:p>
        </w:tc>
      </w:tr>
      <w:tr>
        <w:tc>
          <w:tcPr>
            <w:tcW w:type="dxa" w:w="4788"/>
            <w:shd w:val="clear" w:color="auto" w:fill="F2F6F7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test</w:t>
            </w:r>
          </w:p>
        </w:tc>
        <w:tc>
          <w:tcPr>
            <w:tcW w:type="dxa" w:w="4788"/>
            <w:shd w:val="clear" w:color="auto" w:fill="F2F6F7"/>
          </w:tcPr>
          <w:p>
            <w:r/>
            <w:r>
              <w:rPr>
                <w:i w:val="0"/>
                <w:sz w:val="19"/>
              </w:rPr>
              <w:t>Executa os testes unitários (Vitest) uma vez.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Consolas" w:hAnsi="Consolas"/>
                <w:color w:val="C0265F"/>
                <w:sz w:val="19"/>
              </w:rPr>
              <w:t>test:watch</w:t>
            </w:r>
          </w:p>
        </w:tc>
        <w:tc>
          <w:tcPr>
            <w:tcW w:type="dxa" w:w="4788"/>
          </w:tcPr>
          <w:p>
            <w:r/>
            <w:r>
              <w:rPr>
                <w:i w:val="0"/>
                <w:sz w:val="19"/>
              </w:rPr>
              <w:t>Executa os testes unitários em modo observação.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i w:val="0"/>
        </w:rPr>
        <w:t>Deploy</w:t>
      </w:r>
    </w:p>
    <w:p>
      <w:pPr>
        <w:spacing w:after="160"/>
      </w:pPr>
      <w:r>
        <w:rPr>
          <w:i w:val="0"/>
        </w:rPr>
        <w:t xml:space="preserve">O deploy de produção é feito na </w:t>
      </w:r>
      <w:r>
        <w:rPr>
          <w:b/>
        </w:rPr>
        <w:t>Vercel</w:t>
      </w:r>
      <w:r>
        <w:rPr>
          <w:i w:val="0"/>
        </w:rPr>
        <w:t xml:space="preserve">, como site estático gerado por </w:t>
      </w:r>
      <w:r>
        <w:rPr>
          <w:rFonts w:ascii="Consolas" w:hAnsi="Consolas"/>
          <w:color w:val="C0265F"/>
          <w:sz w:val="19"/>
        </w:rPr>
        <w:t>vite build</w:t>
      </w:r>
      <w:r>
        <w:rPr>
          <w:i w:val="0"/>
        </w:rPr>
        <w:t xml:space="preserve">, com todas as rotas reescritas para </w:t>
      </w:r>
      <w:r>
        <w:rPr>
          <w:rFonts w:ascii="Consolas" w:hAnsi="Consolas"/>
          <w:color w:val="C0265F"/>
          <w:sz w:val="19"/>
        </w:rPr>
        <w:t>index.html</w:t>
      </w:r>
      <w:r>
        <w:rPr>
          <w:i w:val="0"/>
        </w:rPr>
        <w:t xml:space="preserve"> (ver </w:t>
      </w:r>
      <w:r>
        <w:t>vercel.json</w:t>
      </w:r>
      <w:r>
        <w:rPr>
          <w:rFonts w:ascii="Consolas" w:hAnsi="Consolas"/>
          <w:i/>
          <w:color w:val="666666"/>
          <w:sz w:val="17"/>
        </w:rPr>
        <w:t xml:space="preserve"> (../vercel.json)</w:t>
      </w:r>
      <w:r>
        <w:rPr>
          <w:i w:val="0"/>
        </w:rPr>
        <w:t xml:space="preserve">) para suportar o roteamento client-side do </w:t>
      </w:r>
      <w:r>
        <w:rPr>
          <w:rFonts w:ascii="Consolas" w:hAnsi="Consolas"/>
          <w:color w:val="C0265F"/>
          <w:sz w:val="19"/>
        </w:rPr>
        <w:t>react-router-dom</w:t>
      </w:r>
      <w:r>
        <w:rPr>
          <w:i w:val="0"/>
        </w:rPr>
        <w:t xml:space="preserve">. As variáveis de ambiente </w:t>
      </w:r>
      <w:r>
        <w:rPr>
          <w:rFonts w:ascii="Consolas" w:hAnsi="Consolas"/>
          <w:color w:val="C0265F"/>
          <w:sz w:val="19"/>
        </w:rPr>
        <w:t>VITE_SUPABASE_URL</w:t>
      </w:r>
      <w:r>
        <w:rPr>
          <w:i w:val="0"/>
        </w:rPr>
        <w:t xml:space="preserve"> e </w:t>
      </w:r>
      <w:r>
        <w:rPr>
          <w:rFonts w:ascii="Consolas" w:hAnsi="Consolas"/>
          <w:color w:val="C0265F"/>
          <w:sz w:val="19"/>
        </w:rPr>
        <w:t>VITE_SUPABASE_PUBLISHABLE_KEY</w:t>
      </w:r>
      <w:r>
        <w:rPr>
          <w:i w:val="0"/>
        </w:rPr>
        <w:t xml:space="preserve"> (quando aplicável ao cliente gerado) devem estar configuradas no projeto Vercel.</w:t>
      </w:r>
    </w:p>
    <w:p>
      <w:bookmarkStart w:id="5" w:name="sec-referencias"/>
      <w:pPr>
        <w:pStyle w:val="Heading1"/>
      </w:pPr>
      <w:bookmarkEnd w:id="5"/>
      <w:r>
        <w:rPr>
          <w:i w:val="0"/>
        </w:rPr>
        <w:t>Referências e materiais relacionados</w:t>
      </w:r>
    </w:p>
    <w:p>
      <w:pPr>
        <w:pStyle w:val="ListBullet"/>
        <w:spacing w:after="60"/>
      </w:pPr>
      <w:r>
        <w:rPr>
          <w:b/>
        </w:rPr>
        <w:t>Repositório de código</w:t>
      </w:r>
      <w:r>
        <w:rPr>
          <w:i w:val="0"/>
        </w:rPr>
        <w:t xml:space="preserve">: </w:t>
      </w:r>
      <w:hyperlink r:id="rId10">
        <w:r>
          <w:rPr>
            <w:color w:val="1155CC"/>
            <w:u w:val="single"/>
          </w:rPr>
          <w:t>https://github.com/contaagoijf/judicial-calculator</w:t>
        </w:r>
      </w:hyperlink>
    </w:p>
    <w:p>
      <w:pPr>
        <w:pStyle w:val="ListBullet"/>
        <w:spacing w:after="60"/>
      </w:pPr>
      <w:r>
        <w:rPr>
          <w:b/>
        </w:rPr>
        <w:t>Sistema em produção</w:t>
      </w:r>
      <w:r>
        <w:rPr>
          <w:i w:val="0"/>
        </w:rPr>
        <w:t xml:space="preserve">: </w:t>
      </w:r>
      <w:hyperlink r:id="rId11">
        <w:r>
          <w:rPr>
            <w:color w:val="1155CC"/>
            <w:u w:val="single"/>
          </w:rPr>
          <w:t>https://calcjud.vercel.app/</w:t>
        </w:r>
      </w:hyperlink>
    </w:p>
    <w:p>
      <w:pPr>
        <w:pStyle w:val="ListBullet"/>
        <w:spacing w:after="60"/>
      </w:pPr>
      <w:r>
        <w:rPr>
          <w:b/>
        </w:rPr>
        <w:t>Planilha de Cálculo de Ajuste Anual de IRPF</w:t>
      </w:r>
      <w:r>
        <w:rPr>
          <w:i w:val="0"/>
        </w:rPr>
        <w:t xml:space="preserve"> (DCAL, intranet JFRJ — acesso restrito à rede interna): </w:t>
      </w:r>
      <w:hyperlink r:id="rId12">
        <w:r>
          <w:rPr>
            <w:color w:val="1155CC"/>
            <w:u w:val="single"/>
          </w:rPr>
          <w:t>https://intranet.jfrj.jus.br/unidade/dcal/planilhas-para-calculo-simples-projef-web/planilha-de-calculo-de-ajuste-anual-de</w:t>
        </w:r>
      </w:hyperlink>
    </w:p>
    <w:p>
      <w:pPr>
        <w:pStyle w:val="ListBullet"/>
        <w:spacing w:after="60"/>
      </w:pPr>
      <w:r>
        <w:rPr>
          <w:b/>
        </w:rPr>
        <w:t>Planilha de Cálculo de Declaração Anual do Imposto de Renda</w:t>
      </w:r>
      <w:r>
        <w:rPr>
          <w:i w:val="0"/>
        </w:rPr>
        <w:t xml:space="preserve"> (DCAL, intranet JFRJ — acesso restrito à rede interna): </w:t>
      </w:r>
      <w:hyperlink r:id="rId13">
        <w:r>
          <w:rPr>
            <w:color w:val="1155CC"/>
            <w:u w:val="single"/>
          </w:rPr>
          <w:t>https://intranet.jfrj.jus.br/unidade/dcal/solucoes-para-contadorias/planilha-de-calculo-de-declaracao-anual-do-imposto-de-renda</w:t>
        </w:r>
      </w:hyperlink>
    </w:p>
    <w:p>
      <w:pPr>
        <w:pStyle w:val="ListBullet"/>
        <w:spacing w:after="60"/>
      </w:pPr>
      <w:r>
        <w:rPr>
          <w:b/>
        </w:rPr>
        <w:t>Conteúdo de referência das tabelas do banco de dados</w:t>
      </w:r>
      <w:r>
        <w:rPr>
          <w:i w:val="0"/>
        </w:rPr>
        <w:t xml:space="preserve"> (Nextcloud interno — acesso restrito): </w:t>
      </w:r>
      <w:hyperlink r:id="rId14">
        <w:r>
          <w:rPr>
            <w:color w:val="1155CC"/>
            <w:u w:val="single"/>
          </w:rPr>
          <w:t>https://nuvem.trf2.jus.br/s/7P2xp6QLsWNf65q</w:t>
        </w:r>
      </w:hyperlink>
    </w:p>
    <w:p>
      <w:pPr>
        <w:pStyle w:val="ListBullet"/>
        <w:spacing w:after="60"/>
      </w:pPr>
      <w:r>
        <w:rPr>
          <w:b/>
        </w:rPr>
        <w:t>Documento de especificação funcional do projeto original</w:t>
      </w:r>
      <w:r>
        <w:rPr>
          <w:i w:val="0"/>
        </w:rPr>
        <w:t xml:space="preserve"> (Nextcloud interno — acesso restrito): </w:t>
      </w:r>
      <w:hyperlink r:id="rId15">
        <w:r>
          <w:rPr>
            <w:color w:val="1155CC"/>
            <w:u w:val="single"/>
          </w:rPr>
          <w:t>https://nuvem.trf2.jus.br/s/xNMMC9ZrcRi3sXZ</w:t>
        </w:r>
      </w:hyperlink>
    </w:p>
    <w:p>
      <w:pPr>
        <w:shd w:val="clear" w:color="auto" w:fill="FFF6DA"/>
        <w:spacing w:after="200"/>
        <w:ind w:left="227"/>
      </w:pPr>
      <w:r>
        <w:rPr>
          <w:i/>
        </w:rPr>
        <w:t>Os links de intranet e do Nextcloud interno só são acessíveis a partir da rede do TRF2/JFRJ e não puderam ser consultados na elaboração deste documento; a descrição do contexto de origem do projeto (seção acima) foi montada a partir de material de levantamento já disponível localmente, que resume o conteúdo dessas mesmas fontes.</w:t>
      </w:r>
    </w:p>
    <w:p>
      <w:pPr>
        <w:shd w:val="clear" w:color="auto" w:fill="FFF6DA"/>
        <w:spacing w:after="200"/>
        <w:ind w:left="227"/>
      </w:pPr>
      <w:r>
        <w:rPr>
          <w:b/>
        </w:rPr>
        <w:t>Observação de segurança</w:t>
      </w:r>
      <w:r>
        <w:rPr>
          <w:i/>
        </w:rPr>
        <w:t xml:space="preserve">: as credenciais do Supabase (URL e chave pública/anon) usadas pela aplicação não concedem privilégios administrativos por si só — o acesso de administrador é controlado pela tabela </w:t>
      </w:r>
      <w:r>
        <w:rPr>
          <w:rFonts w:ascii="Consolas" w:hAnsi="Consolas"/>
          <w:color w:val="C0265F"/>
          <w:sz w:val="19"/>
        </w:rPr>
        <w:t>admin_users</w:t>
      </w:r>
      <w:r>
        <w:rPr>
          <w:i/>
        </w:rPr>
        <w:t xml:space="preserve"> e pelas políticas de RLS descritas acima. Foi identificado que o script </w:t>
      </w:r>
      <w:r>
        <w:t>supabase/schema.sql</w:t>
      </w:r>
      <w:r>
        <w:rPr>
          <w:rFonts w:ascii="Consolas" w:hAnsi="Consolas"/>
          <w:i/>
          <w:color w:val="666666"/>
          <w:sz w:val="17"/>
        </w:rPr>
        <w:t xml:space="preserve"> (../supabase/schema.sql)</w:t>
      </w:r>
      <w:r>
        <w:rPr>
          <w:i/>
        </w:rPr>
        <w:t xml:space="preserve"> contém, em texto claro, e-mail e senha de um administrador inicial usado no processo de bootstrap do banco; recomenda-se rotacionar essa senha e, se possível, remover o segredo do histórico do repositório.</w:t>
      </w:r>
    </w:p>
    <w:p>
      <w:bookmarkStart w:id="6" w:name="sec-acesso"/>
      <w:pPr>
        <w:pStyle w:val="Heading1"/>
      </w:pPr>
      <w:bookmarkEnd w:id="6"/>
      <w:r>
        <w:rPr>
          <w:i w:val="0"/>
        </w:rPr>
        <w:t>Acesso ao Sistema</w:t>
      </w:r>
    </w:p>
    <w:p>
      <w:pPr>
        <w:spacing w:after="160"/>
      </w:pPr>
      <w:r>
        <w:rPr>
          <w:i w:val="0"/>
        </w:rPr>
        <w:t>O CALCJUD é uma aplicação web publicada como site estático e acessada por navegador — não requer instalação de cliente.</w:t>
      </w:r>
    </w:p>
    <w:p>
      <w:pPr>
        <w:pStyle w:val="Heading2"/>
      </w:pPr>
      <w:r>
        <w:rPr>
          <w:i w:val="0"/>
        </w:rPr>
        <w:t>Acesso público (uso comum)</w:t>
      </w:r>
    </w:p>
    <w:p>
      <w:pPr>
        <w:pStyle w:val="ListNumber"/>
        <w:spacing w:after="60"/>
      </w:pPr>
      <w:r>
        <w:rPr>
          <w:i w:val="0"/>
        </w:rPr>
        <w:t xml:space="preserve">Abra a URL de produção do sistema: </w:t>
      </w:r>
      <w:hyperlink r:id="rId11">
        <w:r>
          <w:rPr>
            <w:color w:val="1155CC"/>
            <w:u w:val="single"/>
          </w:rPr>
          <w:t>https://calcjud.vercel.app/</w:t>
        </w:r>
      </w:hyperlink>
      <w:r>
        <w:rPr>
          <w:i w:val="0"/>
        </w:rPr>
        <w:t>.</w:t>
      </w:r>
    </w:p>
    <w:p>
      <w:pPr>
        <w:pStyle w:val="ListNumber"/>
        <w:spacing w:after="60"/>
      </w:pPr>
      <w:r>
        <w:rPr>
          <w:i w:val="0"/>
        </w:rPr>
        <w:t xml:space="preserve">Nenhum login é necessário para realizar cálculos de Ajuste Anual, Retificação, consultar um cálculo por ID ou visualizar os parâmetros fiscais — desde que o respectivo módulo esteja habilitado pela administração (ver </w:t>
      </w:r>
      <w:r>
        <w:t>Disponibilidade</w:t>
      </w:r>
      <w:r>
        <w:rPr>
          <w:rFonts w:ascii="Consolas" w:hAnsi="Consolas"/>
          <w:i/>
          <w:color w:val="666666"/>
          <w:sz w:val="17"/>
        </w:rPr>
        <w:t xml:space="preserve"> (#administração-do-sistema)</w:t>
      </w:r>
      <w:r>
        <w:rPr>
          <w:i w:val="0"/>
        </w:rPr>
        <w:t>).</w:t>
      </w:r>
    </w:p>
    <w:p>
      <w:pPr>
        <w:pStyle w:val="Heading2"/>
      </w:pPr>
      <w:r>
        <w:rPr>
          <w:i w:val="0"/>
        </w:rPr>
        <w:t>Acesso administrativo</w:t>
      </w:r>
    </w:p>
    <w:p>
      <w:pPr>
        <w:pStyle w:val="ListNumber"/>
        <w:spacing w:after="60"/>
      </w:pPr>
      <w:r>
        <w:rPr>
          <w:i w:val="0"/>
        </w:rPr>
        <w:t xml:space="preserve">Na página inicial (ou na página </w:t>
      </w:r>
      <w:r>
        <w:rPr>
          <w:b/>
        </w:rPr>
        <w:t>Parâmetros</w:t>
      </w:r>
      <w:r>
        <w:rPr>
          <w:i w:val="0"/>
        </w:rPr>
        <w:t xml:space="preserve">), clique em </w:t>
      </w:r>
      <w:r>
        <w:rPr>
          <w:b/>
        </w:rPr>
        <w:t>Login admin</w:t>
      </w:r>
      <w:r>
        <w:rPr>
          <w:i w:val="0"/>
        </w:rPr>
        <w:t>.</w:t>
      </w:r>
    </w:p>
    <w:p>
      <w:pPr>
        <w:pStyle w:val="ListNumber"/>
        <w:spacing w:after="60"/>
      </w:pPr>
      <w:r>
        <w:rPr>
          <w:i w:val="0"/>
        </w:rPr>
        <w:t xml:space="preserve">Na aba </w:t>
      </w:r>
      <w:r>
        <w:rPr>
          <w:b/>
        </w:rPr>
        <w:t>Entrar</w:t>
      </w:r>
      <w:r>
        <w:rPr>
          <w:i w:val="0"/>
        </w:rPr>
        <w:t>, informe e-mail e senha de uma conta já cadastrada como administradora.</w:t>
      </w:r>
    </w:p>
    <w:p>
      <w:pPr>
        <w:pStyle w:val="ListNumber"/>
        <w:spacing w:after="60"/>
      </w:pPr>
      <w:r>
        <w:rPr>
          <w:i w:val="0"/>
        </w:rPr>
        <w:t xml:space="preserve">Caso seja seu primeiro acesso após ter sido convidado por outro administrador (convite feito na aba </w:t>
      </w:r>
      <w:r>
        <w:rPr>
          <w:b/>
        </w:rPr>
        <w:t>Acesso admin</w:t>
      </w:r>
      <w:r>
        <w:rPr>
          <w:i w:val="0"/>
        </w:rPr>
        <w:t xml:space="preserve"> da página Parâmetros), use a aba </w:t>
      </w:r>
      <w:r>
        <w:rPr>
          <w:b/>
        </w:rPr>
        <w:t>Primeiro acesso</w:t>
      </w:r>
      <w:r>
        <w:rPr>
          <w:i w:val="0"/>
        </w:rPr>
        <w:t>: informe o e-mail convidado e crie uma senha — a conta é ativada automaticamente caso exista um convite pendente para aquele e-mail.</w:t>
      </w:r>
    </w:p>
    <w:p>
      <w:pPr>
        <w:pStyle w:val="ListNumber"/>
        <w:spacing w:after="60"/>
      </w:pPr>
      <w:r>
        <w:rPr>
          <w:i w:val="0"/>
        </w:rPr>
        <w:t>Após autenticado, é possível trocar a própria senha na mesma janela de acesso administrativo.</w:t>
      </w:r>
    </w:p>
    <w:p>
      <w:pPr>
        <w:pStyle w:val="ListNumber"/>
        <w:spacing w:after="60"/>
      </w:pPr>
      <w:r>
        <w:rPr>
          <w:i w:val="0"/>
        </w:rPr>
        <w:t>Com a sessão administrativa ativa, ficam disponíveis:</w:t>
      </w:r>
    </w:p>
    <w:p>
      <w:pPr>
        <w:pStyle w:val="ListBullet2"/>
        <w:spacing w:after="60"/>
      </w:pPr>
      <w:r>
        <w:rPr>
          <w:i w:val="0"/>
        </w:rPr>
        <w:t xml:space="preserve">Edição das tabelas auxiliares na página </w:t>
      </w:r>
      <w:r>
        <w:rPr>
          <w:b/>
        </w:rPr>
        <w:t>Parâmetros</w:t>
      </w:r>
      <w:r>
        <w:rPr>
          <w:i w:val="0"/>
        </w:rPr>
        <w:t xml:space="preserve"> (aba </w:t>
      </w:r>
      <w:r>
        <w:rPr>
          <w:b/>
        </w:rPr>
        <w:t>Tabelas</w:t>
      </w:r>
      <w:r>
        <w:rPr>
          <w:i w:val="0"/>
        </w:rPr>
        <w:t>).</w:t>
      </w:r>
    </w:p>
    <w:p>
      <w:pPr>
        <w:pStyle w:val="ListBullet2"/>
        <w:spacing w:after="60"/>
      </w:pPr>
      <w:r>
        <w:rPr>
          <w:i w:val="0"/>
        </w:rPr>
        <w:t xml:space="preserve">Convite de novos administradores e visualização de administradores/convites pendentes (aba </w:t>
      </w:r>
      <w:r>
        <w:rPr>
          <w:b/>
        </w:rPr>
        <w:t>Acesso admin</w:t>
      </w:r>
      <w:r>
        <w:rPr>
          <w:i w:val="0"/>
        </w:rPr>
        <w:t>).</w:t>
      </w:r>
    </w:p>
    <w:p>
      <w:pPr>
        <w:pStyle w:val="ListBullet2"/>
        <w:spacing w:after="60"/>
      </w:pPr>
      <w:r>
        <w:rPr>
          <w:i w:val="0"/>
        </w:rPr>
        <w:t xml:space="preserve">Controle de disponibilidade pública do sistema e de cada módulo de cálculo (aba </w:t>
      </w:r>
      <w:r>
        <w:rPr>
          <w:b/>
        </w:rPr>
        <w:t>Disponibilidade</w:t>
      </w:r>
      <w:r>
        <w:rPr>
          <w:i w:val="0"/>
        </w:rPr>
        <w:t>).</w:t>
      </w:r>
    </w:p>
    <w:p>
      <w:pPr>
        <w:pStyle w:val="Heading2"/>
      </w:pPr>
      <w:r>
        <w:rPr>
          <w:i w:val="0"/>
        </w:rPr>
        <w:t>Acesso ao ambiente de desenvolvimento local</w:t>
      </w:r>
    </w:p>
    <w:p>
      <w:pPr>
        <w:spacing w:after="160"/>
      </w:pPr>
      <w:r>
        <w:rPr>
          <w:i w:val="0"/>
        </w:rPr>
        <w:t xml:space="preserve">Para rodar uma cópia local do sistema (por exemplo, para desenvolvimento ou testes), siga as instruções em </w:t>
      </w:r>
      <w:r>
        <w:t>Executando o projeto localmente</w:t>
      </w:r>
      <w:r>
        <w:rPr>
          <w:rFonts w:ascii="Consolas" w:hAnsi="Consolas"/>
          <w:i/>
          <w:color w:val="666666"/>
          <w:sz w:val="17"/>
        </w:rPr>
        <w:t xml:space="preserve"> (#executando-o-projeto-localmente)</w:t>
      </w:r>
      <w:r>
        <w:rPr>
          <w:i w:val="0"/>
        </w:rPr>
        <w:t xml:space="preserve">, configurando o arquivo </w:t>
      </w:r>
      <w:r>
        <w:rPr>
          <w:rFonts w:ascii="Consolas" w:hAnsi="Consolas"/>
          <w:color w:val="C0265F"/>
          <w:sz w:val="19"/>
        </w:rPr>
        <w:t>.env</w:t>
      </w:r>
      <w:r>
        <w:rPr>
          <w:i w:val="0"/>
        </w:rPr>
        <w:t xml:space="preserve"> com as credenciais do projeto Supabase a ser utilizado.</w:t>
      </w:r>
    </w:p>
    <w:sectPr w:rsidR="00FC693F" w:rsidRPr="0006063C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n.sh" TargetMode="External"/><Relationship Id="rId10" Type="http://schemas.openxmlformats.org/officeDocument/2006/relationships/hyperlink" Target="https://github.com/contaagoijf/judicial-calculator" TargetMode="External"/><Relationship Id="rId11" Type="http://schemas.openxmlformats.org/officeDocument/2006/relationships/hyperlink" Target="https://calcjud.vercel.app/" TargetMode="External"/><Relationship Id="rId12" Type="http://schemas.openxmlformats.org/officeDocument/2006/relationships/hyperlink" Target="https://intranet.jfrj.jus.br/unidade/dcal/planilhas-para-calculo-simples-projef-web/planilha-de-calculo-de-ajuste-anual-de" TargetMode="External"/><Relationship Id="rId13" Type="http://schemas.openxmlformats.org/officeDocument/2006/relationships/hyperlink" Target="https://intranet.jfrj.jus.br/unidade/dcal/solucoes-para-contadorias/planilha-de-calculo-de-declaracao-anual-do-imposto-de-renda" TargetMode="External"/><Relationship Id="rId14" Type="http://schemas.openxmlformats.org/officeDocument/2006/relationships/hyperlink" Target="https://nuvem.trf2.jus.br/s/7P2xp6QLsWNf65q" TargetMode="External"/><Relationship Id="rId15" Type="http://schemas.openxmlformats.org/officeDocument/2006/relationships/hyperlink" Target="https://nuvem.trf2.jus.br/s/xNMMC9ZrcRi3sX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