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</w:p>
    <w:p>
      <w:pPr>
        <w:jc w:val="center"/>
      </w:pPr>
      <w:r>
        <w:rPr>
          <w:b/>
          <w:i w:val="0"/>
          <w:color w:val="1F4E5F"/>
          <w:sz w:val="80"/>
        </w:rPr>
        <w:t>CALCJUD</w:t>
      </w:r>
    </w:p>
    <w:p>
      <w:pPr>
        <w:jc w:val="center"/>
      </w:pPr>
      <w:r>
        <w:rPr>
          <w:b w:val="0"/>
          <w:i w:val="0"/>
          <w:color w:val="444444"/>
          <w:sz w:val="36"/>
        </w:rPr>
        <w:t>Ferramenta de Cálculos Judiciais de IRPF</w:t>
      </w:r>
    </w:p>
    <w:p>
      <w:pPr>
        <w:spacing w:before="600"/>
        <w:jc w:val="center"/>
      </w:pPr>
      <w:r>
        <w:rPr>
          <w:b w:val="0"/>
          <w:i/>
          <w:sz w:val="26"/>
        </w:rPr>
        <w:t>Manual de Banco de Dados — Acesso, Backup e Manutenção</w:t>
      </w:r>
    </w:p>
    <w:p>
      <w:pPr>
        <w:jc w:val="center"/>
      </w:pPr>
      <w:r>
        <w:rPr>
          <w:b w:val="0"/>
          <w:i w:val="0"/>
          <w:color w:val="666666"/>
          <w:sz w:val="22"/>
        </w:rPr>
        <w:t>Tribunal Regional Federal da 2ª Região (TRF2)</w:t>
      </w:r>
    </w:p>
    <w:p>
      <w:pPr>
        <w:jc w:val="center"/>
      </w:pPr>
      <w:r>
        <w:rPr>
          <w:b w:val="0"/>
          <w:i w:val="0"/>
          <w:color w:val="666666"/>
          <w:sz w:val="22"/>
        </w:rPr>
        <w:t>30/08/2026</w:t>
      </w:r>
    </w:p>
    <w:p>
      <w:r>
        <w:br w:type="page"/>
      </w:r>
    </w:p>
    <w:p>
      <w:r>
        <w:rPr>
          <w:b/>
          <w:i w:val="0"/>
          <w:sz w:val="40"/>
        </w:rPr>
        <w:t>Sumário</w:t>
      </w:r>
    </w:p>
    <w:p/>
    <w:p>
      <w:pPr>
        <w:spacing w:after="160"/>
      </w:pPr>
      <w:hyperlink w:anchor="sec-visao-geral">
        <w:r>
          <w:rPr>
            <w:color w:val="1F4E5F"/>
            <w:u w:val="single"/>
          </w:rPr>
          <w:t>1. Visão geral do banco de dados</w:t>
        </w:r>
      </w:hyperlink>
    </w:p>
    <w:p>
      <w:pPr>
        <w:spacing w:after="160"/>
      </w:pPr>
      <w:hyperlink w:anchor="sec-acesso-bd">
        <w:r>
          <w:rPr>
            <w:color w:val="1F4E5F"/>
            <w:u w:val="single"/>
          </w:rPr>
          <w:t>2. Como acessar o banco de dados</w:t>
        </w:r>
      </w:hyperlink>
    </w:p>
    <w:p>
      <w:pPr>
        <w:spacing w:after="160"/>
      </w:pPr>
      <w:hyperlink w:anchor="sec-backup">
        <w:r>
          <w:rPr>
            <w:color w:val="1F4E5F"/>
            <w:u w:val="single"/>
          </w:rPr>
          <w:t>3. Backup de todos os dados do sistema</w:t>
        </w:r>
      </w:hyperlink>
    </w:p>
    <w:p>
      <w:pPr>
        <w:spacing w:after="160"/>
      </w:pPr>
      <w:hyperlink w:anchor="sec-manutencao">
        <w:r>
          <w:rPr>
            <w:color w:val="1F4E5F"/>
            <w:u w:val="single"/>
          </w:rPr>
          <w:t>4. Manutenção e melhoria contínua</w:t>
        </w:r>
      </w:hyperlink>
    </w:p>
    <w:p>
      <w:pPr>
        <w:spacing w:after="160"/>
      </w:pPr>
      <w:hyperlink w:anchor="sec-referencia-tabelas">
        <w:r>
          <w:rPr>
            <w:color w:val="1F4E5F"/>
            <w:u w:val="single"/>
          </w:rPr>
          <w:t>5. Referência rápida — tabelas do sistema</w:t>
        </w:r>
      </w:hyperlink>
    </w:p>
    <w:p>
      <w:r>
        <w:br w:type="page"/>
      </w:r>
    </w:p>
    <w:p>
      <w:bookmarkStart w:id="1" w:name="sec-visao-geral"/>
      <w:pPr>
        <w:pStyle w:val="Heading2"/>
      </w:pPr>
      <w:bookmarkEnd w:id="1"/>
      <w:r>
        <w:t>Visão geral do banco de dados</w:t>
      </w:r>
    </w:p>
    <w:p>
      <w:r>
        <w:t>O CALCJUD utiliza um banco de dados PostgreSQL hospedado e totalmente gerenciado pelo Supabase (Backend-as-a-Service), que também fornece autenticação de usuários, API REST/RPC automática (PostgREST) e controle de acesso por linha (Row Level Security — RLS).</w:t>
      </w:r>
    </w:p>
    <w:p>
      <w:pPr>
        <w:pStyle w:val="ListBullet"/>
      </w:pPr>
      <w:r>
        <w:t>Projeto Supabase: identificador (Project Ref) xitpsqtcxraejzlxvvmn — URL https://xitpsqtcxraejzlxvvmn.supabase.co.</w:t>
      </w:r>
    </w:p>
    <w:p>
      <w:pPr>
        <w:pStyle w:val="ListBullet"/>
      </w:pPr>
      <w:r>
        <w:t>O esquema do banco é versionado no repositório de código do sistema: supabase/schema.sql reúne o esquema completo (script idempotente, pode ser reaplicado com segurança) e supabase/migrations/ guarda as alterações incrementais já aplicadas ao longo do tempo.</w:t>
      </w:r>
    </w:p>
    <w:p>
      <w:pPr>
        <w:pStyle w:val="ListBullet"/>
      </w:pPr>
      <w:r>
        <w:t>Toda a lógica de cálculo do IRPF roda no navegador (front-end); o banco de dados funciona apenas como fonte dos parâmetros/tabelas auxiliares usados no cálculo e como repositório do histórico de cálculos já realizados.</w:t>
      </w:r>
    </w:p>
    <w:p>
      <w:pPr>
        <w:pStyle w:val="ListBullet"/>
      </w:pPr>
      <w:r>
        <w:t>Segurança: RLS habilitada em todas as tabelas de negócio; leitura pública liberada apenas para as tabelas fiscais/paramétricas e para os cálculos já realizados; qualquer escrita (inclusão, edição ou exclusão) exige usuário administrador autenticado.</w:t>
      </w:r>
    </w:p>
    <w:p>
      <w:bookmarkStart w:id="2" w:name="sec-acesso-bd"/>
      <w:pPr>
        <w:pStyle w:val="Heading2"/>
      </w:pPr>
      <w:bookmarkEnd w:id="2"/>
      <w:r>
        <w:t>Como acessar o banco de dados</w:t>
      </w:r>
    </w:p>
    <w:p>
      <w:pPr>
        <w:pStyle w:val="Heading3"/>
      </w:pPr>
      <w:r>
        <w:t>2.1 Acesso pelo painel do Supabase (Dashboard) — recomendado</w:t>
      </w:r>
    </w:p>
    <w:p>
      <w:pPr>
        <w:pStyle w:val="ListNumber"/>
        <w:numPr>
          <w:ilvl w:val="0"/>
          <w:numId w:val="500"/>
        </w:numPr>
      </w:pPr>
      <w:r>
        <w:t>Acesse https://supabase.com/dashboard/organizations e faça login com uma conta que já tenha sido convidada para a organização/projeto do CALCJUD.</w:t>
      </w:r>
    </w:p>
    <w:p>
      <w:pPr>
        <w:pStyle w:val="ListNumber"/>
        <w:numPr>
          <w:ilvl w:val="0"/>
          <w:numId w:val="500"/>
        </w:numPr>
      </w:pPr>
      <w:r>
        <w:t>Se o login não mostrar nenhuma organização, a conta ainda não foi convidada — peça a um administrador atual do projeto para adicioná-la em Project Settings → Team.</w:t>
      </w:r>
    </w:p>
    <w:p>
      <w:pPr>
        <w:pStyle w:val="ListNumber"/>
        <w:numPr>
          <w:ilvl w:val="0"/>
          <w:numId w:val="500"/>
        </w:numPr>
      </w:pPr>
      <w:r>
        <w:t>Selecione o projeto de Project Ref xitpsqtcxraejzlxvvmn, ou acesse diretamente https://supabase.com/dashboard/project/xitpsqtcxraejzlxvvmn.</w:t>
      </w:r>
    </w:p>
    <w:p>
      <w:pPr>
        <w:pStyle w:val="ListNumber"/>
        <w:numPr>
          <w:ilvl w:val="0"/>
          <w:numId w:val="500"/>
        </w:numPr>
      </w:pPr>
      <w:r>
        <w:t>No menu lateral, as áreas mais usadas são: Table Editor (ver e editar dados linha a linha), SQL Editor (executar consultas e scripts SQL), Authentication (gerenciar contas de login), Database → Tables / Policies (estrutura das tabelas e regras de segurança), Database → Backups (cópias de segurança), Project Settings → API (URL e chaves de acesso) e Project Settings → Database (string de conexão para acesso direto).</w:t>
      </w:r>
    </w:p>
    <w:p>
      <w:pPr>
        <w:pStyle w:val="Heading3"/>
      </w:pPr>
      <w:r>
        <w:t>2.2 Acesso direto via linha de comando (psql)</w:t>
      </w:r>
    </w:p>
    <w:p>
      <w:pPr>
        <w:pStyle w:val="ListNumber"/>
        <w:numPr>
          <w:ilvl w:val="0"/>
          <w:numId w:val="501"/>
        </w:numPr>
      </w:pPr>
      <w:r>
        <w:t>No painel, vá em Project Settings → Database e copie a Connection string. Há duas opções: conexão direta (porta 5432, recomendada para tarefas administrativas e migrações) e conexão via pooler (porta 6543, modo transaction, recomendada para aplicações com muitas conexões simultâneas).</w:t>
      </w:r>
    </w:p>
    <w:p>
      <w:pPr>
        <w:pStyle w:val="ListNumber"/>
        <w:numPr>
          <w:ilvl w:val="0"/>
          <w:numId w:val="501"/>
        </w:numPr>
      </w:pPr>
      <w:r>
        <w:t>Com um cliente PostgreSQL instalado (ex.: psql), conecte com:</w:t>
      </w:r>
    </w:p>
    <w:p>
      <w:pPr>
        <w:spacing w:before="80" w:after="200"/>
        <w:ind w:left="280"/>
        <w:shd w:val="clear" w:color="auto" w:fill="F2F2F2"/>
      </w:pPr>
      <w:r>
        <w:rPr>
          <w:rFonts w:ascii="Consolas" w:hAnsi="Consolas"/>
          <w:color w:val="333333"/>
          <w:sz w:val="20"/>
        </w:rPr>
        <w:t>psql "postgresql://postgres:[SUA-SENHA]@db.xitpsqtcxraejzlxvvmn.supabase.co:5432/postgres"</w:t>
      </w:r>
    </w:p>
    <w:p>
      <w:pPr>
        <w:pStyle w:val="ListNumber"/>
        <w:numPr>
          <w:ilvl w:val="0"/>
          <w:numId w:val="501"/>
        </w:numPr>
      </w:pPr>
      <w:r>
        <w:t>A senha do usuário postgres do banco é definida/redefinida em Project Settings → Database → Reset database password — é diferente das senhas de login dos administradores do CALCJUD dentro da aplicação.</w:t>
      </w:r>
    </w:p>
    <w:p>
      <w:pPr>
        <w:pStyle w:val="Heading3"/>
      </w:pPr>
      <w:r>
        <w:t>2.3 Acesso via Supabase CLI (para desenvolvimento e scripts)</w:t>
      </w:r>
    </w:p>
    <w:p>
      <w:pPr>
        <w:pStyle w:val="ListNumber"/>
        <w:numPr>
          <w:ilvl w:val="0"/>
          <w:numId w:val="502"/>
        </w:numPr>
      </w:pPr>
      <w:r>
        <w:t>Instale a CLI: npm install -g supabase (ou execute avulso com npx supabase).</w:t>
      </w:r>
    </w:p>
    <w:p>
      <w:pPr>
        <w:pStyle w:val="ListNumber"/>
        <w:numPr>
          <w:ilvl w:val="0"/>
          <w:numId w:val="502"/>
        </w:numPr>
      </w:pPr>
      <w:r>
        <w:t>Autentique-se: supabase login.</w:t>
      </w:r>
    </w:p>
    <w:p>
      <w:pPr>
        <w:pStyle w:val="ListNumber"/>
        <w:numPr>
          <w:ilvl w:val="0"/>
          <w:numId w:val="502"/>
        </w:numPr>
      </w:pPr>
      <w:r>
        <w:t>Vincule o projeto local ao projeto remoto: supabase link --project-ref xitpsqtcxraejzlxvvmn.</w:t>
      </w:r>
    </w:p>
    <w:p>
      <w:pPr>
        <w:pStyle w:val="ListNumber"/>
        <w:numPr>
          <w:ilvl w:val="0"/>
          <w:numId w:val="502"/>
        </w:numPr>
      </w:pPr>
      <w:r>
        <w:t>Comandos úteis no dia a dia: supabase db pull (traz o esquema remoto para o repositório local), supabase db push (aplica as migrações locais no banco remoto) e supabase db diff (gera um novo arquivo de migração a partir de alterações feitas manualmente pelo painel).</w:t>
      </w:r>
    </w:p>
    <w:p>
      <w:pPr>
        <w:pStyle w:val="Heading3"/>
      </w:pPr>
      <w:r>
        <w:t>2.4 Acesso pela própria aplicação (uso comum, somente leitura pública)</w:t>
      </w:r>
    </w:p>
    <w:p>
      <w:r>
        <w:t>A aplicação usa a URL e a chave anon/public do Supabase (variáveis VITE_SUPABASE_URL e VITE_SUPABASE_PUBLISHABLE_KEY, configuradas a partir de .env.example na raiz do repositório). Essa chave não concede acesso administrativo — todo acesso de escrita continua sujeito a login e às políticas de RLS descritas na seção 1.</w:t>
      </w:r>
    </w:p>
    <w:p>
      <w:bookmarkStart w:id="3" w:name="sec-backup"/>
      <w:pPr>
        <w:pStyle w:val="Heading2"/>
      </w:pPr>
      <w:bookmarkEnd w:id="3"/>
      <w:r>
        <w:t>Backup de todos os dados do sistema</w:t>
      </w:r>
    </w:p>
    <w:p>
      <w:pPr>
        <w:pStyle w:val="Heading3"/>
      </w:pPr>
      <w:r>
        <w:t>3.1 Backups automáticos do Supabase</w:t>
      </w:r>
    </w:p>
    <w:p>
      <w:r>
        <w:t>O Supabase mantém backups automáticos do banco; a frequência e o prazo de retenção dependem do plano contratado para o projeto (planos pagos costumam oferecer backups diários com maior retenção e, opcionalmente, Point-in-Time Recovery — restauração para qualquer instante dentro do período de retenção).</w:t>
      </w:r>
    </w:p>
    <w:p>
      <w:pPr>
        <w:pStyle w:val="ListNumber"/>
        <w:numPr>
          <w:ilvl w:val="0"/>
          <w:numId w:val="503"/>
        </w:numPr>
      </w:pPr>
      <w:r>
        <w:t>No painel, acesse Database → Backups para ver quais backups automáticos existem e qual é o plano/retenção vigente.</w:t>
      </w:r>
    </w:p>
    <w:p>
      <w:pPr>
        <w:pStyle w:val="ListNumber"/>
        <w:numPr>
          <w:ilvl w:val="0"/>
          <w:numId w:val="503"/>
        </w:numPr>
      </w:pPr>
      <w:r>
        <w:t>Para restaurar um backup, use a opção Restore ao lado do backup desejado. A operação substitui os dados atuais do projeto pelos do backup escolhido — é uma operação de alto impacto e deve ser confirmada com toda a equipe antes de ser executada.</w:t>
      </w:r>
    </w:p>
    <w:p>
      <w:pPr>
        <w:pStyle w:val="ListNumber"/>
        <w:numPr>
          <w:ilvl w:val="0"/>
          <w:numId w:val="503"/>
        </w:numPr>
      </w:pPr>
      <w:r>
        <w:t>Confirme periodicamente, junto ao responsável pela conta Supabase da organização, qual é o plano contratado e a política de retenção — sem essa confirmação não é possível garantir a real capacidade de recuperação em caso de incidente.</w:t>
      </w:r>
    </w:p>
    <w:p>
      <w:pPr>
        <w:pStyle w:val="Heading3"/>
      </w:pPr>
      <w:r>
        <w:t>3.2 Backup manual (antes de qualquer manutenção arriscada)</w:t>
      </w:r>
    </w:p>
    <w:p>
      <w:r>
        <w:t>Além dos backups automáticos do Supabase, é recomendado gerar uma cópia manual completa antes de aplicar uma migração de esquema ou qualquer alteração maior de dados, usando pg_dump — ferramenta padrão de backup do PostgreSQL:</w:t>
      </w:r>
    </w:p>
    <w:p>
      <w:pPr>
        <w:spacing w:before="80" w:after="200"/>
        <w:ind w:left="280"/>
        <w:shd w:val="clear" w:color="auto" w:fill="F2F2F2"/>
      </w:pPr>
      <w:r>
        <w:rPr>
          <w:rFonts w:ascii="Consolas" w:hAnsi="Consolas"/>
          <w:color w:val="333333"/>
          <w:sz w:val="20"/>
        </w:rPr>
        <w:t>pg_dump "postgresql://postgres:[SUA-SENHA]@db.xitpsqtcxraejzlxvvmn.supabase.co:5432/postgres" -F c -f calcjud_backup_AAAAMMDD.dump</w:t>
      </w:r>
    </w:p>
    <w:p>
      <w:r>
        <w:t>O parâmetro -F c gera um arquivo em formato comprimido/binário do pg_dump (recomendado para restauração); para gerar um script SQL legível em texto puro, use -F p -f calcjud_backup_AAAAMMDD.sql no lugar.</w:t>
      </w:r>
    </w:p>
    <w:p>
      <w:r>
        <w:t>Para restaurar um backup gerado dessa forma:</w:t>
      </w:r>
    </w:p>
    <w:p>
      <w:pPr>
        <w:spacing w:before="80" w:after="200"/>
        <w:ind w:left="280"/>
        <w:shd w:val="clear" w:color="auto" w:fill="F2F2F2"/>
      </w:pPr>
      <w:r>
        <w:rPr>
          <w:rFonts w:ascii="Consolas" w:hAnsi="Consolas"/>
          <w:color w:val="333333"/>
          <w:sz w:val="20"/>
        </w:rPr>
        <w:t>pg_restore --clean --if-exists -d "postgresql://postgres:[SUA-SENHA]@db.xitpsqtcxraejzlxvvmn.supabase.co:5432/postgres" calcjud_backup_AAAAMMDD.dump</w:t>
      </w:r>
    </w:p>
    <w:p>
      <w:r>
        <w:t>As opções --clean --if-exists fazem a restauração remover as versões atuais dos objetos antes de recriá-los, evitando conflitos com dados já existentes no banco de destino.</w:t>
      </w:r>
    </w:p>
    <w:p>
      <w:pPr>
        <w:pStyle w:val="Heading3"/>
      </w:pPr>
      <w:r>
        <w:t>3.3 Exportação pontual de uma tabela (CSV)</w:t>
      </w:r>
    </w:p>
    <w:p>
      <w:r>
        <w:t>Para conferências ou auditorias pontuais de uma única tabela (por exemplo, calculos, antes de uma limpeza de dados antigos), o Table Editor do painel permite exportar o conteúdo filtrado da tabela diretamente em CSV, sem precisar de linha de comando.</w:t>
      </w:r>
    </w:p>
    <w:p>
      <w:pPr>
        <w:pStyle w:val="Heading3"/>
      </w:pPr>
      <w:r>
        <w:t>3.4 Frequência recomendada e cuidados com os dados</w:t>
      </w:r>
    </w:p>
    <w:p>
      <w:pPr>
        <w:pStyle w:val="ListBullet"/>
      </w:pPr>
      <w:r>
        <w:t>Gerar um backup manual sempre antes de aplicar uma migração de esquema, uma limpeza/exclusão em massa de dados ou qualquer alteração administrativa de maior risco.</w:t>
      </w:r>
    </w:p>
    <w:p>
      <w:pPr>
        <w:pStyle w:val="ListBullet"/>
      </w:pPr>
      <w:r>
        <w:t>Manter também backups periódicos (por exemplo, semanais) guardados fora da própria conta Supabase — em outro provedor de nuvem ou em armazenamento local seguro — como camada extra de proteção, independente da conta do Supabase.</w:t>
      </w:r>
    </w:p>
    <w:p>
      <w:pPr>
        <w:pStyle w:val="ListBullet"/>
      </w:pPr>
      <w:r>
        <w:t>Os dados das tabelas calculos e admin_users podem conter dados pessoais (nome do autor do processo, número do processo, e-mails de administradores); tratar os arquivos de backup com o mesmo cuidado de confidencialidade e retenção exigido pela LGPD para esse tipo de informação.</w:t>
      </w:r>
    </w:p>
    <w:p>
      <w:pPr>
        <w:pStyle w:val="ListBullet"/>
      </w:pPr>
      <w:r>
        <w:t>O próprio esquema do banco (supabase/schema.sql e supabase/migrations/) já funciona como um "backup" da estrutura (tabelas, funções, triggers, políticas). Qualquer alteração estrutural feita diretamente pelo painel deve ser replicada nesses arquivos (ou gerada via supabase db diff) e enviada ao repositório, para não haver divergência entre o banco em produção e o que está versionado no código.</w:t>
      </w:r>
    </w:p>
    <w:p>
      <w:bookmarkStart w:id="4" w:name="sec-manutencao"/>
      <w:pPr>
        <w:pStyle w:val="Heading2"/>
      </w:pPr>
      <w:bookmarkEnd w:id="4"/>
      <w:r>
        <w:t>Manutenção e melhoria contínua</w:t>
      </w:r>
    </w:p>
    <w:p>
      <w:pPr>
        <w:pStyle w:val="ListBullet"/>
      </w:pPr>
      <w:r>
        <w:t>Segurança — trocar a senha do administrador inicial de bootstrap: o script supabase/schema.sql contém, em texto claro, e-mail e senha de um administrador criado no processo de instalação do banco; essa senha deve ser rotacionada assim que possível pelo painel (Authentication → Users) e, se possível, o segredo removido do histórico do repositório.</w:t>
      </w:r>
    </w:p>
    <w:p>
      <w:pPr>
        <w:pStyle w:val="ListBullet"/>
      </w:pPr>
      <w:r>
        <w:t>Atualização anual dos parâmetros fiscais: as tabelas ir_parametros, ir_faixas, salario_minimo e indices_economicos/taxas_historicas (SELIC, poupança etc.) precisam ser atualizadas a cada início de ano-calendário com os novos valores oficiais; hoje isso é feito manualmente pelo Table Editor ou SQL Editor — vale planejar um processo/checklist recorrente para que o cálculo do CALCJUD nunca fique defasado em relação aos índices oficiais vigentes.</w:t>
      </w:r>
    </w:p>
    <w:p>
      <w:pPr>
        <w:pStyle w:val="ListBullet"/>
      </w:pPr>
      <w:r>
        <w:t>Revisão periódica da lista de administradores (admin_users) e das políticas de RLS: conferir de tempos em tempos se todos os e-mails com privilégio de administrador ainda são de pessoas que devem ter esse acesso, removendo quem não precisa mais.</w:t>
      </w:r>
    </w:p>
    <w:p>
      <w:pPr>
        <w:pStyle w:val="ListBullet"/>
      </w:pPr>
      <w:r>
        <w:t>Acompanhar o Database → Advisors do painel do Supabase: ele aponta automaticamente alertas de segurança (por exemplo, uma tabela nova sem RLS habilitada) e de performance (por exemplo, um índice faltando) — vale revisar periodicamente, especialmente logo após qualquer alteração de esquema.</w:t>
      </w:r>
    </w:p>
    <w:p>
      <w:pPr>
        <w:pStyle w:val="ListBullet"/>
      </w:pPr>
      <w:r>
        <w:t>Acompanhar Logs/Reports do painel para identificar erros recorrentes de API ou consultas lentas antes que virem um problema perceptível para quem usa o sistema.</w:t>
      </w:r>
    </w:p>
    <w:p>
      <w:pPr>
        <w:pStyle w:val="ListBullet"/>
      </w:pPr>
      <w:r>
        <w:t>Monitorar o uso do projeto (tamanho do banco, número de requisições, armazenamento) em Project Settings → Usage/Billing, para antecipar a necessidade de upgrade de plano antes de atingir algum limite.</w:t>
      </w:r>
    </w:p>
    <w:p>
      <w:pPr>
        <w:pStyle w:val="ListBullet"/>
      </w:pPr>
      <w:r>
        <w:t>Antes de publicar qualquer mudança de esquema ou de regra de cálculo, rodar a suíte de testes do projeto (bun run test para os testes unitários das regras de cálculo, e os testes end-to-end via Playwright) e, sempre que a mudança envolver o banco, gerar um backup manual antes (ver seção 3.2).</w:t>
      </w:r>
    </w:p>
    <w:p>
      <w:pPr>
        <w:pStyle w:val="ListBullet"/>
      </w:pPr>
      <w:r>
        <w:t>Manter as migrações incrementais (supabase/migrations/) como histórico definitivo de mudanças de esquema: toda alteração estrutural deve virar um novo arquivo de migração com timestamp, nunca uma edição retroativa de uma migração já aplicada em produção.</w:t>
      </w:r>
    </w:p>
    <w:p>
      <w:pPr>
        <w:pStyle w:val="ListBullet"/>
      </w:pPr>
      <w:r>
        <w:t>Manter as dependências do projeto (package.json) razoavelmente atualizadas — em especial a biblioteca oficial @supabase/supabase-js — para se beneficiar de correções de segurança e de compatibilidade com o Supabase.</w:t>
      </w:r>
    </w:p>
    <w:p>
      <w:bookmarkStart w:id="5" w:name="sec-referencia-tabelas"/>
      <w:pPr>
        <w:pStyle w:val="Heading2"/>
      </w:pPr>
      <w:bookmarkEnd w:id="5"/>
      <w:r>
        <w:t>Referência rápida — tabelas do sistema</w:t>
      </w:r>
    </w:p>
    <w:p>
      <w:r>
        <w:t>Tabela consolidada de todas as tabelas do banco de dados do CALCJUD e sua finalidade — útil como referência rápida ao navegar pelo Table Editor ou pelo SQL Editor do Supabase.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</w:tcPr>
          <w:p>
            <w:r>
              <w:rPr>
                <w:b/>
              </w:rPr>
              <w:t>Tabela</w:t>
            </w:r>
          </w:p>
        </w:tc>
        <w:tc>
          <w:tcPr>
            <w:tcW w:type="dxa" w:w="4788"/>
          </w:tcPr>
          <w:p>
            <w:r>
              <w:rPr>
                <w:b/>
              </w:rPr>
              <w:t>Finalidade</w:t>
            </w:r>
          </w:p>
        </w:tc>
      </w:tr>
      <w:tr>
        <w:tc>
          <w:tcPr>
            <w:tcW w:type="dxa" w:w="4788"/>
          </w:tcPr>
          <w:p>
            <w:r>
              <w:rPr>
                <w:rFonts w:ascii="Consolas" w:hAnsi="Consolas"/>
                <w:sz w:val="20"/>
              </w:rPr>
              <w:t>ir_parametros</w:t>
            </w:r>
          </w:p>
        </w:tc>
        <w:tc>
          <w:tcPr>
            <w:tcW w:type="dxa" w:w="4788"/>
          </w:tcPr>
          <w:p>
            <w:r>
              <w:t>Parâmetros gerais de IR por ano-calendário: teto do desconto simplificado e data de início de correção do ano.</w:t>
            </w:r>
          </w:p>
        </w:tc>
      </w:tr>
      <w:tr>
        <w:tc>
          <w:tcPr>
            <w:tcW w:type="dxa" w:w="4788"/>
          </w:tcPr>
          <w:p>
            <w:r>
              <w:rPr>
                <w:rFonts w:ascii="Consolas" w:hAnsi="Consolas"/>
                <w:sz w:val="20"/>
              </w:rPr>
              <w:t>ir_faixas</w:t>
            </w:r>
          </w:p>
        </w:tc>
        <w:tc>
          <w:tcPr>
            <w:tcW w:type="dxa" w:w="4788"/>
          </w:tcPr>
          <w:p>
            <w:r>
              <w:t>Faixas progressivas de alíquota e parcela a deduzir, por ano-calendário.</w:t>
            </w:r>
          </w:p>
        </w:tc>
      </w:tr>
      <w:tr>
        <w:tc>
          <w:tcPr>
            <w:tcW w:type="dxa" w:w="4788"/>
          </w:tcPr>
          <w:p>
            <w:r>
              <w:rPr>
                <w:rFonts w:ascii="Consolas" w:hAnsi="Consolas"/>
                <w:sz w:val="20"/>
              </w:rPr>
              <w:t>calculos</w:t>
            </w:r>
          </w:p>
        </w:tc>
        <w:tc>
          <w:tcPr>
            <w:tcW w:type="dxa" w:w="4788"/>
          </w:tcPr>
          <w:p>
            <w:r>
              <w:t>Histórico de cálculos realizados (tipo — ajuste anual ou retificação —, ano, processo, autor, dados de entrada e resultado em JSONB); é a tabela usada na Consulta pública por ID.</w:t>
            </w:r>
          </w:p>
        </w:tc>
      </w:tr>
      <w:tr>
        <w:tc>
          <w:tcPr>
            <w:tcW w:type="dxa" w:w="4788"/>
          </w:tcPr>
          <w:p>
            <w:r>
              <w:rPr>
                <w:rFonts w:ascii="Consolas" w:hAnsi="Consolas"/>
                <w:sz w:val="20"/>
              </w:rPr>
              <w:t>salario_minimo</w:t>
            </w:r>
          </w:p>
        </w:tc>
        <w:tc>
          <w:tcPr>
            <w:tcW w:type="dxa" w:w="4788"/>
          </w:tcPr>
          <w:p>
            <w:r>
              <w:t>Série histórica de salário mínimo por data de referência, usada para apurar o teto do RPV (60 salários mínimos).</w:t>
            </w:r>
          </w:p>
        </w:tc>
      </w:tr>
      <w:tr>
        <w:tc>
          <w:tcPr>
            <w:tcW w:type="dxa" w:w="4788"/>
          </w:tcPr>
          <w:p>
            <w:r>
              <w:rPr>
                <w:rFonts w:ascii="Consolas" w:hAnsi="Consolas"/>
                <w:sz w:val="20"/>
              </w:rPr>
              <w:t>indices_economicos</w:t>
            </w:r>
          </w:p>
        </w:tc>
        <w:tc>
          <w:tcPr>
            <w:tcW w:type="dxa" w:w="4788"/>
          </w:tcPr>
          <w:p>
            <w:r>
              <w:t>Cadastro de índices de correção monetária e de juros (ex.: SELIC, poupança, UFIR), com sua natureza (CORRECAO ou JUROS).</w:t>
            </w:r>
          </w:p>
        </w:tc>
      </w:tr>
      <w:tr>
        <w:tc>
          <w:tcPr>
            <w:tcW w:type="dxa" w:w="4788"/>
          </w:tcPr>
          <w:p>
            <w:r>
              <w:rPr>
                <w:rFonts w:ascii="Consolas" w:hAnsi="Consolas"/>
                <w:sz w:val="20"/>
              </w:rPr>
              <w:t>taxas_historicas</w:t>
            </w:r>
          </w:p>
        </w:tc>
        <w:tc>
          <w:tcPr>
            <w:tcW w:type="dxa" w:w="4788"/>
          </w:tcPr>
          <w:p>
            <w:r>
              <w:t>Série mensal de percentuais por índice, com fator multiplicador e fator acumulado recalculados automaticamente (trigger handle_taxas_historicas_write / função recalculate_taxas_historicas) sempre que uma taxa é inserida, alterada ou removida.</w:t>
            </w:r>
          </w:p>
        </w:tc>
      </w:tr>
      <w:tr>
        <w:tc>
          <w:tcPr>
            <w:tcW w:type="dxa" w:w="4788"/>
          </w:tcPr>
          <w:p>
            <w:r>
              <w:rPr>
                <w:rFonts w:ascii="Consolas" w:hAnsi="Consolas"/>
                <w:sz w:val="20"/>
              </w:rPr>
              <w:t>templates_calculo</w:t>
            </w:r>
          </w:p>
        </w:tc>
        <w:tc>
          <w:tcPr>
            <w:tcW w:type="dxa" w:w="4788"/>
          </w:tcPr>
          <w:p>
            <w:r>
              <w:t>Templates de cálculo correspondentes aos tipos de correção disponíveis na Retificação (SELIC, SELIC + poupança, sem correção).</w:t>
            </w:r>
          </w:p>
        </w:tc>
      </w:tr>
      <w:tr>
        <w:tc>
          <w:tcPr>
            <w:tcW w:type="dxa" w:w="4788"/>
          </w:tcPr>
          <w:p>
            <w:r>
              <w:rPr>
                <w:rFonts w:ascii="Consolas" w:hAnsi="Consolas"/>
                <w:sz w:val="20"/>
              </w:rPr>
              <w:t>regras_subperiodo</w:t>
            </w:r>
          </w:p>
        </w:tc>
        <w:tc>
          <w:tcPr>
            <w:tcW w:type="dxa" w:w="4788"/>
          </w:tcPr>
          <w:p>
            <w:r>
              <w:t>Regras de correção/juros vigentes por sub-período dentro de cada template (qual índice de correção e de juros usar em cada intervalo de datas).</w:t>
            </w:r>
          </w:p>
        </w:tc>
      </w:tr>
      <w:tr>
        <w:tc>
          <w:tcPr>
            <w:tcW w:type="dxa" w:w="4788"/>
          </w:tcPr>
          <w:p>
            <w:r>
              <w:rPr>
                <w:rFonts w:ascii="Consolas" w:hAnsi="Consolas"/>
                <w:sz w:val="20"/>
              </w:rPr>
              <w:t>admin_invites</w:t>
            </w:r>
          </w:p>
        </w:tc>
        <w:tc>
          <w:tcPr>
            <w:tcW w:type="dxa" w:w="4788"/>
          </w:tcPr>
          <w:p>
            <w:r>
              <w:t>Convites pendentes/aceitos de novos administradores, por e-mail.</w:t>
            </w:r>
          </w:p>
        </w:tc>
      </w:tr>
      <w:tr>
        <w:tc>
          <w:tcPr>
            <w:tcW w:type="dxa" w:w="4788"/>
          </w:tcPr>
          <w:p>
            <w:r>
              <w:rPr>
                <w:rFonts w:ascii="Consolas" w:hAnsi="Consolas"/>
                <w:sz w:val="20"/>
              </w:rPr>
              <w:t>admin_users</w:t>
            </w:r>
          </w:p>
        </w:tc>
        <w:tc>
          <w:tcPr>
            <w:tcW w:type="dxa" w:w="4788"/>
          </w:tcPr>
          <w:p>
            <w:r>
              <w:t>Usuários com privilégio de administrador (vinculados a auth.users do Supabase Auth).</w:t>
            </w:r>
          </w:p>
        </w:tc>
      </w:tr>
      <w:tr>
        <w:tc>
          <w:tcPr>
            <w:tcW w:type="dxa" w:w="4788"/>
          </w:tcPr>
          <w:p>
            <w:r>
              <w:rPr>
                <w:rFonts w:ascii="Consolas" w:hAnsi="Consolas"/>
                <w:sz w:val="20"/>
              </w:rPr>
              <w:t>system_settings</w:t>
            </w:r>
          </w:p>
        </w:tc>
        <w:tc>
          <w:tcPr>
            <w:tcW w:type="dxa" w:w="4788"/>
          </w:tcPr>
          <w:p>
            <w:r>
              <w:t>Chave única (linha singleton) com as chaves de disponibilidade pública: sistema inteiro, Ajuste Anual e Retificação.</w:t>
            </w:r>
          </w:p>
        </w:tc>
      </w:tr>
    </w:tbl>
    <w:sectPr w:rsidRPr="0006063C" w:rsidR="00FC693F" w:rsidSect="00034616">
      <w:pgSz w:w="12240" w:h="15840" w:orient="portrait"/>
      <w:pgMar w:top="900" w:right="1247" w:bottom="81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500">
    <w:abstractNumId w:val="7"/>
  </w:num>
  <w:num w:numId="501">
    <w:abstractNumId w:val="7"/>
  </w:num>
  <w:num w:numId="502">
    <w:abstractNumId w:val="7"/>
  </w:num>
  <w:num w:numId="503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BB035D"/>
    <w:rsid w:val="01BB035D"/>
    <w:rsid w:val="0598D045"/>
    <w:rsid w:val="0C1F745B"/>
    <w:rsid w:val="0D9DC880"/>
    <w:rsid w:val="0E456DD3"/>
    <w:rsid w:val="120987B0"/>
    <w:rsid w:val="154FEF2B"/>
    <w:rsid w:val="158C658E"/>
    <w:rsid w:val="18E9432A"/>
    <w:rsid w:val="18EEBB7E"/>
    <w:rsid w:val="1AFCFF90"/>
    <w:rsid w:val="268669F4"/>
    <w:rsid w:val="28C46835"/>
    <w:rsid w:val="2A671BE9"/>
    <w:rsid w:val="2E59BB3F"/>
    <w:rsid w:val="2F651667"/>
    <w:rsid w:val="331B6793"/>
    <w:rsid w:val="3DDDE7F5"/>
    <w:rsid w:val="43288885"/>
    <w:rsid w:val="4ED16093"/>
    <w:rsid w:val="505707E3"/>
    <w:rsid w:val="5583E455"/>
    <w:rsid w:val="56618CD1"/>
    <w:rsid w:val="56618CD1"/>
    <w:rsid w:val="57134F25"/>
    <w:rsid w:val="57134F25"/>
    <w:rsid w:val="66CA0289"/>
    <w:rsid w:val="6C7C972D"/>
    <w:rsid w:val="6F77876A"/>
    <w:rsid w:val="7370B3E7"/>
    <w:rsid w:val="7370B3E7"/>
    <w:rsid w:val="7738D80E"/>
    <w:rsid w:val="783E708F"/>
    <w:rsid w:val="7B2CBDA1"/>
    <w:rsid w:val="7BBBB01F"/>
    <w:rsid w:val="7BE3A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4E85388-27A4-443A-8059-B888BCA23E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 w:asciiTheme="majorHAnsi" w:hAnsiTheme="majorHAnsi" w:eastAsiaTheme="majorEastAsia" w:cstheme="majorBidi"/>
      <w:b/>
      <w:bCs/>
      <w:color w:val="1F4E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 w:asciiTheme="majorHAnsi" w:hAnsiTheme="majorHAnsi" w:eastAsiaTheme="majorEastAsia" w:cstheme="majorBidi"/>
      <w:b/>
      <w:bCs/>
      <w:color w:val="1F4E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Calibri" w:hAnsi="Calibri" w:asciiTheme="majorHAnsi" w:hAnsiTheme="majorHAnsi" w:eastAsiaTheme="majorEastAsia" w:cstheme="majorBidi"/>
      <w:b/>
      <w:bCs/>
      <w:color w:val="1F4E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" Type="http://schemas.openxmlformats.org/officeDocument/2006/relationships/hyperlink" Target="https://github.com/contaagoijf/judicial-calculator" TargetMode="External"/><Relationship Id="rId11" Type="http://schemas.openxmlformats.org/officeDocument/2006/relationships/hyperlink" Target="https://calcjud.vercel.app/" TargetMode="External"/><Relationship Id="rId12" Type="http://schemas.openxmlformats.org/officeDocument/2006/relationships/hyperlink" Target="https://intranet.jfrj.jus.br/unidade/dcal/planilhas-para-calculo-simples-projef-web/planilha-de-calculo-de-ajuste-anual-de" TargetMode="External"/><Relationship Id="rId13" Type="http://schemas.openxmlformats.org/officeDocument/2006/relationships/hyperlink" Target="https://intranet.jfrj.jus.br/unidade/dcal/solucoes-para-contadorias/planilha-de-calculo-de-declaracao-anual-do-imposto-de-renda" TargetMode="External"/><Relationship Id="rId14" Type="http://schemas.openxmlformats.org/officeDocument/2006/relationships/hyperlink" Target="https://nuvem.trf2.jus.br/s/7P2xp6QLsWNf65q" TargetMode="External"/><Relationship Id="R628f7f2b79474919" Type="http://schemas.openxmlformats.org/officeDocument/2006/relationships/hyperlink" Target="https://bun.sh" TargetMode="External"/><Relationship Id="Rd046ee95690248de" Type="http://schemas.openxmlformats.org/officeDocument/2006/relationships/hyperlink" Target="https://nuvem.trf2.jus.br/s/xNMMC9ZrcRi3sX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Marcio Barcellos</lastModifiedBy>
  <revision>8</revision>
  <dcterms:created xsi:type="dcterms:W3CDTF">2013-12-23T23:15:00.0000000Z</dcterms:created>
  <dcterms:modified xsi:type="dcterms:W3CDTF">2026-08-30T18:07:08.8517506Z</dcterms:modified>
  <category/>
</coreProperties>
</file>