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Arial" w:hAnsi="Arial"/>
          <w:b/>
          <w:color w:val="0E0E0E"/>
          <w:sz w:val="44"/>
        </w:rPr>
        <w:t>INVICTUS GLOBAL TECH</w:t>
      </w:r>
    </w:p>
    <w:p>
      <w:pPr>
        <w:spacing w:after="280"/>
      </w:pPr>
      <w:r>
        <w:rPr>
          <w:rFonts w:ascii="Arial" w:hAnsi="Arial"/>
          <w:b/>
          <w:color w:val="2AB182"/>
          <w:sz w:val="28"/>
        </w:rPr>
        <w:t>Phase 5: Content &amp; Keyword Optimization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0E0E0E"/>
                <w:sz w:val="18"/>
              </w:rPr>
              <w:t>Website Domain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Arial" w:hAnsi="Arial"/>
                <w:color w:val="1E293B"/>
                <w:sz w:val="18"/>
              </w:rPr>
              <w:t>https://www.invictusglobaltech.com/</w:t>
            </w:r>
          </w:p>
        </w:tc>
      </w:tr>
      <w:tr>
        <w:tc>
          <w:tcPr>
            <w:tcW w:type="dxa" w:w="31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0E0E0E"/>
                <w:sz w:val="18"/>
              </w:rPr>
              <w:t>Git Working Branch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Arial" w:hAnsi="Arial"/>
                <w:color w:val="1E293B"/>
                <w:sz w:val="18"/>
              </w:rPr>
              <w:t>invictus-redesign (0 commits, 0 pushes, 0 merges, 0 remote deploys)</w:t>
            </w:r>
          </w:p>
        </w:tc>
      </w:tr>
      <w:tr>
        <w:tc>
          <w:tcPr>
            <w:tcW w:type="dxa" w:w="31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0E0E0E"/>
                <w:sz w:val="18"/>
              </w:rPr>
              <w:t>Audit Scope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Arial" w:hAnsi="Arial"/>
                <w:color w:val="1E293B"/>
                <w:sz w:val="18"/>
              </w:rPr>
              <w:t>8 Primary Routes Content Review, Keyword Mapping, In-Content Links, Editorial Plan</w:t>
            </w:r>
          </w:p>
        </w:tc>
      </w:tr>
      <w:tr>
        <w:tc>
          <w:tcPr>
            <w:tcW w:type="dxa" w:w="31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0E0E0E"/>
                <w:sz w:val="18"/>
              </w:rPr>
              <w:t>Audit Execution Date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Arial" w:hAnsi="Arial"/>
                <w:color w:val="1E293B"/>
                <w:sz w:val="18"/>
              </w:rPr>
              <w:t>October 29, 2026</w:t>
            </w:r>
          </w:p>
        </w:tc>
      </w:tr>
      <w:tr>
        <w:tc>
          <w:tcPr>
            <w:tcW w:type="dxa" w:w="31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0E0E0E"/>
                <w:sz w:val="18"/>
              </w:rPr>
              <w:t>Audit Authority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Arial" w:hAnsi="Arial"/>
                <w:color w:val="1E293B"/>
                <w:sz w:val="18"/>
              </w:rPr>
              <w:t>Antigravity AI Senior Technical SEO &amp; Content Engineering Team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Arial" w:hAnsi="Arial"/>
          <w:b/>
          <w:color w:val="0E0E0E"/>
          <w:sz w:val="32"/>
        </w:rPr>
        <w:t>1. Executive Summary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Invictus Global Tech has successfully executed Phase 5: Content and Keyword Optimization on the local invictus-redesign branch. This phase conducted an in-depth review of existing website content, mapped commercial search topics to actual capabilities, upgraded in-content buttons to semantic crawlable links, and developed a data-backed editorial roadmap.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6F7F1"/>
            <w:tcBorders>
              <w:top w:val="none"/>
              <w:left w:val="single" w:sz="24" w:space="0" w:color="2AB182"/>
              <w:bottom w:val="none"/>
              <w:right w:val="none"/>
            </w:tcBorders>
          </w:tcPr>
          <w:p>
            <w:pPr>
              <w:spacing w:before="120" w:after="40"/>
              <w:ind w:left="216" w:right="216"/>
            </w:pPr>
            <w:r>
              <w:rPr>
                <w:rFonts w:ascii="Arial" w:hAnsi="Arial"/>
                <w:b/>
                <w:color w:val="0E0E0E"/>
                <w:sz w:val="19"/>
              </w:rPr>
              <w:t xml:space="preserve">[KEY ACHIEVEMENTS &amp; SAFE FIXES] </w:t>
            </w:r>
            <w:r>
              <w:rPr>
                <w:rFonts w:ascii="Arial" w:hAnsi="Arial"/>
                <w:color w:val="1E293B"/>
                <w:sz w:val="19"/>
              </w:rPr>
              <w:t>1. In-Content Internal Linking Architecture: Upgraded all primary CTA buttons and interactive cards across Homepage, Services, About Us, Clients, and Global Footprint from JavaScript onClick triggers to authentic Next.js &lt;Link&gt; anchor elements.</w:t>
              <w:br/>
              <w:t>2. Heading Typography &amp; Space Normalization: Resolved concatenated heading text on /services ('Performance-Driven Growth Systems.') and /global ('GLOBAL FOOTPRINT.') to ensure clean semantic parsing.</w:t>
              <w:br/>
              <w:t>3. WhatsNexus Service Cross-Linking: Added contextual links from the WhatsNexus product page back to Invictus's custom enterprise AI &amp; Lead Automation services and consultation form.</w:t>
              <w:br/>
              <w:t>4. Commercial Editorial Plan: Formulated 6 commercially viable future blog topics addressing verified client pain points (speed-to-lead, ad fatigue, landing page speed, AI search discovery, and healthcare acquisition).</w:t>
              <w:br/>
              <w:t>5. Zero Deployment Protocol: Maintained 0 git commits, 0 pushes, 0 merges, and 0 remote deployments.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Arial" w:hAnsi="Arial"/>
          <w:b/>
          <w:color w:val="0E0E0E"/>
          <w:sz w:val="32"/>
        </w:rPr>
        <w:t>2. Primary Website Pages Reviewed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Every major section of the website was reviewed for core offering, target audience, search intent alignment, and information completeness: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872"/>
            <w:shd w:val="clear" w:color="auto" w:fill="0E0E0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7"/>
              </w:rPr>
              <w:t>Page / Route</w:t>
            </w:r>
          </w:p>
        </w:tc>
        <w:tc>
          <w:tcPr>
            <w:tcW w:type="dxa" w:w="2160"/>
            <w:shd w:val="clear" w:color="auto" w:fill="0E0E0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7"/>
              </w:rPr>
              <w:t>Target Audience</w:t>
            </w:r>
          </w:p>
        </w:tc>
        <w:tc>
          <w:tcPr>
            <w:tcW w:type="dxa" w:w="3744"/>
            <w:shd w:val="clear" w:color="auto" w:fill="0E0E0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7"/>
              </w:rPr>
              <w:t>Core Page Offering</w:t>
            </w:r>
          </w:p>
        </w:tc>
        <w:tc>
          <w:tcPr>
            <w:tcW w:type="dxa" w:w="1152"/>
            <w:shd w:val="clear" w:color="auto" w:fill="0E0E0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7"/>
              </w:rPr>
              <w:t>Search Intent</w:t>
            </w:r>
          </w:p>
        </w:tc>
        <w:tc>
          <w:tcPr>
            <w:tcW w:type="dxa" w:w="1152"/>
            <w:shd w:val="clear" w:color="auto" w:fill="0E0E0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87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Homepage (/)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Founders, CMOs, Growth Heads</w:t>
            </w:r>
          </w:p>
        </w:tc>
        <w:tc>
          <w:tcPr>
            <w:tcW w:type="dxa" w:w="374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Agency value proposition, Meta &amp; Google Ads overview, client proof preview, engagement model FAQs.</w:t>
            </w:r>
          </w:p>
        </w:tc>
        <w:tc>
          <w:tcPr>
            <w:tcW w:type="dxa" w:w="115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Commercial</w:t>
            </w:r>
          </w:p>
        </w:tc>
        <w:tc>
          <w:tcPr>
            <w:tcW w:type="dxa" w:w="115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AB182"/>
                <w:sz w:val="16"/>
              </w:rPr>
              <w:t>Complete &amp; Aligned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About Us (/about)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Enterprise Decision-Makers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Team ethos ('Built On Accountability'), non-negotiables, methodology, 3D team carousel.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Trust / Info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AB182"/>
                <w:sz w:val="16"/>
              </w:rPr>
              <w:t>Complete &amp; Aligned</w:t>
            </w:r>
          </w:p>
        </w:tc>
      </w:tr>
      <w:tr>
        <w:tc>
          <w:tcPr>
            <w:tcW w:type="dxa" w:w="187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Services (/services)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Marketing Directors &amp; Founders</w:t>
            </w:r>
          </w:p>
        </w:tc>
        <w:tc>
          <w:tcPr>
            <w:tcW w:type="dxa" w:w="374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5 core pillars: Performance Marketing, Creative, Web, Lead Automation, Conversational AI Search.</w:t>
            </w:r>
          </w:p>
        </w:tc>
        <w:tc>
          <w:tcPr>
            <w:tcW w:type="dxa" w:w="115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Commercial</w:t>
            </w:r>
          </w:p>
        </w:tc>
        <w:tc>
          <w:tcPr>
            <w:tcW w:type="dxa" w:w="115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AB182"/>
                <w:sz w:val="16"/>
              </w:rPr>
              <w:t>Complete &amp; Aligned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Clients (/clients)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Prospective Vertical Clients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Industry vertical proof across Healthcare, EdTech, E-commerce, Real Estate, and B2B sectors.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Proof / Invest.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AB182"/>
                <w:sz w:val="16"/>
              </w:rPr>
              <w:t>Complete &amp; Aligned</w:t>
            </w:r>
          </w:p>
        </w:tc>
      </w:tr>
      <w:tr>
        <w:tc>
          <w:tcPr>
            <w:tcW w:type="dxa" w:w="187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Global (/global)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International &amp; Cross-Border Clients</w:t>
            </w:r>
          </w:p>
        </w:tc>
        <w:tc>
          <w:tcPr>
            <w:tcW w:type="dxa" w:w="374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Global operations footprint (Chennai HQ, USA expansion, Singapore, UK, UAE/Malaysia).</w:t>
            </w:r>
          </w:p>
        </w:tc>
        <w:tc>
          <w:tcPr>
            <w:tcW w:type="dxa" w:w="115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Corporate</w:t>
            </w:r>
          </w:p>
        </w:tc>
        <w:tc>
          <w:tcPr>
            <w:tcW w:type="dxa" w:w="115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AB182"/>
                <w:sz w:val="16"/>
              </w:rPr>
              <w:t>Complete &amp; Aligned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Careers (/careers)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Tech &amp; Marketing Talent in Chennai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Work culture, open positions (7 active roles), conversational application screening.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Navigational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AB182"/>
                <w:sz w:val="16"/>
              </w:rPr>
              <w:t>Complete &amp; Aligned</w:t>
            </w:r>
          </w:p>
        </w:tc>
      </w:tr>
      <w:tr>
        <w:tc>
          <w:tcPr>
            <w:tcW w:type="dxa" w:w="187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Contact (/contact)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High-Intent Inbound Prospects</w:t>
            </w:r>
          </w:p>
        </w:tc>
        <w:tc>
          <w:tcPr>
            <w:tcW w:type="dxa" w:w="374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Direct consultation booking, verified Chennai HQ address, telephone, interactive office map.</w:t>
            </w:r>
          </w:p>
        </w:tc>
        <w:tc>
          <w:tcPr>
            <w:tcW w:type="dxa" w:w="115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Transactional</w:t>
            </w:r>
          </w:p>
        </w:tc>
        <w:tc>
          <w:tcPr>
            <w:tcW w:type="dxa" w:w="115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AB182"/>
                <w:sz w:val="16"/>
              </w:rPr>
              <w:t>Complete &amp; Aligned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WhatsNexus (/whatsnexus)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Businesses Seeking WhatsApp AI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AI WhatsApp Receptionist SaaS product showcase, feature breakdown, live interactive demo.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Product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AB182"/>
                <w:sz w:val="16"/>
              </w:rPr>
              <w:t>Complete &amp; Aligned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0E0E0E"/>
          <w:sz w:val="32"/>
        </w:rPr>
        <w:t>3. Keyword Research &amp; Page Mapping Matrix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Target keywords are classified as high-intent research hypotheses derived from Invictus's core offerings and commercial customer inquiries: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color="auto" w:fill="0E0E0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7"/>
              </w:rPr>
              <w:t>Route</w:t>
            </w:r>
          </w:p>
        </w:tc>
        <w:tc>
          <w:tcPr>
            <w:tcW w:type="dxa" w:w="1872"/>
            <w:shd w:val="clear" w:color="auto" w:fill="0E0E0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7"/>
              </w:rPr>
              <w:t>Primary Keyword (Hypothesis)</w:t>
            </w:r>
          </w:p>
        </w:tc>
        <w:tc>
          <w:tcPr>
            <w:tcW w:type="dxa" w:w="1872"/>
            <w:shd w:val="clear" w:color="auto" w:fill="0E0E0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7"/>
              </w:rPr>
              <w:t>Related Secondary Topics</w:t>
            </w:r>
          </w:p>
        </w:tc>
        <w:tc>
          <w:tcPr>
            <w:tcW w:type="dxa" w:w="1008"/>
            <w:shd w:val="clear" w:color="auto" w:fill="0E0E0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7"/>
              </w:rPr>
              <w:t>Intent</w:t>
            </w:r>
          </w:p>
        </w:tc>
        <w:tc>
          <w:tcPr>
            <w:tcW w:type="dxa" w:w="1728"/>
            <w:shd w:val="clear" w:color="auto" w:fill="0E0E0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7"/>
              </w:rPr>
              <w:t>Title Tag</w:t>
            </w:r>
          </w:p>
        </w:tc>
        <w:tc>
          <w:tcPr>
            <w:tcW w:type="dxa" w:w="1296"/>
            <w:shd w:val="clear" w:color="auto" w:fill="0E0E0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7"/>
              </w:rPr>
              <w:t>H1 Heading</w:t>
            </w:r>
          </w:p>
        </w:tc>
        <w:tc>
          <w:tcPr>
            <w:tcW w:type="dxa" w:w="1008"/>
            <w:shd w:val="clear" w:color="auto" w:fill="0E0E0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29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/</w:t>
            </w:r>
          </w:p>
        </w:tc>
        <w:tc>
          <w:tcPr>
            <w:tcW w:type="dxa" w:w="187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Performance Marketing Agency Chennai</w:t>
            </w:r>
          </w:p>
        </w:tc>
        <w:tc>
          <w:tcPr>
            <w:tcW w:type="dxa" w:w="187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Meta Ads agency, Google Ads lead gen, ROI marketing partner</w:t>
            </w:r>
          </w:p>
        </w:tc>
        <w:tc>
          <w:tcPr>
            <w:tcW w:type="dxa" w:w="100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Commercial</w:t>
            </w:r>
          </w:p>
        </w:tc>
        <w:tc>
          <w:tcPr>
            <w:tcW w:type="dxa" w:w="172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Performance Marketing Agency in Chennai &amp; India...</w:t>
            </w:r>
          </w:p>
        </w:tc>
        <w:tc>
          <w:tcPr>
            <w:tcW w:type="dxa" w:w="129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Invictus Global Tech</w:t>
            </w:r>
          </w:p>
        </w:tc>
        <w:tc>
          <w:tcPr>
            <w:tcW w:type="dxa" w:w="100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AB182"/>
                <w:sz w:val="16"/>
              </w:rPr>
              <w:t>Approved &amp; Retained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/about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Performance Marketing Team &amp; Growth Partner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ROI focused marketing agency, data driven partner, Chennai team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Trust / Info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About Us | Performance Marketing &amp; Growth Partner...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Built On Accountability.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AB182"/>
                <w:sz w:val="16"/>
              </w:rPr>
              <w:t>Approved &amp; Retained</w:t>
            </w:r>
          </w:p>
        </w:tc>
      </w:tr>
      <w:tr>
        <w:tc>
          <w:tcPr>
            <w:tcW w:type="dxa" w:w="129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/services</w:t>
            </w:r>
          </w:p>
        </w:tc>
        <w:tc>
          <w:tcPr>
            <w:tcW w:type="dxa" w:w="187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Meta &amp; Google Ads Management Services</w:t>
            </w:r>
          </w:p>
        </w:tc>
        <w:tc>
          <w:tcPr>
            <w:tcW w:type="dxa" w:w="187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PPC lead generation, landing page development, AI automation</w:t>
            </w:r>
          </w:p>
        </w:tc>
        <w:tc>
          <w:tcPr>
            <w:tcW w:type="dxa" w:w="100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Commercial</w:t>
            </w:r>
          </w:p>
        </w:tc>
        <w:tc>
          <w:tcPr>
            <w:tcW w:type="dxa" w:w="172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Performance Marketing, Meta Ads &amp; AI Web Services...</w:t>
            </w:r>
          </w:p>
        </w:tc>
        <w:tc>
          <w:tcPr>
            <w:tcW w:type="dxa" w:w="129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Performance-Driven Growth Systems.</w:t>
            </w:r>
          </w:p>
        </w:tc>
        <w:tc>
          <w:tcPr>
            <w:tcW w:type="dxa" w:w="100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AB182"/>
                <w:sz w:val="16"/>
              </w:rPr>
              <w:t>Approved &amp; Retained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/clients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Performance Marketing Case Studies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Healthcare lead gen case study, EdTech marketing, E-com ROAS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Investigational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Client Case Studies &amp; Industry Results...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Industries We Transform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AB182"/>
                <w:sz w:val="16"/>
              </w:rPr>
              <w:t>Approved &amp; Retained</w:t>
            </w:r>
          </w:p>
        </w:tc>
      </w:tr>
      <w:tr>
        <w:tc>
          <w:tcPr>
            <w:tcW w:type="dxa" w:w="129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/global</w:t>
            </w:r>
          </w:p>
        </w:tc>
        <w:tc>
          <w:tcPr>
            <w:tcW w:type="dxa" w:w="187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Global Performance Marketing Agency</w:t>
            </w:r>
          </w:p>
        </w:tc>
        <w:tc>
          <w:tcPr>
            <w:tcW w:type="dxa" w:w="187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International performance marketing, cross-border ad agency</w:t>
            </w:r>
          </w:p>
        </w:tc>
        <w:tc>
          <w:tcPr>
            <w:tcW w:type="dxa" w:w="100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Corporate</w:t>
            </w:r>
          </w:p>
        </w:tc>
        <w:tc>
          <w:tcPr>
            <w:tcW w:type="dxa" w:w="172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Global Footprint &amp; Locations...</w:t>
            </w:r>
          </w:p>
        </w:tc>
        <w:tc>
          <w:tcPr>
            <w:tcW w:type="dxa" w:w="129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GLOBAL FOOTPRINT.</w:t>
            </w:r>
          </w:p>
        </w:tc>
        <w:tc>
          <w:tcPr>
            <w:tcW w:type="dxa" w:w="100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AB182"/>
                <w:sz w:val="16"/>
              </w:rPr>
              <w:t>Approved &amp; Retained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/careers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Performance Marketing Careers Chennai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Digital marketing jobs Chennai, Google Ads specialist vacancy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Navigational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Careers at Invictus Global Tech...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BUILD WORK THAT MOVES BUSINESSES...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AB182"/>
                <w:sz w:val="16"/>
              </w:rPr>
              <w:t>Approved &amp; Retained</w:t>
            </w:r>
          </w:p>
        </w:tc>
      </w:tr>
      <w:tr>
        <w:tc>
          <w:tcPr>
            <w:tcW w:type="dxa" w:w="129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/contact</w:t>
            </w:r>
          </w:p>
        </w:tc>
        <w:tc>
          <w:tcPr>
            <w:tcW w:type="dxa" w:w="187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Contact Performance Marketing Agency Chennai</w:t>
            </w:r>
          </w:p>
        </w:tc>
        <w:tc>
          <w:tcPr>
            <w:tcW w:type="dxa" w:w="187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Hire performance marketing agency, book marketing audit</w:t>
            </w:r>
          </w:p>
        </w:tc>
        <w:tc>
          <w:tcPr>
            <w:tcW w:type="dxa" w:w="100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Transactional</w:t>
            </w:r>
          </w:p>
        </w:tc>
        <w:tc>
          <w:tcPr>
            <w:tcW w:type="dxa" w:w="172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Contact Invictus Global Tech...</w:t>
            </w:r>
          </w:p>
        </w:tc>
        <w:tc>
          <w:tcPr>
            <w:tcW w:type="dxa" w:w="129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Ready To Scale?</w:t>
            </w:r>
          </w:p>
        </w:tc>
        <w:tc>
          <w:tcPr>
            <w:tcW w:type="dxa" w:w="100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AB182"/>
                <w:sz w:val="16"/>
              </w:rPr>
              <w:t>Approved &amp; Retained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/whatsnexus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AI WhatsApp Receptionist &amp; Lead Automation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WhatsApp support automation, automated lead capture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Product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WhatsNexus | AI WhatsApp Receptionist...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WhatsNexus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AB182"/>
                <w:sz w:val="16"/>
              </w:rPr>
              <w:t>Approved &amp; Retained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0E0E0E"/>
          <w:sz w:val="32"/>
        </w:rPr>
        <w:t>4. Content &amp; Metadata Changes Made</w:t>
      </w:r>
    </w:p>
    <w:p>
      <w:pPr>
        <w:spacing w:after="120" w:line="276" w:lineRule="auto"/>
      </w:pPr>
      <w:r>
        <w:rPr>
          <w:rFonts w:ascii="Arial" w:hAnsi="Arial"/>
          <w:b/>
          <w:color w:val="0E0E0E"/>
          <w:sz w:val="20"/>
        </w:rPr>
        <w:t xml:space="preserve">1. Heading Spacing on /services: </w:t>
      </w:r>
      <w:r>
        <w:rPr>
          <w:rFonts w:ascii="Arial" w:hAnsi="Arial"/>
          <w:color w:val="1E293B"/>
          <w:sz w:val="20"/>
        </w:rPr>
        <w:t>Multi-line animated spans were separated with {' '} so text extractors and screen readers read 'Performance-Driven Growth Systems.' instead of concatenated words.</w:t>
      </w:r>
    </w:p>
    <w:p>
      <w:pPr>
        <w:spacing w:after="120" w:line="276" w:lineRule="auto"/>
      </w:pPr>
      <w:r>
        <w:rPr>
          <w:rFonts w:ascii="Arial" w:hAnsi="Arial"/>
          <w:b/>
          <w:color w:val="0E0E0E"/>
          <w:sz w:val="20"/>
        </w:rPr>
        <w:t xml:space="preserve">2. Heading Spacing on /global: </w:t>
      </w:r>
      <w:r>
        <w:rPr>
          <w:rFonts w:ascii="Arial" w:hAnsi="Arial"/>
          <w:color w:val="1E293B"/>
          <w:sz w:val="20"/>
        </w:rPr>
        <w:t>Child span containers were separated with {' '} so crawlers read 'GLOBAL FOOTPRINT.' cleanly.</w:t>
      </w:r>
    </w:p>
    <w:p>
      <w:pPr>
        <w:spacing w:after="120" w:line="276" w:lineRule="auto"/>
      </w:pPr>
      <w:r>
        <w:rPr>
          <w:rFonts w:ascii="Arial" w:hAnsi="Arial"/>
          <w:b/>
          <w:color w:val="0E0E0E"/>
          <w:sz w:val="20"/>
        </w:rPr>
        <w:t xml:space="preserve">3. Contextual Client Proof Link on /services: </w:t>
      </w:r>
      <w:r>
        <w:rPr>
          <w:rFonts w:ascii="Arial" w:hAnsi="Arial"/>
          <w:color w:val="1E293B"/>
          <w:sz w:val="20"/>
        </w:rPr>
        <w:t>Inserted an organic editorial reference linking directly to verified client results: 'Explore our client case studies to see how these systems perform in practice.'</w:t>
      </w:r>
    </w:p>
    <w:p>
      <w:pPr>
        <w:spacing w:after="120" w:line="276" w:lineRule="auto"/>
      </w:pPr>
      <w:r>
        <w:rPr>
          <w:rFonts w:ascii="Arial" w:hAnsi="Arial"/>
          <w:b/>
          <w:color w:val="0E0E0E"/>
          <w:sz w:val="20"/>
        </w:rPr>
        <w:t xml:space="preserve">4. WhatsNexus Cross-Service Integration: </w:t>
      </w:r>
      <w:r>
        <w:rPr>
          <w:rFonts w:ascii="Arial" w:hAnsi="Arial"/>
          <w:color w:val="1E293B"/>
          <w:sz w:val="20"/>
        </w:rPr>
        <w:t>Added direct links from WhatsNexus back to /services (AI &amp; Lead Automation) and /contact (Enterprise Strategy Team).</w:t>
      </w:r>
    </w:p>
    <w:p>
      <w:pPr>
        <w:keepNext/>
        <w:spacing w:before="360" w:after="120"/>
      </w:pPr>
      <w:r>
        <w:rPr>
          <w:rFonts w:ascii="Arial" w:hAnsi="Arial"/>
          <w:b/>
          <w:color w:val="0E0E0E"/>
          <w:sz w:val="32"/>
        </w:rPr>
        <w:t>5. In-Content Internal Linking Architecture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Upgraded all primary user-journey CTAs from JavaScript onClick button handlers to semantic Next.js &lt;Link&gt; elements:</w:t>
      </w:r>
    </w:p>
    <w:p>
      <w:pPr>
        <w:spacing w:after="120" w:line="276" w:lineRule="auto"/>
      </w:pPr>
      <w:r>
        <w:rPr>
          <w:rFonts w:ascii="Arial" w:hAnsi="Arial"/>
          <w:b/>
          <w:color w:val="0E0E0E"/>
          <w:sz w:val="20"/>
        </w:rPr>
        <w:t xml:space="preserve">• Homepage to Contact: </w:t>
      </w:r>
      <w:r>
        <w:rPr>
          <w:rFonts w:ascii="Arial" w:hAnsi="Arial"/>
          <w:color w:val="1E293B"/>
          <w:sz w:val="20"/>
        </w:rPr>
        <w:t>Hero button ('Start Project') and FAQ bottom button ('BOOK A DISCOVERY CALL') converted to &lt;Link href="/contact"&gt;.</w:t>
      </w:r>
    </w:p>
    <w:p>
      <w:pPr>
        <w:spacing w:after="120" w:line="276" w:lineRule="auto"/>
      </w:pPr>
      <w:r>
        <w:rPr>
          <w:rFonts w:ascii="Arial" w:hAnsi="Arial"/>
          <w:b/>
          <w:color w:val="0E0E0E"/>
          <w:sz w:val="20"/>
        </w:rPr>
        <w:t xml:space="preserve">• Homepage to Services: </w:t>
      </w:r>
      <w:r>
        <w:rPr>
          <w:rFonts w:ascii="Arial" w:hAnsi="Arial"/>
          <w:color w:val="1E293B"/>
          <w:sz w:val="20"/>
        </w:rPr>
        <w:t>Desktop and mobile Core Capability cards converted to &lt;Link href="/services"&gt;.</w:t>
      </w:r>
    </w:p>
    <w:p>
      <w:pPr>
        <w:spacing w:after="120" w:line="276" w:lineRule="auto"/>
      </w:pPr>
      <w:r>
        <w:rPr>
          <w:rFonts w:ascii="Arial" w:hAnsi="Arial"/>
          <w:b/>
          <w:color w:val="0E0E0E"/>
          <w:sz w:val="20"/>
        </w:rPr>
        <w:t xml:space="preserve">• Homepage to Clients: </w:t>
      </w:r>
      <w:r>
        <w:rPr>
          <w:rFonts w:ascii="Arial" w:hAnsi="Arial"/>
          <w:color w:val="1E293B"/>
          <w:sz w:val="20"/>
        </w:rPr>
        <w:t>Desktop and mobile Industry cards converted to &lt;Link href="/clients"&gt;.</w:t>
      </w:r>
    </w:p>
    <w:p>
      <w:pPr>
        <w:spacing w:after="120" w:line="276" w:lineRule="auto"/>
      </w:pPr>
      <w:r>
        <w:rPr>
          <w:rFonts w:ascii="Arial" w:hAnsi="Arial"/>
          <w:b/>
          <w:color w:val="0E0E0E"/>
          <w:sz w:val="20"/>
        </w:rPr>
        <w:t xml:space="preserve">• Services to Contact: </w:t>
      </w:r>
      <w:r>
        <w:rPr>
          <w:rFonts w:ascii="Arial" w:hAnsi="Arial"/>
          <w:color w:val="1E293B"/>
          <w:sz w:val="20"/>
        </w:rPr>
        <w:t>AI Search CTA ('Explore AI Search Strategy') and final CTA ('Get Started') converted to &lt;Link href="/contact"&gt;.</w:t>
      </w:r>
    </w:p>
    <w:p>
      <w:pPr>
        <w:spacing w:after="120" w:line="276" w:lineRule="auto"/>
      </w:pPr>
      <w:r>
        <w:rPr>
          <w:rFonts w:ascii="Arial" w:hAnsi="Arial"/>
          <w:b/>
          <w:color w:val="0E0E0E"/>
          <w:sz w:val="20"/>
        </w:rPr>
        <w:t xml:space="preserve">• About Us to Contact: </w:t>
      </w:r>
      <w:r>
        <w:rPr>
          <w:rFonts w:ascii="Arial" w:hAnsi="Arial"/>
          <w:color w:val="1E293B"/>
          <w:sz w:val="20"/>
        </w:rPr>
        <w:t>Closing CTA ('Book a Discovery Call') converted to &lt;Link href="/contact"&gt;.</w:t>
      </w:r>
    </w:p>
    <w:p>
      <w:pPr>
        <w:spacing w:after="120" w:line="276" w:lineRule="auto"/>
      </w:pPr>
      <w:r>
        <w:rPr>
          <w:rFonts w:ascii="Arial" w:hAnsi="Arial"/>
          <w:b/>
          <w:color w:val="0E0E0E"/>
          <w:sz w:val="20"/>
        </w:rPr>
        <w:t xml:space="preserve">• Global to Contact: </w:t>
      </w:r>
      <w:r>
        <w:rPr>
          <w:rFonts w:ascii="Arial" w:hAnsi="Arial"/>
          <w:color w:val="1E293B"/>
          <w:sz w:val="20"/>
        </w:rPr>
        <w:t>Consultation CTA ('Book a Strategy Call') converted to &lt;Link href="/contact"&gt;.</w:t>
      </w:r>
    </w:p>
    <w:p>
      <w:pPr>
        <w:spacing w:after="120" w:line="276" w:lineRule="auto"/>
      </w:pPr>
      <w:r>
        <w:rPr>
          <w:rFonts w:ascii="Arial" w:hAnsi="Arial"/>
          <w:b/>
          <w:color w:val="0E0E0E"/>
          <w:sz w:val="20"/>
        </w:rPr>
        <w:t xml:space="preserve">• Clients to Contact: </w:t>
      </w:r>
      <w:r>
        <w:rPr>
          <w:rFonts w:ascii="Arial" w:hAnsi="Arial"/>
          <w:color w:val="1E293B"/>
          <w:sz w:val="20"/>
        </w:rPr>
        <w:t>Closing CTA ('Book a Discovery Call') converted to &lt;Link href="/contact"&gt;.</w:t>
      </w:r>
    </w:p>
    <w:p>
      <w:pPr>
        <w:keepNext/>
        <w:spacing w:before="360" w:after="120"/>
      </w:pPr>
      <w:r>
        <w:rPr>
          <w:rFonts w:ascii="Arial" w:hAnsi="Arial"/>
          <w:b/>
          <w:color w:val="0E0E0E"/>
          <w:sz w:val="32"/>
        </w:rPr>
        <w:t>6. Recommended Future Blog Topics &amp; Editorial Plan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The following 6 commercially focused editorial topics address real customer decision points: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592"/>
            <w:shd w:val="clear" w:color="auto" w:fill="0E0E0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7"/>
              </w:rPr>
              <w:t>Proposed Article Title</w:t>
            </w:r>
          </w:p>
        </w:tc>
        <w:tc>
          <w:tcPr>
            <w:tcW w:type="dxa" w:w="1872"/>
            <w:shd w:val="clear" w:color="auto" w:fill="0E0E0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7"/>
              </w:rPr>
              <w:t>Target Audience</w:t>
            </w:r>
          </w:p>
        </w:tc>
        <w:tc>
          <w:tcPr>
            <w:tcW w:type="dxa" w:w="3168"/>
            <w:shd w:val="clear" w:color="auto" w:fill="0E0E0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7"/>
              </w:rPr>
              <w:t>Problem Solved</w:t>
            </w:r>
          </w:p>
        </w:tc>
        <w:tc>
          <w:tcPr>
            <w:tcW w:type="dxa" w:w="1584"/>
            <w:shd w:val="clear" w:color="auto" w:fill="0E0E0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7"/>
              </w:rPr>
              <w:t>Target Topic</w:t>
            </w:r>
          </w:p>
        </w:tc>
        <w:tc>
          <w:tcPr>
            <w:tcW w:type="dxa" w:w="864"/>
            <w:shd w:val="clear" w:color="auto" w:fill="0E0E0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7"/>
              </w:rPr>
              <w:t>Target Link</w:t>
            </w:r>
          </w:p>
        </w:tc>
      </w:tr>
      <w:tr>
        <w:tc>
          <w:tcPr>
            <w:tcW w:type="dxa" w:w="259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Meta Ads vs. Google Ads: Budget Allocation for High-Ticket Lead Gen</w:t>
            </w:r>
          </w:p>
        </w:tc>
        <w:tc>
          <w:tcPr>
            <w:tcW w:type="dxa" w:w="187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Founders &amp; CMOs spending $2k-$20k/mo on ads</w:t>
            </w:r>
          </w:p>
        </w:tc>
        <w:tc>
          <w:tcPr>
            <w:tcW w:type="dxa" w:w="31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Allocating budgets between capture intent (Google) vs demand gen (Meta) to lower CAC.</w:t>
            </w:r>
          </w:p>
        </w:tc>
        <w:tc>
          <w:tcPr>
            <w:tcW w:type="dxa" w:w="158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Meta Ads vs Google Ads lead generation</w:t>
            </w:r>
          </w:p>
        </w:tc>
        <w:tc>
          <w:tcPr>
            <w:tcW w:type="dxa" w:w="86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AB182"/>
                <w:sz w:val="16"/>
              </w:rPr>
              <w:t>/services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Solving the 5-Minute Lead Leak: Why Speed-to-Lead Dictates Conversion Rates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Real Estate &amp; Healthcare clinic managers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Leads go cold within 15 mins. Automated WhatsApp/SMS routing bridges the sales rep gap.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lead response time automation sales teams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AB182"/>
                <w:sz w:val="16"/>
              </w:rPr>
              <w:t>/whatsnexus &amp; /services</w:t>
            </w:r>
          </w:p>
        </w:tc>
      </w:tr>
      <w:tr>
        <w:tc>
          <w:tcPr>
            <w:tcW w:type="dxa" w:w="259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The Creative Fatigue Playbook: How to Scale Ad Spend on Meta Profitably</w:t>
            </w:r>
          </w:p>
        </w:tc>
        <w:tc>
          <w:tcPr>
            <w:tcW w:type="dxa" w:w="187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E-commerce &amp; D2C brand marketers</w:t>
            </w:r>
          </w:p>
        </w:tc>
        <w:tc>
          <w:tcPr>
            <w:tcW w:type="dxa" w:w="31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Rising CPMs after 3-4 weeks. Determining creative volume and mix (UGC, motion, static).</w:t>
            </w:r>
          </w:p>
        </w:tc>
        <w:tc>
          <w:tcPr>
            <w:tcW w:type="dxa" w:w="158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Meta ad creative fatigue solutions</w:t>
            </w:r>
          </w:p>
        </w:tc>
        <w:tc>
          <w:tcPr>
            <w:tcW w:type="dxa" w:w="86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AB182"/>
                <w:sz w:val="16"/>
              </w:rPr>
              <w:t>/services (Creative)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Landing Page Speed &amp; Paid Traffic: Why 1-Second Delays Inflate CPC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Leaders running ads on slow page builders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Mobile bounce rates and Google Ads Quality Scores degrade on slow pages.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landing page speed impact on Google Ads CPC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AB182"/>
                <w:sz w:val="16"/>
              </w:rPr>
              <w:t>/services (Web Dev)</w:t>
            </w:r>
          </w:p>
        </w:tc>
      </w:tr>
      <w:tr>
        <w:tc>
          <w:tcPr>
            <w:tcW w:type="dxa" w:w="259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Optimizing for AI Discovery: How ChatGPT &amp; Perplexity Surface Brands</w:t>
            </w:r>
          </w:p>
        </w:tc>
        <w:tc>
          <w:tcPr>
            <w:tcW w:type="dxa" w:w="187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Brand managers seeking AI discovery</w:t>
            </w:r>
          </w:p>
        </w:tc>
        <w:tc>
          <w:tcPr>
            <w:tcW w:type="dxa" w:w="31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How entity authority, schema, and digital footprints influence citations in AI search.</w:t>
            </w:r>
          </w:p>
        </w:tc>
        <w:tc>
          <w:tcPr>
            <w:tcW w:type="dxa" w:w="158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how to optimize for ChatGPT search</w:t>
            </w:r>
          </w:p>
        </w:tc>
        <w:tc>
          <w:tcPr>
            <w:tcW w:type="dxa" w:w="86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AB182"/>
                <w:sz w:val="16"/>
              </w:rPr>
              <w:t>/services#chatgpt-ads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Patient Acquisition Cost Benchmarks for Specialized Eye Care in India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Eye hospital directors &amp; clinic owners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Cost-per-acquisition benchmarks and ethical lead funnels for elective healthcare.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healthcare patient acquisition India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AB182"/>
                <w:sz w:val="16"/>
              </w:rPr>
              <w:t>/clients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0E0E0E"/>
          <w:sz w:val="32"/>
        </w:rPr>
        <w:t>7. Business Claims Requiring Owner Approval</w:t>
      </w:r>
    </w:p>
    <w:p>
      <w:pPr>
        <w:spacing w:after="120" w:line="276" w:lineRule="auto"/>
      </w:pPr>
      <w:r>
        <w:rPr>
          <w:rFonts w:ascii="Arial" w:hAnsi="Arial"/>
          <w:b/>
          <w:color w:val="0E0E0E"/>
          <w:sz w:val="20"/>
        </w:rPr>
        <w:t xml:space="preserve">1. Specific Client Case Study Metrics: </w:t>
      </w:r>
      <w:r>
        <w:rPr>
          <w:rFonts w:ascii="Arial" w:hAnsi="Arial"/>
          <w:color w:val="1E293B"/>
          <w:sz w:val="20"/>
        </w:rPr>
        <w:t>Specific growth percentages (e.g. '300% ROAS', '10x revenue') should be formally signed off by clients before publication on case study pages.</w:t>
      </w:r>
    </w:p>
    <w:p>
      <w:pPr>
        <w:spacing w:after="120" w:line="276" w:lineRule="auto"/>
      </w:pPr>
      <w:r>
        <w:rPr>
          <w:rFonts w:ascii="Arial" w:hAnsi="Arial"/>
          <w:b/>
          <w:color w:val="0E0E0E"/>
          <w:sz w:val="20"/>
        </w:rPr>
        <w:t xml:space="preserve">2. CRM Partner Certifications: </w:t>
      </w:r>
      <w:r>
        <w:rPr>
          <w:rFonts w:ascii="Arial" w:hAnsi="Arial"/>
          <w:color w:val="1E293B"/>
          <w:sz w:val="20"/>
        </w:rPr>
        <w:t>Keep CRM wording vendor-agnostic unless formal agency partner contracts exist with specific vendors (HubSpot, Salesforce, Zoho).</w:t>
      </w:r>
    </w:p>
    <w:p>
      <w:pPr>
        <w:spacing w:after="120" w:line="276" w:lineRule="auto"/>
      </w:pPr>
      <w:r>
        <w:rPr>
          <w:rFonts w:ascii="Arial" w:hAnsi="Arial"/>
          <w:b/>
          <w:color w:val="0E0E0E"/>
          <w:sz w:val="20"/>
        </w:rPr>
        <w:t xml:space="preserve">3. Ad Spend Minimums: </w:t>
      </w:r>
      <w:r>
        <w:rPr>
          <w:rFonts w:ascii="Arial" w:hAnsi="Arial"/>
          <w:color w:val="1E293B"/>
          <w:sz w:val="20"/>
        </w:rPr>
        <w:t>Continue utilizing the approved $2,000+ monthly budget baseline; do not publish unapproved domestic INR figures.</w:t>
      </w:r>
    </w:p>
    <w:p>
      <w:pPr>
        <w:spacing w:after="120" w:line="276" w:lineRule="auto"/>
      </w:pPr>
      <w:r>
        <w:rPr>
          <w:rFonts w:ascii="Arial" w:hAnsi="Arial"/>
          <w:b/>
          <w:color w:val="0E0E0E"/>
          <w:sz w:val="20"/>
        </w:rPr>
        <w:t xml:space="preserve">4. WhatsNexus SaaS Pricing: </w:t>
      </w:r>
      <w:r>
        <w:rPr>
          <w:rFonts w:ascii="Arial" w:hAnsi="Arial"/>
          <w:color w:val="1E293B"/>
          <w:sz w:val="20"/>
        </w:rPr>
        <w:t>Beta pricing and subscription tiers should be validated with product management before launching public self-serve checkouts.</w:t>
      </w:r>
    </w:p>
    <w:p>
      <w:pPr>
        <w:keepNext/>
        <w:spacing w:before="360" w:after="120"/>
      </w:pPr>
      <w:r>
        <w:rPr>
          <w:rFonts w:ascii="Arial" w:hAnsi="Arial"/>
          <w:b/>
          <w:color w:val="0E0E0E"/>
          <w:sz w:val="32"/>
        </w:rPr>
        <w:t>8. Automated Local Tests Performed &amp;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  <w:shd w:val="clear" w:color="auto" w:fill="0E0E0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7"/>
              </w:rPr>
              <w:t>Test Suite</w:t>
            </w:r>
          </w:p>
        </w:tc>
        <w:tc>
          <w:tcPr>
            <w:tcW w:type="dxa" w:w="2592"/>
            <w:shd w:val="clear" w:color="auto" w:fill="0E0E0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7"/>
              </w:rPr>
              <w:t>Execution Method</w:t>
            </w:r>
          </w:p>
        </w:tc>
        <w:tc>
          <w:tcPr>
            <w:tcW w:type="dxa" w:w="3744"/>
            <w:shd w:val="clear" w:color="auto" w:fill="0E0E0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7"/>
              </w:rPr>
              <w:t>Observed Test Result</w:t>
            </w:r>
          </w:p>
        </w:tc>
        <w:tc>
          <w:tcPr>
            <w:tcW w:type="dxa" w:w="1440"/>
            <w:shd w:val="clear" w:color="auto" w:fill="0E0E0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7"/>
              </w:rPr>
              <w:t>Outcome</w:t>
            </w:r>
          </w:p>
        </w:tc>
      </w:tr>
      <w:tr>
        <w:tc>
          <w:tcPr>
            <w:tcW w:type="dxa" w:w="230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Production Build Test</w:t>
            </w:r>
          </w:p>
        </w:tc>
        <w:tc>
          <w:tcPr>
            <w:tcW w:type="dxa" w:w="259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npm run build (Turbopack)</w:t>
            </w:r>
          </w:p>
        </w:tc>
        <w:tc>
          <w:tcPr>
            <w:tcW w:type="dxa" w:w="374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Compiled successfully in 5.0s. Generated all 23 static pages with 0 errors.</w:t>
            </w:r>
          </w:p>
        </w:tc>
        <w:tc>
          <w:tcPr>
            <w:tcW w:type="dxa" w:w="144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AB182"/>
                <w:sz w:val="16"/>
              </w:rPr>
              <w:t>PASSED (100%)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Git Whitespace &amp; CRLF Check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git diff --check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0 trailing whitespace warnings, 0 line ending anomalies.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AB182"/>
                <w:sz w:val="16"/>
              </w:rPr>
              <w:t>PASSED (100%)</w:t>
            </w:r>
          </w:p>
        </w:tc>
      </w:tr>
      <w:tr>
        <w:tc>
          <w:tcPr>
            <w:tcW w:type="dxa" w:w="230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Heading Spacing Verification</w:t>
            </w:r>
          </w:p>
        </w:tc>
        <w:tc>
          <w:tcPr>
            <w:tcW w:type="dxa" w:w="259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python scratch/verify_h1_spaces.py</w:t>
            </w:r>
          </w:p>
        </w:tc>
        <w:tc>
          <w:tcPr>
            <w:tcW w:type="dxa" w:w="374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H1s on /services and /global parse with clean word spaces.</w:t>
            </w:r>
          </w:p>
        </w:tc>
        <w:tc>
          <w:tcPr>
            <w:tcW w:type="dxa" w:w="144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AB182"/>
                <w:sz w:val="16"/>
              </w:rPr>
              <w:t>PASSED (100%)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Internal Link Graph Audit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python scratch/analyze_internal_links.py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0 broken internal links. All primary routes receive 19 inbound links.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AB182"/>
                <w:sz w:val="16"/>
              </w:rPr>
              <w:t>PASSED (100%)</w:t>
            </w:r>
          </w:p>
        </w:tc>
      </w:tr>
      <w:tr>
        <w:tc>
          <w:tcPr>
            <w:tcW w:type="dxa" w:w="230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Canonical Tag Consistency</w:t>
            </w:r>
          </w:p>
        </w:tc>
        <w:tc>
          <w:tcPr>
            <w:tcW w:type="dxa" w:w="259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python scratch/verify_all_canonicals.py</w:t>
            </w:r>
          </w:p>
        </w:tc>
        <w:tc>
          <w:tcPr>
            <w:tcW w:type="dxa" w:w="374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100% of indexable pages declare self-referential canonicals with HTTPS/www.</w:t>
            </w:r>
          </w:p>
        </w:tc>
        <w:tc>
          <w:tcPr>
            <w:tcW w:type="dxa" w:w="144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AB182"/>
                <w:sz w:val="16"/>
              </w:rPr>
              <w:t>PASSED (100%)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Sitemap Agreement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python scratch/audit_crawlability.py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17 URLs parsed. 0 errors, 0 duplicates, 0 redirected URLs.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AB182"/>
                <w:sz w:val="16"/>
              </w:rPr>
              <w:t>PASSED (100%)</w:t>
            </w:r>
          </w:p>
        </w:tc>
      </w:tr>
      <w:tr>
        <w:tc>
          <w:tcPr>
            <w:tcW w:type="dxa" w:w="230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JSON-LD Schema Check</w:t>
            </w:r>
          </w:p>
        </w:tc>
        <w:tc>
          <w:tcPr>
            <w:tcW w:type="dxa" w:w="259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python scratch/validate_schemas.py</w:t>
            </w:r>
          </w:p>
        </w:tc>
        <w:tc>
          <w:tcPr>
            <w:tcW w:type="dxa" w:w="374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6"/>
              </w:rPr>
              <w:t>All schemas (ProfessionalService, FAQPage, ItemList, JobPosting) valid.</w:t>
            </w:r>
          </w:p>
        </w:tc>
        <w:tc>
          <w:tcPr>
            <w:tcW w:type="dxa" w:w="144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AB182"/>
                <w:sz w:val="16"/>
              </w:rPr>
              <w:t>PASSED (100%)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0E0E0E"/>
          <w:sz w:val="32"/>
        </w:rPr>
        <w:t>9. Remaining Work &amp; Future Roadmap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1. Blog Engine Implementation: When approved, scaffold a dynamic Next.js blog system (/blog/[slug]) with Markdown/CMS integration and Article schema.</w:t>
        <w:br/>
        <w:t>2. Google Search Console Verification: Verify domain ownership via DNS TXT record and submit sitemap upon production deployment.</w:t>
        <w:br/>
        <w:t>3. Bing Webmaster Tools &amp; IndexNow: Link GSC with Bing and configure IndexNow key for instant URL crawling.</w:t>
      </w:r>
    </w:p>
    <w:p>
      <w:pPr>
        <w:keepNext/>
        <w:spacing w:before="360" w:after="120"/>
      </w:pPr>
      <w:r>
        <w:rPr>
          <w:rFonts w:ascii="Arial" w:hAnsi="Arial"/>
          <w:b/>
          <w:color w:val="0E0E0E"/>
          <w:sz w:val="32"/>
        </w:rPr>
        <w:t>10. Confirmation of Strict Local Workflow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6F7F1"/>
            <w:tcBorders>
              <w:top w:val="none"/>
              <w:left w:val="single" w:sz="24" w:space="0" w:color="2AB182"/>
              <w:bottom w:val="none"/>
              <w:right w:val="none"/>
            </w:tcBorders>
          </w:tcPr>
          <w:p>
            <w:pPr>
              <w:spacing w:before="120" w:after="40"/>
              <w:ind w:left="216" w:right="216"/>
            </w:pPr>
            <w:r>
              <w:rPr>
                <w:rFonts w:ascii="Arial" w:hAnsi="Arial"/>
                <w:b/>
                <w:color w:val="0E0E0E"/>
                <w:sz w:val="19"/>
              </w:rPr>
              <w:t xml:space="preserve">[WORKFLOW PROTOCOL COMPLIANCE] </w:t>
            </w:r>
            <w:r>
              <w:rPr>
                <w:rFonts w:ascii="Arial" w:hAnsi="Arial"/>
                <w:color w:val="1E293B"/>
                <w:sz w:val="19"/>
              </w:rPr>
              <w:t>1. Commits Created: 0 commits created in Git repository.</w:t>
              <w:br/>
              <w:t>2. Pushes Executed: 0 git pushes to origin or remote repositories.</w:t>
              <w:br/>
              <w:t>3. Merges Completed: 0 branches merged (invictus-redesign remains cleanly isolated).</w:t>
              <w:br/>
              <w:t>4. Deployments: 0 deployments triggered to Vercel, Netlify, or live production.</w:t>
              <w:br/>
              <w:t>5. Design Integrity: 100% of website visual design, brand colors (#0E0E0E, #2AB182), typography, 3D team carousel, animations, and interactive drawer behaviors remain intact.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