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spacing w:after="240"/>
      </w:pPr>
      <w:r>
        <w:rPr>
          <w:rFonts w:ascii="Calibri" w:cs="Calibri" w:eastAsia="Calibri" w:hAnsi="Calibri"/>
          <w:b/>
          <w:bCs/>
          <w:color w:val="5B7F6B"/>
          <w:spacing w:val="60"/>
          <w:sz w:val="24"/>
          <w:szCs w:val="24"/>
        </w:rPr>
        <w:t xml:space="preserve">DOSSIER DE PRÉPARATION DE PROJET</w:t>
      </w:r>
    </w:p>
    <w:p>
      <w:pPr>
        <w:spacing w:after="60"/>
      </w:pPr>
      <w:r>
        <w:rPr>
          <w:rFonts w:ascii="Calibri" w:cs="Calibri" w:eastAsia="Calibri" w:hAnsi="Calibri"/>
          <w:b/>
          <w:bCs/>
          <w:color w:val="1F3A5F"/>
          <w:sz w:val="64"/>
          <w:szCs w:val="64"/>
        </w:rPr>
        <w:t xml:space="preserve">Accompagnement des familles</w:t>
      </w:r>
    </w:p>
    <w:p>
      <w:pPr>
        <w:pBdr>
          <w:bottom w:val="single" w:color="5B7F6B" w:sz="18" w:space="10"/>
        </w:pBdr>
        <w:spacing w:after="240"/>
      </w:pPr>
      <w:r>
        <w:rPr>
          <w:rFonts w:ascii="Calibri" w:cs="Calibri" w:eastAsia="Calibri" w:hAnsi="Calibri"/>
          <w:b/>
          <w:bCs/>
          <w:color w:val="1F3A5F"/>
          <w:sz w:val="64"/>
          <w:szCs w:val="64"/>
        </w:rPr>
        <w:t xml:space="preserve">après un décès</w:t>
      </w:r>
    </w:p>
    <w:p>
      <w:pPr>
        <w:spacing w:after="1200" w:before="200"/>
      </w:pPr>
      <w:r>
        <w:rPr>
          <w:rFonts w:ascii="Calibri" w:cs="Calibri" w:eastAsia="Calibri" w:hAnsi="Calibri"/>
          <w:color w:val="6B7280"/>
          <w:sz w:val="26"/>
          <w:szCs w:val="26"/>
        </w:rPr>
        <w:t xml:space="preserve">Pompes funèbres · démarches administratives · entretien de sépultures · accompagnement du deuil · souvenirs personnalisés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Objet</w:t>
            </w:r>
          </w:p>
        </w:tc>
        <w:tc>
          <w:tcPr>
            <w:tcW w:type="dxa" w:w="6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Tout ce qu’il faut avoir étudié et décidé avant de lancer l’activité : réglementation, statut, comptabilité, assurances, offre, vente et communication.</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Pour</w:t>
            </w:r>
          </w:p>
        </w:tc>
        <w:tc>
          <w:tcPr>
            <w:tcW w:type="dxa" w:w="6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La sœur d’Angéline, diplômée en pompes funèbres</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Préparé avec</w:t>
            </w:r>
          </w:p>
        </w:tc>
        <w:tc>
          <w:tcPr>
            <w:tcW w:type="dxa" w:w="6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Horizon Vendée (agence de communication)</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Version</w:t>
            </w:r>
          </w:p>
        </w:tc>
        <w:tc>
          <w:tcPr>
            <w:tcW w:type="dxa" w:w="6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Octobre 2026 — document de travail à imprimer et annoter</w:t>
            </w:r>
          </w:p>
        </w:tc>
      </w:tr>
    </w:tbl>
    <w:p>
      <w:pPr>
        <w:spacing w:after="80"/>
      </w:pPr>
    </w:p>
    <w:p>
      <w:pPr>
        <w:spacing w:after="120" w:line="276"/>
      </w:pPr>
      <w:r>
        <w:rPr>
          <w:rFonts w:ascii="Calibri" w:cs="Calibri" w:eastAsia="Calibri" w:hAnsi="Calibri"/>
          <w:i/>
          <w:iCs/>
          <w:color w:val="6B7280"/>
          <w:sz w:val="20"/>
          <w:szCs w:val="20"/>
        </w:rPr>
        <w:t xml:space="preserve">Ce dossier est un outil de réflexion et de préparation. Il ne remplace ni un expert-comptable, ni un avocat, ni la préfecture. Les points signalés « À confirmer » doivent être vérifiés auprès des organismes officiels listés en annexe B avant toute décision.</w:t>
      </w:r>
    </w:p>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Sommaire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8738"/>
      </w:tblGrid>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0</w:t>
            </w:r>
          </w:p>
        </w:tc>
        <w:tc>
          <w:tcPr>
            <w:tcW w:type="dxa" w:w="87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Mode d’emploi et avertissements</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1</w:t>
            </w:r>
          </w:p>
        </w:tc>
        <w:tc>
          <w:tcPr>
            <w:tcW w:type="dxa" w:w="87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Le projet en une page : vision et positionnement</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2</w:t>
            </w:r>
          </w:p>
        </w:tc>
        <w:tc>
          <w:tcPr>
            <w:tcW w:type="dxa" w:w="87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Cadre réglementaire : ce qu’elle a le droit de faire (et pas)</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3</w:t>
            </w:r>
          </w:p>
        </w:tc>
        <w:tc>
          <w:tcPr>
            <w:tcW w:type="dxa" w:w="87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Statut juridique, fiscal et création de l’entreprise</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4</w:t>
            </w:r>
          </w:p>
        </w:tc>
        <w:tc>
          <w:tcPr>
            <w:tcW w:type="dxa" w:w="87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Comptabilité, facturation et finances</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5</w:t>
            </w:r>
          </w:p>
        </w:tc>
        <w:tc>
          <w:tcPr>
            <w:tcW w:type="dxa" w:w="87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Assurances et responsabilités (RC Pro et autres)</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6</w:t>
            </w:r>
          </w:p>
        </w:tc>
        <w:tc>
          <w:tcPr>
            <w:tcW w:type="dxa" w:w="87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L’offre de services, pôle par pôle</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7</w:t>
            </w:r>
          </w:p>
        </w:tc>
        <w:tc>
          <w:tcPr>
            <w:tcW w:type="dxa" w:w="87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Vente et relation avec les familles</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8</w:t>
            </w:r>
          </w:p>
        </w:tc>
        <w:tc>
          <w:tcPr>
            <w:tcW w:type="dxa" w:w="87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Communication : site web, Google, réseaux sociaux, partenariats</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9</w:t>
            </w:r>
          </w:p>
        </w:tc>
        <w:tc>
          <w:tcPr>
            <w:tcW w:type="dxa" w:w="87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Organisation, moyens et fournisseurs</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10</w:t>
            </w:r>
          </w:p>
        </w:tc>
        <w:tc>
          <w:tcPr>
            <w:tcW w:type="dxa" w:w="87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Plan de lancement sur 12 mois et budget de démarrage</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11</w:t>
            </w:r>
          </w:p>
        </w:tc>
        <w:tc>
          <w:tcPr>
            <w:tcW w:type="dxa" w:w="87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Risques et points de vigilance</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A</w:t>
            </w:r>
          </w:p>
        </w:tc>
        <w:tc>
          <w:tcPr>
            <w:tcW w:type="dxa" w:w="87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Annexe A — Checklist « avant de lancer » (à cocher)</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B</w:t>
            </w:r>
          </w:p>
        </w:tc>
        <w:tc>
          <w:tcPr>
            <w:tcW w:type="dxa" w:w="87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Annexe B — Contacts et sources officielles</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w:t>
            </w:r>
          </w:p>
        </w:tc>
        <w:tc>
          <w:tcPr>
            <w:tcW w:type="dxa" w:w="87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Annexe C — Frise des démarches après un décès</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w:t>
            </w:r>
          </w:p>
        </w:tc>
        <w:tc>
          <w:tcPr>
            <w:tcW w:type="dxa" w:w="87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Annexe D — Trame de mandat et de devis</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E</w:t>
            </w:r>
          </w:p>
        </w:tc>
        <w:tc>
          <w:tcPr>
            <w:tcW w:type="dxa" w:w="87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Annexe E — Questions à poser (comptable, assureur, juriste, préfecture)</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F</w:t>
            </w:r>
          </w:p>
        </w:tc>
        <w:tc>
          <w:tcPr>
            <w:tcW w:type="dxa" w:w="87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Annexe F — Décisions à prendre : fiche à remplir</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G</w:t>
            </w:r>
          </w:p>
        </w:tc>
        <w:tc>
          <w:tcPr>
            <w:tcW w:type="dxa" w:w="87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Annexe G — Glossaire</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H</w:t>
            </w:r>
          </w:p>
        </w:tc>
        <w:tc>
          <w:tcPr>
            <w:tcW w:type="dxa" w:w="87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Annexe H — Textes prêts à l’emploi (site, Google, téléphone, avis)</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I</w:t>
            </w:r>
          </w:p>
        </w:tc>
        <w:tc>
          <w:tcPr>
            <w:tcW w:type="dxa" w:w="87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Annexe I — Calendrier éditorial sur 12 mois</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J</w:t>
            </w:r>
          </w:p>
        </w:tc>
        <w:tc>
          <w:tcPr>
            <w:tcW w:type="dxa" w:w="87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Annexe J — Gamme textile et souvenirs (flocage) : cadre et processus</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K</w:t>
            </w:r>
          </w:p>
        </w:tc>
        <w:tc>
          <w:tcPr>
            <w:tcW w:type="dxa" w:w="87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Annexe K — Étude locale : concurrents, mots-clés, partenaires</w:t>
            </w:r>
          </w:p>
        </w:tc>
      </w:tr>
    </w:tbl>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0. Mode d’emploi et avertissements</w:t>
      </w:r>
    </w:p>
    <w:p>
      <w:pPr>
        <w:pStyle w:val="Heading2"/>
        <w:keepNext/>
        <w:spacing w:after="120" w:before="280"/>
      </w:pPr>
      <w:r>
        <w:rPr>
          <w:rFonts w:ascii="Calibri" w:cs="Calibri" w:eastAsia="Calibri" w:hAnsi="Calibri"/>
          <w:b/>
          <w:bCs/>
          <w:color w:val="5B7F6B"/>
          <w:sz w:val="28"/>
          <w:szCs w:val="28"/>
        </w:rPr>
        <w:t xml:space="preserve">Comment lire ce dossier</w:t>
      </w:r>
    </w:p>
    <w:p>
      <w:pPr>
        <w:pStyle w:val="ListParagraph"/>
        <w:numPr>
          <w:ilvl w:val="0"/>
          <w:numId w:val="2"/>
        </w:numPr>
        <w:spacing w:after="60" w:line="264"/>
      </w:pPr>
      <w:r>
        <w:rPr>
          <w:rFonts w:ascii="Calibri" w:cs="Calibri" w:eastAsia="Calibri" w:hAnsi="Calibri"/>
          <w:sz w:val="22"/>
          <w:szCs w:val="22"/>
        </w:rPr>
        <w:t xml:space="preserve">Chaque chapitre répond à une question : « qu’est-ce que je dois savoir / décider avant de me lancer ? ».</w:t>
      </w:r>
    </w:p>
    <w:p>
      <w:pPr>
        <w:pStyle w:val="ListParagraph"/>
        <w:numPr>
          <w:ilvl w:val="0"/>
          <w:numId w:val="2"/>
        </w:numPr>
        <w:spacing w:after="60" w:line="264"/>
      </w:pPr>
      <w:r>
        <w:rPr>
          <w:rFonts w:ascii="Calibri" w:cs="Calibri" w:eastAsia="Calibri" w:hAnsi="Calibri"/>
          <w:sz w:val="22"/>
          <w:szCs w:val="22"/>
        </w:rPr>
        <w:t xml:space="preserve">Les cases ☐ sont à cocher au crayon. Les encadrés </w:t>
      </w:r>
      <w:r>
        <w:rPr>
          <w:rFonts w:ascii="Calibri" w:cs="Calibri" w:eastAsia="Calibri" w:hAnsi="Calibri"/>
          <w:b/>
          <w:bCs/>
          <w:sz w:val="22"/>
          <w:szCs w:val="22"/>
        </w:rPr>
        <w:t xml:space="preserve">À confirmer</w:t>
      </w:r>
      <w:r>
        <w:rPr>
          <w:rFonts w:ascii="Calibri" w:cs="Calibri" w:eastAsia="Calibri" w:hAnsi="Calibri"/>
          <w:sz w:val="22"/>
          <w:szCs w:val="22"/>
        </w:rPr>
        <w:t xml:space="preserve"> signalent une information qui change selon la situation ou qui doit être vérifiée à la source.</w:t>
      </w:r>
    </w:p>
    <w:p>
      <w:pPr>
        <w:pStyle w:val="ListParagraph"/>
        <w:numPr>
          <w:ilvl w:val="0"/>
          <w:numId w:val="2"/>
        </w:numPr>
        <w:spacing w:after="60" w:line="264"/>
      </w:pPr>
      <w:r>
        <w:rPr>
          <w:rFonts w:ascii="Calibri" w:cs="Calibri" w:eastAsia="Calibri" w:hAnsi="Calibri"/>
          <w:sz w:val="22"/>
          <w:szCs w:val="22"/>
        </w:rPr>
        <w:t xml:space="preserve">Les chiffres de budget et de tarifs sont des </w:t>
      </w:r>
      <w:r>
        <w:rPr>
          <w:rFonts w:ascii="Calibri" w:cs="Calibri" w:eastAsia="Calibri" w:hAnsi="Calibri"/>
          <w:b/>
          <w:bCs/>
          <w:sz w:val="22"/>
          <w:szCs w:val="22"/>
        </w:rPr>
        <w:t xml:space="preserve">hypothèses d’exemple</w:t>
      </w:r>
      <w:r>
        <w:rPr>
          <w:rFonts w:ascii="Calibri" w:cs="Calibri" w:eastAsia="Calibri" w:hAnsi="Calibri"/>
          <w:sz w:val="22"/>
          <w:szCs w:val="22"/>
        </w:rPr>
        <w:t xml:space="preserve"> pour raisonner, pas des valeurs de référence. Ils sont à remplacer par des devis réels.</w:t>
      </w:r>
    </w:p>
    <w:p>
      <w:pPr>
        <w:pStyle w:val="Heading2"/>
        <w:keepNext/>
        <w:spacing w:after="120" w:before="280"/>
      </w:pPr>
      <w:r>
        <w:rPr>
          <w:rFonts w:ascii="Calibri" w:cs="Calibri" w:eastAsia="Calibri" w:hAnsi="Calibri"/>
          <w:b/>
          <w:bCs/>
          <w:color w:val="5B7F6B"/>
          <w:sz w:val="28"/>
          <w:szCs w:val="28"/>
        </w:rPr>
        <w:t xml:space="preserve">Niveau de fiabilité des informations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blHeader/>
        </w:trPr>
        <w:tc>
          <w:tcPr>
            <w:tcW w:type="dxa" w:w="23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Mention</w:t>
            </w:r>
          </w:p>
        </w:tc>
        <w:tc>
          <w:tcPr>
            <w:tcW w:type="dxa" w:w="73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Signification</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Repère vérifié</w:t>
            </w:r>
          </w:p>
        </w:tc>
        <w:tc>
          <w:tcPr>
            <w:tcW w:type="dxa" w:w="7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Confirmé par des sources publiques consultées en octobre 2026 (préfectures, INPI, sites de référence juridique et fiscale).</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À confirmer</w:t>
            </w:r>
          </w:p>
        </w:tc>
        <w:tc>
          <w:tcPr>
            <w:tcW w:type="dxa" w:w="7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Information issue de la pratique courante ou qui évolue souvent (seuils, taux, délais). À valider auprès de l’organisme cité avant décision.</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Hypothèse</w:t>
            </w:r>
          </w:p>
        </w:tc>
        <w:tc>
          <w:tcPr>
            <w:tcW w:type="dxa" w:w="7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Chiffre ou choix proposé comme point de départ de discussion.</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5B7F6B" w:sz="24"/>
              <w:bottom w:val="none" w:color="FFFFFF" w:sz="0"/>
              <w:right w:val="none" w:color="FFFFFF" w:sz="0"/>
            </w:tcBorders>
            <w:shd w:fill="EEF3F0" w:color="auto" w:val="clear"/>
            <w:tcMar>
              <w:top w:type="dxa" w:w="100"/>
              <w:left w:type="dxa" w:w="180"/>
              <w:bottom w:type="dxa" w:w="100"/>
              <w:right w:type="dxa" w:w="160"/>
            </w:tcMar>
          </w:tcPr>
          <w:p>
            <w:pPr>
              <w:spacing w:after="60"/>
            </w:pPr>
            <w:r>
              <w:rPr>
                <w:rFonts w:ascii="Calibri" w:cs="Calibri" w:eastAsia="Calibri" w:hAnsi="Calibri"/>
                <w:b/>
                <w:bCs/>
                <w:color w:val="5B7F6B"/>
                <w:sz w:val="22"/>
                <w:szCs w:val="22"/>
              </w:rPr>
              <w:t xml:space="preserve">À retenir</w:t>
            </w:r>
          </w:p>
          <w:p>
            <w:pPr>
              <w:spacing w:after="50"/>
            </w:pPr>
            <w:r>
              <w:rPr>
                <w:rFonts w:ascii="Calibri" w:cs="Calibri" w:eastAsia="Calibri" w:hAnsi="Calibri"/>
                <w:b/>
                <w:bCs/>
                <w:sz w:val="21"/>
                <w:szCs w:val="21"/>
              </w:rPr>
              <w:t xml:space="preserve">Le point central de tout le projet :</w:t>
            </w:r>
            <w:r>
              <w:rPr>
                <w:rFonts w:ascii="Calibri" w:cs="Calibri" w:eastAsia="Calibri" w:hAnsi="Calibri"/>
                <w:sz w:val="21"/>
                <w:szCs w:val="21"/>
              </w:rPr>
              <w:t xml:space="preserve"> le métier de « pompes funèbres » est une activité </w:t>
            </w:r>
            <w:r>
              <w:rPr>
                <w:rFonts w:ascii="Calibri" w:cs="Calibri" w:eastAsia="Calibri" w:hAnsi="Calibri"/>
                <w:b/>
                <w:bCs/>
                <w:sz w:val="21"/>
                <w:szCs w:val="21"/>
              </w:rPr>
              <w:t xml:space="preserve">réglementée et habilitée par la préfecture</w:t>
            </w:r>
            <w:r>
              <w:rPr>
                <w:rFonts w:ascii="Calibri" w:cs="Calibri" w:eastAsia="Calibri" w:hAnsi="Calibri"/>
                <w:sz w:val="21"/>
                <w:szCs w:val="21"/>
              </w:rPr>
              <w:t xml:space="preserve">, alors que l’accompagnement administratif, l’entretien de sépultures, le souvenir personnalisé et le soutien au deuil ne le sont pas de la même façon.</w:t>
            </w:r>
          </w:p>
          <w:p>
            <w:pPr>
              <w:spacing w:after="50"/>
            </w:pPr>
            <w:r>
              <w:rPr>
                <w:rFonts w:ascii="Calibri" w:cs="Calibri" w:eastAsia="Calibri" w:hAnsi="Calibri"/>
                <w:sz w:val="21"/>
                <w:szCs w:val="21"/>
              </w:rPr>
              <w:t xml:space="preserve">Il faut donc </w:t>
            </w:r>
            <w:r>
              <w:rPr>
                <w:rFonts w:ascii="Calibri" w:cs="Calibri" w:eastAsia="Calibri" w:hAnsi="Calibri"/>
                <w:b/>
                <w:bCs/>
                <w:sz w:val="21"/>
                <w:szCs w:val="21"/>
              </w:rPr>
              <w:t xml:space="preserve">construire le projet en blocs séparés</w:t>
            </w:r>
            <w:r>
              <w:rPr>
                <w:rFonts w:ascii="Calibri" w:cs="Calibri" w:eastAsia="Calibri" w:hAnsi="Calibri"/>
                <w:sz w:val="21"/>
                <w:szCs w:val="21"/>
              </w:rPr>
              <w:t xml:space="preserve">, chacun avec sa règle, ses assurances et sa communication. Mélanger les blocs est la première source de risque juridique.</w:t>
            </w:r>
          </w:p>
        </w:tc>
      </w:tr>
    </w:tbl>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1. Le projet en une page : vision et positionnement</w:t>
      </w:r>
    </w:p>
    <w:p>
      <w:pPr>
        <w:pStyle w:val="Heading2"/>
        <w:keepNext/>
        <w:spacing w:after="120" w:before="280"/>
      </w:pPr>
      <w:r>
        <w:rPr>
          <w:rFonts w:ascii="Calibri" w:cs="Calibri" w:eastAsia="Calibri" w:hAnsi="Calibri"/>
          <w:b/>
          <w:bCs/>
          <w:color w:val="5B7F6B"/>
          <w:sz w:val="28"/>
          <w:szCs w:val="28"/>
        </w:rPr>
        <w:t xml:space="preserve">L’idée</w:t>
      </w:r>
    </w:p>
    <w:p>
      <w:pPr>
        <w:spacing w:after="120" w:line="276"/>
      </w:pPr>
      <w:r>
        <w:rPr>
          <w:rFonts w:ascii="Calibri" w:cs="Calibri" w:eastAsia="Calibri" w:hAnsi="Calibri"/>
          <w:sz w:val="22"/>
          <w:szCs w:val="22"/>
        </w:rPr>
        <w:t xml:space="preserve">Devenir l’interlocutrice unique d’une famille endeuillée : celle qui organise les obsèques, mais aussi celle qui prend en charge </w:t>
      </w:r>
      <w:r>
        <w:rPr>
          <w:rFonts w:ascii="Calibri" w:cs="Calibri" w:eastAsia="Calibri" w:hAnsi="Calibri"/>
          <w:b/>
          <w:bCs/>
          <w:sz w:val="22"/>
          <w:szCs w:val="22"/>
        </w:rPr>
        <w:t xml:space="preserve">tout ce qui vient après</w:t>
      </w:r>
      <w:r>
        <w:rPr>
          <w:rFonts w:ascii="Calibri" w:cs="Calibri" w:eastAsia="Calibri" w:hAnsi="Calibri"/>
          <w:sz w:val="22"/>
          <w:szCs w:val="22"/>
        </w:rPr>
        <w:t xml:space="preserve"> (clôtures, assurances, papiers), qui entretient la sépulture, et qui offre un relais d’écoute et de bien-être. Un seul visage, un seul numéro, dans un moment où les familles sont désorientées.</w:t>
      </w:r>
    </w:p>
    <w:p>
      <w:pPr>
        <w:pStyle w:val="Heading2"/>
        <w:keepNext/>
        <w:spacing w:after="120" w:before="280"/>
      </w:pPr>
      <w:r>
        <w:rPr>
          <w:rFonts w:ascii="Calibri" w:cs="Calibri" w:eastAsia="Calibri" w:hAnsi="Calibri"/>
          <w:b/>
          <w:bCs/>
          <w:color w:val="5B7F6B"/>
          <w:sz w:val="28"/>
          <w:szCs w:val="28"/>
        </w:rPr>
        <w:t xml:space="preserve">Les quatre pôles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3100"/>
        <w:gridCol w:w="2300"/>
        <w:gridCol w:w="2538"/>
      </w:tblGrid>
      <w:tr>
        <w:trPr>
          <w:cantSplit/>
          <w:tblHeader/>
        </w:trPr>
        <w:tc>
          <w:tcPr>
            <w:tcW w:type="dxa" w:w="17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Pôle</w:t>
            </w:r>
          </w:p>
        </w:tc>
        <w:tc>
          <w:tcPr>
            <w:tcW w:type="dxa" w:w="31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Contenu</w:t>
            </w:r>
          </w:p>
        </w:tc>
        <w:tc>
          <w:tcPr>
            <w:tcW w:type="dxa" w:w="23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Régime</w:t>
            </w:r>
          </w:p>
        </w:tc>
        <w:tc>
          <w:tcPr>
            <w:tcW w:type="dxa" w:w="25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Priorité de lancement</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A. Funéraire</w:t>
            </w:r>
          </w:p>
        </w:tc>
        <w:tc>
          <w:tcPr>
            <w:tcW w:type="dxa" w:w="31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Organisation d’obsèques, conseil, transport de corps, cercueils, cérémonie…</w:t>
            </w:r>
          </w:p>
        </w:tc>
        <w:tc>
          <w:tcPr>
            <w:tcW w:type="dxa" w:w="23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Réglementé</w:t>
            </w:r>
            <w:r>
              <w:rPr>
                <w:rFonts w:ascii="Calibri" w:cs="Calibri" w:eastAsia="Calibri" w:hAnsi="Calibri"/>
                <w:b w:val="false"/>
                <w:bCs w:val="false"/>
                <w:sz w:val="20"/>
                <w:szCs w:val="20"/>
              </w:rPr>
              <w:t xml:space="preserve"> : habilitation préfectorale, diplôme, démarchage interdit</w:t>
            </w:r>
          </w:p>
        </w:tc>
        <w:tc>
          <w:tcPr>
            <w:tcW w:type="dxa" w:w="25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À décider : en propre, en partenariat ou en sous-traitance (voir 2.1 et 6)</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B. Démarches post-décès</w:t>
            </w:r>
          </w:p>
        </w:tc>
        <w:tc>
          <w:tcPr>
            <w:tcW w:type="dxa" w:w="31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Clôture comptes, assurances, caisses, abonnements, dossier de succession (préparation)</w:t>
            </w:r>
          </w:p>
        </w:tc>
        <w:tc>
          <w:tcPr>
            <w:tcW w:type="dxa" w:w="23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Libre, </w:t>
            </w:r>
            <w:r>
              <w:rPr>
                <w:rFonts w:ascii="Calibri" w:cs="Calibri" w:eastAsia="Calibri" w:hAnsi="Calibri"/>
                <w:b w:val="false"/>
                <w:bCs w:val="false"/>
                <w:sz w:val="20"/>
                <w:szCs w:val="20"/>
              </w:rPr>
              <w:t xml:space="preserve">mais</w:t>
            </w:r>
            <w:r>
              <w:rPr>
                <w:rFonts w:ascii="Calibri" w:cs="Calibri" w:eastAsia="Calibri" w:hAnsi="Calibri"/>
                <w:b w:val="false"/>
                <w:bCs w:val="false"/>
                <w:sz w:val="20"/>
                <w:szCs w:val="20"/>
              </w:rPr>
              <w:t xml:space="preserve"> frontière avec la consultation juridique (loi de 1971)</w:t>
            </w:r>
          </w:p>
        </w:tc>
        <w:tc>
          <w:tcPr>
            <w:tcW w:type="dxa" w:w="25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Forte : peut démarrer rapidement</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 Mémoire et sépulture</w:t>
            </w:r>
          </w:p>
        </w:tc>
        <w:tc>
          <w:tcPr>
            <w:tcW w:type="dxa" w:w="31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Nettoyage/fleurissement de tombes, abonnements annuels, textile et objets souvenirs (flocage)</w:t>
            </w:r>
          </w:p>
        </w:tc>
        <w:tc>
          <w:tcPr>
            <w:tcW w:type="dxa" w:w="23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Libre, soumis au règlement du cimetière</w:t>
            </w:r>
          </w:p>
        </w:tc>
        <w:tc>
          <w:tcPr>
            <w:tcW w:type="dxa" w:w="25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Moyenne : bonne source de revenus récurrents</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 Écoute et bien-être</w:t>
            </w:r>
          </w:p>
        </w:tc>
        <w:tc>
          <w:tcPr>
            <w:tcW w:type="dxa" w:w="31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Écoute, groupes de parole, ateliers, relais vers des psychologues</w:t>
            </w:r>
          </w:p>
        </w:tc>
        <w:tc>
          <w:tcPr>
            <w:tcW w:type="dxa" w:w="23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Libre </w:t>
            </w:r>
            <w:r>
              <w:rPr>
                <w:rFonts w:ascii="Calibri" w:cs="Calibri" w:eastAsia="Calibri" w:hAnsi="Calibri"/>
                <w:b w:val="false"/>
                <w:bCs w:val="false"/>
                <w:sz w:val="20"/>
                <w:szCs w:val="20"/>
              </w:rPr>
              <w:t xml:space="preserve">sauf</w:t>
            </w:r>
            <w:r>
              <w:rPr>
                <w:rFonts w:ascii="Calibri" w:cs="Calibri" w:eastAsia="Calibri" w:hAnsi="Calibri"/>
                <w:b w:val="false"/>
                <w:bCs w:val="false"/>
                <w:sz w:val="20"/>
                <w:szCs w:val="20"/>
              </w:rPr>
              <w:t xml:space="preserve"> titres protégés (psychologue, psychothérapeute) et actes médicaux</w:t>
            </w:r>
          </w:p>
        </w:tc>
        <w:tc>
          <w:tcPr>
            <w:tcW w:type="dxa" w:w="25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Moyenne : à construire avec des partenaires diplômés</w:t>
            </w:r>
          </w:p>
        </w:tc>
      </w:tr>
    </w:tbl>
    <w:p>
      <w:pPr>
        <w:spacing w:after="80"/>
      </w:pPr>
    </w:p>
    <w:p>
      <w:pPr>
        <w:pStyle w:val="Heading2"/>
        <w:keepNext/>
        <w:spacing w:after="120" w:before="280"/>
      </w:pPr>
      <w:r>
        <w:rPr>
          <w:rFonts w:ascii="Calibri" w:cs="Calibri" w:eastAsia="Calibri" w:hAnsi="Calibri"/>
          <w:b/>
          <w:bCs/>
          <w:color w:val="5B7F6B"/>
          <w:sz w:val="28"/>
          <w:szCs w:val="28"/>
        </w:rPr>
        <w:t xml:space="preserve">Ce qui fait la différence (proposition de valeur)</w:t>
      </w:r>
    </w:p>
    <w:p>
      <w:pPr>
        <w:pStyle w:val="ListParagraph"/>
        <w:numPr>
          <w:ilvl w:val="0"/>
          <w:numId w:val="2"/>
        </w:numPr>
        <w:spacing w:after="60" w:line="264"/>
      </w:pPr>
      <w:r>
        <w:rPr>
          <w:rFonts w:ascii="Calibri" w:cs="Calibri" w:eastAsia="Calibri" w:hAnsi="Calibri"/>
          <w:b/>
          <w:bCs/>
          <w:sz w:val="22"/>
          <w:szCs w:val="22"/>
        </w:rPr>
        <w:t xml:space="preserve">Le guichet unique de l’après-décès</w:t>
      </w:r>
      <w:r>
        <w:rPr>
          <w:rFonts w:ascii="Calibri" w:cs="Calibri" w:eastAsia="Calibri" w:hAnsi="Calibri"/>
          <w:sz w:val="22"/>
          <w:szCs w:val="22"/>
        </w:rPr>
        <w:t xml:space="preserve"> : la famille n’a plus à courir entre banque, assureurs, caisses et mairie.</w:t>
      </w:r>
    </w:p>
    <w:p>
      <w:pPr>
        <w:pStyle w:val="ListParagraph"/>
        <w:numPr>
          <w:ilvl w:val="0"/>
          <w:numId w:val="2"/>
        </w:numPr>
        <w:spacing w:after="60" w:line="264"/>
      </w:pPr>
      <w:r>
        <w:rPr>
          <w:rFonts w:ascii="Calibri" w:cs="Calibri" w:eastAsia="Calibri" w:hAnsi="Calibri"/>
          <w:b/>
          <w:bCs/>
          <w:sz w:val="22"/>
          <w:szCs w:val="22"/>
        </w:rPr>
        <w:t xml:space="preserve">La transparence</w:t>
      </w:r>
      <w:r>
        <w:rPr>
          <w:rFonts w:ascii="Calibri" w:cs="Calibri" w:eastAsia="Calibri" w:hAnsi="Calibri"/>
          <w:sz w:val="22"/>
          <w:szCs w:val="22"/>
        </w:rPr>
        <w:t xml:space="preserve"> : tarifs clairs, devis détaillé, aucun frais caché.</w:t>
      </w:r>
    </w:p>
    <w:p>
      <w:pPr>
        <w:pStyle w:val="ListParagraph"/>
        <w:numPr>
          <w:ilvl w:val="0"/>
          <w:numId w:val="2"/>
        </w:numPr>
        <w:spacing w:after="60" w:line="264"/>
      </w:pPr>
      <w:r>
        <w:rPr>
          <w:rFonts w:ascii="Calibri" w:cs="Calibri" w:eastAsia="Calibri" w:hAnsi="Calibri"/>
          <w:b/>
          <w:bCs/>
          <w:sz w:val="22"/>
          <w:szCs w:val="22"/>
        </w:rPr>
        <w:t xml:space="preserve">La durée</w:t>
      </w:r>
      <w:r>
        <w:rPr>
          <w:rFonts w:ascii="Calibri" w:cs="Calibri" w:eastAsia="Calibri" w:hAnsi="Calibri"/>
          <w:sz w:val="22"/>
          <w:szCs w:val="22"/>
        </w:rPr>
        <w:t xml:space="preserve"> : un accompagnement qui ne s’arrête pas à la cérémonie (suivi à 1 mois, 3 mois, Toussaint, anniversaire).</w:t>
      </w:r>
    </w:p>
    <w:p>
      <w:pPr>
        <w:pStyle w:val="ListParagraph"/>
        <w:numPr>
          <w:ilvl w:val="0"/>
          <w:numId w:val="2"/>
        </w:numPr>
        <w:spacing w:after="60" w:line="264"/>
      </w:pPr>
      <w:r>
        <w:rPr>
          <w:rFonts w:ascii="Calibri" w:cs="Calibri" w:eastAsia="Calibri" w:hAnsi="Calibri"/>
          <w:b/>
          <w:bCs/>
          <w:sz w:val="22"/>
          <w:szCs w:val="22"/>
        </w:rPr>
        <w:t xml:space="preserve">La proximité</w:t>
      </w:r>
      <w:r>
        <w:rPr>
          <w:rFonts w:ascii="Calibri" w:cs="Calibri" w:eastAsia="Calibri" w:hAnsi="Calibri"/>
          <w:sz w:val="22"/>
          <w:szCs w:val="22"/>
        </w:rPr>
        <w:t xml:space="preserve"> : une professionnelle locale, joignable, qui connaît les cimetières, mairies et notaires du secteur.</w:t>
      </w:r>
    </w:p>
    <w:p>
      <w:pPr>
        <w:pStyle w:val="Heading2"/>
        <w:keepNext/>
        <w:spacing w:after="120" w:before="280"/>
      </w:pPr>
      <w:r>
        <w:rPr>
          <w:rFonts w:ascii="Calibri" w:cs="Calibri" w:eastAsia="Calibri" w:hAnsi="Calibri"/>
          <w:b/>
          <w:bCs/>
          <w:color w:val="5B7F6B"/>
          <w:sz w:val="28"/>
          <w:szCs w:val="28"/>
        </w:rPr>
        <w:t xml:space="preserve">À définir (voir Annexe F)</w:t>
      </w:r>
    </w:p>
    <w:p>
      <w:pPr>
        <w:pStyle w:val="ListParagraph"/>
        <w:numPr>
          <w:ilvl w:val="0"/>
          <w:numId w:val="2"/>
        </w:numPr>
        <w:spacing w:after="60" w:line="264"/>
      </w:pPr>
      <w:r>
        <w:rPr>
          <w:rFonts w:ascii="Calibri" w:cs="Calibri" w:eastAsia="Calibri" w:hAnsi="Calibri"/>
          <w:sz w:val="22"/>
          <w:szCs w:val="22"/>
        </w:rPr>
        <w:t xml:space="preserve">Zone géographique d’intervention (rayon, communes, cimetières connus).</w:t>
      </w:r>
    </w:p>
    <w:p>
      <w:pPr>
        <w:pStyle w:val="ListParagraph"/>
        <w:numPr>
          <w:ilvl w:val="0"/>
          <w:numId w:val="2"/>
        </w:numPr>
        <w:spacing w:after="60" w:line="264"/>
      </w:pPr>
      <w:r>
        <w:rPr>
          <w:rFonts w:ascii="Calibri" w:cs="Calibri" w:eastAsia="Calibri" w:hAnsi="Calibri"/>
          <w:sz w:val="22"/>
          <w:szCs w:val="22"/>
        </w:rPr>
        <w:t xml:space="preserve">Nom de l’entreprise et de la marque (sobre, rassurant, pas de jeu de mots sur la mort).</w:t>
      </w:r>
    </w:p>
    <w:p>
      <w:pPr>
        <w:pStyle w:val="ListParagraph"/>
        <w:numPr>
          <w:ilvl w:val="0"/>
          <w:numId w:val="2"/>
        </w:numPr>
        <w:spacing w:after="60" w:line="264"/>
      </w:pPr>
      <w:r>
        <w:rPr>
          <w:rFonts w:ascii="Calibri" w:cs="Calibri" w:eastAsia="Calibri" w:hAnsi="Calibri"/>
          <w:sz w:val="22"/>
          <w:szCs w:val="22"/>
        </w:rPr>
        <w:t xml:space="preserve">Niveau d’ambition : activité complémentaire, activité principale, ou structure avec salariés à terme.</w:t>
      </w:r>
    </w:p>
    <w:p>
      <w:pPr>
        <w:pStyle w:val="ListParagraph"/>
        <w:numPr>
          <w:ilvl w:val="0"/>
          <w:numId w:val="2"/>
        </w:numPr>
        <w:spacing w:after="60" w:line="264"/>
      </w:pPr>
      <w:r>
        <w:rPr>
          <w:rFonts w:ascii="Calibri" w:cs="Calibri" w:eastAsia="Calibri" w:hAnsi="Calibri"/>
          <w:sz w:val="22"/>
          <w:szCs w:val="22"/>
        </w:rPr>
        <w:t xml:space="preserve">Choix du pôle de départ : le plus rapide à lancer sans bloquer sur l’habilitation.</w:t>
      </w:r>
    </w:p>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2. Cadre réglementaire : ce qu’elle a le droit de faire</w:t>
      </w:r>
    </w:p>
    <w:p>
      <w:pPr>
        <w:spacing w:after="120" w:line="276"/>
      </w:pPr>
      <w:r>
        <w:rPr>
          <w:rFonts w:ascii="Calibri" w:cs="Calibri" w:eastAsia="Calibri" w:hAnsi="Calibri"/>
          <w:sz w:val="22"/>
          <w:szCs w:val="22"/>
        </w:rPr>
        <w:t xml:space="preserve">C’est le chapitre le plus important du dossier. Une erreur ici peut entraîner des amendes lourdes ou l’interdiction d’exercer.</w:t>
      </w:r>
    </w:p>
    <w:p>
      <w:pPr>
        <w:pStyle w:val="Heading2"/>
        <w:keepNext/>
        <w:spacing w:after="120" w:before="280"/>
      </w:pPr>
      <w:r>
        <w:rPr>
          <w:rFonts w:ascii="Calibri" w:cs="Calibri" w:eastAsia="Calibri" w:hAnsi="Calibri"/>
          <w:b/>
          <w:bCs/>
          <w:color w:val="5B7F6B"/>
          <w:sz w:val="28"/>
          <w:szCs w:val="28"/>
        </w:rPr>
        <w:t xml:space="preserve">2.1 Les pompes funèbres : activité réglementée</w:t>
      </w:r>
    </w:p>
    <w:p>
      <w:pPr>
        <w:spacing w:after="120" w:line="276"/>
      </w:pPr>
      <w:r>
        <w:rPr>
          <w:rFonts w:ascii="Calibri" w:cs="Calibri" w:eastAsia="Calibri" w:hAnsi="Calibri"/>
          <w:sz w:val="22"/>
          <w:szCs w:val="22"/>
        </w:rPr>
        <w:t xml:space="preserve">Le « service extérieur des pompes funèbres » est encadré par le Code général des collectivités territoriales (CGCT, art. L2223-19 et suivants). Il regroupe notamment le transport de corps, l’organisation des obsèques, les soins de conservation, la fourniture des cercueils, urnes et housses, des corbillards et voitures de deuil, le personnel de cérémonie et la gestion des chambres funéraires et crématoriums.</w:t>
      </w:r>
    </w:p>
    <w:p>
      <w:pPr>
        <w:pStyle w:val="Heading3"/>
        <w:keepNext/>
        <w:spacing w:after="80" w:before="180"/>
      </w:pPr>
      <w:r>
        <w:rPr>
          <w:rFonts w:ascii="Calibri" w:cs="Calibri" w:eastAsia="Calibri" w:hAnsi="Calibri"/>
          <w:b/>
          <w:bCs/>
          <w:color w:val="1F3A5F"/>
          <w:sz w:val="24"/>
          <w:szCs w:val="24"/>
        </w:rPr>
        <w:t xml:space="preserve">Habilitation préfectorale</w:t>
      </w:r>
    </w:p>
    <w:p>
      <w:pPr>
        <w:pStyle w:val="ListParagraph"/>
        <w:numPr>
          <w:ilvl w:val="0"/>
          <w:numId w:val="2"/>
        </w:numPr>
        <w:spacing w:after="60" w:line="264"/>
      </w:pPr>
      <w:r>
        <w:rPr>
          <w:rFonts w:ascii="Calibri" w:cs="Calibri" w:eastAsia="Calibri" w:hAnsi="Calibri"/>
          <w:sz w:val="22"/>
          <w:szCs w:val="22"/>
        </w:rPr>
        <w:t xml:space="preserve">Toute entreprise qui exerce ces services doit être </w:t>
      </w:r>
      <w:r>
        <w:rPr>
          <w:rFonts w:ascii="Calibri" w:cs="Calibri" w:eastAsia="Calibri" w:hAnsi="Calibri"/>
          <w:b/>
          <w:bCs/>
          <w:sz w:val="22"/>
          <w:szCs w:val="22"/>
        </w:rPr>
        <w:t xml:space="preserve">habilitée par le préfet</w:t>
      </w:r>
      <w:r>
        <w:rPr>
          <w:rFonts w:ascii="Calibri" w:cs="Calibri" w:eastAsia="Calibri" w:hAnsi="Calibri"/>
          <w:sz w:val="22"/>
          <w:szCs w:val="22"/>
        </w:rPr>
        <w:t xml:space="preserve"> du département de son siège (CGCT L2223-23).</w:t>
      </w:r>
    </w:p>
    <w:p>
      <w:pPr>
        <w:pStyle w:val="ListParagraph"/>
        <w:numPr>
          <w:ilvl w:val="0"/>
          <w:numId w:val="2"/>
        </w:numPr>
        <w:spacing w:after="60" w:line="264"/>
      </w:pPr>
      <w:r>
        <w:rPr>
          <w:rFonts w:ascii="Calibri" w:cs="Calibri" w:eastAsia="Calibri" w:hAnsi="Calibri"/>
          <w:b/>
          <w:bCs/>
          <w:sz w:val="22"/>
          <w:szCs w:val="22"/>
        </w:rPr>
        <w:t xml:space="preserve">Repère vérifié :</w:t>
      </w:r>
      <w:r>
        <w:rPr>
          <w:rFonts w:ascii="Calibri" w:cs="Calibri" w:eastAsia="Calibri" w:hAnsi="Calibri"/>
          <w:sz w:val="22"/>
          <w:szCs w:val="22"/>
        </w:rPr>
        <w:t xml:space="preserve"> l’habilitation est délivrée pour </w:t>
      </w:r>
      <w:r>
        <w:rPr>
          <w:rFonts w:ascii="Calibri" w:cs="Calibri" w:eastAsia="Calibri" w:hAnsi="Calibri"/>
          <w:b/>
          <w:bCs/>
          <w:sz w:val="22"/>
          <w:szCs w:val="22"/>
        </w:rPr>
        <w:t xml:space="preserve">6 ans</w:t>
      </w:r>
      <w:r>
        <w:rPr>
          <w:rFonts w:ascii="Calibri" w:cs="Calibri" w:eastAsia="Calibri" w:hAnsi="Calibri"/>
          <w:sz w:val="22"/>
          <w:szCs w:val="22"/>
        </w:rPr>
        <w:t xml:space="preserve"> et se renouvelle (dossier de renouvellement à déposer environ 2 mois avant l’échéance, d’après les arrêtés préfectoraux consultés).</w:t>
      </w:r>
    </w:p>
    <w:p>
      <w:pPr>
        <w:pStyle w:val="ListParagraph"/>
        <w:numPr>
          <w:ilvl w:val="0"/>
          <w:numId w:val="2"/>
        </w:numPr>
        <w:spacing w:after="60" w:line="264"/>
      </w:pPr>
      <w:r>
        <w:rPr>
          <w:rFonts w:ascii="Calibri" w:cs="Calibri" w:eastAsia="Calibri" w:hAnsi="Calibri"/>
          <w:sz w:val="22"/>
          <w:szCs w:val="22"/>
        </w:rPr>
        <w:t xml:space="preserve">Le préfet examine : les conditions requises du dirigeant, la </w:t>
      </w:r>
      <w:r>
        <w:rPr>
          <w:rFonts w:ascii="Calibri" w:cs="Calibri" w:eastAsia="Calibri" w:hAnsi="Calibri"/>
          <w:b/>
          <w:bCs/>
          <w:sz w:val="22"/>
          <w:szCs w:val="22"/>
        </w:rPr>
        <w:t xml:space="preserve">capacité professionnelle</w:t>
      </w:r>
      <w:r>
        <w:rPr>
          <w:rFonts w:ascii="Calibri" w:cs="Calibri" w:eastAsia="Calibri" w:hAnsi="Calibri"/>
          <w:sz w:val="22"/>
          <w:szCs w:val="22"/>
        </w:rPr>
        <w:t xml:space="preserve"> (diplôme) du dirigeant et des agents, la conformité des installations et des véhicules, et la régularité de la situation fiscale et sociale.</w:t>
      </w:r>
    </w:p>
    <w:p>
      <w:pPr>
        <w:pStyle w:val="ListParagraph"/>
        <w:numPr>
          <w:ilvl w:val="0"/>
          <w:numId w:val="2"/>
        </w:numPr>
        <w:spacing w:after="60" w:line="264"/>
      </w:pPr>
      <w:r>
        <w:rPr>
          <w:rFonts w:ascii="Calibri" w:cs="Calibri" w:eastAsia="Calibri" w:hAnsi="Calibri"/>
          <w:sz w:val="22"/>
          <w:szCs w:val="22"/>
        </w:rPr>
        <w:t xml:space="preserve">L’habilitation peut être suspendue (1 an max) ou retirée en cas de manquement ou d’atteinte à l’ordre public.</w:t>
      </w:r>
    </w:p>
    <w:p>
      <w:pPr>
        <w:spacing w:after="120" w:line="276"/>
      </w:pPr>
      <w:r>
        <w:rPr>
          <w:rFonts w:ascii="Calibri" w:cs="Calibri" w:eastAsia="Calibri" w:hAnsi="Calibri"/>
          <w:b/>
          <w:bCs/>
          <w:sz w:val="22"/>
          <w:szCs w:val="22"/>
        </w:rPr>
        <w:t xml:space="preserve">Repère vérifié (textes de 2012, à re-contrôler en vigueur) :</w:t>
      </w:r>
      <w:r>
        <w:rPr>
          <w:rFonts w:ascii="Calibri" w:cs="Calibri" w:eastAsia="Calibri" w:hAnsi="Calibri"/>
          <w:sz w:val="22"/>
          <w:szCs w:val="22"/>
        </w:rPr>
        <w:t xml:space="preserve"> le diplôme de </w:t>
      </w:r>
      <w:r>
        <w:rPr>
          <w:rFonts w:ascii="Calibri" w:cs="Calibri" w:eastAsia="Calibri" w:hAnsi="Calibri"/>
          <w:b/>
          <w:bCs/>
          <w:sz w:val="22"/>
          <w:szCs w:val="22"/>
        </w:rPr>
        <w:t xml:space="preserve">conseiller funéraire</w:t>
      </w:r>
      <w:r>
        <w:rPr>
          <w:rFonts w:ascii="Calibri" w:cs="Calibri" w:eastAsia="Calibri" w:hAnsi="Calibri"/>
          <w:sz w:val="22"/>
          <w:szCs w:val="22"/>
        </w:rPr>
        <w:t xml:space="preserve"> repose sur 140 h d’enseignement théorique, 70 h de formation pratique en entreprise/régie/association habilitée et une évaluation (décret et arrêté du 30 avril 2012). Les </w:t>
      </w:r>
      <w:r>
        <w:rPr>
          <w:rFonts w:ascii="Calibri" w:cs="Calibri" w:eastAsia="Calibri" w:hAnsi="Calibri"/>
          <w:b/>
          <w:bCs/>
          <w:sz w:val="22"/>
          <w:szCs w:val="22"/>
        </w:rPr>
        <w:t xml:space="preserve">dirigeants et gestionnaires</w:t>
      </w:r>
      <w:r>
        <w:rPr>
          <w:rFonts w:ascii="Calibri" w:cs="Calibri" w:eastAsia="Calibri" w:hAnsi="Calibri"/>
          <w:sz w:val="22"/>
          <w:szCs w:val="22"/>
        </w:rPr>
        <w:t xml:space="preserve"> doivent en plus suivre une </w:t>
      </w:r>
      <w:r>
        <w:rPr>
          <w:rFonts w:ascii="Calibri" w:cs="Calibri" w:eastAsia="Calibri" w:hAnsi="Calibri"/>
          <w:b/>
          <w:bCs/>
          <w:sz w:val="22"/>
          <w:szCs w:val="22"/>
        </w:rPr>
        <w:t xml:space="preserve">formation complémentaire de 70 h</w:t>
      </w:r>
      <w:r>
        <w:rPr>
          <w:rFonts w:ascii="Calibri" w:cs="Calibri" w:eastAsia="Calibri" w:hAnsi="Calibri"/>
          <w:sz w:val="22"/>
          <w:szCs w:val="22"/>
        </w:rPr>
        <w:t xml:space="preserve"> (CGCT D2223-55-3). Une validation de l’expérience professionnelle est possible pour les personnes déjà en poste.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8A00" w:sz="24"/>
              <w:bottom w:val="none" w:color="FFFFFF" w:sz="0"/>
              <w:right w:val="none" w:color="FFFFFF" w:sz="0"/>
            </w:tcBorders>
            <w:shd w:fill="FFF4DC" w:color="auto" w:val="clear"/>
            <w:tcMar>
              <w:top w:type="dxa" w:w="100"/>
              <w:left w:type="dxa" w:w="180"/>
              <w:bottom w:type="dxa" w:w="100"/>
              <w:right w:type="dxa" w:w="160"/>
            </w:tcMar>
          </w:tcPr>
          <w:p>
            <w:pPr>
              <w:spacing w:after="60"/>
            </w:pPr>
            <w:r>
              <w:rPr>
                <w:rFonts w:ascii="Calibri" w:cs="Calibri" w:eastAsia="Calibri" w:hAnsi="Calibri"/>
                <w:b/>
                <w:bCs/>
                <w:color w:val="C98A00"/>
                <w:sz w:val="22"/>
                <w:szCs w:val="22"/>
              </w:rPr>
              <w:t xml:space="preserve">⚠ À confirmer avant de s’engager</w:t>
            </w:r>
          </w:p>
          <w:p>
            <w:pPr>
              <w:spacing w:after="50"/>
            </w:pPr>
            <w:r>
              <w:rPr>
                <w:rFonts w:ascii="Calibri" w:cs="Calibri" w:eastAsia="Calibri" w:hAnsi="Calibri"/>
                <w:sz w:val="21"/>
                <w:szCs w:val="21"/>
              </w:rPr>
              <w:t xml:space="preserve">Liste exacte des pièces, formulaire de la préfecture du département, modalités de justification du diplôme, exigences sur le véhicule et le local : </w:t>
            </w:r>
            <w:r>
              <w:rPr>
                <w:rFonts w:ascii="Calibri" w:cs="Calibri" w:eastAsia="Calibri" w:hAnsi="Calibri"/>
                <w:b/>
                <w:bCs/>
                <w:sz w:val="21"/>
                <w:szCs w:val="21"/>
              </w:rPr>
              <w:t xml:space="preserve">demander le dossier à la préfecture (bureau de la réglementation) et à la CCI/guichet unique.</w:t>
            </w:r>
          </w:p>
          <w:p>
            <w:pPr>
              <w:spacing w:after="50"/>
            </w:pPr>
            <w:r>
              <w:rPr>
                <w:rFonts w:ascii="Calibri" w:cs="Calibri" w:eastAsia="Calibri" w:hAnsi="Calibri"/>
                <w:sz w:val="21"/>
                <w:szCs w:val="21"/>
              </w:rPr>
              <w:t xml:space="preserve">Son diplôme doit être regardé précisément : correspond-il à la capacité professionnelle de </w:t>
            </w:r>
            <w:r>
              <w:rPr>
                <w:rFonts w:ascii="Calibri" w:cs="Calibri" w:eastAsia="Calibri" w:hAnsi="Calibri"/>
                <w:b/>
                <w:bCs/>
                <w:sz w:val="21"/>
                <w:szCs w:val="21"/>
              </w:rPr>
              <w:t xml:space="preserve">dirigeant</w:t>
            </w:r>
            <w:r>
              <w:rPr>
                <w:rFonts w:ascii="Calibri" w:cs="Calibri" w:eastAsia="Calibri" w:hAnsi="Calibri"/>
                <w:sz w:val="21"/>
                <w:szCs w:val="21"/>
              </w:rPr>
              <w:t xml:space="preserve"> (formation complémentaire de 70 h comprise) et pas seulement d’agent ? Ces règles datent de 2012-2013 : vérifier le texte en vigueur sur Légifrance. À faire valider avant d’aller plus loin.</w:t>
            </w:r>
          </w:p>
        </w:tc>
      </w:tr>
    </w:tbl>
    <w:p>
      <w:pPr>
        <w:pStyle w:val="Heading3"/>
        <w:keepNext/>
        <w:spacing w:after="80" w:before="180"/>
      </w:pPr>
      <w:r>
        <w:rPr>
          <w:rFonts w:ascii="Calibri" w:cs="Calibri" w:eastAsia="Calibri" w:hAnsi="Calibri"/>
          <w:b/>
          <w:bCs/>
          <w:color w:val="1F3A5F"/>
          <w:sz w:val="24"/>
          <w:szCs w:val="24"/>
        </w:rPr>
        <w:t xml:space="preserve">Trois voies possibles pour le pôle 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838"/>
      </w:tblGrid>
      <w:tr>
        <w:trPr>
          <w:cantSplit/>
          <w:tblHeader/>
        </w:trPr>
        <w:tc>
          <w:tcPr>
            <w:tcW w:type="dxa" w:w="20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Voie</w:t>
            </w:r>
          </w:p>
        </w:tc>
        <w:tc>
          <w:tcPr>
            <w:tcW w:type="dxa" w:w="38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Avantages</w:t>
            </w:r>
          </w:p>
        </w:tc>
        <w:tc>
          <w:tcPr>
            <w:tcW w:type="dxa" w:w="38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Inconvénients / vigilance</w:t>
            </w:r>
          </w:p>
        </w:tc>
      </w:tr>
      <w:tr>
        <w:trPr>
          <w:cantSplit/>
        </w:trPr>
        <w:tc>
          <w:tcPr>
            <w:tcW w:type="dxa" w:w="2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1. Entreprise habilitée en propre</w:t>
            </w:r>
          </w:p>
        </w:tc>
        <w:tc>
          <w:tcPr>
            <w:tcW w:type="dxa" w:w="38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Indépendance totale, marge complète, marque forte</w:t>
            </w:r>
          </w:p>
        </w:tc>
        <w:tc>
          <w:tcPr>
            <w:tcW w:type="dxa" w:w="38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Dossier lourd, investissements (véhicule, local, astreinte 24/7), responsabilité totale</w:t>
            </w:r>
          </w:p>
        </w:tc>
      </w:tr>
      <w:tr>
        <w:trPr>
          <w:cantSplit/>
        </w:trPr>
        <w:tc>
          <w:tcPr>
            <w:tcW w:type="dxa" w:w="2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2. Partenariat ou sous-traitance avec une entreprise déjà habilitée</w:t>
            </w:r>
          </w:p>
        </w:tc>
        <w:tc>
          <w:tcPr>
            <w:tcW w:type="dxa" w:w="38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Lancement rapide, moins de capital, mutualisation du matériel</w:t>
            </w:r>
          </w:p>
        </w:tc>
        <w:tc>
          <w:tcPr>
            <w:tcW w:type="dxa" w:w="38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Dépendance au partenaire ; bien formaliser le contrat et la répartition des rôles ; ne pas contourner l’habilitation</w:t>
            </w:r>
          </w:p>
        </w:tc>
      </w:tr>
      <w:tr>
        <w:trPr>
          <w:cantSplit/>
        </w:trPr>
        <w:tc>
          <w:tcPr>
            <w:tcW w:type="dxa" w:w="2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3. Démarrer sur les pôles B, C, D et préparer l’habilitation en parallèle</w:t>
            </w:r>
          </w:p>
        </w:tc>
        <w:tc>
          <w:tcPr>
            <w:tcW w:type="dxa" w:w="38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Revenus et notoriété dès le départ, risque limité</w:t>
            </w:r>
          </w:p>
        </w:tc>
        <w:tc>
          <w:tcPr>
            <w:tcW w:type="dxa" w:w="38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Ne pas laisser croire à la famille qu’elle organise les obsèques sans habilitation</w:t>
            </w:r>
          </w:p>
        </w:tc>
      </w:tr>
    </w:tbl>
    <w:p>
      <w:pPr>
        <w:spacing w:after="80"/>
      </w:pPr>
    </w:p>
    <w:p>
      <w:pPr>
        <w:spacing w:after="120" w:line="276"/>
      </w:pPr>
      <w:r>
        <w:rPr>
          <w:rFonts w:ascii="Calibri" w:cs="Calibri" w:eastAsia="Calibri" w:hAnsi="Calibri"/>
          <w:b/>
          <w:bCs/>
          <w:sz w:val="22"/>
          <w:szCs w:val="22"/>
        </w:rPr>
        <w:t xml:space="preserve">Recommandation de travail (hypothèse) :</w:t>
      </w:r>
      <w:r>
        <w:rPr>
          <w:rFonts w:ascii="Calibri" w:cs="Calibri" w:eastAsia="Calibri" w:hAnsi="Calibri"/>
          <w:sz w:val="22"/>
          <w:szCs w:val="22"/>
        </w:rPr>
        <w:t xml:space="preserve"> démarrer par la voie 3, en construisant un partenariat solide (voie 2) pour les premières prestations funéraires, puis décider de l’habilitation propre selon le volume réel.</w:t>
      </w:r>
    </w:p>
    <w:p>
      <w:pPr>
        <w:pStyle w:val="Heading2"/>
        <w:keepNext/>
        <w:spacing w:after="120" w:before="280"/>
      </w:pPr>
      <w:r>
        <w:rPr>
          <w:rFonts w:ascii="Calibri" w:cs="Calibri" w:eastAsia="Calibri" w:hAnsi="Calibri"/>
          <w:b/>
          <w:bCs/>
          <w:color w:val="5B7F6B"/>
          <w:sz w:val="28"/>
          <w:szCs w:val="28"/>
        </w:rPr>
        <w:t xml:space="preserve">2.2 Démarchage et publicité : les règles strictes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3261E" w:sz="24"/>
              <w:bottom w:val="none" w:color="FFFFFF" w:sz="0"/>
              <w:right w:val="none" w:color="FFFFFF" w:sz="0"/>
            </w:tcBorders>
            <w:shd w:fill="FBE9E7" w:color="auto" w:val="clear"/>
            <w:tcMar>
              <w:top w:type="dxa" w:w="100"/>
              <w:left w:type="dxa" w:w="180"/>
              <w:bottom w:type="dxa" w:w="100"/>
              <w:right w:type="dxa" w:w="160"/>
            </w:tcMar>
          </w:tcPr>
          <w:p>
            <w:pPr>
              <w:spacing w:after="60"/>
            </w:pPr>
            <w:r>
              <w:rPr>
                <w:rFonts w:ascii="Calibri" w:cs="Calibri" w:eastAsia="Calibri" w:hAnsi="Calibri"/>
                <w:b/>
                <w:bCs/>
                <w:color w:val="B3261E"/>
                <w:sz w:val="22"/>
                <w:szCs w:val="22"/>
              </w:rPr>
              <w:t xml:space="preserve">🚫 Interdit / risque pénal</w:t>
            </w:r>
          </w:p>
          <w:p>
            <w:pPr>
              <w:spacing w:after="50"/>
            </w:pPr>
            <w:r>
              <w:rPr>
                <w:rFonts w:ascii="Calibri" w:cs="Calibri" w:eastAsia="Calibri" w:hAnsi="Calibri"/>
                <w:b/>
                <w:bCs/>
                <w:sz w:val="21"/>
                <w:szCs w:val="21"/>
              </w:rPr>
              <w:t xml:space="preserve">Repère vérifié :</w:t>
            </w:r>
            <w:r>
              <w:rPr>
                <w:rFonts w:ascii="Calibri" w:cs="Calibri" w:eastAsia="Calibri" w:hAnsi="Calibri"/>
                <w:sz w:val="21"/>
                <w:szCs w:val="21"/>
              </w:rPr>
              <w:t xml:space="preserve"> l’article L2223-33 du CGCT </w:t>
            </w:r>
            <w:r>
              <w:rPr>
                <w:rFonts w:ascii="Calibri" w:cs="Calibri" w:eastAsia="Calibri" w:hAnsi="Calibri"/>
                <w:b/>
                <w:bCs/>
                <w:sz w:val="21"/>
                <w:szCs w:val="21"/>
              </w:rPr>
              <w:t xml:space="preserve">interdit les offres de services faites en prévision d’obsèques ou dans les deux mois suivant un décès</w:t>
            </w:r>
            <w:r>
              <w:rPr>
                <w:rFonts w:ascii="Calibri" w:cs="Calibri" w:eastAsia="Calibri" w:hAnsi="Calibri"/>
                <w:sz w:val="21"/>
                <w:szCs w:val="21"/>
              </w:rPr>
              <w:t xml:space="preserve">, ainsi que le </w:t>
            </w:r>
            <w:r>
              <w:rPr>
                <w:rFonts w:ascii="Calibri" w:cs="Calibri" w:eastAsia="Calibri" w:hAnsi="Calibri"/>
                <w:b/>
                <w:bCs/>
                <w:sz w:val="21"/>
                <w:szCs w:val="21"/>
              </w:rPr>
              <w:t xml:space="preserve">démarchage à domicile</w:t>
            </w:r>
            <w:r>
              <w:rPr>
                <w:rFonts w:ascii="Calibri" w:cs="Calibri" w:eastAsia="Calibri" w:hAnsi="Calibri"/>
                <w:sz w:val="21"/>
                <w:szCs w:val="21"/>
              </w:rPr>
              <w:t xml:space="preserve"> et sur la voie publique. Les formules de financement d’obsèques font exception.</w:t>
            </w:r>
          </w:p>
          <w:p>
            <w:pPr>
              <w:spacing w:after="50"/>
            </w:pPr>
            <w:r>
              <w:rPr>
                <w:rFonts w:ascii="Calibri" w:cs="Calibri" w:eastAsia="Calibri" w:hAnsi="Calibri"/>
                <w:sz w:val="21"/>
                <w:szCs w:val="21"/>
              </w:rPr>
              <w:t xml:space="preserve">Sanction : jusqu’à </w:t>
            </w:r>
            <w:r>
              <w:rPr>
                <w:rFonts w:ascii="Calibri" w:cs="Calibri" w:eastAsia="Calibri" w:hAnsi="Calibri"/>
                <w:b/>
                <w:bCs/>
                <w:sz w:val="21"/>
                <w:szCs w:val="21"/>
              </w:rPr>
              <w:t xml:space="preserve">75 000 € d’amende</w:t>
            </w:r>
            <w:r>
              <w:rPr>
                <w:rFonts w:ascii="Calibri" w:cs="Calibri" w:eastAsia="Calibri" w:hAnsi="Calibri"/>
                <w:sz w:val="21"/>
                <w:szCs w:val="21"/>
              </w:rPr>
              <w:t xml:space="preserve"> (L2223-35). Des avantages offerts en échange de recommandations (« commissions » à un hôpital, une maison de retraite, un médecin…) sont punis </w:t>
            </w:r>
            <w:r>
              <w:rPr>
                <w:rFonts w:ascii="Calibri" w:cs="Calibri" w:eastAsia="Calibri" w:hAnsi="Calibri"/>
                <w:b/>
                <w:bCs/>
                <w:sz w:val="21"/>
                <w:szCs w:val="21"/>
              </w:rPr>
              <w:t xml:space="preserve">jusqu’à 5 ans de prison et 75 000 €</w:t>
            </w:r>
            <w:r>
              <w:rPr>
                <w:rFonts w:ascii="Calibri" w:cs="Calibri" w:eastAsia="Calibri" w:hAnsi="Calibri"/>
                <w:sz w:val="21"/>
                <w:szCs w:val="21"/>
              </w:rPr>
              <w:t xml:space="preserve"> d’amende.</w:t>
            </w:r>
          </w:p>
          <w:p>
            <w:pPr>
              <w:spacing w:after="50"/>
            </w:pPr>
            <w:r>
              <w:rPr>
                <w:rFonts w:ascii="Calibri" w:cs="Calibri" w:eastAsia="Calibri" w:hAnsi="Calibri"/>
                <w:sz w:val="21"/>
                <w:szCs w:val="21"/>
              </w:rPr>
              <w:t xml:space="preserve">La Cour de cassation a jugé que l’interdiction concerne aussi la marbrerie funéraire, même hors service extérieur des pompes funèbres : la prudence s’applique donc aussi aux pôles voisins.</w:t>
            </w:r>
          </w:p>
        </w:tc>
      </w:tr>
    </w:tbl>
    <w:p>
      <w:pPr>
        <w:spacing w:after="80"/>
      </w:pPr>
    </w:p>
    <w:p>
      <w:pPr>
        <w:pStyle w:val="Heading3"/>
        <w:keepNext/>
        <w:spacing w:after="80" w:before="180"/>
      </w:pPr>
      <w:r>
        <w:rPr>
          <w:rFonts w:ascii="Calibri" w:cs="Calibri" w:eastAsia="Calibri" w:hAnsi="Calibri"/>
          <w:b/>
          <w:bCs/>
          <w:color w:val="1F3A5F"/>
          <w:sz w:val="24"/>
          <w:szCs w:val="24"/>
        </w:rPr>
        <w:t xml:space="preserve">Ce que cela implique concrètement</w:t>
      </w:r>
    </w:p>
    <w:p>
      <w:pPr>
        <w:pStyle w:val="ListParagraph"/>
        <w:numPr>
          <w:ilvl w:val="0"/>
          <w:numId w:val="2"/>
        </w:numPr>
        <w:spacing w:after="60" w:line="264"/>
      </w:pPr>
      <w:r>
        <w:rPr>
          <w:rFonts w:ascii="Calibri" w:cs="Calibri" w:eastAsia="Calibri" w:hAnsi="Calibri"/>
          <w:b/>
          <w:bCs/>
          <w:sz w:val="22"/>
          <w:szCs w:val="22"/>
        </w:rPr>
        <w:t xml:space="preserve">Interdit :</w:t>
      </w:r>
      <w:r>
        <w:rPr>
          <w:rFonts w:ascii="Calibri" w:cs="Calibri" w:eastAsia="Calibri" w:hAnsi="Calibri"/>
          <w:sz w:val="22"/>
          <w:szCs w:val="22"/>
        </w:rPr>
        <w:t xml:space="preserve"> contacter une famille parce qu’on a vu un avis de décès ; déposer des flyers chez les personnes endeuillées ; acheter des listes de décès ; faire de la publicité ciblée sur des personnes venant de perdre un proche.</w:t>
      </w:r>
    </w:p>
    <w:p>
      <w:pPr>
        <w:pStyle w:val="ListParagraph"/>
        <w:numPr>
          <w:ilvl w:val="0"/>
          <w:numId w:val="2"/>
        </w:numPr>
        <w:spacing w:after="60" w:line="264"/>
      </w:pPr>
      <w:r>
        <w:rPr>
          <w:rFonts w:ascii="Calibri" w:cs="Calibri" w:eastAsia="Calibri" w:hAnsi="Calibri"/>
          <w:b/>
          <w:bCs/>
          <w:sz w:val="22"/>
          <w:szCs w:val="22"/>
        </w:rPr>
        <w:t xml:space="preserve">Interdit :</w:t>
      </w:r>
      <w:r>
        <w:rPr>
          <w:rFonts w:ascii="Calibri" w:cs="Calibri" w:eastAsia="Calibri" w:hAnsi="Calibri"/>
          <w:sz w:val="22"/>
          <w:szCs w:val="22"/>
        </w:rPr>
        <w:t xml:space="preserve"> donner une commission, un cadeau ou un avantage à un prescripteur (hôpital, EHPAD, notaire, médecin, fleuriste…) en échange de familles orientées.</w:t>
      </w:r>
    </w:p>
    <w:p>
      <w:pPr>
        <w:pStyle w:val="ListParagraph"/>
        <w:numPr>
          <w:ilvl w:val="0"/>
          <w:numId w:val="2"/>
        </w:numPr>
        <w:spacing w:after="60" w:line="264"/>
      </w:pPr>
      <w:r>
        <w:rPr>
          <w:rFonts w:ascii="Calibri" w:cs="Calibri" w:eastAsia="Calibri" w:hAnsi="Calibri"/>
          <w:b/>
          <w:bCs/>
          <w:sz w:val="22"/>
          <w:szCs w:val="22"/>
        </w:rPr>
        <w:t xml:space="preserve">Permis :</w:t>
      </w:r>
      <w:r>
        <w:rPr>
          <w:rFonts w:ascii="Calibri" w:cs="Calibri" w:eastAsia="Calibri" w:hAnsi="Calibri"/>
          <w:sz w:val="22"/>
          <w:szCs w:val="22"/>
        </w:rPr>
        <w:t xml:space="preserve"> une communication </w:t>
      </w:r>
      <w:r>
        <w:rPr>
          <w:rFonts w:ascii="Calibri" w:cs="Calibri" w:eastAsia="Calibri" w:hAnsi="Calibri"/>
          <w:b/>
          <w:bCs/>
          <w:sz w:val="22"/>
          <w:szCs w:val="22"/>
        </w:rPr>
        <w:t xml:space="preserve">générale et passive</w:t>
      </w:r>
      <w:r>
        <w:rPr>
          <w:rFonts w:ascii="Calibri" w:cs="Calibri" w:eastAsia="Calibri" w:hAnsi="Calibri"/>
          <w:sz w:val="22"/>
          <w:szCs w:val="22"/>
        </w:rPr>
        <w:t xml:space="preserve"> (site, Google, supports d’information) que la famille trouve d’elle-même ; des partenariats </w:t>
      </w:r>
      <w:r>
        <w:rPr>
          <w:rFonts w:ascii="Calibri" w:cs="Calibri" w:eastAsia="Calibri" w:hAnsi="Calibri"/>
          <w:b/>
          <w:bCs/>
          <w:sz w:val="22"/>
          <w:szCs w:val="22"/>
        </w:rPr>
        <w:t xml:space="preserve">d’information</w:t>
      </w:r>
      <w:r>
        <w:rPr>
          <w:rFonts w:ascii="Calibri" w:cs="Calibri" w:eastAsia="Calibri" w:hAnsi="Calibri"/>
          <w:sz w:val="22"/>
          <w:szCs w:val="22"/>
        </w:rPr>
        <w:t xml:space="preserve"> sans contrepartie financière liée aux dossiers ; des contenus pédagogiques.</w:t>
      </w:r>
    </w:p>
    <w:p>
      <w:pPr>
        <w:pStyle w:val="ListParagraph"/>
        <w:numPr>
          <w:ilvl w:val="0"/>
          <w:numId w:val="2"/>
        </w:numPr>
        <w:spacing w:after="60" w:line="264"/>
      </w:pPr>
      <w:r>
        <w:rPr>
          <w:rFonts w:ascii="Calibri" w:cs="Calibri" w:eastAsia="Calibri" w:hAnsi="Calibri"/>
          <w:sz w:val="22"/>
          <w:szCs w:val="22"/>
        </w:rPr>
        <w:t xml:space="preserve">Une dérogation existe (loi du 21 février 2022) pour les déplacements à domicile de nuit, dimanche et jours fériés, </w:t>
      </w:r>
      <w:r>
        <w:rPr>
          <w:rFonts w:ascii="Calibri" w:cs="Calibri" w:eastAsia="Calibri" w:hAnsi="Calibri"/>
          <w:b/>
          <w:bCs/>
          <w:sz w:val="22"/>
          <w:szCs w:val="22"/>
        </w:rPr>
        <w:t xml:space="preserve">uniquement</w:t>
      </w:r>
      <w:r>
        <w:rPr>
          <w:rFonts w:ascii="Calibri" w:cs="Calibri" w:eastAsia="Calibri" w:hAnsi="Calibri"/>
          <w:sz w:val="22"/>
          <w:szCs w:val="22"/>
        </w:rPr>
        <w:t xml:space="preserve"> si le décès a lieu à domicile et pour le transport/dépôt du corps ou des soins de conservation, à la demande de la famille.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8A00" w:sz="24"/>
              <w:bottom w:val="none" w:color="FFFFFF" w:sz="0"/>
              <w:right w:val="none" w:color="FFFFFF" w:sz="0"/>
            </w:tcBorders>
            <w:shd w:fill="FFF4DC" w:color="auto" w:val="clear"/>
            <w:tcMar>
              <w:top w:type="dxa" w:w="100"/>
              <w:left w:type="dxa" w:w="180"/>
              <w:bottom w:type="dxa" w:w="100"/>
              <w:right w:type="dxa" w:w="160"/>
            </w:tcMar>
          </w:tcPr>
          <w:p>
            <w:pPr>
              <w:spacing w:after="60"/>
            </w:pPr>
            <w:r>
              <w:rPr>
                <w:rFonts w:ascii="Calibri" w:cs="Calibri" w:eastAsia="Calibri" w:hAnsi="Calibri"/>
                <w:b/>
                <w:bCs/>
                <w:color w:val="C98A00"/>
                <w:sz w:val="22"/>
                <w:szCs w:val="22"/>
              </w:rPr>
              <w:t xml:space="preserve">⚠ À confirmer avant de s’engager</w:t>
            </w:r>
          </w:p>
          <w:p>
            <w:pPr>
              <w:spacing w:after="50"/>
            </w:pPr>
            <w:r>
              <w:rPr>
                <w:rFonts w:ascii="Calibri" w:cs="Calibri" w:eastAsia="Calibri" w:hAnsi="Calibri"/>
                <w:sz w:val="21"/>
                <w:szCs w:val="21"/>
              </w:rPr>
              <w:t xml:space="preserve">La frontière entre « information générale » et « offre de services en prévision d’obsèques » peut être délicate (ex. une communication auprès de personnes âgées sur des contrats obsèques). Faire relire les supports (site, plaquettes, publicités) par un juriste ou la préfecture avant diffusion — c’est un bon service à demander à l’agence.</w:t>
            </w:r>
          </w:p>
        </w:tc>
      </w:tr>
    </w:tbl>
    <w:p>
      <w:pPr>
        <w:pStyle w:val="Heading2"/>
        <w:keepNext/>
        <w:spacing w:after="120" w:before="280"/>
      </w:pPr>
      <w:r>
        <w:rPr>
          <w:rFonts w:ascii="Calibri" w:cs="Calibri" w:eastAsia="Calibri" w:hAnsi="Calibri"/>
          <w:b/>
          <w:bCs/>
          <w:color w:val="5B7F6B"/>
          <w:sz w:val="28"/>
          <w:szCs w:val="28"/>
        </w:rPr>
        <w:t xml:space="preserve">2.3 Obligations d’information et de transparence</w:t>
      </w:r>
    </w:p>
    <w:p>
      <w:pPr>
        <w:pStyle w:val="ListParagraph"/>
        <w:numPr>
          <w:ilvl w:val="0"/>
          <w:numId w:val="2"/>
        </w:numPr>
        <w:spacing w:after="60" w:line="264"/>
      </w:pPr>
      <w:r>
        <w:rPr>
          <w:rFonts w:ascii="Calibri" w:cs="Calibri" w:eastAsia="Calibri" w:hAnsi="Calibri"/>
          <w:sz w:val="22"/>
          <w:szCs w:val="22"/>
        </w:rPr>
        <w:t xml:space="preserve">Devis détaillé et gratuit, établi </w:t>
      </w:r>
      <w:r>
        <w:rPr>
          <w:rFonts w:ascii="Calibri" w:cs="Calibri" w:eastAsia="Calibri" w:hAnsi="Calibri"/>
          <w:b/>
          <w:bCs/>
          <w:sz w:val="22"/>
          <w:szCs w:val="22"/>
        </w:rPr>
        <w:t xml:space="preserve">avant</w:t>
      </w:r>
      <w:r>
        <w:rPr>
          <w:rFonts w:ascii="Calibri" w:cs="Calibri" w:eastAsia="Calibri" w:hAnsi="Calibri"/>
          <w:sz w:val="22"/>
          <w:szCs w:val="22"/>
        </w:rPr>
        <w:t xml:space="preserve"> engagement, conforme au </w:t>
      </w:r>
      <w:r>
        <w:rPr>
          <w:rFonts w:ascii="Calibri" w:cs="Calibri" w:eastAsia="Calibri" w:hAnsi="Calibri"/>
          <w:b/>
          <w:bCs/>
          <w:sz w:val="22"/>
          <w:szCs w:val="22"/>
        </w:rPr>
        <w:t xml:space="preserve">modèle de devis réglementaire</w:t>
      </w:r>
      <w:r>
        <w:rPr>
          <w:rFonts w:ascii="Calibri" w:cs="Calibri" w:eastAsia="Calibri" w:hAnsi="Calibri"/>
          <w:sz w:val="22"/>
          <w:szCs w:val="22"/>
        </w:rPr>
        <w:t xml:space="preserve"> des opérateurs funéraires (prestations obligatoires, optionnelles, frais avancés pour le compte de la famille). </w:t>
      </w:r>
      <w:r>
        <w:rPr>
          <w:rFonts w:ascii="Calibri" w:cs="Calibri" w:eastAsia="Calibri" w:hAnsi="Calibri"/>
          <w:b/>
          <w:bCs/>
          <w:sz w:val="22"/>
          <w:szCs w:val="22"/>
        </w:rPr>
        <w:t xml:space="preserve">À confirmer :</w:t>
      </w:r>
      <w:r>
        <w:rPr>
          <w:rFonts w:ascii="Calibri" w:cs="Calibri" w:eastAsia="Calibri" w:hAnsi="Calibri"/>
          <w:sz w:val="22"/>
          <w:szCs w:val="22"/>
        </w:rPr>
        <w:t xml:space="preserve"> modèle officiel en vigueur et mentions obligatoires.</w:t>
      </w:r>
    </w:p>
    <w:p>
      <w:pPr>
        <w:pStyle w:val="ListParagraph"/>
        <w:numPr>
          <w:ilvl w:val="0"/>
          <w:numId w:val="2"/>
        </w:numPr>
        <w:spacing w:after="60" w:line="264"/>
      </w:pPr>
      <w:r>
        <w:rPr>
          <w:rFonts w:ascii="Calibri" w:cs="Calibri" w:eastAsia="Calibri" w:hAnsi="Calibri"/>
          <w:sz w:val="22"/>
          <w:szCs w:val="22"/>
        </w:rPr>
        <w:t xml:space="preserve">Affichage et mise à disposition des prix, conformes aux règles du Code de la consommation (prix TTC, conditions générales de vente).</w:t>
      </w:r>
    </w:p>
    <w:p>
      <w:pPr>
        <w:pStyle w:val="ListParagraph"/>
        <w:numPr>
          <w:ilvl w:val="0"/>
          <w:numId w:val="2"/>
        </w:numPr>
        <w:spacing w:after="60" w:line="264"/>
      </w:pPr>
      <w:r>
        <w:rPr>
          <w:rFonts w:ascii="Calibri" w:cs="Calibri" w:eastAsia="Calibri" w:hAnsi="Calibri"/>
          <w:b/>
          <w:bCs/>
          <w:sz w:val="22"/>
          <w:szCs w:val="22"/>
        </w:rPr>
        <w:t xml:space="preserve">Médiation de la consommation :</w:t>
      </w:r>
      <w:r>
        <w:rPr>
          <w:rFonts w:ascii="Calibri" w:cs="Calibri" w:eastAsia="Calibri" w:hAnsi="Calibri"/>
          <w:sz w:val="22"/>
          <w:szCs w:val="22"/>
        </w:rPr>
        <w:t xml:space="preserve"> tout professionnel doit permettre au consommateur de saisir gratuitement un médiateur (adhésion à un médiateur référencé, mention dans les CGV et sur le site).</w:t>
      </w:r>
    </w:p>
    <w:p>
      <w:pPr>
        <w:pStyle w:val="ListParagraph"/>
        <w:numPr>
          <w:ilvl w:val="0"/>
          <w:numId w:val="2"/>
        </w:numPr>
        <w:spacing w:after="60" w:line="264"/>
      </w:pPr>
      <w:r>
        <w:rPr>
          <w:rFonts w:ascii="Calibri" w:cs="Calibri" w:eastAsia="Calibri" w:hAnsi="Calibri"/>
          <w:sz w:val="22"/>
          <w:szCs w:val="22"/>
        </w:rPr>
        <w:t xml:space="preserve">Mentions légales complètes sur le site et les devis/factures (identité, SIRET, habilitation et son numéro/date de validité pour les prestations funéraires, assurance RC Pro, médiateur).</w:t>
      </w:r>
    </w:p>
    <w:p>
      <w:pPr>
        <w:pStyle w:val="ListParagraph"/>
        <w:numPr>
          <w:ilvl w:val="0"/>
          <w:numId w:val="2"/>
        </w:numPr>
        <w:spacing w:after="60" w:line="264"/>
      </w:pPr>
      <w:r>
        <w:rPr>
          <w:rFonts w:ascii="Calibri" w:cs="Calibri" w:eastAsia="Calibri" w:hAnsi="Calibri"/>
          <w:sz w:val="22"/>
          <w:szCs w:val="22"/>
        </w:rPr>
        <w:t xml:space="preserve">Respect de la volonté du défunt (contrat obsèques, testament, volontés écrites) et du </w:t>
      </w:r>
      <w:r>
        <w:rPr>
          <w:rFonts w:ascii="Calibri" w:cs="Calibri" w:eastAsia="Calibri" w:hAnsi="Calibri"/>
          <w:b/>
          <w:bCs/>
          <w:sz w:val="22"/>
          <w:szCs w:val="22"/>
        </w:rPr>
        <w:t xml:space="preserve">choix libre de l’opérateur</w:t>
      </w:r>
      <w:r>
        <w:rPr>
          <w:rFonts w:ascii="Calibri" w:cs="Calibri" w:eastAsia="Calibri" w:hAnsi="Calibri"/>
          <w:sz w:val="22"/>
          <w:szCs w:val="22"/>
        </w:rPr>
        <w:t xml:space="preserve"> par la famille.</w:t>
      </w:r>
    </w:p>
    <w:p>
      <w:pPr>
        <w:pStyle w:val="Heading2"/>
        <w:keepNext/>
        <w:spacing w:after="120" w:before="280"/>
      </w:pPr>
      <w:r>
        <w:rPr>
          <w:rFonts w:ascii="Calibri" w:cs="Calibri" w:eastAsia="Calibri" w:hAnsi="Calibri"/>
          <w:b/>
          <w:bCs/>
          <w:color w:val="5B7F6B"/>
          <w:sz w:val="28"/>
          <w:szCs w:val="28"/>
        </w:rPr>
        <w:t xml:space="preserve">2.4 Les démarches administratives : libre, mais attention au conseil juridique</w:t>
      </w:r>
    </w:p>
    <w:p>
      <w:pPr>
        <w:spacing w:after="120" w:line="276"/>
      </w:pPr>
      <w:r>
        <w:rPr>
          <w:rFonts w:ascii="Calibri" w:cs="Calibri" w:eastAsia="Calibri" w:hAnsi="Calibri"/>
          <w:sz w:val="22"/>
          <w:szCs w:val="22"/>
        </w:rPr>
        <w:t xml:space="preserve">Aider une famille à </w:t>
      </w:r>
      <w:r>
        <w:rPr>
          <w:rFonts w:ascii="Calibri" w:cs="Calibri" w:eastAsia="Calibri" w:hAnsi="Calibri"/>
          <w:b/>
          <w:bCs/>
          <w:sz w:val="22"/>
          <w:szCs w:val="22"/>
        </w:rPr>
        <w:t xml:space="preserve">rassembler, remplir, envoyer</w:t>
      </w:r>
      <w:r>
        <w:rPr>
          <w:rFonts w:ascii="Calibri" w:cs="Calibri" w:eastAsia="Calibri" w:hAnsi="Calibri"/>
          <w:sz w:val="22"/>
          <w:szCs w:val="22"/>
        </w:rPr>
        <w:t xml:space="preserve"> des documents (actes de décès, courriers aux banques, résiliations, dossiers de réversion) est une prestation de service ordinaire. C’est le cœur du pôle 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8A00" w:sz="24"/>
              <w:bottom w:val="none" w:color="FFFFFF" w:sz="0"/>
              <w:right w:val="none" w:color="FFFFFF" w:sz="0"/>
            </w:tcBorders>
            <w:shd w:fill="FFF4DC" w:color="auto" w:val="clear"/>
            <w:tcMar>
              <w:top w:type="dxa" w:w="100"/>
              <w:left w:type="dxa" w:w="180"/>
              <w:bottom w:type="dxa" w:w="100"/>
              <w:right w:type="dxa" w:w="160"/>
            </w:tcMar>
          </w:tcPr>
          <w:p>
            <w:pPr>
              <w:spacing w:after="60"/>
            </w:pPr>
            <w:r>
              <w:rPr>
                <w:rFonts w:ascii="Calibri" w:cs="Calibri" w:eastAsia="Calibri" w:hAnsi="Calibri"/>
                <w:b/>
                <w:bCs/>
                <w:color w:val="C98A00"/>
                <w:sz w:val="22"/>
                <w:szCs w:val="22"/>
              </w:rPr>
              <w:t xml:space="preserve">⚠ À confirmer avant de s’engager</w:t>
            </w:r>
          </w:p>
          <w:p>
            <w:pPr>
              <w:spacing w:after="50"/>
            </w:pPr>
            <w:r>
              <w:rPr>
                <w:rFonts w:ascii="Calibri" w:cs="Calibri" w:eastAsia="Calibri" w:hAnsi="Calibri"/>
                <w:b/>
                <w:bCs/>
                <w:sz w:val="21"/>
                <w:szCs w:val="21"/>
              </w:rPr>
              <w:t xml:space="preserve">Consultation juridique et rédaction d’actes :</w:t>
            </w:r>
            <w:r>
              <w:rPr>
                <w:rFonts w:ascii="Calibri" w:cs="Calibri" w:eastAsia="Calibri" w:hAnsi="Calibri"/>
                <w:sz w:val="21"/>
                <w:szCs w:val="21"/>
              </w:rPr>
              <w:t xml:space="preserve"> la loi du 31 décembre 1971 (art. 54 et suivants) réserve à certaines professions réglementées (avocats, notaires, etc.) les consultations juridiques et la rédaction d’actes pour autrui, quand elles sont faites </w:t>
            </w:r>
            <w:r>
              <w:rPr>
                <w:rFonts w:ascii="Calibri" w:cs="Calibri" w:eastAsia="Calibri" w:hAnsi="Calibri"/>
                <w:b/>
                <w:bCs/>
                <w:sz w:val="21"/>
                <w:szCs w:val="21"/>
              </w:rPr>
              <w:t xml:space="preserve">à titre habituel et rémunérées</w:t>
            </w:r>
            <w:r>
              <w:rPr>
                <w:rFonts w:ascii="Calibri" w:cs="Calibri" w:eastAsia="Calibri" w:hAnsi="Calibri"/>
                <w:sz w:val="21"/>
                <w:szCs w:val="21"/>
              </w:rPr>
              <w:t xml:space="preserve">.</w:t>
            </w:r>
          </w:p>
          <w:p>
            <w:pPr>
              <w:spacing w:after="50"/>
            </w:pPr>
            <w:r>
              <w:rPr>
                <w:rFonts w:ascii="Calibri" w:cs="Calibri" w:eastAsia="Calibri" w:hAnsi="Calibri"/>
                <w:sz w:val="21"/>
                <w:szCs w:val="21"/>
              </w:rPr>
              <w:t xml:space="preserve">En pratique : </w:t>
            </w:r>
            <w:r>
              <w:rPr>
                <w:rFonts w:ascii="Calibri" w:cs="Calibri" w:eastAsia="Calibri" w:hAnsi="Calibri"/>
                <w:b/>
                <w:bCs/>
                <w:sz w:val="21"/>
                <w:szCs w:val="21"/>
              </w:rPr>
              <w:t xml:space="preserve">ne pas conseiller</w:t>
            </w:r>
            <w:r>
              <w:rPr>
                <w:rFonts w:ascii="Calibri" w:cs="Calibri" w:eastAsia="Calibri" w:hAnsi="Calibri"/>
                <w:sz w:val="21"/>
                <w:szCs w:val="21"/>
              </w:rPr>
              <w:t xml:space="preserve"> sur le partage d’une succession, une option successorale, une stratégie fiscale ou patrimoniale ; </w:t>
            </w:r>
            <w:r>
              <w:rPr>
                <w:rFonts w:ascii="Calibri" w:cs="Calibri" w:eastAsia="Calibri" w:hAnsi="Calibri"/>
                <w:b/>
                <w:bCs/>
                <w:sz w:val="21"/>
                <w:szCs w:val="21"/>
              </w:rPr>
              <w:t xml:space="preserve">ne pas rédiger</w:t>
            </w:r>
            <w:r>
              <w:rPr>
                <w:rFonts w:ascii="Calibri" w:cs="Calibri" w:eastAsia="Calibri" w:hAnsi="Calibri"/>
                <w:sz w:val="21"/>
                <w:szCs w:val="21"/>
              </w:rPr>
              <w:t xml:space="preserve"> d’actes (testament, donation, attestation notariée). </w:t>
            </w:r>
            <w:r>
              <w:rPr>
                <w:rFonts w:ascii="Calibri" w:cs="Calibri" w:eastAsia="Calibri" w:hAnsi="Calibri"/>
                <w:b/>
                <w:bCs/>
                <w:sz w:val="21"/>
                <w:szCs w:val="21"/>
              </w:rPr>
              <w:t xml:space="preserve">Orienter vers un notaire</w:t>
            </w:r>
            <w:r>
              <w:rPr>
                <w:rFonts w:ascii="Calibri" w:cs="Calibri" w:eastAsia="Calibri" w:hAnsi="Calibri"/>
                <w:sz w:val="21"/>
                <w:szCs w:val="21"/>
              </w:rPr>
              <w:t xml:space="preserve"> ou un avocat partenaire.</w:t>
            </w:r>
          </w:p>
          <w:p>
            <w:pPr>
              <w:spacing w:after="50"/>
            </w:pPr>
            <w:r>
              <w:rPr>
                <w:rFonts w:ascii="Calibri" w:cs="Calibri" w:eastAsia="Calibri" w:hAnsi="Calibri"/>
                <w:sz w:val="21"/>
                <w:szCs w:val="21"/>
              </w:rPr>
              <w:t xml:space="preserve">À valider avec un avocat : rédiger un </w:t>
            </w:r>
            <w:r>
              <w:rPr>
                <w:rFonts w:ascii="Calibri" w:cs="Calibri" w:eastAsia="Calibri" w:hAnsi="Calibri"/>
                <w:b/>
                <w:bCs/>
                <w:sz w:val="21"/>
                <w:szCs w:val="21"/>
              </w:rPr>
              <w:t xml:space="preserve">périmètre de prestation précis</w:t>
            </w:r>
            <w:r>
              <w:rPr>
                <w:rFonts w:ascii="Calibri" w:cs="Calibri" w:eastAsia="Calibri" w:hAnsi="Calibri"/>
                <w:sz w:val="21"/>
                <w:szCs w:val="21"/>
              </w:rPr>
              <w:t xml:space="preserve"> (« constitution de dossiers, formalités, suivi administratif »), un </w:t>
            </w:r>
            <w:r>
              <w:rPr>
                <w:rFonts w:ascii="Calibri" w:cs="Calibri" w:eastAsia="Calibri" w:hAnsi="Calibri"/>
                <w:b/>
                <w:bCs/>
                <w:sz w:val="21"/>
                <w:szCs w:val="21"/>
              </w:rPr>
              <w:t xml:space="preserve">mandat écrit</w:t>
            </w:r>
            <w:r>
              <w:rPr>
                <w:rFonts w:ascii="Calibri" w:cs="Calibri" w:eastAsia="Calibri" w:hAnsi="Calibri"/>
                <w:sz w:val="21"/>
                <w:szCs w:val="21"/>
              </w:rPr>
              <w:t xml:space="preserve"> de la famille et des mentions « je ne fournis pas de conseil juridique ou fiscal ».</w:t>
            </w:r>
          </w:p>
        </w:tc>
      </w:tr>
    </w:tbl>
    <w:p>
      <w:pPr>
        <w:spacing w:after="80"/>
      </w:pPr>
    </w:p>
    <w:p>
      <w:pPr>
        <w:pStyle w:val="Heading3"/>
        <w:keepNext/>
        <w:spacing w:after="80" w:before="180"/>
      </w:pPr>
      <w:r>
        <w:rPr>
          <w:rFonts w:ascii="Calibri" w:cs="Calibri" w:eastAsia="Calibri" w:hAnsi="Calibri"/>
          <w:b/>
          <w:bCs/>
          <w:color w:val="1F3A5F"/>
          <w:sz w:val="24"/>
          <w:szCs w:val="24"/>
        </w:rPr>
        <w:t xml:space="preserve">Tableau « je peux / je ne peux pas » — pôle 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tblHeader/>
        </w:trPr>
        <w:tc>
          <w:tcPr>
            <w:tcW w:type="dxa" w:w="4819"/>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Je peux</w:t>
            </w:r>
          </w:p>
        </w:tc>
        <w:tc>
          <w:tcPr>
            <w:tcW w:type="dxa" w:w="4819"/>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Je ne peux pas (ou je passe la main)</w:t>
            </w:r>
          </w:p>
        </w:tc>
      </w:tr>
      <w:tr>
        <w:trPr>
          <w:cantSplit/>
        </w:trPr>
        <w:tc>
          <w:tcPr>
            <w:tcW w:type="dxa" w:w="4819"/>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Demander des copies d’actes de décès et organiser les envois</w:t>
            </w:r>
          </w:p>
        </w:tc>
        <w:tc>
          <w:tcPr>
            <w:tcW w:type="dxa" w:w="4819"/>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Interpréter les droits des héritiers ou arbitrer entre eux</w:t>
            </w:r>
          </w:p>
        </w:tc>
      </w:tr>
      <w:tr>
        <w:trPr>
          <w:cantSplit/>
        </w:trPr>
        <w:tc>
          <w:tcPr>
            <w:tcW w:type="dxa" w:w="4819"/>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Préparer les courriers de notification de décès (banques, assureurs, caisses, abonnements)</w:t>
            </w:r>
          </w:p>
        </w:tc>
        <w:tc>
          <w:tcPr>
            <w:tcW w:type="dxa" w:w="4819"/>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Conseiller une option successorale (accepter/renoncer) ou une optimisation fiscale</w:t>
            </w:r>
          </w:p>
        </w:tc>
      </w:tr>
      <w:tr>
        <w:trPr>
          <w:cantSplit/>
        </w:trPr>
        <w:tc>
          <w:tcPr>
            <w:tcW w:type="dxa" w:w="4819"/>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Rechercher des contrats via les services officiels (Agira, Ficoba/Ficovie par la voie légale) pour le compte de la famille mandatée</w:t>
            </w:r>
          </w:p>
        </w:tc>
        <w:tc>
          <w:tcPr>
            <w:tcW w:type="dxa" w:w="4819"/>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Rédiger un acte de notoriété, une donation, un testament</w:t>
            </w:r>
          </w:p>
        </w:tc>
      </w:tr>
      <w:tr>
        <w:trPr>
          <w:cantSplit/>
        </w:trPr>
        <w:tc>
          <w:tcPr>
            <w:tcW w:type="dxa" w:w="4819"/>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Suivre les dossiers (pension de réversion, remboursement mutuelle, résiliations)</w:t>
            </w:r>
          </w:p>
        </w:tc>
        <w:tc>
          <w:tcPr>
            <w:tcW w:type="dxa" w:w="4819"/>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Représenter une personne devant un tribunal</w:t>
            </w:r>
          </w:p>
        </w:tc>
      </w:tr>
      <w:tr>
        <w:trPr>
          <w:cantSplit/>
        </w:trPr>
        <w:tc>
          <w:tcPr>
            <w:tcW w:type="dxa" w:w="4819"/>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Trier et classer les papiers, établir un tableau de suivi pour les héritiers</w:t>
            </w:r>
          </w:p>
        </w:tc>
        <w:tc>
          <w:tcPr>
            <w:tcW w:type="dxa" w:w="4819"/>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Encaisser des fonds de la succession sans cadre clair (voir chapitre 4)</w:t>
            </w:r>
          </w:p>
        </w:tc>
      </w:tr>
      <w:tr>
        <w:trPr>
          <w:cantSplit/>
        </w:trPr>
        <w:tc>
          <w:tcPr>
            <w:tcW w:type="dxa" w:w="4819"/>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Préparer le dossier à remettre au notaire (liste des comptes, contrats, biens)</w:t>
            </w:r>
          </w:p>
        </w:tc>
        <w:tc>
          <w:tcPr>
            <w:tcW w:type="dxa" w:w="4819"/>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Se substituer au notaire dans le règlement de la succession</w:t>
            </w:r>
          </w:p>
        </w:tc>
      </w:tr>
    </w:tbl>
    <w:p>
      <w:pPr>
        <w:spacing w:after="80"/>
      </w:pPr>
    </w:p>
    <w:p>
      <w:pPr>
        <w:spacing w:after="120" w:line="276"/>
      </w:pPr>
      <w:r>
        <w:rPr>
          <w:rFonts w:ascii="Calibri" w:cs="Calibri" w:eastAsia="Calibri" w:hAnsi="Calibri"/>
          <w:b/>
          <w:bCs/>
          <w:sz w:val="22"/>
          <w:szCs w:val="22"/>
        </w:rPr>
        <w:t xml:space="preserve">Repère vérifié (banques) :</w:t>
      </w:r>
      <w:r>
        <w:rPr>
          <w:rFonts w:ascii="Calibri" w:cs="Calibri" w:eastAsia="Calibri" w:hAnsi="Calibri"/>
          <w:sz w:val="22"/>
          <w:szCs w:val="22"/>
        </w:rPr>
        <w:t xml:space="preserve"> à partir du décès, les comptes sont bloqués ; un déblocage limité à </w:t>
      </w:r>
      <w:r>
        <w:rPr>
          <w:rFonts w:ascii="Calibri" w:cs="Calibri" w:eastAsia="Calibri" w:hAnsi="Calibri"/>
          <w:b/>
          <w:bCs/>
          <w:sz w:val="22"/>
          <w:szCs w:val="22"/>
        </w:rPr>
        <w:t xml:space="preserve">5 000 €</w:t>
      </w:r>
      <w:r>
        <w:rPr>
          <w:rFonts w:ascii="Calibri" w:cs="Calibri" w:eastAsia="Calibri" w:hAnsi="Calibri"/>
          <w:sz w:val="22"/>
          <w:szCs w:val="22"/>
        </w:rPr>
        <w:t xml:space="preserve"> peut intervenir pour régler les frais d’obsèques, derniers soins médicaux et impôts dus. Les procurations du défunt deviennent caduques. Le fichier </w:t>
      </w:r>
      <w:r>
        <w:rPr>
          <w:rFonts w:ascii="Calibri" w:cs="Calibri" w:eastAsia="Calibri" w:hAnsi="Calibri"/>
          <w:b/>
          <w:bCs/>
          <w:sz w:val="22"/>
          <w:szCs w:val="22"/>
        </w:rPr>
        <w:t xml:space="preserve">Ficoba</w:t>
      </w:r>
      <w:r>
        <w:rPr>
          <w:rFonts w:ascii="Calibri" w:cs="Calibri" w:eastAsia="Calibri" w:hAnsi="Calibri"/>
          <w:sz w:val="22"/>
          <w:szCs w:val="22"/>
        </w:rPr>
        <w:t xml:space="preserve"> recense les comptes, </w:t>
      </w:r>
      <w:r>
        <w:rPr>
          <w:rFonts w:ascii="Calibri" w:cs="Calibri" w:eastAsia="Calibri" w:hAnsi="Calibri"/>
          <w:b/>
          <w:bCs/>
          <w:sz w:val="22"/>
          <w:szCs w:val="22"/>
        </w:rPr>
        <w:t xml:space="preserve">Ficovie</w:t>
      </w:r>
      <w:r>
        <w:rPr>
          <w:rFonts w:ascii="Calibri" w:cs="Calibri" w:eastAsia="Calibri" w:hAnsi="Calibri"/>
          <w:sz w:val="22"/>
          <w:szCs w:val="22"/>
        </w:rPr>
        <w:t xml:space="preserve"> l’assurance-vie, l’</w:t>
      </w:r>
      <w:r>
        <w:rPr>
          <w:rFonts w:ascii="Calibri" w:cs="Calibri" w:eastAsia="Calibri" w:hAnsi="Calibri"/>
          <w:b/>
          <w:bCs/>
          <w:sz w:val="22"/>
          <w:szCs w:val="22"/>
        </w:rPr>
        <w:t xml:space="preserve">Agira</w:t>
      </w:r>
      <w:r>
        <w:rPr>
          <w:rFonts w:ascii="Calibri" w:cs="Calibri" w:eastAsia="Calibri" w:hAnsi="Calibri"/>
          <w:sz w:val="22"/>
          <w:szCs w:val="22"/>
        </w:rPr>
        <w:t xml:space="preserve"> permet de savoir si un contrat obsèques existait. </w:t>
      </w:r>
      <w:r>
        <w:rPr>
          <w:rFonts w:ascii="Calibri" w:cs="Calibri" w:eastAsia="Calibri" w:hAnsi="Calibri"/>
          <w:b/>
          <w:bCs/>
          <w:sz w:val="22"/>
          <w:szCs w:val="22"/>
        </w:rPr>
        <w:t xml:space="preserve">À confirmer :</w:t>
      </w:r>
      <w:r>
        <w:rPr>
          <w:rFonts w:ascii="Calibri" w:cs="Calibri" w:eastAsia="Calibri" w:hAnsi="Calibri"/>
          <w:sz w:val="22"/>
          <w:szCs w:val="22"/>
        </w:rPr>
        <w:t xml:space="preserve"> montants plafonds et procédure actuels (certificat d’hérédité en mairie jusqu’à un seuil indexé, au-delà acte de notoriété chez le notaire).</w:t>
      </w:r>
    </w:p>
    <w:p>
      <w:pPr>
        <w:pStyle w:val="Heading2"/>
        <w:keepNext/>
        <w:spacing w:after="120" w:before="280"/>
      </w:pPr>
      <w:r>
        <w:rPr>
          <w:rFonts w:ascii="Calibri" w:cs="Calibri" w:eastAsia="Calibri" w:hAnsi="Calibri"/>
          <w:b/>
          <w:bCs/>
          <w:color w:val="5B7F6B"/>
          <w:sz w:val="28"/>
          <w:szCs w:val="28"/>
        </w:rPr>
        <w:t xml:space="preserve">2.5 Accompagnement du deuil et bien-être : titres protégés</w:t>
      </w:r>
    </w:p>
    <w:p>
      <w:pPr>
        <w:pStyle w:val="ListParagraph"/>
        <w:numPr>
          <w:ilvl w:val="0"/>
          <w:numId w:val="2"/>
        </w:numPr>
        <w:spacing w:after="60" w:line="264"/>
      </w:pPr>
      <w:r>
        <w:rPr>
          <w:rFonts w:ascii="Calibri" w:cs="Calibri" w:eastAsia="Calibri" w:hAnsi="Calibri"/>
          <w:sz w:val="22"/>
          <w:szCs w:val="22"/>
        </w:rPr>
        <w:t xml:space="preserve">Les titres de </w:t>
      </w:r>
      <w:r>
        <w:rPr>
          <w:rFonts w:ascii="Calibri" w:cs="Calibri" w:eastAsia="Calibri" w:hAnsi="Calibri"/>
          <w:b/>
          <w:bCs/>
          <w:sz w:val="22"/>
          <w:szCs w:val="22"/>
        </w:rPr>
        <w:t xml:space="preserve">psychologue</w:t>
      </w:r>
      <w:r>
        <w:rPr>
          <w:rFonts w:ascii="Calibri" w:cs="Calibri" w:eastAsia="Calibri" w:hAnsi="Calibri"/>
          <w:sz w:val="22"/>
          <w:szCs w:val="22"/>
        </w:rPr>
        <w:t xml:space="preserve"> et de </w:t>
      </w:r>
      <w:r>
        <w:rPr>
          <w:rFonts w:ascii="Calibri" w:cs="Calibri" w:eastAsia="Calibri" w:hAnsi="Calibri"/>
          <w:b/>
          <w:bCs/>
          <w:sz w:val="22"/>
          <w:szCs w:val="22"/>
        </w:rPr>
        <w:t xml:space="preserve">psychothérapeute</w:t>
      </w:r>
      <w:r>
        <w:rPr>
          <w:rFonts w:ascii="Calibri" w:cs="Calibri" w:eastAsia="Calibri" w:hAnsi="Calibri"/>
          <w:sz w:val="22"/>
          <w:szCs w:val="22"/>
        </w:rPr>
        <w:t xml:space="preserve"> sont </w:t>
      </w:r>
      <w:r>
        <w:rPr>
          <w:rFonts w:ascii="Calibri" w:cs="Calibri" w:eastAsia="Calibri" w:hAnsi="Calibri"/>
          <w:b/>
          <w:bCs/>
          <w:sz w:val="22"/>
          <w:szCs w:val="22"/>
        </w:rPr>
        <w:t xml:space="preserve">protégés</w:t>
      </w:r>
      <w:r>
        <w:rPr>
          <w:rFonts w:ascii="Calibri" w:cs="Calibri" w:eastAsia="Calibri" w:hAnsi="Calibri"/>
          <w:sz w:val="22"/>
          <w:szCs w:val="22"/>
        </w:rPr>
        <w:t xml:space="preserve"> par la loi (conditions de diplôme et, pour le second, d’inscription). </w:t>
      </w:r>
      <w:r>
        <w:rPr>
          <w:rFonts w:ascii="Calibri" w:cs="Calibri" w:eastAsia="Calibri" w:hAnsi="Calibri"/>
          <w:b/>
          <w:bCs/>
          <w:sz w:val="22"/>
          <w:szCs w:val="22"/>
        </w:rPr>
        <w:t xml:space="preserve">À confirmer</w:t>
      </w:r>
      <w:r>
        <w:rPr>
          <w:rFonts w:ascii="Calibri" w:cs="Calibri" w:eastAsia="Calibri" w:hAnsi="Calibri"/>
          <w:sz w:val="22"/>
          <w:szCs w:val="22"/>
        </w:rPr>
        <w:t xml:space="preserve"> dans le Code de la santé publique et la loi du 25 juillet 1985 avant d’utiliser un titre.</w:t>
      </w:r>
    </w:p>
    <w:p>
      <w:pPr>
        <w:pStyle w:val="ListParagraph"/>
        <w:numPr>
          <w:ilvl w:val="0"/>
          <w:numId w:val="2"/>
        </w:numPr>
        <w:spacing w:after="60" w:line="264"/>
      </w:pPr>
      <w:r>
        <w:rPr>
          <w:rFonts w:ascii="Calibri" w:cs="Calibri" w:eastAsia="Calibri" w:hAnsi="Calibri"/>
          <w:sz w:val="22"/>
          <w:szCs w:val="22"/>
        </w:rPr>
        <w:t xml:space="preserve">Interdit de </w:t>
      </w:r>
      <w:r>
        <w:rPr>
          <w:rFonts w:ascii="Calibri" w:cs="Calibri" w:eastAsia="Calibri" w:hAnsi="Calibri"/>
          <w:b/>
          <w:bCs/>
          <w:sz w:val="22"/>
          <w:szCs w:val="22"/>
        </w:rPr>
        <w:t xml:space="preserve">poser un diagnostic, prescrire, promettre une guérison ou prétendre soigner</w:t>
      </w:r>
      <w:r>
        <w:rPr>
          <w:rFonts w:ascii="Calibri" w:cs="Calibri" w:eastAsia="Calibri" w:hAnsi="Calibri"/>
          <w:sz w:val="22"/>
          <w:szCs w:val="22"/>
        </w:rPr>
        <w:t xml:space="preserve"> : cela relèverait de l’exercice illégal de la médecine.</w:t>
      </w:r>
    </w:p>
    <w:p>
      <w:pPr>
        <w:pStyle w:val="ListParagraph"/>
        <w:numPr>
          <w:ilvl w:val="0"/>
          <w:numId w:val="2"/>
        </w:numPr>
        <w:spacing w:after="60" w:line="264"/>
      </w:pPr>
      <w:r>
        <w:rPr>
          <w:rFonts w:ascii="Calibri" w:cs="Calibri" w:eastAsia="Calibri" w:hAnsi="Calibri"/>
          <w:sz w:val="22"/>
          <w:szCs w:val="22"/>
        </w:rPr>
        <w:t xml:space="preserve">Vocabulaire sûr (hypothèse) : « accompagnement », « écoute », « temps d’échange », « atelier de bien-être », « relais vers un professionnel de santé ». Éviter : « thérapie », « soigner le deuil », « traitement ».</w:t>
      </w:r>
    </w:p>
    <w:p>
      <w:pPr>
        <w:pStyle w:val="ListParagraph"/>
        <w:numPr>
          <w:ilvl w:val="0"/>
          <w:numId w:val="2"/>
        </w:numPr>
        <w:spacing w:after="60" w:line="264"/>
      </w:pPr>
      <w:r>
        <w:rPr>
          <w:rFonts w:ascii="Calibri" w:cs="Calibri" w:eastAsia="Calibri" w:hAnsi="Calibri"/>
          <w:sz w:val="22"/>
          <w:szCs w:val="22"/>
        </w:rPr>
        <w:t xml:space="preserve">Pour un volet clinique : </w:t>
      </w:r>
      <w:r>
        <w:rPr>
          <w:rFonts w:ascii="Calibri" w:cs="Calibri" w:eastAsia="Calibri" w:hAnsi="Calibri"/>
          <w:b/>
          <w:bCs/>
          <w:sz w:val="22"/>
          <w:szCs w:val="22"/>
        </w:rPr>
        <w:t xml:space="preserve">partenariat avec des psychologues/psychothérapeutes diplômés</w:t>
      </w:r>
      <w:r>
        <w:rPr>
          <w:rFonts w:ascii="Calibri" w:cs="Calibri" w:eastAsia="Calibri" w:hAnsi="Calibri"/>
          <w:sz w:val="22"/>
          <w:szCs w:val="22"/>
        </w:rPr>
        <w:t xml:space="preserve">, chacun facturant ses propres séances.</w:t>
      </w:r>
    </w:p>
    <w:p>
      <w:pPr>
        <w:pStyle w:val="ListParagraph"/>
        <w:numPr>
          <w:ilvl w:val="0"/>
          <w:numId w:val="2"/>
        </w:numPr>
        <w:spacing w:after="60" w:line="264"/>
      </w:pPr>
      <w:r>
        <w:rPr>
          <w:rFonts w:ascii="Calibri" w:cs="Calibri" w:eastAsia="Calibri" w:hAnsi="Calibri"/>
          <w:sz w:val="22"/>
          <w:szCs w:val="22"/>
        </w:rPr>
        <w:t xml:space="preserve">Une formation reconnue en accompagnement du deuil (et une supervision) est un vrai plus pour la crédibilité, même si elle n’est pas obligatoire.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8A00" w:sz="24"/>
              <w:bottom w:val="none" w:color="FFFFFF" w:sz="0"/>
              <w:right w:val="none" w:color="FFFFFF" w:sz="0"/>
            </w:tcBorders>
            <w:shd w:fill="FFF4DC" w:color="auto" w:val="clear"/>
            <w:tcMar>
              <w:top w:type="dxa" w:w="100"/>
              <w:left w:type="dxa" w:w="180"/>
              <w:bottom w:type="dxa" w:w="100"/>
              <w:right w:type="dxa" w:w="160"/>
            </w:tcMar>
          </w:tcPr>
          <w:p>
            <w:pPr>
              <w:spacing w:after="60"/>
            </w:pPr>
            <w:r>
              <w:rPr>
                <w:rFonts w:ascii="Calibri" w:cs="Calibri" w:eastAsia="Calibri" w:hAnsi="Calibri"/>
                <w:b/>
                <w:bCs/>
                <w:color w:val="C98A00"/>
                <w:sz w:val="22"/>
                <w:szCs w:val="22"/>
              </w:rPr>
              <w:t xml:space="preserve">⚠ À confirmer avant de s’engager</w:t>
            </w:r>
          </w:p>
          <w:p>
            <w:pPr>
              <w:spacing w:after="50"/>
            </w:pPr>
            <w:r>
              <w:rPr>
                <w:rFonts w:ascii="Calibri" w:cs="Calibri" w:eastAsia="Calibri" w:hAnsi="Calibri"/>
                <w:sz w:val="21"/>
                <w:szCs w:val="21"/>
              </w:rPr>
              <w:t xml:space="preserve">Si des soins de bien-être corporels (massage, relaxation, etc.) sont envisagés : vérifier les règles propres à chaque pratique et l’extension de la RC Pro.</w:t>
            </w:r>
          </w:p>
        </w:tc>
      </w:tr>
    </w:tbl>
    <w:p>
      <w:pPr>
        <w:pStyle w:val="Heading2"/>
        <w:keepNext/>
        <w:spacing w:after="120" w:before="280"/>
      </w:pPr>
      <w:r>
        <w:rPr>
          <w:rFonts w:ascii="Calibri" w:cs="Calibri" w:eastAsia="Calibri" w:hAnsi="Calibri"/>
          <w:b/>
          <w:bCs/>
          <w:color w:val="5B7F6B"/>
          <w:sz w:val="28"/>
          <w:szCs w:val="28"/>
        </w:rPr>
        <w:t xml:space="preserve">2.6 Nettoyage et entretien de sépultures</w:t>
      </w:r>
    </w:p>
    <w:p>
      <w:pPr>
        <w:pStyle w:val="ListParagraph"/>
        <w:numPr>
          <w:ilvl w:val="0"/>
          <w:numId w:val="2"/>
        </w:numPr>
        <w:spacing w:after="60" w:line="264"/>
      </w:pPr>
      <w:r>
        <w:rPr>
          <w:rFonts w:ascii="Calibri" w:cs="Calibri" w:eastAsia="Calibri" w:hAnsi="Calibri"/>
          <w:sz w:val="22"/>
          <w:szCs w:val="22"/>
        </w:rPr>
        <w:t xml:space="preserve">Chaque cimetière a un </w:t>
      </w:r>
      <w:r>
        <w:rPr>
          <w:rFonts w:ascii="Calibri" w:cs="Calibri" w:eastAsia="Calibri" w:hAnsi="Calibri"/>
          <w:b/>
          <w:bCs/>
          <w:sz w:val="22"/>
          <w:szCs w:val="22"/>
        </w:rPr>
        <w:t xml:space="preserve">règlement intérieur communal</w:t>
      </w:r>
      <w:r>
        <w:rPr>
          <w:rFonts w:ascii="Calibri" w:cs="Calibri" w:eastAsia="Calibri" w:hAnsi="Calibri"/>
          <w:sz w:val="22"/>
          <w:szCs w:val="22"/>
        </w:rPr>
        <w:t xml:space="preserve"> : horaires, interdictions (produits, outils, plantations), conditions pour qu’un prestataire intervienne. À demander à </w:t>
      </w:r>
      <w:r>
        <w:rPr>
          <w:rFonts w:ascii="Calibri" w:cs="Calibri" w:eastAsia="Calibri" w:hAnsi="Calibri"/>
          <w:b/>
          <w:bCs/>
          <w:sz w:val="22"/>
          <w:szCs w:val="22"/>
        </w:rPr>
        <w:t xml:space="preserve">chaque mairie</w:t>
      </w:r>
      <w:r>
        <w:rPr>
          <w:rFonts w:ascii="Calibri" w:cs="Calibri" w:eastAsia="Calibri" w:hAnsi="Calibri"/>
          <w:sz w:val="22"/>
          <w:szCs w:val="22"/>
        </w:rPr>
        <w:t xml:space="preserve"> du secteur.</w:t>
      </w:r>
    </w:p>
    <w:p>
      <w:pPr>
        <w:pStyle w:val="ListParagraph"/>
        <w:numPr>
          <w:ilvl w:val="0"/>
          <w:numId w:val="2"/>
        </w:numPr>
        <w:spacing w:after="60" w:line="264"/>
      </w:pPr>
      <w:r>
        <w:rPr>
          <w:rFonts w:ascii="Calibri" w:cs="Calibri" w:eastAsia="Calibri" w:hAnsi="Calibri"/>
          <w:sz w:val="22"/>
          <w:szCs w:val="22"/>
        </w:rPr>
        <w:t xml:space="preserve">Intervenir sur une concession exige l’</w:t>
      </w:r>
      <w:r>
        <w:rPr>
          <w:rFonts w:ascii="Calibri" w:cs="Calibri" w:eastAsia="Calibri" w:hAnsi="Calibri"/>
          <w:b/>
          <w:bCs/>
          <w:sz w:val="22"/>
          <w:szCs w:val="22"/>
        </w:rPr>
        <w:t xml:space="preserve">accord du titulaire ou de ses ayants droit</w:t>
      </w:r>
      <w:r>
        <w:rPr>
          <w:rFonts w:ascii="Calibri" w:cs="Calibri" w:eastAsia="Calibri" w:hAnsi="Calibri"/>
          <w:sz w:val="22"/>
          <w:szCs w:val="22"/>
        </w:rPr>
        <w:t xml:space="preserve"> : prévoir un mandat/bon de commande signé.</w:t>
      </w:r>
    </w:p>
    <w:p>
      <w:pPr>
        <w:pStyle w:val="ListParagraph"/>
        <w:numPr>
          <w:ilvl w:val="0"/>
          <w:numId w:val="2"/>
        </w:numPr>
        <w:spacing w:after="60" w:line="264"/>
      </w:pPr>
      <w:r>
        <w:rPr>
          <w:rFonts w:ascii="Calibri" w:cs="Calibri" w:eastAsia="Calibri" w:hAnsi="Calibri"/>
          <w:sz w:val="22"/>
          <w:szCs w:val="22"/>
        </w:rPr>
        <w:t xml:space="preserve">Se limiter à l’entretien (nettoyage, fleurissement, désherbage, dépose de gerbes). Toute </w:t>
      </w:r>
      <w:r>
        <w:rPr>
          <w:rFonts w:ascii="Calibri" w:cs="Calibri" w:eastAsia="Calibri" w:hAnsi="Calibri"/>
          <w:b/>
          <w:bCs/>
          <w:sz w:val="22"/>
          <w:szCs w:val="22"/>
        </w:rPr>
        <w:t xml:space="preserve">réparation, rénovation, gravure ou démontage de monument</w:t>
      </w:r>
      <w:r>
        <w:rPr>
          <w:rFonts w:ascii="Calibri" w:cs="Calibri" w:eastAsia="Calibri" w:hAnsi="Calibri"/>
          <w:sz w:val="22"/>
          <w:szCs w:val="22"/>
        </w:rPr>
        <w:t xml:space="preserve"> relève du marbrier.</w:t>
      </w:r>
    </w:p>
    <w:p>
      <w:pPr>
        <w:pStyle w:val="ListParagraph"/>
        <w:numPr>
          <w:ilvl w:val="0"/>
          <w:numId w:val="2"/>
        </w:numPr>
        <w:spacing w:after="60" w:line="264"/>
      </w:pPr>
      <w:r>
        <w:rPr>
          <w:rFonts w:ascii="Calibri" w:cs="Calibri" w:eastAsia="Calibri" w:hAnsi="Calibri"/>
          <w:sz w:val="22"/>
          <w:szCs w:val="22"/>
        </w:rPr>
        <w:t xml:space="preserve">Produits de nettoyage : respecter la réglementation (produits phytosanitaires restreints, protection de l’environnement et des monuments).</w:t>
      </w:r>
    </w:p>
    <w:p>
      <w:pPr>
        <w:pStyle w:val="ListParagraph"/>
        <w:numPr>
          <w:ilvl w:val="0"/>
          <w:numId w:val="2"/>
        </w:numPr>
        <w:spacing w:after="60" w:line="264"/>
      </w:pPr>
      <w:r>
        <w:rPr>
          <w:rFonts w:ascii="Calibri" w:cs="Calibri" w:eastAsia="Calibri" w:hAnsi="Calibri"/>
          <w:sz w:val="22"/>
          <w:szCs w:val="22"/>
        </w:rPr>
        <w:t xml:space="preserve">Documenter chaque intervention : </w:t>
      </w:r>
      <w:r>
        <w:rPr>
          <w:rFonts w:ascii="Calibri" w:cs="Calibri" w:eastAsia="Calibri" w:hAnsi="Calibri"/>
          <w:b/>
          <w:bCs/>
          <w:sz w:val="22"/>
          <w:szCs w:val="22"/>
        </w:rPr>
        <w:t xml:space="preserve">photos avant/après</w:t>
      </w:r>
      <w:r>
        <w:rPr>
          <w:rFonts w:ascii="Calibri" w:cs="Calibri" w:eastAsia="Calibri" w:hAnsi="Calibri"/>
          <w:sz w:val="22"/>
          <w:szCs w:val="22"/>
        </w:rPr>
        <w:t xml:space="preserve"> envoyées à la famille.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8A00" w:sz="24"/>
              <w:bottom w:val="none" w:color="FFFFFF" w:sz="0"/>
              <w:right w:val="none" w:color="FFFFFF" w:sz="0"/>
            </w:tcBorders>
            <w:shd w:fill="FFF4DC" w:color="auto" w:val="clear"/>
            <w:tcMar>
              <w:top w:type="dxa" w:w="100"/>
              <w:left w:type="dxa" w:w="180"/>
              <w:bottom w:type="dxa" w:w="100"/>
              <w:right w:type="dxa" w:w="160"/>
            </w:tcMar>
          </w:tcPr>
          <w:p>
            <w:pPr>
              <w:spacing w:after="60"/>
            </w:pPr>
            <w:r>
              <w:rPr>
                <w:rFonts w:ascii="Calibri" w:cs="Calibri" w:eastAsia="Calibri" w:hAnsi="Calibri"/>
                <w:b/>
                <w:bCs/>
                <w:color w:val="C98A00"/>
                <w:sz w:val="22"/>
                <w:szCs w:val="22"/>
              </w:rPr>
              <w:t xml:space="preserve">⚠ À confirmer avant de s’engager</w:t>
            </w:r>
          </w:p>
          <w:p>
            <w:pPr>
              <w:spacing w:after="50"/>
            </w:pPr>
            <w:r>
              <w:rPr>
                <w:rFonts w:ascii="Calibri" w:cs="Calibri" w:eastAsia="Calibri" w:hAnsi="Calibri"/>
                <w:sz w:val="21"/>
                <w:szCs w:val="21"/>
              </w:rPr>
              <w:t xml:space="preserve">Vérifier auprès de chaque commune si une déclaration ou une autorisation préalable est exigée pour les prestataires privés d’entretien.</w:t>
            </w:r>
          </w:p>
        </w:tc>
      </w:tr>
    </w:tbl>
    <w:p>
      <w:pPr>
        <w:pStyle w:val="Heading2"/>
        <w:keepNext/>
        <w:spacing w:after="120" w:before="280"/>
      </w:pPr>
      <w:r>
        <w:rPr>
          <w:rFonts w:ascii="Calibri" w:cs="Calibri" w:eastAsia="Calibri" w:hAnsi="Calibri"/>
          <w:b/>
          <w:bCs/>
          <w:color w:val="5B7F6B"/>
          <w:sz w:val="28"/>
          <w:szCs w:val="28"/>
        </w:rPr>
        <w:t xml:space="preserve">2.7 Protection des données (RGPD)</w:t>
      </w:r>
    </w:p>
    <w:p>
      <w:pPr>
        <w:pStyle w:val="ListParagraph"/>
        <w:numPr>
          <w:ilvl w:val="0"/>
          <w:numId w:val="2"/>
        </w:numPr>
        <w:spacing w:after="60" w:line="264"/>
      </w:pPr>
      <w:r>
        <w:rPr>
          <w:rFonts w:ascii="Calibri" w:cs="Calibri" w:eastAsia="Calibri" w:hAnsi="Calibri"/>
          <w:sz w:val="22"/>
          <w:szCs w:val="22"/>
        </w:rPr>
        <w:t xml:space="preserve">L’activité manipule des données personnelles sensibles par nature (identité, coordonnées, situation familiale, parfois santé). Prévoir un </w:t>
      </w:r>
      <w:r>
        <w:rPr>
          <w:rFonts w:ascii="Calibri" w:cs="Calibri" w:eastAsia="Calibri" w:hAnsi="Calibri"/>
          <w:b/>
          <w:bCs/>
          <w:sz w:val="22"/>
          <w:szCs w:val="22"/>
        </w:rPr>
        <w:t xml:space="preserve">registre des traitements</w:t>
      </w:r>
      <w:r>
        <w:rPr>
          <w:rFonts w:ascii="Calibri" w:cs="Calibri" w:eastAsia="Calibri" w:hAnsi="Calibri"/>
          <w:sz w:val="22"/>
          <w:szCs w:val="22"/>
        </w:rPr>
        <w:t xml:space="preserve">, une </w:t>
      </w:r>
      <w:r>
        <w:rPr>
          <w:rFonts w:ascii="Calibri" w:cs="Calibri" w:eastAsia="Calibri" w:hAnsi="Calibri"/>
          <w:b/>
          <w:bCs/>
          <w:sz w:val="22"/>
          <w:szCs w:val="22"/>
        </w:rPr>
        <w:t xml:space="preserve">information claire</w:t>
      </w:r>
      <w:r>
        <w:rPr>
          <w:rFonts w:ascii="Calibri" w:cs="Calibri" w:eastAsia="Calibri" w:hAnsi="Calibri"/>
          <w:sz w:val="22"/>
          <w:szCs w:val="22"/>
        </w:rPr>
        <w:t xml:space="preserve"> des familles, une durée de conservation définie, un accès restreint et sécurisé.</w:t>
      </w:r>
    </w:p>
    <w:p>
      <w:pPr>
        <w:pStyle w:val="ListParagraph"/>
        <w:numPr>
          <w:ilvl w:val="0"/>
          <w:numId w:val="2"/>
        </w:numPr>
        <w:spacing w:after="60" w:line="264"/>
      </w:pPr>
      <w:r>
        <w:rPr>
          <w:rFonts w:ascii="Calibri" w:cs="Calibri" w:eastAsia="Calibri" w:hAnsi="Calibri"/>
          <w:sz w:val="22"/>
          <w:szCs w:val="22"/>
        </w:rPr>
        <w:t xml:space="preserve">Documents originaux des familles (actes, contrats) : </w:t>
      </w:r>
      <w:r>
        <w:rPr>
          <w:rFonts w:ascii="Calibri" w:cs="Calibri" w:eastAsia="Calibri" w:hAnsi="Calibri"/>
          <w:b/>
          <w:bCs/>
          <w:sz w:val="22"/>
          <w:szCs w:val="22"/>
        </w:rPr>
        <w:t xml:space="preserve">inventaire à la remise, restitution contre signature</w:t>
      </w:r>
      <w:r>
        <w:rPr>
          <w:rFonts w:ascii="Calibri" w:cs="Calibri" w:eastAsia="Calibri" w:hAnsi="Calibri"/>
          <w:sz w:val="22"/>
          <w:szCs w:val="22"/>
        </w:rPr>
        <w:t xml:space="preserve">, stockage sécurisé.</w:t>
      </w:r>
    </w:p>
    <w:p>
      <w:pPr>
        <w:pStyle w:val="ListParagraph"/>
        <w:numPr>
          <w:ilvl w:val="0"/>
          <w:numId w:val="2"/>
        </w:numPr>
        <w:spacing w:after="60" w:line="264"/>
      </w:pPr>
      <w:r>
        <w:rPr>
          <w:rFonts w:ascii="Calibri" w:cs="Calibri" w:eastAsia="Calibri" w:hAnsi="Calibri"/>
          <w:sz w:val="22"/>
          <w:szCs w:val="22"/>
        </w:rPr>
        <w:t xml:space="preserve">Pas de prospection par e-mail/SMS sans consentement. Un site web doit avoir une politique de confidentialité et un bandeau cookies conforme.</w:t>
      </w:r>
    </w:p>
    <w:p>
      <w:pPr>
        <w:pStyle w:val="Heading2"/>
        <w:keepNext/>
        <w:spacing w:after="120" w:before="280"/>
      </w:pPr>
      <w:r>
        <w:rPr>
          <w:rFonts w:ascii="Calibri" w:cs="Calibri" w:eastAsia="Calibri" w:hAnsi="Calibri"/>
          <w:b/>
          <w:bCs/>
          <w:color w:val="5B7F6B"/>
          <w:sz w:val="28"/>
          <w:szCs w:val="28"/>
        </w:rPr>
        <w:t xml:space="preserve">2.8 Synthèse : feux tricolores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blHeader/>
        </w:trPr>
        <w:tc>
          <w:tcPr>
            <w:tcW w:type="dxa" w:w="17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Niveau</w:t>
            </w:r>
          </w:p>
        </w:tc>
        <w:tc>
          <w:tcPr>
            <w:tcW w:type="dxa" w:w="79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Activités</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 Libre</w:t>
            </w:r>
          </w:p>
        </w:tc>
        <w:tc>
          <w:tcPr>
            <w:tcW w:type="dxa" w:w="7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Conseil d’orientation général sur les démarches, constitution de dossiers, suivi administratif, nettoyage de tombes (sous réserve des règlements), souvenirs personnalisés, ateliers d’écoute, contenus pédagogiques.</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 Encadré</w:t>
            </w:r>
          </w:p>
        </w:tc>
        <w:tc>
          <w:tcPr>
            <w:tcW w:type="dxa" w:w="7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Mandat et gestion des documents d’autrui, frontière avec le conseil juridique, communication sur le deuil, utilisation de titres liés à la santé, intervention en cimetière, partenariats avec prescripteurs.</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 Réservé / interdit</w:t>
            </w:r>
          </w:p>
        </w:tc>
        <w:tc>
          <w:tcPr>
            <w:tcW w:type="dxa" w:w="7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Organisation d’obsèques et services de l’art. L2223-19 sans habilitation, démarchage de familles endeuillées, rémunération de prescripteurs, conseil juridique/rédaction d’actes payants, actes médicaux, usage abusif du titre de psychologue.</w:t>
            </w:r>
          </w:p>
        </w:tc>
      </w:tr>
    </w:tbl>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3. Statut juridique, fiscal et création</w:t>
      </w:r>
    </w:p>
    <w:p>
      <w:pPr>
        <w:pStyle w:val="Heading2"/>
        <w:keepNext/>
        <w:spacing w:after="120" w:before="280"/>
      </w:pPr>
      <w:r>
        <w:rPr>
          <w:rFonts w:ascii="Calibri" w:cs="Calibri" w:eastAsia="Calibri" w:hAnsi="Calibri"/>
          <w:b/>
          <w:bCs/>
          <w:color w:val="5B7F6B"/>
          <w:sz w:val="28"/>
          <w:szCs w:val="28"/>
        </w:rPr>
        <w:t xml:space="preserve">3.1 Les options de structure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2600"/>
        <w:gridCol w:w="2638"/>
      </w:tblGrid>
      <w:tr>
        <w:trPr>
          <w:cantSplit/>
          <w:tblHeader/>
        </w:trPr>
        <w:tc>
          <w:tcPr>
            <w:tcW w:type="dxa" w:w="18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Option</w:t>
            </w:r>
          </w:p>
        </w:tc>
        <w:tc>
          <w:tcPr>
            <w:tcW w:type="dxa" w:w="26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Pour</w:t>
            </w:r>
          </w:p>
        </w:tc>
        <w:tc>
          <w:tcPr>
            <w:tcW w:type="dxa" w:w="26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Contre</w:t>
            </w:r>
          </w:p>
        </w:tc>
        <w:tc>
          <w:tcPr>
            <w:tcW w:type="dxa" w:w="26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Quand y penser</w:t>
            </w:r>
          </w:p>
        </w:tc>
      </w:tr>
      <w:tr>
        <w:trPr>
          <w:cantSplit/>
        </w:trPr>
        <w:tc>
          <w:tcPr>
            <w:tcW w:type="dxa" w:w="1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Micro-entreprise</w:t>
            </w:r>
          </w:p>
        </w:tc>
        <w:tc>
          <w:tcPr>
            <w:tcW w:type="dxa" w:w="2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Création simple, comptabilité allégée, charges proportionnelles au CA</w:t>
            </w:r>
          </w:p>
        </w:tc>
        <w:tc>
          <w:tcPr>
            <w:tcW w:type="dxa" w:w="2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Plafonds de CA, pas de déduction des charges réelles, responsabilité sur biens personnels (sauf protection de la résidence principale), image moins « institutionnelle »</w:t>
            </w:r>
          </w:p>
        </w:tc>
        <w:tc>
          <w:tcPr>
            <w:tcW w:type="dxa" w:w="2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Test de marché des pôles B, C, D avec peu d’investissement</w:t>
            </w:r>
          </w:p>
        </w:tc>
      </w:tr>
      <w:tr>
        <w:trPr>
          <w:cantSplit/>
        </w:trPr>
        <w:tc>
          <w:tcPr>
            <w:tcW w:type="dxa" w:w="1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EURL / SASU (associé unique)</w:t>
            </w:r>
          </w:p>
        </w:tc>
        <w:tc>
          <w:tcPr>
            <w:tcW w:type="dxa" w:w="26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Patrimoine personnel mieux protégé, crédibilité, choix de rémunération, déduction des charges réelles</w:t>
            </w:r>
          </w:p>
        </w:tc>
        <w:tc>
          <w:tcPr>
            <w:tcW w:type="dxa" w:w="26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Comptabilité complète, formalités, coûts de gestion</w:t>
            </w:r>
          </w:p>
        </w:tc>
        <w:tc>
          <w:tcPr>
            <w:tcW w:type="dxa" w:w="2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Dès qu’il y a investissement (véhicule, local) ou demande d’habilitation</w:t>
            </w:r>
          </w:p>
        </w:tc>
      </w:tr>
      <w:tr>
        <w:trPr>
          <w:cantSplit/>
        </w:trPr>
        <w:tc>
          <w:tcPr>
            <w:tcW w:type="dxa" w:w="1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SAS / SARL (plusieurs associés)</w:t>
            </w:r>
          </w:p>
        </w:tc>
        <w:tc>
          <w:tcPr>
            <w:tcW w:type="dxa" w:w="2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Ouverture du capital, partenaire ou investisseur</w:t>
            </w:r>
          </w:p>
        </w:tc>
        <w:tc>
          <w:tcPr>
            <w:tcW w:type="dxa" w:w="2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Gouvernance à écrire (statuts, pacte)</w:t>
            </w:r>
          </w:p>
        </w:tc>
        <w:tc>
          <w:tcPr>
            <w:tcW w:type="dxa" w:w="2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Si projet à plusieurs ou croissance avec salariés</w:t>
            </w:r>
          </w:p>
        </w:tc>
      </w:tr>
    </w:tbl>
    <w:p>
      <w:pPr>
        <w:spacing w:after="80"/>
      </w:pPr>
    </w:p>
    <w:p>
      <w:pPr>
        <w:spacing w:after="120" w:line="276"/>
      </w:pPr>
      <w:r>
        <w:rPr>
          <w:rFonts w:ascii="Calibri" w:cs="Calibri" w:eastAsia="Calibri" w:hAnsi="Calibri"/>
          <w:b/>
          <w:bCs/>
          <w:sz w:val="22"/>
          <w:szCs w:val="22"/>
        </w:rPr>
        <w:t xml:space="preserve">Repère vérifié (2026) :</w:t>
      </w:r>
      <w:r>
        <w:rPr>
          <w:rFonts w:ascii="Calibri" w:cs="Calibri" w:eastAsia="Calibri" w:hAnsi="Calibri"/>
          <w:sz w:val="22"/>
          <w:szCs w:val="22"/>
        </w:rPr>
        <w:t xml:space="preserve"> plafond de la micro-entreprise pour les </w:t>
      </w:r>
      <w:r>
        <w:rPr>
          <w:rFonts w:ascii="Calibri" w:cs="Calibri" w:eastAsia="Calibri" w:hAnsi="Calibri"/>
          <w:b/>
          <w:bCs/>
          <w:sz w:val="22"/>
          <w:szCs w:val="22"/>
        </w:rPr>
        <w:t xml:space="preserve">prestations de services : 83 600 €</w:t>
      </w:r>
      <w:r>
        <w:rPr>
          <w:rFonts w:ascii="Calibri" w:cs="Calibri" w:eastAsia="Calibri" w:hAnsi="Calibri"/>
          <w:sz w:val="22"/>
          <w:szCs w:val="22"/>
        </w:rPr>
        <w:t xml:space="preserve">, et </w:t>
      </w:r>
      <w:r>
        <w:rPr>
          <w:rFonts w:ascii="Calibri" w:cs="Calibri" w:eastAsia="Calibri" w:hAnsi="Calibri"/>
          <w:b/>
          <w:bCs/>
          <w:sz w:val="22"/>
          <w:szCs w:val="22"/>
        </w:rPr>
        <w:t xml:space="preserve">203 100 €</w:t>
      </w:r>
      <w:r>
        <w:rPr>
          <w:rFonts w:ascii="Calibri" w:cs="Calibri" w:eastAsia="Calibri" w:hAnsi="Calibri"/>
          <w:sz w:val="22"/>
          <w:szCs w:val="22"/>
        </w:rPr>
        <w:t xml:space="preserve"> pour la vente (période 2026-2028). Un dépassement ponctuel ne fait pas sortir du régime ; il faut dépasser deux années civiles consécutives. Première année : plafond proratisé.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8A00" w:sz="24"/>
              <w:bottom w:val="none" w:color="FFFFFF" w:sz="0"/>
              <w:right w:val="none" w:color="FFFFFF" w:sz="0"/>
            </w:tcBorders>
            <w:shd w:fill="FFF4DC" w:color="auto" w:val="clear"/>
            <w:tcMar>
              <w:top w:type="dxa" w:w="100"/>
              <w:left w:type="dxa" w:w="180"/>
              <w:bottom w:type="dxa" w:w="100"/>
              <w:right w:type="dxa" w:w="160"/>
            </w:tcMar>
          </w:tcPr>
          <w:p>
            <w:pPr>
              <w:spacing w:after="60"/>
            </w:pPr>
            <w:r>
              <w:rPr>
                <w:rFonts w:ascii="Calibri" w:cs="Calibri" w:eastAsia="Calibri" w:hAnsi="Calibri"/>
                <w:b/>
                <w:bCs/>
                <w:color w:val="C98A00"/>
                <w:sz w:val="22"/>
                <w:szCs w:val="22"/>
              </w:rPr>
              <w:t xml:space="preserve">⚠ À confirmer avant de s’engager</w:t>
            </w:r>
          </w:p>
          <w:p>
            <w:pPr>
              <w:spacing w:after="50"/>
            </w:pPr>
            <w:r>
              <w:rPr>
                <w:rFonts w:ascii="Calibri" w:cs="Calibri" w:eastAsia="Calibri" w:hAnsi="Calibri"/>
                <w:b/>
                <w:bCs/>
                <w:sz w:val="21"/>
                <w:szCs w:val="21"/>
              </w:rPr>
              <w:t xml:space="preserve">TVA :</w:t>
            </w:r>
            <w:r>
              <w:rPr>
                <w:rFonts w:ascii="Calibri" w:cs="Calibri" w:eastAsia="Calibri" w:hAnsi="Calibri"/>
                <w:sz w:val="21"/>
                <w:szCs w:val="21"/>
              </w:rPr>
              <w:t xml:space="preserve"> franchise en base de TVA à </w:t>
            </w:r>
            <w:r>
              <w:rPr>
                <w:rFonts w:ascii="Calibri" w:cs="Calibri" w:eastAsia="Calibri" w:hAnsi="Calibri"/>
                <w:b/>
                <w:bCs/>
                <w:sz w:val="21"/>
                <w:szCs w:val="21"/>
              </w:rPr>
              <w:t xml:space="preserve">37 500 € (services)</w:t>
            </w:r>
            <w:r>
              <w:rPr>
                <w:rFonts w:ascii="Calibri" w:cs="Calibri" w:eastAsia="Calibri" w:hAnsi="Calibri"/>
                <w:sz w:val="21"/>
                <w:szCs w:val="21"/>
              </w:rPr>
              <w:t xml:space="preserve"> d’après des sources 2026 — seuils susceptibles d’évoluer, à vérifier sur impots.gouv.fr. Au-delà du seuil, la TVA s’applique.</w:t>
            </w:r>
          </w:p>
          <w:p>
            <w:pPr>
              <w:spacing w:after="50"/>
            </w:pPr>
            <w:r>
              <w:rPr>
                <w:rFonts w:ascii="Calibri" w:cs="Calibri" w:eastAsia="Calibri" w:hAnsi="Calibri"/>
                <w:b/>
                <w:bCs/>
                <w:sz w:val="21"/>
                <w:szCs w:val="21"/>
              </w:rPr>
              <w:t xml:space="preserve">Taux de TVA (d’après des réponses ministérielles, à re-vérifier) :</w:t>
            </w:r>
            <w:r>
              <w:rPr>
                <w:rFonts w:ascii="Calibri" w:cs="Calibri" w:eastAsia="Calibri" w:hAnsi="Calibri"/>
                <w:sz w:val="21"/>
                <w:szCs w:val="21"/>
              </w:rPr>
              <w:t xml:space="preserve"> taux normal de </w:t>
            </w:r>
            <w:r>
              <w:rPr>
                <w:rFonts w:ascii="Calibri" w:cs="Calibri" w:eastAsia="Calibri" w:hAnsi="Calibri"/>
                <w:b/>
                <w:bCs/>
                <w:sz w:val="21"/>
                <w:szCs w:val="21"/>
              </w:rPr>
              <w:t xml:space="preserve">20 %</w:t>
            </w:r>
            <w:r>
              <w:rPr>
                <w:rFonts w:ascii="Calibri" w:cs="Calibri" w:eastAsia="Calibri" w:hAnsi="Calibri"/>
                <w:sz w:val="21"/>
                <w:szCs w:val="21"/>
              </w:rPr>
              <w:t xml:space="preserve"> pour la plupart des services et fournitures funéraires (cercueils et urnes compris) ; taux réduit de </w:t>
            </w:r>
            <w:r>
              <w:rPr>
                <w:rFonts w:ascii="Calibri" w:cs="Calibri" w:eastAsia="Calibri" w:hAnsi="Calibri"/>
                <w:b/>
                <w:bCs/>
                <w:sz w:val="21"/>
                <w:szCs w:val="21"/>
              </w:rPr>
              <w:t xml:space="preserve">10 %</w:t>
            </w:r>
            <w:r>
              <w:rPr>
                <w:rFonts w:ascii="Calibri" w:cs="Calibri" w:eastAsia="Calibri" w:hAnsi="Calibri"/>
                <w:sz w:val="21"/>
                <w:szCs w:val="21"/>
              </w:rPr>
              <w:t xml:space="preserve"> pour le transport de corps par un prestataire agréé en véhicule aménagé ; les sommes perçues pour le compte d’un tiers (ex. vacation de police) ne sont pas dans le chiffre d’affaires. </w:t>
            </w:r>
            <w:r>
              <w:rPr>
                <w:rFonts w:ascii="Calibri" w:cs="Calibri" w:eastAsia="Calibri" w:hAnsi="Calibri"/>
                <w:b/>
                <w:bCs/>
                <w:sz w:val="21"/>
                <w:szCs w:val="21"/>
              </w:rPr>
              <w:t xml:space="preserve">Confirmer avec l’expert-comptable.</w:t>
            </w:r>
          </w:p>
          <w:p>
            <w:pPr>
              <w:spacing w:after="50"/>
            </w:pPr>
            <w:r>
              <w:rPr>
                <w:rFonts w:ascii="Calibri" w:cs="Calibri" w:eastAsia="Calibri" w:hAnsi="Calibri"/>
                <w:b/>
                <w:bCs/>
                <w:sz w:val="21"/>
                <w:szCs w:val="21"/>
              </w:rPr>
              <w:t xml:space="preserve">Cotisations micro 2026 (economie.gouv.fr) :</w:t>
            </w:r>
            <w:r>
              <w:rPr>
                <w:rFonts w:ascii="Calibri" w:cs="Calibri" w:eastAsia="Calibri" w:hAnsi="Calibri"/>
                <w:sz w:val="21"/>
                <w:szCs w:val="21"/>
              </w:rPr>
              <w:t xml:space="preserve"> </w:t>
            </w:r>
            <w:r>
              <w:rPr>
                <w:rFonts w:ascii="Calibri" w:cs="Calibri" w:eastAsia="Calibri" w:hAnsi="Calibri"/>
                <w:b/>
                <w:bCs/>
                <w:sz w:val="21"/>
                <w:szCs w:val="21"/>
              </w:rPr>
              <w:t xml:space="preserve">21,2 %</w:t>
            </w:r>
            <w:r>
              <w:rPr>
                <w:rFonts w:ascii="Calibri" w:cs="Calibri" w:eastAsia="Calibri" w:hAnsi="Calibri"/>
                <w:sz w:val="21"/>
                <w:szCs w:val="21"/>
              </w:rPr>
              <w:t xml:space="preserve"> pour les prestations de services BIC ; </w:t>
            </w:r>
            <w:r>
              <w:rPr>
                <w:rFonts w:ascii="Calibri" w:cs="Calibri" w:eastAsia="Calibri" w:hAnsi="Calibri"/>
                <w:b/>
                <w:bCs/>
                <w:sz w:val="21"/>
                <w:szCs w:val="21"/>
              </w:rPr>
              <w:t xml:space="preserve">25,6 %</w:t>
            </w:r>
            <w:r>
              <w:rPr>
                <w:rFonts w:ascii="Calibri" w:cs="Calibri" w:eastAsia="Calibri" w:hAnsi="Calibri"/>
                <w:sz w:val="21"/>
                <w:szCs w:val="21"/>
              </w:rPr>
              <w:t xml:space="preserve"> pour les BNC hors Cipav ; </w:t>
            </w:r>
            <w:r>
              <w:rPr>
                <w:rFonts w:ascii="Calibri" w:cs="Calibri" w:eastAsia="Calibri" w:hAnsi="Calibri"/>
                <w:b/>
                <w:bCs/>
                <w:sz w:val="21"/>
                <w:szCs w:val="21"/>
              </w:rPr>
              <w:t xml:space="preserve">23,2 %</w:t>
            </w:r>
            <w:r>
              <w:rPr>
                <w:rFonts w:ascii="Calibri" w:cs="Calibri" w:eastAsia="Calibri" w:hAnsi="Calibri"/>
                <w:sz w:val="21"/>
                <w:szCs w:val="21"/>
              </w:rPr>
              <w:t xml:space="preserve"> pour la Cipav. Les activités de conseil/démarches seraient plutôt en BNC, le funéraire et la vente en BIC : </w:t>
            </w:r>
            <w:r>
              <w:rPr>
                <w:rFonts w:ascii="Calibri" w:cs="Calibri" w:eastAsia="Calibri" w:hAnsi="Calibri"/>
                <w:b/>
                <w:bCs/>
                <w:sz w:val="21"/>
                <w:szCs w:val="21"/>
              </w:rPr>
              <w:t xml:space="preserve">catégorie à faire confirmer</w:t>
            </w:r>
            <w:r>
              <w:rPr>
                <w:rFonts w:ascii="Calibri" w:cs="Calibri" w:eastAsia="Calibri" w:hAnsi="Calibri"/>
                <w:sz w:val="21"/>
                <w:szCs w:val="21"/>
              </w:rPr>
              <w:t xml:space="preserve">. L’ACRE (réduction la 1ère année) a une réforme annoncée au 1er juillet 2026 : vérifier sur urssaf.fr.</w:t>
            </w:r>
          </w:p>
          <w:p>
            <w:pPr>
              <w:spacing w:after="50"/>
            </w:pPr>
            <w:r>
              <w:rPr>
                <w:rFonts w:ascii="Calibri" w:cs="Calibri" w:eastAsia="Calibri" w:hAnsi="Calibri"/>
                <w:b/>
                <w:bCs/>
                <w:sz w:val="21"/>
                <w:szCs w:val="21"/>
              </w:rPr>
              <w:t xml:space="preserve">Cumul d’activités :</w:t>
            </w:r>
            <w:r>
              <w:rPr>
                <w:rFonts w:ascii="Calibri" w:cs="Calibri" w:eastAsia="Calibri" w:hAnsi="Calibri"/>
                <w:sz w:val="21"/>
                <w:szCs w:val="21"/>
              </w:rPr>
              <w:t xml:space="preserve"> services + vente de marchandises (textile floqué) créent une activité mixte avec deux plafonds. Vérifier le régime fiscal de chaque ligne.</w:t>
            </w:r>
          </w:p>
        </w:tc>
      </w:tr>
    </w:tbl>
    <w:p>
      <w:pPr>
        <w:pStyle w:val="Heading2"/>
        <w:keepNext/>
        <w:spacing w:after="120" w:before="280"/>
      </w:pPr>
      <w:r>
        <w:rPr>
          <w:rFonts w:ascii="Calibri" w:cs="Calibri" w:eastAsia="Calibri" w:hAnsi="Calibri"/>
          <w:b/>
          <w:bCs/>
          <w:color w:val="5B7F6B"/>
          <w:sz w:val="28"/>
          <w:szCs w:val="28"/>
        </w:rPr>
        <w:t xml:space="preserve">3.2 Recommandation de travail (hypothèse)</w:t>
      </w:r>
    </w:p>
    <w:p>
      <w:pPr>
        <w:pStyle w:val="ListParagraph"/>
        <w:numPr>
          <w:ilvl w:val="0"/>
          <w:numId w:val="2"/>
        </w:numPr>
        <w:spacing w:after="60" w:line="264"/>
      </w:pPr>
      <w:r>
        <w:rPr>
          <w:rFonts w:ascii="Calibri" w:cs="Calibri" w:eastAsia="Calibri" w:hAnsi="Calibri"/>
          <w:b/>
          <w:bCs/>
          <w:sz w:val="22"/>
          <w:szCs w:val="22"/>
        </w:rPr>
        <w:t xml:space="preserve">Si lancement progressif sans habilitation :</w:t>
      </w:r>
      <w:r>
        <w:rPr>
          <w:rFonts w:ascii="Calibri" w:cs="Calibri" w:eastAsia="Calibri" w:hAnsi="Calibri"/>
          <w:sz w:val="22"/>
          <w:szCs w:val="22"/>
        </w:rPr>
        <w:t xml:space="preserve"> micro-entreprise ou EURL/SASU légère pour démarrer le pôle B/C/D, avec évolution prévue.</w:t>
      </w:r>
    </w:p>
    <w:p>
      <w:pPr>
        <w:pStyle w:val="ListParagraph"/>
        <w:numPr>
          <w:ilvl w:val="0"/>
          <w:numId w:val="2"/>
        </w:numPr>
        <w:spacing w:after="60" w:line="264"/>
      </w:pPr>
      <w:r>
        <w:rPr>
          <w:rFonts w:ascii="Calibri" w:cs="Calibri" w:eastAsia="Calibri" w:hAnsi="Calibri"/>
          <w:b/>
          <w:bCs/>
          <w:sz w:val="22"/>
          <w:szCs w:val="22"/>
        </w:rPr>
        <w:t xml:space="preserve">Si habilitation visée :</w:t>
      </w:r>
      <w:r>
        <w:rPr>
          <w:rFonts w:ascii="Calibri" w:cs="Calibri" w:eastAsia="Calibri" w:hAnsi="Calibri"/>
          <w:sz w:val="22"/>
          <w:szCs w:val="22"/>
        </w:rPr>
        <w:t xml:space="preserve"> créer directement une </w:t>
      </w:r>
      <w:r>
        <w:rPr>
          <w:rFonts w:ascii="Calibri" w:cs="Calibri" w:eastAsia="Calibri" w:hAnsi="Calibri"/>
          <w:b/>
          <w:bCs/>
          <w:sz w:val="22"/>
          <w:szCs w:val="22"/>
        </w:rPr>
        <w:t xml:space="preserve">société</w:t>
      </w:r>
      <w:r>
        <w:rPr>
          <w:rFonts w:ascii="Calibri" w:cs="Calibri" w:eastAsia="Calibri" w:hAnsi="Calibri"/>
          <w:sz w:val="22"/>
          <w:szCs w:val="22"/>
        </w:rPr>
        <w:t xml:space="preserve"> (EURL/SASU) pour protéger le patrimoine et porter les investissements, et séparer ce qui est funéraire du reste.</w:t>
      </w:r>
    </w:p>
    <w:p>
      <w:pPr>
        <w:pStyle w:val="ListParagraph"/>
        <w:numPr>
          <w:ilvl w:val="0"/>
          <w:numId w:val="2"/>
        </w:numPr>
        <w:spacing w:after="60" w:line="264"/>
      </w:pPr>
      <w:r>
        <w:rPr>
          <w:rFonts w:ascii="Calibri" w:cs="Calibri" w:eastAsia="Calibri" w:hAnsi="Calibri"/>
          <w:b/>
          <w:bCs/>
          <w:sz w:val="22"/>
          <w:szCs w:val="22"/>
        </w:rPr>
        <w:t xml:space="preserve">Option à étudier :</w:t>
      </w:r>
      <w:r>
        <w:rPr>
          <w:rFonts w:ascii="Calibri" w:cs="Calibri" w:eastAsia="Calibri" w:hAnsi="Calibri"/>
          <w:sz w:val="22"/>
          <w:szCs w:val="22"/>
        </w:rPr>
        <w:t xml:space="preserve"> deux structures liées (une société « funéraire habilitée », une entité « accompagnement et mémoire »), afin de cloisonner les risques, les assurances et les communications. À arbitrer avec un conseil.</w:t>
      </w:r>
    </w:p>
    <w:p>
      <w:pPr>
        <w:pStyle w:val="Heading2"/>
        <w:keepNext/>
        <w:spacing w:after="120" w:before="280"/>
      </w:pPr>
      <w:r>
        <w:rPr>
          <w:rFonts w:ascii="Calibri" w:cs="Calibri" w:eastAsia="Calibri" w:hAnsi="Calibri"/>
          <w:b/>
          <w:bCs/>
          <w:color w:val="5B7F6B"/>
          <w:sz w:val="28"/>
          <w:szCs w:val="28"/>
        </w:rPr>
        <w:t xml:space="preserve">3.3 Formalités de création</w:t>
      </w:r>
    </w:p>
    <w:p>
      <w:pPr>
        <w:pStyle w:val="ListParagraph"/>
        <w:numPr>
          <w:ilvl w:val="0"/>
          <w:numId w:val="2"/>
        </w:numPr>
        <w:spacing w:after="60" w:line="264"/>
      </w:pPr>
      <w:r>
        <w:rPr>
          <w:rFonts w:ascii="Calibri" w:cs="Calibri" w:eastAsia="Calibri" w:hAnsi="Calibri"/>
          <w:sz w:val="22"/>
          <w:szCs w:val="22"/>
        </w:rPr>
        <w:t xml:space="preserve">Dépôt sur le </w:t>
      </w:r>
      <w:r>
        <w:rPr>
          <w:rFonts w:ascii="Calibri" w:cs="Calibri" w:eastAsia="Calibri" w:hAnsi="Calibri"/>
          <w:b/>
          <w:bCs/>
          <w:sz w:val="22"/>
          <w:szCs w:val="22"/>
        </w:rPr>
        <w:t xml:space="preserve">guichet unique des formalités d’entreprises</w:t>
      </w:r>
      <w:r>
        <w:rPr>
          <w:rFonts w:ascii="Calibri" w:cs="Calibri" w:eastAsia="Calibri" w:hAnsi="Calibri"/>
          <w:sz w:val="22"/>
          <w:szCs w:val="22"/>
        </w:rPr>
        <w:t xml:space="preserve"> (INPI, formalites.inpi.fr) : immatriculation et choix de l’activité principale.</w:t>
      </w:r>
    </w:p>
    <w:p>
      <w:pPr>
        <w:pStyle w:val="ListParagraph"/>
        <w:numPr>
          <w:ilvl w:val="0"/>
          <w:numId w:val="2"/>
        </w:numPr>
        <w:spacing w:after="60" w:line="264"/>
      </w:pPr>
      <w:r>
        <w:rPr>
          <w:rFonts w:ascii="Calibri" w:cs="Calibri" w:eastAsia="Calibri" w:hAnsi="Calibri"/>
          <w:b/>
          <w:bCs/>
          <w:sz w:val="22"/>
          <w:szCs w:val="22"/>
        </w:rPr>
        <w:t xml:space="preserve">Code d’activité (APE/NAF)</w:t>
      </w:r>
      <w:r>
        <w:rPr>
          <w:rFonts w:ascii="Calibri" w:cs="Calibri" w:eastAsia="Calibri" w:hAnsi="Calibri"/>
          <w:sz w:val="22"/>
          <w:szCs w:val="22"/>
        </w:rPr>
        <w:t xml:space="preserve"> : les services funéraires relèvent habituellement du code </w:t>
      </w:r>
      <w:r>
        <w:rPr>
          <w:rFonts w:ascii="Calibri" w:cs="Calibri" w:eastAsia="Calibri" w:hAnsi="Calibri"/>
          <w:b/>
          <w:bCs/>
          <w:sz w:val="22"/>
          <w:szCs w:val="22"/>
        </w:rPr>
        <w:t xml:space="preserve">96.03Z</w:t>
      </w:r>
      <w:r>
        <w:rPr>
          <w:rFonts w:ascii="Calibri" w:cs="Calibri" w:eastAsia="Calibri" w:hAnsi="Calibri"/>
          <w:sz w:val="22"/>
          <w:szCs w:val="22"/>
        </w:rPr>
        <w:t xml:space="preserve"> ; le flocage textile, l’entretien de tombes et le conseil administratif ont des codes distincts. </w:t>
      </w:r>
      <w:r>
        <w:rPr>
          <w:rFonts w:ascii="Calibri" w:cs="Calibri" w:eastAsia="Calibri" w:hAnsi="Calibri"/>
          <w:b/>
          <w:bCs/>
          <w:sz w:val="22"/>
          <w:szCs w:val="22"/>
        </w:rPr>
        <w:t xml:space="preserve">À confirmer</w:t>
      </w:r>
      <w:r>
        <w:rPr>
          <w:rFonts w:ascii="Calibri" w:cs="Calibri" w:eastAsia="Calibri" w:hAnsi="Calibri"/>
          <w:sz w:val="22"/>
          <w:szCs w:val="22"/>
        </w:rPr>
        <w:t xml:space="preserve"> avec l’INSEE/le guichet unique pour chaque activité déclarée.</w:t>
      </w:r>
    </w:p>
    <w:p>
      <w:pPr>
        <w:pStyle w:val="ListParagraph"/>
        <w:numPr>
          <w:ilvl w:val="0"/>
          <w:numId w:val="2"/>
        </w:numPr>
        <w:spacing w:after="60" w:line="264"/>
      </w:pPr>
      <w:r>
        <w:rPr>
          <w:rFonts w:ascii="Calibri" w:cs="Calibri" w:eastAsia="Calibri" w:hAnsi="Calibri"/>
          <w:sz w:val="22"/>
          <w:szCs w:val="22"/>
        </w:rPr>
        <w:t xml:space="preserve">Domiciliation : à domicile (sous conditions, bail, copropriété), domiciliation commerciale, ou local dédié (obligatoire si accueil du public ou chambre funéraire).</w:t>
      </w:r>
    </w:p>
    <w:p>
      <w:pPr>
        <w:pStyle w:val="ListParagraph"/>
        <w:numPr>
          <w:ilvl w:val="0"/>
          <w:numId w:val="2"/>
        </w:numPr>
        <w:spacing w:after="60" w:line="264"/>
      </w:pPr>
      <w:r>
        <w:rPr>
          <w:rFonts w:ascii="Calibri" w:cs="Calibri" w:eastAsia="Calibri" w:hAnsi="Calibri"/>
          <w:sz w:val="22"/>
          <w:szCs w:val="22"/>
        </w:rPr>
        <w:t xml:space="preserve">Compte bancaire professionnel </w:t>
      </w:r>
      <w:r>
        <w:rPr>
          <w:rFonts w:ascii="Calibri" w:cs="Calibri" w:eastAsia="Calibri" w:hAnsi="Calibri"/>
          <w:b/>
          <w:bCs/>
          <w:sz w:val="22"/>
          <w:szCs w:val="22"/>
        </w:rPr>
        <w:t xml:space="preserve">séparé</w:t>
      </w:r>
      <w:r>
        <w:rPr>
          <w:rFonts w:ascii="Calibri" w:cs="Calibri" w:eastAsia="Calibri" w:hAnsi="Calibri"/>
          <w:sz w:val="22"/>
          <w:szCs w:val="22"/>
        </w:rPr>
        <w:t xml:space="preserve"> (obligatoire en pratique et fortement recommandé).</w:t>
      </w:r>
    </w:p>
    <w:p>
      <w:pPr>
        <w:pStyle w:val="ListParagraph"/>
        <w:numPr>
          <w:ilvl w:val="0"/>
          <w:numId w:val="2"/>
        </w:numPr>
        <w:spacing w:after="60" w:line="264"/>
      </w:pPr>
      <w:r>
        <w:rPr>
          <w:rFonts w:ascii="Calibri" w:cs="Calibri" w:eastAsia="Calibri" w:hAnsi="Calibri"/>
          <w:sz w:val="22"/>
          <w:szCs w:val="22"/>
        </w:rPr>
        <w:t xml:space="preserve">Affiliation à la protection sociale des indépendants (si TNS), choix de la mutuelle et de la prévoyance.</w:t>
      </w:r>
    </w:p>
    <w:p>
      <w:pPr>
        <w:pStyle w:val="ListParagraph"/>
        <w:numPr>
          <w:ilvl w:val="0"/>
          <w:numId w:val="2"/>
        </w:numPr>
        <w:spacing w:after="60" w:line="264"/>
      </w:pPr>
      <w:r>
        <w:rPr>
          <w:rFonts w:ascii="Calibri" w:cs="Calibri" w:eastAsia="Calibri" w:hAnsi="Calibri"/>
          <w:sz w:val="22"/>
          <w:szCs w:val="22"/>
        </w:rPr>
        <w:t xml:space="preserve">Choix d’une </w:t>
      </w:r>
      <w:r>
        <w:rPr>
          <w:rFonts w:ascii="Calibri" w:cs="Calibri" w:eastAsia="Calibri" w:hAnsi="Calibri"/>
          <w:b/>
          <w:bCs/>
          <w:sz w:val="22"/>
          <w:szCs w:val="22"/>
        </w:rPr>
        <w:t xml:space="preserve">assurance</w:t>
      </w:r>
      <w:r>
        <w:rPr>
          <w:rFonts w:ascii="Calibri" w:cs="Calibri" w:eastAsia="Calibri" w:hAnsi="Calibri"/>
          <w:sz w:val="22"/>
          <w:szCs w:val="22"/>
        </w:rPr>
        <w:t xml:space="preserve"> avant le premier client (voir chapitre 5).</w:t>
      </w:r>
    </w:p>
    <w:p>
      <w:pPr>
        <w:pStyle w:val="ListParagraph"/>
        <w:numPr>
          <w:ilvl w:val="0"/>
          <w:numId w:val="2"/>
        </w:numPr>
        <w:spacing w:after="60" w:line="264"/>
      </w:pPr>
      <w:r>
        <w:rPr>
          <w:rFonts w:ascii="Calibri" w:cs="Calibri" w:eastAsia="Calibri" w:hAnsi="Calibri"/>
          <w:sz w:val="22"/>
          <w:szCs w:val="22"/>
        </w:rPr>
        <w:t xml:space="preserve">Dépôt de marque et du nom de domaine (INPI, registrar).</w:t>
      </w:r>
    </w:p>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4. Comptabilité, facturation et finances</w:t>
      </w:r>
    </w:p>
    <w:p>
      <w:pPr>
        <w:pStyle w:val="Heading2"/>
        <w:keepNext/>
        <w:spacing w:after="120" w:before="280"/>
      </w:pPr>
      <w:r>
        <w:rPr>
          <w:rFonts w:ascii="Calibri" w:cs="Calibri" w:eastAsia="Calibri" w:hAnsi="Calibri"/>
          <w:b/>
          <w:bCs/>
          <w:color w:val="5B7F6B"/>
          <w:sz w:val="28"/>
          <w:szCs w:val="28"/>
        </w:rPr>
        <w:t xml:space="preserve">4.1 Ce qu’il faut mettre en place dès le départ</w:t>
      </w:r>
    </w:p>
    <w:p>
      <w:pPr>
        <w:pStyle w:val="ListParagraph"/>
        <w:numPr>
          <w:ilvl w:val="0"/>
          <w:numId w:val="2"/>
        </w:numPr>
        <w:spacing w:after="60" w:line="264"/>
      </w:pPr>
      <w:r>
        <w:rPr>
          <w:rFonts w:ascii="Calibri" w:cs="Calibri" w:eastAsia="Calibri" w:hAnsi="Calibri"/>
          <w:b/>
          <w:bCs/>
          <w:sz w:val="22"/>
          <w:szCs w:val="22"/>
        </w:rPr>
        <w:t xml:space="preserve">Expert-comptable</w:t>
      </w:r>
      <w:r>
        <w:rPr>
          <w:rFonts w:ascii="Calibri" w:cs="Calibri" w:eastAsia="Calibri" w:hAnsi="Calibri"/>
          <w:sz w:val="22"/>
          <w:szCs w:val="22"/>
        </w:rPr>
        <w:t xml:space="preserve"> (ou comptable en ligne) choisi </w:t>
      </w:r>
      <w:r>
        <w:rPr>
          <w:rFonts w:ascii="Calibri" w:cs="Calibri" w:eastAsia="Calibri" w:hAnsi="Calibri"/>
          <w:b/>
          <w:bCs/>
          <w:sz w:val="22"/>
          <w:szCs w:val="22"/>
        </w:rPr>
        <w:t xml:space="preserve">avant</w:t>
      </w:r>
      <w:r>
        <w:rPr>
          <w:rFonts w:ascii="Calibri" w:cs="Calibri" w:eastAsia="Calibri" w:hAnsi="Calibri"/>
          <w:sz w:val="22"/>
          <w:szCs w:val="22"/>
        </w:rPr>
        <w:t xml:space="preserve"> la création : il aide à choisir statut, TVA, régime, et à éviter les erreurs coûteuses.</w:t>
      </w:r>
    </w:p>
    <w:p>
      <w:pPr>
        <w:pStyle w:val="ListParagraph"/>
        <w:numPr>
          <w:ilvl w:val="0"/>
          <w:numId w:val="2"/>
        </w:numPr>
        <w:spacing w:after="60" w:line="264"/>
      </w:pPr>
      <w:r>
        <w:rPr>
          <w:rFonts w:ascii="Calibri" w:cs="Calibri" w:eastAsia="Calibri" w:hAnsi="Calibri"/>
          <w:b/>
          <w:bCs/>
          <w:sz w:val="22"/>
          <w:szCs w:val="22"/>
        </w:rPr>
        <w:t xml:space="preserve">Logiciel de facturation/comptabilité</w:t>
      </w:r>
      <w:r>
        <w:rPr>
          <w:rFonts w:ascii="Calibri" w:cs="Calibri" w:eastAsia="Calibri" w:hAnsi="Calibri"/>
          <w:sz w:val="22"/>
          <w:szCs w:val="22"/>
        </w:rPr>
        <w:t xml:space="preserve"> conforme, avec numérotation continue, mentions légales et archivage.</w:t>
      </w:r>
    </w:p>
    <w:p>
      <w:pPr>
        <w:spacing w:after="120" w:line="276"/>
      </w:pPr>
      <w:r>
        <w:rPr>
          <w:rFonts w:ascii="Calibri" w:cs="Calibri" w:eastAsia="Calibri" w:hAnsi="Calibri"/>
          <w:b/>
          <w:bCs/>
          <w:sz w:val="22"/>
          <w:szCs w:val="22"/>
        </w:rPr>
        <w:t xml:space="preserve">Repère vérifié — facturation électronique :</w:t>
      </w:r>
      <w:r>
        <w:rPr>
          <w:rFonts w:ascii="Calibri" w:cs="Calibri" w:eastAsia="Calibri" w:hAnsi="Calibri"/>
          <w:sz w:val="22"/>
          <w:szCs w:val="22"/>
        </w:rPr>
        <w:t xml:space="preserve"> depuis le </w:t>
      </w:r>
      <w:r>
        <w:rPr>
          <w:rFonts w:ascii="Calibri" w:cs="Calibri" w:eastAsia="Calibri" w:hAnsi="Calibri"/>
          <w:b/>
          <w:bCs/>
          <w:sz w:val="22"/>
          <w:szCs w:val="22"/>
        </w:rPr>
        <w:t xml:space="preserve">1er septembre 2026</w:t>
      </w:r>
      <w:r>
        <w:rPr>
          <w:rFonts w:ascii="Calibri" w:cs="Calibri" w:eastAsia="Calibri" w:hAnsi="Calibri"/>
          <w:sz w:val="22"/>
          <w:szCs w:val="22"/>
        </w:rPr>
        <w:t xml:space="preserve">, toutes les entreprises assujetties à la TVA (micro-entrepreneurs et franchise en base compris) doivent pouvoir </w:t>
      </w:r>
      <w:r>
        <w:rPr>
          <w:rFonts w:ascii="Calibri" w:cs="Calibri" w:eastAsia="Calibri" w:hAnsi="Calibri"/>
          <w:b/>
          <w:bCs/>
          <w:sz w:val="22"/>
          <w:szCs w:val="22"/>
        </w:rPr>
        <w:t xml:space="preserve">recevoir</w:t>
      </w:r>
      <w:r>
        <w:rPr>
          <w:rFonts w:ascii="Calibri" w:cs="Calibri" w:eastAsia="Calibri" w:hAnsi="Calibri"/>
          <w:sz w:val="22"/>
          <w:szCs w:val="22"/>
        </w:rPr>
        <w:t xml:space="preserve"> des factures électroniques ; l’</w:t>
      </w:r>
      <w:r>
        <w:rPr>
          <w:rFonts w:ascii="Calibri" w:cs="Calibri" w:eastAsia="Calibri" w:hAnsi="Calibri"/>
          <w:b/>
          <w:bCs/>
          <w:sz w:val="22"/>
          <w:szCs w:val="22"/>
        </w:rPr>
        <w:t xml:space="preserve">émission</w:t>
      </w:r>
      <w:r>
        <w:rPr>
          <w:rFonts w:ascii="Calibri" w:cs="Calibri" w:eastAsia="Calibri" w:hAnsi="Calibri"/>
          <w:sz w:val="22"/>
          <w:szCs w:val="22"/>
        </w:rPr>
        <w:t xml:space="preserve"> et l’e-reporting deviennent obligatoires pour les PME, TPE et micro-entreprises le </w:t>
      </w:r>
      <w:r>
        <w:rPr>
          <w:rFonts w:ascii="Calibri" w:cs="Calibri" w:eastAsia="Calibri" w:hAnsi="Calibri"/>
          <w:b/>
          <w:bCs/>
          <w:sz w:val="22"/>
          <w:szCs w:val="22"/>
        </w:rPr>
        <w:t xml:space="preserve">1er septembre 2027</w:t>
      </w:r>
      <w:r>
        <w:rPr>
          <w:rFonts w:ascii="Calibri" w:cs="Calibri" w:eastAsia="Calibri" w:hAnsi="Calibri"/>
          <w:sz w:val="22"/>
          <w:szCs w:val="22"/>
        </w:rPr>
        <w:t xml:space="preserve">. Il faut choisir une </w:t>
      </w:r>
      <w:r>
        <w:rPr>
          <w:rFonts w:ascii="Calibri" w:cs="Calibri" w:eastAsia="Calibri" w:hAnsi="Calibri"/>
          <w:b/>
          <w:bCs/>
          <w:sz w:val="22"/>
          <w:szCs w:val="22"/>
        </w:rPr>
        <w:t xml:space="preserve">plateforme agréée</w:t>
      </w:r>
      <w:r>
        <w:rPr>
          <w:rFonts w:ascii="Calibri" w:cs="Calibri" w:eastAsia="Calibri" w:hAnsi="Calibri"/>
          <w:sz w:val="22"/>
          <w:szCs w:val="22"/>
        </w:rPr>
        <w:t xml:space="preserve"> et la déclarer dans l’annuaire. À confirmer sur impots.gouv.fr avant de choisir l’outil.</w:t>
      </w:r>
    </w:p>
    <w:p>
      <w:pPr>
        <w:pStyle w:val="ListParagraph"/>
        <w:numPr>
          <w:ilvl w:val="0"/>
          <w:numId w:val="2"/>
        </w:numPr>
        <w:spacing w:after="60" w:line="264"/>
      </w:pPr>
      <w:r>
        <w:rPr>
          <w:rFonts w:ascii="Calibri" w:cs="Calibri" w:eastAsia="Calibri" w:hAnsi="Calibri"/>
          <w:b/>
          <w:bCs/>
          <w:sz w:val="22"/>
          <w:szCs w:val="22"/>
        </w:rPr>
        <w:t xml:space="preserve">Compte bancaire dédié</w:t>
      </w:r>
      <w:r>
        <w:rPr>
          <w:rFonts w:ascii="Calibri" w:cs="Calibri" w:eastAsia="Calibri" w:hAnsi="Calibri"/>
          <w:sz w:val="22"/>
          <w:szCs w:val="22"/>
        </w:rPr>
        <w:t xml:space="preserve"> et, si possible, un second compte ou sous-compte pour les </w:t>
      </w:r>
      <w:r>
        <w:rPr>
          <w:rFonts w:ascii="Calibri" w:cs="Calibri" w:eastAsia="Calibri" w:hAnsi="Calibri"/>
          <w:b/>
          <w:bCs/>
          <w:sz w:val="22"/>
          <w:szCs w:val="22"/>
        </w:rPr>
        <w:t xml:space="preserve">fonds avancés pour le compte des familles</w:t>
      </w:r>
      <w:r>
        <w:rPr>
          <w:rFonts w:ascii="Calibri" w:cs="Calibri" w:eastAsia="Calibri" w:hAnsi="Calibri"/>
          <w:sz w:val="22"/>
          <w:szCs w:val="22"/>
        </w:rPr>
        <w:t xml:space="preserve">.</w:t>
      </w:r>
    </w:p>
    <w:p>
      <w:pPr>
        <w:pStyle w:val="ListParagraph"/>
        <w:numPr>
          <w:ilvl w:val="0"/>
          <w:numId w:val="2"/>
        </w:numPr>
        <w:spacing w:after="60" w:line="264"/>
      </w:pPr>
      <w:r>
        <w:rPr>
          <w:rFonts w:ascii="Calibri" w:cs="Calibri" w:eastAsia="Calibri" w:hAnsi="Calibri"/>
          <w:sz w:val="22"/>
          <w:szCs w:val="22"/>
        </w:rPr>
        <w:t xml:space="preserve">Conservation des pièces comptables : généralement 10 ans (à confirmer pour chaque pièce).</w:t>
      </w:r>
    </w:p>
    <w:p>
      <w:pPr>
        <w:pStyle w:val="Heading2"/>
        <w:keepNext/>
        <w:spacing w:after="120" w:before="280"/>
      </w:pPr>
      <w:r>
        <w:rPr>
          <w:rFonts w:ascii="Calibri" w:cs="Calibri" w:eastAsia="Calibri" w:hAnsi="Calibri"/>
          <w:b/>
          <w:bCs/>
          <w:color w:val="5B7F6B"/>
          <w:sz w:val="28"/>
          <w:szCs w:val="28"/>
        </w:rPr>
        <w:t xml:space="preserve">4.2 Débours, avances et fonds clients : le piège principal</w:t>
      </w:r>
    </w:p>
    <w:p>
      <w:pPr>
        <w:spacing w:after="120" w:line="276"/>
      </w:pPr>
      <w:r>
        <w:rPr>
          <w:rFonts w:ascii="Calibri" w:cs="Calibri" w:eastAsia="Calibri" w:hAnsi="Calibri"/>
          <w:sz w:val="22"/>
          <w:szCs w:val="22"/>
        </w:rPr>
        <w:t xml:space="preserve">Dans le funéraire et les démarches, on règle souvent des frais </w:t>
      </w:r>
      <w:r>
        <w:rPr>
          <w:rFonts w:ascii="Calibri" w:cs="Calibri" w:eastAsia="Calibri" w:hAnsi="Calibri"/>
          <w:b/>
          <w:bCs/>
          <w:sz w:val="22"/>
          <w:szCs w:val="22"/>
        </w:rPr>
        <w:t xml:space="preserve">pour le compte</w:t>
      </w:r>
      <w:r>
        <w:rPr>
          <w:rFonts w:ascii="Calibri" w:cs="Calibri" w:eastAsia="Calibri" w:hAnsi="Calibri"/>
          <w:sz w:val="22"/>
          <w:szCs w:val="22"/>
        </w:rPr>
        <w:t xml:space="preserve"> de la famille (taxes de cimetière, frais de crémation, honoraires du notaire, fleurs…).</w:t>
      </w:r>
    </w:p>
    <w:p>
      <w:pPr>
        <w:pStyle w:val="ListParagraph"/>
        <w:numPr>
          <w:ilvl w:val="0"/>
          <w:numId w:val="2"/>
        </w:numPr>
        <w:spacing w:after="60" w:line="264"/>
      </w:pPr>
      <w:r>
        <w:rPr>
          <w:rFonts w:ascii="Calibri" w:cs="Calibri" w:eastAsia="Calibri" w:hAnsi="Calibri"/>
          <w:sz w:val="22"/>
          <w:szCs w:val="22"/>
        </w:rPr>
        <w:t xml:space="preserve">Distinguer </w:t>
      </w:r>
      <w:r>
        <w:rPr>
          <w:rFonts w:ascii="Calibri" w:cs="Calibri" w:eastAsia="Calibri" w:hAnsi="Calibri"/>
          <w:b/>
          <w:bCs/>
          <w:sz w:val="22"/>
          <w:szCs w:val="22"/>
        </w:rPr>
        <w:t xml:space="preserve">chiffre d’affaires</w:t>
      </w:r>
      <w:r>
        <w:rPr>
          <w:rFonts w:ascii="Calibri" w:cs="Calibri" w:eastAsia="Calibri" w:hAnsi="Calibri"/>
          <w:sz w:val="22"/>
          <w:szCs w:val="22"/>
        </w:rPr>
        <w:t xml:space="preserve"> (ma prestation) et </w:t>
      </w:r>
      <w:r>
        <w:rPr>
          <w:rFonts w:ascii="Calibri" w:cs="Calibri" w:eastAsia="Calibri" w:hAnsi="Calibri"/>
          <w:b/>
          <w:bCs/>
          <w:sz w:val="22"/>
          <w:szCs w:val="22"/>
        </w:rPr>
        <w:t xml:space="preserve">débours</w:t>
      </w:r>
      <w:r>
        <w:rPr>
          <w:rFonts w:ascii="Calibri" w:cs="Calibri" w:eastAsia="Calibri" w:hAnsi="Calibri"/>
          <w:sz w:val="22"/>
          <w:szCs w:val="22"/>
        </w:rPr>
        <w:t xml:space="preserve"> (sommes avancées et refacturées à l’identique, avec justificatifs). Le traitement comptable et la TVA sont spécifiques.</w:t>
      </w:r>
    </w:p>
    <w:p>
      <w:pPr>
        <w:pStyle w:val="ListParagraph"/>
        <w:numPr>
          <w:ilvl w:val="0"/>
          <w:numId w:val="2"/>
        </w:numPr>
        <w:spacing w:after="60" w:line="264"/>
      </w:pPr>
      <w:r>
        <w:rPr>
          <w:rFonts w:ascii="Calibri" w:cs="Calibri" w:eastAsia="Calibri" w:hAnsi="Calibri"/>
          <w:sz w:val="22"/>
          <w:szCs w:val="22"/>
        </w:rPr>
        <w:t xml:space="preserve">Ne </w:t>
      </w:r>
      <w:r>
        <w:rPr>
          <w:rFonts w:ascii="Calibri" w:cs="Calibri" w:eastAsia="Calibri" w:hAnsi="Calibri"/>
          <w:b/>
          <w:bCs/>
          <w:sz w:val="22"/>
          <w:szCs w:val="22"/>
        </w:rPr>
        <w:t xml:space="preserve">jamais</w:t>
      </w:r>
      <w:r>
        <w:rPr>
          <w:rFonts w:ascii="Calibri" w:cs="Calibri" w:eastAsia="Calibri" w:hAnsi="Calibri"/>
          <w:sz w:val="22"/>
          <w:szCs w:val="22"/>
        </w:rPr>
        <w:t xml:space="preserve"> mélanger l’argent de la famille et la trésorerie de l’entreprise : prévoir un compte dédié, une facture claire, un suivi par dossier.</w:t>
      </w:r>
    </w:p>
    <w:p>
      <w:pPr>
        <w:pStyle w:val="ListParagraph"/>
        <w:numPr>
          <w:ilvl w:val="0"/>
          <w:numId w:val="2"/>
        </w:numPr>
        <w:spacing w:after="60" w:line="264"/>
      </w:pPr>
      <w:r>
        <w:rPr>
          <w:rFonts w:ascii="Calibri" w:cs="Calibri" w:eastAsia="Calibri" w:hAnsi="Calibri"/>
          <w:sz w:val="22"/>
          <w:szCs w:val="22"/>
        </w:rPr>
        <w:t xml:space="preserve">Pour les fonds de </w:t>
      </w:r>
      <w:r>
        <w:rPr>
          <w:rFonts w:ascii="Calibri" w:cs="Calibri" w:eastAsia="Calibri" w:hAnsi="Calibri"/>
          <w:b/>
          <w:bCs/>
          <w:sz w:val="22"/>
          <w:szCs w:val="22"/>
        </w:rPr>
        <w:t xml:space="preserve">succession</w:t>
      </w:r>
      <w:r>
        <w:rPr>
          <w:rFonts w:ascii="Calibri" w:cs="Calibri" w:eastAsia="Calibri" w:hAnsi="Calibri"/>
          <w:sz w:val="22"/>
          <w:szCs w:val="22"/>
        </w:rPr>
        <w:t xml:space="preserve"> (comptes du défunt) : l’entreprise ne doit pas manipuler ces fonds ; ils transitent par le notaire ou les héritiers.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8A00" w:sz="24"/>
              <w:bottom w:val="none" w:color="FFFFFF" w:sz="0"/>
              <w:right w:val="none" w:color="FFFFFF" w:sz="0"/>
            </w:tcBorders>
            <w:shd w:fill="FFF4DC" w:color="auto" w:val="clear"/>
            <w:tcMar>
              <w:top w:type="dxa" w:w="100"/>
              <w:left w:type="dxa" w:w="180"/>
              <w:bottom w:type="dxa" w:w="100"/>
              <w:right w:type="dxa" w:w="160"/>
            </w:tcMar>
          </w:tcPr>
          <w:p>
            <w:pPr>
              <w:spacing w:after="60"/>
            </w:pPr>
            <w:r>
              <w:rPr>
                <w:rFonts w:ascii="Calibri" w:cs="Calibri" w:eastAsia="Calibri" w:hAnsi="Calibri"/>
                <w:b/>
                <w:bCs/>
                <w:color w:val="C98A00"/>
                <w:sz w:val="22"/>
                <w:szCs w:val="22"/>
              </w:rPr>
              <w:t xml:space="preserve">⚠ À confirmer avant de s’engager</w:t>
            </w:r>
          </w:p>
          <w:p>
            <w:pPr>
              <w:spacing w:after="50"/>
            </w:pPr>
            <w:r>
              <w:rPr>
                <w:rFonts w:ascii="Calibri" w:cs="Calibri" w:eastAsia="Calibri" w:hAnsi="Calibri"/>
                <w:sz w:val="21"/>
                <w:szCs w:val="21"/>
              </w:rPr>
              <w:t xml:space="preserve">Faire valider avec l’expert-comptable : traitement des débours, éventuel compte séquestre, TVA par type de prestation, mentions sur le devis.</w:t>
            </w:r>
          </w:p>
        </w:tc>
      </w:tr>
    </w:tbl>
    <w:p>
      <w:pPr>
        <w:pStyle w:val="Heading2"/>
        <w:keepNext/>
        <w:spacing w:after="120" w:before="280"/>
      </w:pPr>
      <w:r>
        <w:rPr>
          <w:rFonts w:ascii="Calibri" w:cs="Calibri" w:eastAsia="Calibri" w:hAnsi="Calibri"/>
          <w:b/>
          <w:bCs/>
          <w:color w:val="5B7F6B"/>
          <w:sz w:val="28"/>
          <w:szCs w:val="28"/>
        </w:rPr>
        <w:t xml:space="preserve">4.3 Plan comptable simplifié (à adapter)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3300"/>
        <w:gridCol w:w="3338"/>
      </w:tblGrid>
      <w:tr>
        <w:trPr>
          <w:cantSplit/>
          <w:tblHeader/>
        </w:trPr>
        <w:tc>
          <w:tcPr>
            <w:tcW w:type="dxa" w:w="30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Famille de produits</w:t>
            </w:r>
          </w:p>
        </w:tc>
        <w:tc>
          <w:tcPr>
            <w:tcW w:type="dxa" w:w="33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Exemples</w:t>
            </w:r>
          </w:p>
        </w:tc>
        <w:tc>
          <w:tcPr>
            <w:tcW w:type="dxa" w:w="33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Points de suivi</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Prestations funéraires</w:t>
            </w:r>
          </w:p>
        </w:tc>
        <w:tc>
          <w:tcPr>
            <w:tcW w:type="dxa" w:w="33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Organisation, vacation, coordination, cérémonie</w:t>
            </w:r>
          </w:p>
        </w:tc>
        <w:tc>
          <w:tcPr>
            <w:tcW w:type="dxa" w:w="3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Marge par dossier, habilitation, TVA</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Marchandises revendues</w:t>
            </w:r>
          </w:p>
        </w:tc>
        <w:tc>
          <w:tcPr>
            <w:tcW w:type="dxa" w:w="33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Cercueils, urnes, articles funéraires, textile floqué</w:t>
            </w:r>
          </w:p>
        </w:tc>
        <w:tc>
          <w:tcPr>
            <w:tcW w:type="dxa" w:w="3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Coûts d’achat, stock, TVA</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Prestations administratives</w:t>
            </w:r>
          </w:p>
        </w:tc>
        <w:tc>
          <w:tcPr>
            <w:tcW w:type="dxa" w:w="33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Forfaits « démarches », suivi, constitution de dossier</w:t>
            </w:r>
          </w:p>
        </w:tc>
        <w:tc>
          <w:tcPr>
            <w:tcW w:type="dxa" w:w="3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Heures passées, forfait vs régie</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Entretien de sépultures</w:t>
            </w:r>
          </w:p>
        </w:tc>
        <w:tc>
          <w:tcPr>
            <w:tcW w:type="dxa" w:w="33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Prestation ponctuelle, abonnement annuel</w:t>
            </w:r>
          </w:p>
        </w:tc>
        <w:tc>
          <w:tcPr>
            <w:tcW w:type="dxa" w:w="3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Récurrence, déplacements, produits</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Écoute/bien-être</w:t>
            </w:r>
          </w:p>
        </w:tc>
        <w:tc>
          <w:tcPr>
            <w:tcW w:type="dxa" w:w="33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Ateliers, accompagnement, partenariats</w:t>
            </w:r>
          </w:p>
        </w:tc>
        <w:tc>
          <w:tcPr>
            <w:tcW w:type="dxa" w:w="3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Remplissage, séances sous-traitées</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Débours</w:t>
            </w:r>
          </w:p>
        </w:tc>
        <w:tc>
          <w:tcPr>
            <w:tcW w:type="dxa" w:w="33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Frais avancés pour la famille</w:t>
            </w:r>
          </w:p>
        </w:tc>
        <w:tc>
          <w:tcPr>
            <w:tcW w:type="dxa" w:w="3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Refacturation exacte, justificatifs</w:t>
            </w:r>
          </w:p>
        </w:tc>
      </w:tr>
    </w:tbl>
    <w:p>
      <w:pPr>
        <w:spacing w:after="80"/>
      </w:pPr>
    </w:p>
    <w:p>
      <w:pPr>
        <w:pStyle w:val="Heading2"/>
        <w:keepNext/>
        <w:spacing w:after="120" w:before="280"/>
      </w:pPr>
      <w:r>
        <w:rPr>
          <w:rFonts w:ascii="Calibri" w:cs="Calibri" w:eastAsia="Calibri" w:hAnsi="Calibri"/>
          <w:b/>
          <w:bCs/>
          <w:color w:val="5B7F6B"/>
          <w:sz w:val="28"/>
          <w:szCs w:val="28"/>
        </w:rPr>
        <w:t xml:space="preserve">4.4 Tarification : méthode</w:t>
      </w:r>
    </w:p>
    <w:p>
      <w:pPr>
        <w:pStyle w:val="ListParagraph"/>
        <w:numPr>
          <w:ilvl w:val="0"/>
          <w:numId w:val="2"/>
        </w:numPr>
        <w:spacing w:after="60" w:line="264"/>
      </w:pPr>
      <w:r>
        <w:rPr>
          <w:rFonts w:ascii="Calibri" w:cs="Calibri" w:eastAsia="Calibri" w:hAnsi="Calibri"/>
          <w:b/>
          <w:bCs/>
          <w:sz w:val="22"/>
          <w:szCs w:val="22"/>
        </w:rPr>
        <w:t xml:space="preserve">Calculer le coût horaire réel</w:t>
      </w:r>
      <w:r>
        <w:rPr>
          <w:rFonts w:ascii="Calibri" w:cs="Calibri" w:eastAsia="Calibri" w:hAnsi="Calibri"/>
          <w:sz w:val="22"/>
          <w:szCs w:val="22"/>
        </w:rPr>
        <w:t xml:space="preserve"> : temps passé (rendez-vous, déplacements, appels, suivi) + charges + marge. Le temps d’écoute avec une famille est souvent sous-estimé.</w:t>
      </w:r>
    </w:p>
    <w:p>
      <w:pPr>
        <w:pStyle w:val="ListParagraph"/>
        <w:numPr>
          <w:ilvl w:val="0"/>
          <w:numId w:val="2"/>
        </w:numPr>
        <w:spacing w:after="60" w:line="264"/>
      </w:pPr>
      <w:r>
        <w:rPr>
          <w:rFonts w:ascii="Calibri" w:cs="Calibri" w:eastAsia="Calibri" w:hAnsi="Calibri"/>
          <w:sz w:val="22"/>
          <w:szCs w:val="22"/>
        </w:rPr>
        <w:t xml:space="preserve">Proposer des </w:t>
      </w:r>
      <w:r>
        <w:rPr>
          <w:rFonts w:ascii="Calibri" w:cs="Calibri" w:eastAsia="Calibri" w:hAnsi="Calibri"/>
          <w:b/>
          <w:bCs/>
          <w:sz w:val="22"/>
          <w:szCs w:val="22"/>
        </w:rPr>
        <w:t xml:space="preserve">forfaits clairs</w:t>
      </w:r>
      <w:r>
        <w:rPr>
          <w:rFonts w:ascii="Calibri" w:cs="Calibri" w:eastAsia="Calibri" w:hAnsi="Calibri"/>
          <w:sz w:val="22"/>
          <w:szCs w:val="22"/>
        </w:rPr>
        <w:t xml:space="preserve"> (ex. « Dossier démarches essentielles », « Dossier démarches complètes ») plutôt qu’une facturation à l’heure, plus rassurante pour les familles.</w:t>
      </w:r>
    </w:p>
    <w:p>
      <w:pPr>
        <w:pStyle w:val="ListParagraph"/>
        <w:numPr>
          <w:ilvl w:val="0"/>
          <w:numId w:val="2"/>
        </w:numPr>
        <w:spacing w:after="60" w:line="264"/>
      </w:pPr>
      <w:r>
        <w:rPr>
          <w:rFonts w:ascii="Calibri" w:cs="Calibri" w:eastAsia="Calibri" w:hAnsi="Calibri"/>
          <w:sz w:val="22"/>
          <w:szCs w:val="22"/>
        </w:rPr>
        <w:t xml:space="preserve">Prévoir une </w:t>
      </w:r>
      <w:r>
        <w:rPr>
          <w:rFonts w:ascii="Calibri" w:cs="Calibri" w:eastAsia="Calibri" w:hAnsi="Calibri"/>
          <w:b/>
          <w:bCs/>
          <w:sz w:val="22"/>
          <w:szCs w:val="22"/>
        </w:rPr>
        <w:t xml:space="preserve">grille d’accueil</w:t>
      </w:r>
      <w:r>
        <w:rPr>
          <w:rFonts w:ascii="Calibri" w:cs="Calibri" w:eastAsia="Calibri" w:hAnsi="Calibri"/>
          <w:sz w:val="22"/>
          <w:szCs w:val="22"/>
        </w:rPr>
        <w:t xml:space="preserve"> transparente (publiée sur le site) : cohérent avec la logique de transparence et avec la réglementation sur l’affichage des prix.</w:t>
      </w:r>
    </w:p>
    <w:p>
      <w:pPr>
        <w:pStyle w:val="ListParagraph"/>
        <w:numPr>
          <w:ilvl w:val="0"/>
          <w:numId w:val="2"/>
        </w:numPr>
        <w:spacing w:after="60" w:line="264"/>
      </w:pPr>
      <w:r>
        <w:rPr>
          <w:rFonts w:ascii="Calibri" w:cs="Calibri" w:eastAsia="Calibri" w:hAnsi="Calibri"/>
          <w:sz w:val="22"/>
          <w:szCs w:val="22"/>
        </w:rPr>
        <w:t xml:space="preserve">Acomptes : demander un acompte modéré avant engagement de frais importants ; encadrer par devis signé.</w:t>
      </w:r>
    </w:p>
    <w:p>
      <w:pPr>
        <w:pStyle w:val="Heading2"/>
        <w:keepNext/>
        <w:spacing w:after="120" w:before="280"/>
      </w:pPr>
      <w:r>
        <w:rPr>
          <w:rFonts w:ascii="Calibri" w:cs="Calibri" w:eastAsia="Calibri" w:hAnsi="Calibri"/>
          <w:b/>
          <w:bCs/>
          <w:color w:val="5B7F6B"/>
          <w:sz w:val="28"/>
          <w:szCs w:val="28"/>
        </w:rPr>
        <w:t xml:space="preserve">4.5 Simulation d’équilibre (exemple — hypothèses à remplacer)</w:t>
      </w:r>
    </w:p>
    <w:p>
      <w:pPr>
        <w:spacing w:after="120" w:line="276"/>
      </w:pPr>
      <w:r>
        <w:rPr>
          <w:rFonts w:ascii="Calibri" w:cs="Calibri" w:eastAsia="Calibri" w:hAnsi="Calibri"/>
          <w:i/>
          <w:iCs/>
          <w:sz w:val="22"/>
          <w:szCs w:val="22"/>
        </w:rPr>
        <w:t xml:space="preserve">But : savoir combien de dossiers par mois il faut pour couvrir les charges. Les chiffres ci-dessous sont </w:t>
      </w:r>
      <w:r>
        <w:rPr>
          <w:rFonts w:ascii="Calibri" w:cs="Calibri" w:eastAsia="Calibri" w:hAnsi="Calibri"/>
          <w:b/>
          <w:bCs/>
          <w:i/>
          <w:iCs/>
          <w:sz w:val="22"/>
          <w:szCs w:val="22"/>
        </w:rPr>
        <w:t xml:space="preserve">fictifs</w:t>
      </w:r>
      <w:r>
        <w:rPr>
          <w:rFonts w:ascii="Calibri" w:cs="Calibri" w:eastAsia="Calibri" w:hAnsi="Calibri"/>
          <w:i/>
          <w:iCs/>
          <w:sz w:val="22"/>
          <w:szCs w:val="22"/>
        </w:rPr>
        <w:t xml:space="preserve">, uniquement pour montrer la logique.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2400"/>
        <w:gridCol w:w="3038"/>
      </w:tblGrid>
      <w:tr>
        <w:trPr>
          <w:cantSplit/>
          <w:tblHeader/>
        </w:trPr>
        <w:tc>
          <w:tcPr>
            <w:tcW w:type="dxa" w:w="42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Ligne (exemple)</w:t>
            </w:r>
          </w:p>
        </w:tc>
        <w:tc>
          <w:tcPr>
            <w:tcW w:type="dxa" w:w="24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Montant mensuel</w:t>
            </w:r>
          </w:p>
        </w:tc>
        <w:tc>
          <w:tcPr>
            <w:tcW w:type="dxa" w:w="30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Commentaire</w:t>
            </w:r>
          </w:p>
        </w:tc>
      </w:tr>
      <w:tr>
        <w:trPr>
          <w:cantSplit/>
        </w:trPr>
        <w:tc>
          <w:tcPr>
            <w:tcW w:type="dxa" w:w="42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Charges fixes (assurances, logiciel, téléphone, site, comptable, véhicule…)</w:t>
            </w:r>
          </w:p>
        </w:tc>
        <w:tc>
          <w:tcPr>
            <w:tcW w:type="dxa" w:w="24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1 200 €</w:t>
            </w:r>
          </w:p>
        </w:tc>
        <w:tc>
          <w:tcPr>
            <w:tcW w:type="dxa" w:w="3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À remplacer par devis réels</w:t>
            </w:r>
          </w:p>
        </w:tc>
      </w:tr>
      <w:tr>
        <w:trPr>
          <w:cantSplit/>
        </w:trPr>
        <w:tc>
          <w:tcPr>
            <w:tcW w:type="dxa" w:w="42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Rémunération souhaitée (net avant impôt)</w:t>
            </w:r>
          </w:p>
        </w:tc>
        <w:tc>
          <w:tcPr>
            <w:tcW w:type="dxa" w:w="24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2 000 €</w:t>
            </w:r>
          </w:p>
        </w:tc>
        <w:tc>
          <w:tcPr>
            <w:tcW w:type="dxa" w:w="3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À fixer selon le projet de vie</w:t>
            </w:r>
          </w:p>
        </w:tc>
      </w:tr>
      <w:tr>
        <w:trPr>
          <w:cantSplit/>
        </w:trPr>
        <w:tc>
          <w:tcPr>
            <w:tcW w:type="dxa" w:w="42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Cotisations sociales (estimation)</w:t>
            </w:r>
          </w:p>
        </w:tc>
        <w:tc>
          <w:tcPr>
            <w:tcW w:type="dxa" w:w="24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700 €</w:t>
            </w:r>
          </w:p>
        </w:tc>
        <w:tc>
          <w:tcPr>
            <w:tcW w:type="dxa" w:w="3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À simuler (statut)</w:t>
            </w:r>
          </w:p>
        </w:tc>
      </w:tr>
      <w:tr>
        <w:trPr>
          <w:cantSplit/>
        </w:trPr>
        <w:tc>
          <w:tcPr>
            <w:tcW w:type="dxa" w:w="42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Besoin à couvrir</w:t>
            </w:r>
          </w:p>
        </w:tc>
        <w:tc>
          <w:tcPr>
            <w:tcW w:type="dxa" w:w="24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 3 900 €</w:t>
            </w:r>
          </w:p>
        </w:tc>
        <w:tc>
          <w:tcPr>
            <w:tcW w:type="dxa" w:w="3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42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Marge moyenne par dossier « démarches » (exemple)</w:t>
            </w:r>
          </w:p>
        </w:tc>
        <w:tc>
          <w:tcPr>
            <w:tcW w:type="dxa" w:w="24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350 €</w:t>
            </w:r>
          </w:p>
        </w:tc>
        <w:tc>
          <w:tcPr>
            <w:tcW w:type="dxa" w:w="3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Forfait – frais directs</w:t>
            </w:r>
          </w:p>
        </w:tc>
      </w:tr>
      <w:tr>
        <w:trPr>
          <w:cantSplit/>
        </w:trPr>
        <w:tc>
          <w:tcPr>
            <w:tcW w:type="dxa" w:w="42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Dossiers nécessaires par mois</w:t>
            </w:r>
          </w:p>
        </w:tc>
        <w:tc>
          <w:tcPr>
            <w:tcW w:type="dxa" w:w="24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 11</w:t>
            </w:r>
          </w:p>
        </w:tc>
        <w:tc>
          <w:tcPr>
            <w:tcW w:type="dxa" w:w="3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3 900 € ÷ 350 €</w:t>
            </w:r>
          </w:p>
        </w:tc>
      </w:tr>
    </w:tbl>
    <w:p>
      <w:pPr>
        <w:spacing w:after="80"/>
      </w:pPr>
    </w:p>
    <w:p>
      <w:pPr>
        <w:spacing w:after="120" w:line="276"/>
      </w:pPr>
      <w:r>
        <w:rPr>
          <w:rFonts w:ascii="Calibri" w:cs="Calibri" w:eastAsia="Calibri" w:hAnsi="Calibri"/>
          <w:sz w:val="22"/>
          <w:szCs w:val="22"/>
        </w:rPr>
        <w:t xml:space="preserve">À compléter avec les vrais chiffres : coût du véhicule, prix des cercueils/marchandises, rémunération visée, temps moyen par dossier, taux de cotisation du statut retenu.</w:t>
      </w:r>
    </w:p>
    <w:p>
      <w:pPr>
        <w:pStyle w:val="Heading2"/>
        <w:keepNext/>
        <w:spacing w:after="120" w:before="280"/>
      </w:pPr>
      <w:r>
        <w:rPr>
          <w:rFonts w:ascii="Calibri" w:cs="Calibri" w:eastAsia="Calibri" w:hAnsi="Calibri"/>
          <w:b/>
          <w:bCs/>
          <w:color w:val="5B7F6B"/>
          <w:sz w:val="28"/>
          <w:szCs w:val="28"/>
        </w:rPr>
        <w:t xml:space="preserve">4.6 Trésorerie : ce qui se passe réellement</w:t>
      </w:r>
    </w:p>
    <w:p>
      <w:pPr>
        <w:pStyle w:val="ListParagraph"/>
        <w:numPr>
          <w:ilvl w:val="0"/>
          <w:numId w:val="2"/>
        </w:numPr>
        <w:spacing w:after="60" w:line="264"/>
      </w:pPr>
      <w:r>
        <w:rPr>
          <w:rFonts w:ascii="Calibri" w:cs="Calibri" w:eastAsia="Calibri" w:hAnsi="Calibri"/>
          <w:sz w:val="22"/>
          <w:szCs w:val="22"/>
        </w:rPr>
        <w:t xml:space="preserve">Les familles paient parfois </w:t>
      </w:r>
      <w:r>
        <w:rPr>
          <w:rFonts w:ascii="Calibri" w:cs="Calibri" w:eastAsia="Calibri" w:hAnsi="Calibri"/>
          <w:b/>
          <w:bCs/>
          <w:sz w:val="22"/>
          <w:szCs w:val="22"/>
        </w:rPr>
        <w:t xml:space="preserve">tard</w:t>
      </w:r>
      <w:r>
        <w:rPr>
          <w:rFonts w:ascii="Calibri" w:cs="Calibri" w:eastAsia="Calibri" w:hAnsi="Calibri"/>
          <w:sz w:val="22"/>
          <w:szCs w:val="22"/>
        </w:rPr>
        <w:t xml:space="preserve"> (blocage des comptes du défunt). Prévoir une réserve de trésorerie de </w:t>
      </w:r>
      <w:r>
        <w:rPr>
          <w:rFonts w:ascii="Calibri" w:cs="Calibri" w:eastAsia="Calibri" w:hAnsi="Calibri"/>
          <w:b/>
          <w:bCs/>
          <w:sz w:val="22"/>
          <w:szCs w:val="22"/>
        </w:rPr>
        <w:t xml:space="preserve">2 à 3 mois</w:t>
      </w:r>
      <w:r>
        <w:rPr>
          <w:rFonts w:ascii="Calibri" w:cs="Calibri" w:eastAsia="Calibri" w:hAnsi="Calibri"/>
          <w:sz w:val="22"/>
          <w:szCs w:val="22"/>
        </w:rPr>
        <w:t xml:space="preserve"> de charges, et un moyen de paiement flexible (échelonnement encadré).</w:t>
      </w:r>
    </w:p>
    <w:p>
      <w:pPr>
        <w:pStyle w:val="ListParagraph"/>
        <w:numPr>
          <w:ilvl w:val="0"/>
          <w:numId w:val="2"/>
        </w:numPr>
        <w:spacing w:after="60" w:line="264"/>
      </w:pPr>
      <w:r>
        <w:rPr>
          <w:rFonts w:ascii="Calibri" w:cs="Calibri" w:eastAsia="Calibri" w:hAnsi="Calibri"/>
          <w:sz w:val="22"/>
          <w:szCs w:val="22"/>
        </w:rPr>
        <w:t xml:space="preserve">Mettre en place un </w:t>
      </w:r>
      <w:r>
        <w:rPr>
          <w:rFonts w:ascii="Calibri" w:cs="Calibri" w:eastAsia="Calibri" w:hAnsi="Calibri"/>
          <w:b/>
          <w:bCs/>
          <w:sz w:val="22"/>
          <w:szCs w:val="22"/>
        </w:rPr>
        <w:t xml:space="preserve">suivi de recouvrement</w:t>
      </w:r>
      <w:r>
        <w:rPr>
          <w:rFonts w:ascii="Calibri" w:cs="Calibri" w:eastAsia="Calibri" w:hAnsi="Calibri"/>
          <w:sz w:val="22"/>
          <w:szCs w:val="22"/>
        </w:rPr>
        <w:t xml:space="preserve"> : relance courtoise, sans harceler une famille endeuillée.</w:t>
      </w:r>
    </w:p>
    <w:p>
      <w:pPr>
        <w:pStyle w:val="ListParagraph"/>
        <w:numPr>
          <w:ilvl w:val="0"/>
          <w:numId w:val="2"/>
        </w:numPr>
        <w:spacing w:after="60" w:line="264"/>
      </w:pPr>
      <w:r>
        <w:rPr>
          <w:rFonts w:ascii="Calibri" w:cs="Calibri" w:eastAsia="Calibri" w:hAnsi="Calibri"/>
          <w:sz w:val="22"/>
          <w:szCs w:val="22"/>
        </w:rPr>
        <w:t xml:space="preserve">Saisonnalité : pics d’hiver (décès plus fréquents), pic mémoriel autour de la Toussaint (1er novembre) pour l’entretien de tombes.</w:t>
      </w:r>
    </w:p>
    <w:p>
      <w:pPr>
        <w:pStyle w:val="Heading2"/>
        <w:keepNext/>
        <w:spacing w:after="120" w:before="280"/>
      </w:pPr>
      <w:r>
        <w:rPr>
          <w:rFonts w:ascii="Calibri" w:cs="Calibri" w:eastAsia="Calibri" w:hAnsi="Calibri"/>
          <w:b/>
          <w:bCs/>
          <w:color w:val="5B7F6B"/>
          <w:sz w:val="28"/>
          <w:szCs w:val="28"/>
        </w:rPr>
        <w:t xml:space="preserve">4.7 Tableau de bord à suivre chaque mois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0"/>
        <w:gridCol w:w="4638"/>
      </w:tblGrid>
      <w:tr>
        <w:trPr>
          <w:cantSplit/>
          <w:tblHeader/>
        </w:trPr>
        <w:tc>
          <w:tcPr>
            <w:tcW w:type="dxa" w:w="50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Indicateur</w:t>
            </w:r>
          </w:p>
        </w:tc>
        <w:tc>
          <w:tcPr>
            <w:tcW w:type="dxa" w:w="46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Pourquoi</w:t>
            </w:r>
          </w:p>
        </w:tc>
      </w:tr>
      <w:tr>
        <w:trPr>
          <w:cantSplit/>
        </w:trPr>
        <w:tc>
          <w:tcPr>
            <w:tcW w:type="dxa" w:w="5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Nombre de dossiers ouverts / clos</w:t>
            </w:r>
          </w:p>
        </w:tc>
        <w:tc>
          <w:tcPr>
            <w:tcW w:type="dxa" w:w="4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Charge de travail et délai moyen</w:t>
            </w:r>
          </w:p>
        </w:tc>
      </w:tr>
      <w:tr>
        <w:trPr>
          <w:cantSplit/>
        </w:trPr>
        <w:tc>
          <w:tcPr>
            <w:tcW w:type="dxa" w:w="5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CA par pôle (A, B, C, D)</w:t>
            </w:r>
          </w:p>
        </w:tc>
        <w:tc>
          <w:tcPr>
            <w:tcW w:type="dxa" w:w="4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Savoir ce qui fait vivre l’activité</w:t>
            </w:r>
          </w:p>
        </w:tc>
      </w:tr>
      <w:tr>
        <w:trPr>
          <w:cantSplit/>
        </w:trPr>
        <w:tc>
          <w:tcPr>
            <w:tcW w:type="dxa" w:w="5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Marge moyenne par dossier</w:t>
            </w:r>
          </w:p>
        </w:tc>
        <w:tc>
          <w:tcPr>
            <w:tcW w:type="dxa" w:w="4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Rentabilité réelle</w:t>
            </w:r>
          </w:p>
        </w:tc>
      </w:tr>
      <w:tr>
        <w:trPr>
          <w:cantSplit/>
        </w:trPr>
        <w:tc>
          <w:tcPr>
            <w:tcW w:type="dxa" w:w="5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Délai moyen de paiement</w:t>
            </w:r>
          </w:p>
        </w:tc>
        <w:tc>
          <w:tcPr>
            <w:tcW w:type="dxa" w:w="4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Trésorerie</w:t>
            </w:r>
          </w:p>
        </w:tc>
      </w:tr>
      <w:tr>
        <w:trPr>
          <w:cantSplit/>
        </w:trPr>
        <w:tc>
          <w:tcPr>
            <w:tcW w:type="dxa" w:w="5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Origine des contacts (Google, bouche-à-oreille, partenaires…)</w:t>
            </w:r>
          </w:p>
        </w:tc>
        <w:tc>
          <w:tcPr>
            <w:tcW w:type="dxa" w:w="4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Décider où investir en communication</w:t>
            </w:r>
          </w:p>
        </w:tc>
      </w:tr>
      <w:tr>
        <w:trPr>
          <w:cantSplit/>
        </w:trPr>
        <w:tc>
          <w:tcPr>
            <w:tcW w:type="dxa" w:w="5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Avis reçus et note moyenne</w:t>
            </w:r>
          </w:p>
        </w:tc>
        <w:tc>
          <w:tcPr>
            <w:tcW w:type="dxa" w:w="4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Réputation, référencement local</w:t>
            </w:r>
          </w:p>
        </w:tc>
      </w:tr>
    </w:tbl>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5. Assurances et responsabilités</w:t>
      </w:r>
    </w:p>
    <w:p>
      <w:pPr>
        <w:spacing w:after="120" w:line="276"/>
      </w:pPr>
      <w:r>
        <w:rPr>
          <w:rFonts w:ascii="Calibri" w:cs="Calibri" w:eastAsia="Calibri" w:hAnsi="Calibri"/>
          <w:sz w:val="22"/>
          <w:szCs w:val="22"/>
        </w:rPr>
        <w:t xml:space="preserve">Dans un métier où l’on manipule des </w:t>
      </w:r>
      <w:r>
        <w:rPr>
          <w:rFonts w:ascii="Calibri" w:cs="Calibri" w:eastAsia="Calibri" w:hAnsi="Calibri"/>
          <w:b/>
          <w:bCs/>
          <w:sz w:val="22"/>
          <w:szCs w:val="22"/>
        </w:rPr>
        <w:t xml:space="preserve">corps, des biens précieux et des documents originaux</w:t>
      </w:r>
      <w:r>
        <w:rPr>
          <w:rFonts w:ascii="Calibri" w:cs="Calibri" w:eastAsia="Calibri" w:hAnsi="Calibri"/>
          <w:sz w:val="22"/>
          <w:szCs w:val="22"/>
        </w:rPr>
        <w:t xml:space="preserve">, l’assurance n’est pas un détail : c’est ce qui protège l’entreprise le jour où quelque chose tourne mal.</w:t>
      </w:r>
    </w:p>
    <w:p>
      <w:pPr>
        <w:pStyle w:val="Heading2"/>
        <w:keepNext/>
        <w:spacing w:after="120" w:before="280"/>
      </w:pPr>
      <w:r>
        <w:rPr>
          <w:rFonts w:ascii="Calibri" w:cs="Calibri" w:eastAsia="Calibri" w:hAnsi="Calibri"/>
          <w:b/>
          <w:bCs/>
          <w:color w:val="5B7F6B"/>
          <w:sz w:val="28"/>
          <w:szCs w:val="28"/>
        </w:rPr>
        <w:t xml:space="preserve">5.1 Les assurances à étudier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3800"/>
        <w:gridCol w:w="3538"/>
      </w:tblGrid>
      <w:tr>
        <w:trPr>
          <w:cantSplit/>
          <w:tblHeader/>
        </w:trPr>
        <w:tc>
          <w:tcPr>
            <w:tcW w:type="dxa" w:w="23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Assurance</w:t>
            </w:r>
          </w:p>
        </w:tc>
        <w:tc>
          <w:tcPr>
            <w:tcW w:type="dxa" w:w="38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Ce qu’elle couvre</w:t>
            </w:r>
          </w:p>
        </w:tc>
        <w:tc>
          <w:tcPr>
            <w:tcW w:type="dxa" w:w="35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Points de vigilance</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RC Professionnelle (RC Pro)</w:t>
            </w:r>
          </w:p>
        </w:tc>
        <w:tc>
          <w:tcPr>
            <w:tcW w:type="dxa" w:w="38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Dommages causés aux clients par une faute, erreur, oubli ou négligence dans la prestation (ex. erreur de démarche, retard préjudiciable, mauvaise information)</w:t>
            </w:r>
          </w:p>
        </w:tc>
        <w:tc>
          <w:tcPr>
            <w:tcW w:type="dxa" w:w="35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Vérifier que </w:t>
            </w:r>
            <w:r>
              <w:rPr>
                <w:rFonts w:ascii="Calibri" w:cs="Calibri" w:eastAsia="Calibri" w:hAnsi="Calibri"/>
                <w:b w:val="false"/>
                <w:bCs w:val="false"/>
                <w:sz w:val="20"/>
                <w:szCs w:val="20"/>
              </w:rPr>
              <w:t xml:space="preserve">chaque pôle</w:t>
            </w:r>
            <w:r>
              <w:rPr>
                <w:rFonts w:ascii="Calibri" w:cs="Calibri" w:eastAsia="Calibri" w:hAnsi="Calibri"/>
                <w:b w:val="false"/>
                <w:bCs w:val="false"/>
                <w:sz w:val="20"/>
                <w:szCs w:val="20"/>
              </w:rPr>
              <w:t xml:space="preserve"> est bien déclaré (funéraire, démarches/conseil, entretien de tombes, bien-être). Plafonds de garantie, franchise, exclusions</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RC Exploitation / Responsabilité civile générale</w:t>
            </w:r>
          </w:p>
        </w:tc>
        <w:tc>
          <w:tcPr>
            <w:tcW w:type="dxa" w:w="38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Dommages corporels/matériels causés à un tiers lors d’une intervention (cimetière, domicile, cérémonie)</w:t>
            </w:r>
          </w:p>
        </w:tc>
        <w:tc>
          <w:tcPr>
            <w:tcW w:type="dxa" w:w="35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Intervention en cimetière : dégradation d’une tombe voisine ?</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Biens confiés / dépositaire</w:t>
            </w:r>
          </w:p>
        </w:tc>
        <w:tc>
          <w:tcPr>
            <w:tcW w:type="dxa" w:w="38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Documents, objets personnels, bijoux, vêtements confiés à l’entreprise</w:t>
            </w:r>
          </w:p>
        </w:tc>
        <w:tc>
          <w:tcPr>
            <w:tcW w:type="dxa" w:w="35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Inventaire à la remise ; plafond par objet</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Assurance véhicule (corbillard / véhicule de transport)</w:t>
            </w:r>
          </w:p>
        </w:tc>
        <w:tc>
          <w:tcPr>
            <w:tcW w:type="dxa" w:w="38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Véhicule aménagé, transport de corps</w:t>
            </w:r>
          </w:p>
        </w:tc>
        <w:tc>
          <w:tcPr>
            <w:tcW w:type="dxa" w:w="35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Contrat spécifique ; vérifier la conformité du véhicule exigée pour l’habilitation</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Multirisque professionnelle (local, matériel)</w:t>
            </w:r>
          </w:p>
        </w:tc>
        <w:tc>
          <w:tcPr>
            <w:tcW w:type="dxa" w:w="38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Incendie, dégâts des eaux, vol, bris</w:t>
            </w:r>
          </w:p>
        </w:tc>
        <w:tc>
          <w:tcPr>
            <w:tcW w:type="dxa" w:w="35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Si local ouvert au public ou chambre funéraire : exigences plus strictes</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Protection juridique</w:t>
            </w:r>
          </w:p>
        </w:tc>
        <w:tc>
          <w:tcPr>
            <w:tcW w:type="dxa" w:w="38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Frais de défense en cas de litige</w:t>
            </w:r>
          </w:p>
        </w:tc>
        <w:tc>
          <w:tcPr>
            <w:tcW w:type="dxa" w:w="35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Utile face aux contestations de familles ou de fournisseurs</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Cyber-risques</w:t>
            </w:r>
          </w:p>
        </w:tc>
        <w:tc>
          <w:tcPr>
            <w:tcW w:type="dxa" w:w="38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Fuite ou perte de données de familles</w:t>
            </w:r>
          </w:p>
        </w:tc>
        <w:tc>
          <w:tcPr>
            <w:tcW w:type="dxa" w:w="35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Cohérent avec le RGPD</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Prévoyance / santé du dirigeant</w:t>
            </w:r>
          </w:p>
        </w:tc>
        <w:tc>
          <w:tcPr>
            <w:tcW w:type="dxa" w:w="38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Arrêt maladie, invalidité, décès de l’exploitant</w:t>
            </w:r>
          </w:p>
        </w:tc>
        <w:tc>
          <w:tcPr>
            <w:tcW w:type="dxa" w:w="35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Souvent oubliée : crucial pour une activité reposant sur une personne</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Garantie financière (selon cas)</w:t>
            </w:r>
          </w:p>
        </w:tc>
        <w:tc>
          <w:tcPr>
            <w:tcW w:type="dxa" w:w="38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Fonds reçus des familles</w:t>
            </w:r>
          </w:p>
        </w:tc>
        <w:tc>
          <w:tcPr>
            <w:tcW w:type="dxa" w:w="35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À vérifier si l’entreprise perçoit des acomptes ou gère des contrats prévoyance obsèques</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8A00" w:sz="24"/>
              <w:bottom w:val="none" w:color="FFFFFF" w:sz="0"/>
              <w:right w:val="none" w:color="FFFFFF" w:sz="0"/>
            </w:tcBorders>
            <w:shd w:fill="FFF4DC" w:color="auto" w:val="clear"/>
            <w:tcMar>
              <w:top w:type="dxa" w:w="100"/>
              <w:left w:type="dxa" w:w="180"/>
              <w:bottom w:type="dxa" w:w="100"/>
              <w:right w:type="dxa" w:w="160"/>
            </w:tcMar>
          </w:tcPr>
          <w:p>
            <w:pPr>
              <w:spacing w:after="60"/>
            </w:pPr>
            <w:r>
              <w:rPr>
                <w:rFonts w:ascii="Calibri" w:cs="Calibri" w:eastAsia="Calibri" w:hAnsi="Calibri"/>
                <w:b/>
                <w:bCs/>
                <w:color w:val="C98A00"/>
                <w:sz w:val="22"/>
                <w:szCs w:val="22"/>
              </w:rPr>
              <w:t xml:space="preserve">⚠ À confirmer avant de s’engager</w:t>
            </w:r>
          </w:p>
          <w:p>
            <w:pPr>
              <w:spacing w:after="50"/>
            </w:pPr>
            <w:r>
              <w:rPr>
                <w:rFonts w:ascii="Calibri" w:cs="Calibri" w:eastAsia="Calibri" w:hAnsi="Calibri"/>
                <w:sz w:val="21"/>
                <w:szCs w:val="21"/>
              </w:rPr>
              <w:t xml:space="preserve">Je n’ai pas pu confirmer, dans les sources consultées, si la </w:t>
            </w:r>
            <w:r>
              <w:rPr>
                <w:rFonts w:ascii="Calibri" w:cs="Calibri" w:eastAsia="Calibri" w:hAnsi="Calibri"/>
                <w:b/>
                <w:bCs/>
                <w:sz w:val="21"/>
                <w:szCs w:val="21"/>
              </w:rPr>
              <w:t xml:space="preserve">RC Pro est légalement obligatoire</w:t>
            </w:r>
            <w:r>
              <w:rPr>
                <w:rFonts w:ascii="Calibri" w:cs="Calibri" w:eastAsia="Calibri" w:hAnsi="Calibri"/>
                <w:sz w:val="21"/>
                <w:szCs w:val="21"/>
              </w:rPr>
              <w:t xml:space="preserve"> pour l’activité funéraire ni les </w:t>
            </w:r>
            <w:r>
              <w:rPr>
                <w:rFonts w:ascii="Calibri" w:cs="Calibri" w:eastAsia="Calibri" w:hAnsi="Calibri"/>
                <w:b/>
                <w:bCs/>
                <w:sz w:val="21"/>
                <w:szCs w:val="21"/>
              </w:rPr>
              <w:t xml:space="preserve">garanties minimales</w:t>
            </w:r>
            <w:r>
              <w:rPr>
                <w:rFonts w:ascii="Calibri" w:cs="Calibri" w:eastAsia="Calibri" w:hAnsi="Calibri"/>
                <w:sz w:val="21"/>
                <w:szCs w:val="21"/>
              </w:rPr>
              <w:t xml:space="preserve"> éventuellement exigées par la préfecture pour l’habilitation. </w:t>
            </w:r>
            <w:r>
              <w:rPr>
                <w:rFonts w:ascii="Calibri" w:cs="Calibri" w:eastAsia="Calibri" w:hAnsi="Calibri"/>
                <w:b/>
                <w:bCs/>
                <w:sz w:val="21"/>
                <w:szCs w:val="21"/>
              </w:rPr>
              <w:t xml:space="preserve">À demander à la préfecture et à un courtier spécialisé funéraire.</w:t>
            </w:r>
            <w:r>
              <w:rPr>
                <w:rFonts w:ascii="Calibri" w:cs="Calibri" w:eastAsia="Calibri" w:hAnsi="Calibri"/>
                <w:sz w:val="21"/>
                <w:szCs w:val="21"/>
              </w:rPr>
              <w:t xml:space="preserve"> Dans tous les cas, c’est indispensable en pratique.</w:t>
            </w:r>
          </w:p>
        </w:tc>
      </w:tr>
    </w:tbl>
    <w:p>
      <w:pPr>
        <w:pStyle w:val="Heading2"/>
        <w:keepNext/>
        <w:spacing w:after="120" w:before="280"/>
      </w:pPr>
      <w:r>
        <w:rPr>
          <w:rFonts w:ascii="Calibri" w:cs="Calibri" w:eastAsia="Calibri" w:hAnsi="Calibri"/>
          <w:b/>
          <w:bCs/>
          <w:color w:val="5B7F6B"/>
          <w:sz w:val="28"/>
          <w:szCs w:val="28"/>
        </w:rPr>
        <w:t xml:space="preserve">5.2 Comment choisir</w:t>
      </w:r>
    </w:p>
    <w:p>
      <w:pPr>
        <w:pStyle w:val="ListParagraph"/>
        <w:numPr>
          <w:ilvl w:val="0"/>
          <w:numId w:val="2"/>
        </w:numPr>
        <w:spacing w:after="60" w:line="264"/>
      </w:pPr>
      <w:r>
        <w:rPr>
          <w:rFonts w:ascii="Calibri" w:cs="Calibri" w:eastAsia="Calibri" w:hAnsi="Calibri"/>
          <w:sz w:val="22"/>
          <w:szCs w:val="22"/>
        </w:rPr>
        <w:t xml:space="preserve">Passer par un </w:t>
      </w:r>
      <w:r>
        <w:rPr>
          <w:rFonts w:ascii="Calibri" w:cs="Calibri" w:eastAsia="Calibri" w:hAnsi="Calibri"/>
          <w:b/>
          <w:bCs/>
          <w:sz w:val="22"/>
          <w:szCs w:val="22"/>
        </w:rPr>
        <w:t xml:space="preserve">courtier ou un assureur qui connaît le funéraire</w:t>
      </w:r>
      <w:r>
        <w:rPr>
          <w:rFonts w:ascii="Calibri" w:cs="Calibri" w:eastAsia="Calibri" w:hAnsi="Calibri"/>
          <w:sz w:val="22"/>
          <w:szCs w:val="22"/>
        </w:rPr>
        <w:t xml:space="preserve"> : les contrats « généralistes » excluent parfois ces activités.</w:t>
      </w:r>
    </w:p>
    <w:p>
      <w:pPr>
        <w:pStyle w:val="ListParagraph"/>
        <w:numPr>
          <w:ilvl w:val="0"/>
          <w:numId w:val="2"/>
        </w:numPr>
        <w:spacing w:after="60" w:line="264"/>
      </w:pPr>
      <w:r>
        <w:rPr>
          <w:rFonts w:ascii="Calibri" w:cs="Calibri" w:eastAsia="Calibri" w:hAnsi="Calibri"/>
          <w:sz w:val="22"/>
          <w:szCs w:val="22"/>
        </w:rPr>
        <w:t xml:space="preserve">Demander par écrit si le contrat couvre : l’activité de </w:t>
      </w:r>
      <w:r>
        <w:rPr>
          <w:rFonts w:ascii="Calibri" w:cs="Calibri" w:eastAsia="Calibri" w:hAnsi="Calibri"/>
          <w:b/>
          <w:bCs/>
          <w:sz w:val="22"/>
          <w:szCs w:val="22"/>
        </w:rPr>
        <w:t xml:space="preserve">conseil administratif</w:t>
      </w:r>
      <w:r>
        <w:rPr>
          <w:rFonts w:ascii="Calibri" w:cs="Calibri" w:eastAsia="Calibri" w:hAnsi="Calibri"/>
          <w:sz w:val="22"/>
          <w:szCs w:val="22"/>
        </w:rPr>
        <w:t xml:space="preserve">, le </w:t>
      </w:r>
      <w:r>
        <w:rPr>
          <w:rFonts w:ascii="Calibri" w:cs="Calibri" w:eastAsia="Calibri" w:hAnsi="Calibri"/>
          <w:b/>
          <w:bCs/>
          <w:sz w:val="22"/>
          <w:szCs w:val="22"/>
        </w:rPr>
        <w:t xml:space="preserve">transport de corps</w:t>
      </w:r>
      <w:r>
        <w:rPr>
          <w:rFonts w:ascii="Calibri" w:cs="Calibri" w:eastAsia="Calibri" w:hAnsi="Calibri"/>
          <w:sz w:val="22"/>
          <w:szCs w:val="22"/>
        </w:rPr>
        <w:t xml:space="preserve">, l’</w:t>
      </w:r>
      <w:r>
        <w:rPr>
          <w:rFonts w:ascii="Calibri" w:cs="Calibri" w:eastAsia="Calibri" w:hAnsi="Calibri"/>
          <w:b/>
          <w:bCs/>
          <w:sz w:val="22"/>
          <w:szCs w:val="22"/>
        </w:rPr>
        <w:t xml:space="preserve">intervention en cimetière</w:t>
      </w:r>
      <w:r>
        <w:rPr>
          <w:rFonts w:ascii="Calibri" w:cs="Calibri" w:eastAsia="Calibri" w:hAnsi="Calibri"/>
          <w:sz w:val="22"/>
          <w:szCs w:val="22"/>
        </w:rPr>
        <w:t xml:space="preserve">, le </w:t>
      </w:r>
      <w:r>
        <w:rPr>
          <w:rFonts w:ascii="Calibri" w:cs="Calibri" w:eastAsia="Calibri" w:hAnsi="Calibri"/>
          <w:b/>
          <w:bCs/>
          <w:sz w:val="22"/>
          <w:szCs w:val="22"/>
        </w:rPr>
        <w:t xml:space="preserve">bien-être/écoute</w:t>
      </w:r>
      <w:r>
        <w:rPr>
          <w:rFonts w:ascii="Calibri" w:cs="Calibri" w:eastAsia="Calibri" w:hAnsi="Calibri"/>
          <w:sz w:val="22"/>
          <w:szCs w:val="22"/>
        </w:rPr>
        <w:t xml:space="preserve">, et la </w:t>
      </w:r>
      <w:r>
        <w:rPr>
          <w:rFonts w:ascii="Calibri" w:cs="Calibri" w:eastAsia="Calibri" w:hAnsi="Calibri"/>
          <w:b/>
          <w:bCs/>
          <w:sz w:val="22"/>
          <w:szCs w:val="22"/>
        </w:rPr>
        <w:t xml:space="preserve">vente de textile</w:t>
      </w:r>
      <w:r>
        <w:rPr>
          <w:rFonts w:ascii="Calibri" w:cs="Calibri" w:eastAsia="Calibri" w:hAnsi="Calibri"/>
          <w:sz w:val="22"/>
          <w:szCs w:val="22"/>
        </w:rPr>
        <w:t xml:space="preserve">.</w:t>
      </w:r>
    </w:p>
    <w:p>
      <w:pPr>
        <w:pStyle w:val="ListParagraph"/>
        <w:numPr>
          <w:ilvl w:val="0"/>
          <w:numId w:val="2"/>
        </w:numPr>
        <w:spacing w:after="60" w:line="264"/>
      </w:pPr>
      <w:r>
        <w:rPr>
          <w:rFonts w:ascii="Calibri" w:cs="Calibri" w:eastAsia="Calibri" w:hAnsi="Calibri"/>
          <w:sz w:val="22"/>
          <w:szCs w:val="22"/>
        </w:rPr>
        <w:t xml:space="preserve">Comparer au moins </w:t>
      </w:r>
      <w:r>
        <w:rPr>
          <w:rFonts w:ascii="Calibri" w:cs="Calibri" w:eastAsia="Calibri" w:hAnsi="Calibri"/>
          <w:b/>
          <w:bCs/>
          <w:sz w:val="22"/>
          <w:szCs w:val="22"/>
        </w:rPr>
        <w:t xml:space="preserve">trois devis</w:t>
      </w:r>
      <w:r>
        <w:rPr>
          <w:rFonts w:ascii="Calibri" w:cs="Calibri" w:eastAsia="Calibri" w:hAnsi="Calibri"/>
          <w:sz w:val="22"/>
          <w:szCs w:val="22"/>
        </w:rPr>
        <w:t xml:space="preserve"> : garanties, plafonds, franchises, exclusions, prime.</w:t>
      </w:r>
    </w:p>
    <w:p>
      <w:pPr>
        <w:pStyle w:val="ListParagraph"/>
        <w:numPr>
          <w:ilvl w:val="0"/>
          <w:numId w:val="2"/>
        </w:numPr>
        <w:spacing w:after="60" w:line="264"/>
      </w:pPr>
      <w:r>
        <w:rPr>
          <w:rFonts w:ascii="Calibri" w:cs="Calibri" w:eastAsia="Calibri" w:hAnsi="Calibri"/>
          <w:sz w:val="22"/>
          <w:szCs w:val="22"/>
        </w:rPr>
        <w:t xml:space="preserve">Réviser le contrat chaque année et à chaque nouvelle activité.</w:t>
      </w:r>
    </w:p>
    <w:p>
      <w:pPr>
        <w:pStyle w:val="Heading2"/>
        <w:keepNext/>
        <w:spacing w:after="120" w:before="280"/>
      </w:pPr>
      <w:r>
        <w:rPr>
          <w:rFonts w:ascii="Calibri" w:cs="Calibri" w:eastAsia="Calibri" w:hAnsi="Calibri"/>
          <w:b/>
          <w:bCs/>
          <w:color w:val="5B7F6B"/>
          <w:sz w:val="28"/>
          <w:szCs w:val="28"/>
        </w:rPr>
        <w:t xml:space="preserve">5.3 Réduire le risque en amont (pratiques)</w:t>
      </w:r>
    </w:p>
    <w:p>
      <w:pPr>
        <w:pStyle w:val="ListParagraph"/>
        <w:numPr>
          <w:ilvl w:val="0"/>
          <w:numId w:val="2"/>
        </w:numPr>
        <w:spacing w:after="60" w:line="264"/>
      </w:pPr>
      <w:r>
        <w:rPr>
          <w:rFonts w:ascii="Calibri" w:cs="Calibri" w:eastAsia="Calibri" w:hAnsi="Calibri"/>
          <w:b/>
          <w:bCs/>
          <w:sz w:val="22"/>
          <w:szCs w:val="22"/>
        </w:rPr>
        <w:t xml:space="preserve">Devis et mandats signés</w:t>
      </w:r>
      <w:r>
        <w:rPr>
          <w:rFonts w:ascii="Calibri" w:cs="Calibri" w:eastAsia="Calibri" w:hAnsi="Calibri"/>
          <w:sz w:val="22"/>
          <w:szCs w:val="22"/>
        </w:rPr>
        <w:t xml:space="preserve"> pour toute intervention ; périmètre écrit.</w:t>
      </w:r>
    </w:p>
    <w:p>
      <w:pPr>
        <w:pStyle w:val="ListParagraph"/>
        <w:numPr>
          <w:ilvl w:val="0"/>
          <w:numId w:val="2"/>
        </w:numPr>
        <w:spacing w:after="60" w:line="264"/>
      </w:pPr>
      <w:r>
        <w:rPr>
          <w:rFonts w:ascii="Calibri" w:cs="Calibri" w:eastAsia="Calibri" w:hAnsi="Calibri"/>
          <w:b/>
          <w:bCs/>
          <w:sz w:val="22"/>
          <w:szCs w:val="22"/>
        </w:rPr>
        <w:t xml:space="preserve">Inventaire</w:t>
      </w:r>
      <w:r>
        <w:rPr>
          <w:rFonts w:ascii="Calibri" w:cs="Calibri" w:eastAsia="Calibri" w:hAnsi="Calibri"/>
          <w:sz w:val="22"/>
          <w:szCs w:val="22"/>
        </w:rPr>
        <w:t xml:space="preserve"> des documents et objets confiés, signé à la remise et à la restitution.</w:t>
      </w:r>
    </w:p>
    <w:p>
      <w:pPr>
        <w:pStyle w:val="ListParagraph"/>
        <w:numPr>
          <w:ilvl w:val="0"/>
          <w:numId w:val="2"/>
        </w:numPr>
        <w:spacing w:after="60" w:line="264"/>
      </w:pPr>
      <w:r>
        <w:rPr>
          <w:rFonts w:ascii="Calibri" w:cs="Calibri" w:eastAsia="Calibri" w:hAnsi="Calibri"/>
          <w:b/>
          <w:bCs/>
          <w:sz w:val="22"/>
          <w:szCs w:val="22"/>
        </w:rPr>
        <w:t xml:space="preserve">Traçabilité</w:t>
      </w:r>
      <w:r>
        <w:rPr>
          <w:rFonts w:ascii="Calibri" w:cs="Calibri" w:eastAsia="Calibri" w:hAnsi="Calibri"/>
          <w:sz w:val="22"/>
          <w:szCs w:val="22"/>
        </w:rPr>
        <w:t xml:space="preserve"> : journal par dossier, photos avant/après pour l’entretien de tombes.</w:t>
      </w:r>
    </w:p>
    <w:p>
      <w:pPr>
        <w:pStyle w:val="ListParagraph"/>
        <w:numPr>
          <w:ilvl w:val="0"/>
          <w:numId w:val="2"/>
        </w:numPr>
        <w:spacing w:after="60" w:line="264"/>
      </w:pPr>
      <w:r>
        <w:rPr>
          <w:rFonts w:ascii="Calibri" w:cs="Calibri" w:eastAsia="Calibri" w:hAnsi="Calibri"/>
          <w:b/>
          <w:bCs/>
          <w:sz w:val="22"/>
          <w:szCs w:val="22"/>
        </w:rPr>
        <w:t xml:space="preserve">Double vérification</w:t>
      </w:r>
      <w:r>
        <w:rPr>
          <w:rFonts w:ascii="Calibri" w:cs="Calibri" w:eastAsia="Calibri" w:hAnsi="Calibri"/>
          <w:sz w:val="22"/>
          <w:szCs w:val="22"/>
        </w:rPr>
        <w:t xml:space="preserve"> des informations sensibles (identités, dates, lieux, volontés).</w:t>
      </w:r>
    </w:p>
    <w:p>
      <w:pPr>
        <w:pStyle w:val="ListParagraph"/>
        <w:numPr>
          <w:ilvl w:val="0"/>
          <w:numId w:val="2"/>
        </w:numPr>
        <w:spacing w:after="60" w:line="264"/>
      </w:pPr>
      <w:r>
        <w:rPr>
          <w:rFonts w:ascii="Calibri" w:cs="Calibri" w:eastAsia="Calibri" w:hAnsi="Calibri"/>
          <w:b/>
          <w:bCs/>
          <w:sz w:val="22"/>
          <w:szCs w:val="22"/>
        </w:rPr>
        <w:t xml:space="preserve">Mention explicite</w:t>
      </w:r>
      <w:r>
        <w:rPr>
          <w:rFonts w:ascii="Calibri" w:cs="Calibri" w:eastAsia="Calibri" w:hAnsi="Calibri"/>
          <w:sz w:val="22"/>
          <w:szCs w:val="22"/>
        </w:rPr>
        <w:t xml:space="preserve"> : pas de conseil juridique/fiscal ; renvoi vers notaire/avocat.</w:t>
      </w:r>
    </w:p>
    <w:p>
      <w:pPr>
        <w:pStyle w:val="ListParagraph"/>
        <w:numPr>
          <w:ilvl w:val="0"/>
          <w:numId w:val="2"/>
        </w:numPr>
        <w:spacing w:after="60" w:line="264"/>
      </w:pPr>
      <w:r>
        <w:rPr>
          <w:rFonts w:ascii="Calibri" w:cs="Calibri" w:eastAsia="Calibri" w:hAnsi="Calibri"/>
          <w:b/>
          <w:bCs/>
          <w:sz w:val="22"/>
          <w:szCs w:val="22"/>
        </w:rPr>
        <w:t xml:space="preserve">Charte de qualité</w:t>
      </w:r>
      <w:r>
        <w:rPr>
          <w:rFonts w:ascii="Calibri" w:cs="Calibri" w:eastAsia="Calibri" w:hAnsi="Calibri"/>
          <w:sz w:val="22"/>
          <w:szCs w:val="22"/>
        </w:rPr>
        <w:t xml:space="preserve"> et procédure de réclamation connue des familles.</w:t>
      </w:r>
    </w:p>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6. L’offre de services, pôle par pôle</w:t>
      </w:r>
    </w:p>
    <w:p>
      <w:pPr>
        <w:pStyle w:val="Heading2"/>
        <w:keepNext/>
        <w:spacing w:after="120" w:before="280"/>
      </w:pPr>
      <w:r>
        <w:rPr>
          <w:rFonts w:ascii="Calibri" w:cs="Calibri" w:eastAsia="Calibri" w:hAnsi="Calibri"/>
          <w:b/>
          <w:bCs/>
          <w:color w:val="5B7F6B"/>
          <w:sz w:val="28"/>
          <w:szCs w:val="28"/>
        </w:rPr>
        <w:t xml:space="preserve">6.1 Pôle A — Funéraire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cantSplit/>
          <w:tblHeader/>
        </w:trPr>
        <w:tc>
          <w:tcPr>
            <w:tcW w:type="dxa" w:w="32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Prestation</w:t>
            </w:r>
          </w:p>
        </w:tc>
        <w:tc>
          <w:tcPr>
            <w:tcW w:type="dxa" w:w="64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Remarques</w:t>
            </w:r>
          </w:p>
        </w:tc>
      </w:tr>
      <w:tr>
        <w:trPr>
          <w:cantSplit/>
        </w:trPr>
        <w:tc>
          <w:tcPr>
            <w:tcW w:type="dxa" w:w="3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Premier rendez-vous et conseil</w:t>
            </w:r>
          </w:p>
        </w:tc>
        <w:tc>
          <w:tcPr>
            <w:tcW w:type="dxa" w:w="6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Écoute, volontés du défunt, budget, contrat obsèques existant</w:t>
            </w:r>
          </w:p>
        </w:tc>
      </w:tr>
      <w:tr>
        <w:trPr>
          <w:cantSplit/>
        </w:trPr>
        <w:tc>
          <w:tcPr>
            <w:tcW w:type="dxa" w:w="3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Organisation de la cérémonie</w:t>
            </w:r>
          </w:p>
        </w:tc>
        <w:tc>
          <w:tcPr>
            <w:tcW w:type="dxa" w:w="6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Lieu, officiant, musique, hommages, décoration</w:t>
            </w:r>
          </w:p>
        </w:tc>
      </w:tr>
      <w:tr>
        <w:trPr>
          <w:cantSplit/>
        </w:trPr>
        <w:tc>
          <w:tcPr>
            <w:tcW w:type="dxa" w:w="3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Transport de corps, mise en bière, soins de conservation</w:t>
            </w:r>
          </w:p>
        </w:tc>
        <w:tc>
          <w:tcPr>
            <w:tcW w:type="dxa" w:w="6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Régime réglementé</w:t>
            </w:r>
            <w:r>
              <w:rPr>
                <w:rFonts w:ascii="Calibri" w:cs="Calibri" w:eastAsia="Calibri" w:hAnsi="Calibri"/>
                <w:b w:val="false"/>
                <w:bCs w:val="false"/>
                <w:sz w:val="20"/>
                <w:szCs w:val="20"/>
              </w:rPr>
              <w:t xml:space="preserve"> : voir 2.1 et sous-traitance</w:t>
            </w:r>
          </w:p>
        </w:tc>
      </w:tr>
      <w:tr>
        <w:trPr>
          <w:cantSplit/>
        </w:trPr>
        <w:tc>
          <w:tcPr>
            <w:tcW w:type="dxa" w:w="3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Fourniture cercueil / urne / articles</w:t>
            </w:r>
          </w:p>
        </w:tc>
        <w:tc>
          <w:tcPr>
            <w:tcW w:type="dxa" w:w="6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Achat auprès de fournisseurs agréés ; marges à maîtriser</w:t>
            </w:r>
          </w:p>
        </w:tc>
      </w:tr>
      <w:tr>
        <w:trPr>
          <w:cantSplit/>
        </w:trPr>
        <w:tc>
          <w:tcPr>
            <w:tcW w:type="dxa" w:w="3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Inhumation, crémation, dispersion</w:t>
            </w:r>
          </w:p>
        </w:tc>
        <w:tc>
          <w:tcPr>
            <w:tcW w:type="dxa" w:w="6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Autorisations mairie/crématorium</w:t>
            </w:r>
          </w:p>
        </w:tc>
      </w:tr>
      <w:tr>
        <w:trPr>
          <w:cantSplit/>
        </w:trPr>
        <w:tc>
          <w:tcPr>
            <w:tcW w:type="dxa" w:w="3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Avis de décès, faire-part, livret de cérémonie</w:t>
            </w:r>
          </w:p>
        </w:tc>
        <w:tc>
          <w:tcPr>
            <w:tcW w:type="dxa" w:w="6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Synergie avec l’agence (création graphique, impression)</w:t>
            </w:r>
          </w:p>
        </w:tc>
      </w:tr>
      <w:tr>
        <w:trPr>
          <w:cantSplit/>
        </w:trPr>
        <w:tc>
          <w:tcPr>
            <w:tcW w:type="dxa" w:w="3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Marbrerie (monument, gravure)</w:t>
            </w:r>
          </w:p>
        </w:tc>
        <w:tc>
          <w:tcPr>
            <w:tcW w:type="dxa" w:w="6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Via marbrier partenaire (régime différent)</w:t>
            </w:r>
          </w:p>
        </w:tc>
      </w:tr>
    </w:tbl>
    <w:p>
      <w:pPr>
        <w:spacing w:after="80"/>
      </w:pPr>
    </w:p>
    <w:p>
      <w:pPr>
        <w:pStyle w:val="Heading2"/>
        <w:keepNext/>
        <w:spacing w:after="120" w:before="280"/>
      </w:pPr>
      <w:r>
        <w:rPr>
          <w:rFonts w:ascii="Calibri" w:cs="Calibri" w:eastAsia="Calibri" w:hAnsi="Calibri"/>
          <w:b/>
          <w:bCs/>
          <w:color w:val="5B7F6B"/>
          <w:sz w:val="28"/>
          <w:szCs w:val="28"/>
        </w:rPr>
        <w:t xml:space="preserve">6.2 Pôle B — Démarches post-décès (cœur de la valeur ajoutée)</w:t>
      </w:r>
    </w:p>
    <w:p>
      <w:pPr>
        <w:spacing w:after="120" w:line="276"/>
      </w:pPr>
      <w:r>
        <w:rPr>
          <w:rFonts w:ascii="Calibri" w:cs="Calibri" w:eastAsia="Calibri" w:hAnsi="Calibri"/>
          <w:sz w:val="22"/>
          <w:szCs w:val="22"/>
        </w:rPr>
        <w:t xml:space="preserve">Proposer des </w:t>
      </w:r>
      <w:r>
        <w:rPr>
          <w:rFonts w:ascii="Calibri" w:cs="Calibri" w:eastAsia="Calibri" w:hAnsi="Calibri"/>
          <w:b/>
          <w:bCs/>
          <w:sz w:val="22"/>
          <w:szCs w:val="22"/>
        </w:rPr>
        <w:t xml:space="preserve">formules</w:t>
      </w:r>
      <w:r>
        <w:rPr>
          <w:rFonts w:ascii="Calibri" w:cs="Calibri" w:eastAsia="Calibri" w:hAnsi="Calibri"/>
          <w:sz w:val="22"/>
          <w:szCs w:val="22"/>
        </w:rPr>
        <w:t xml:space="preserve"> plutôt qu’une prestation à la carte unique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4338"/>
        <w:gridCol w:w="3200"/>
      </w:tblGrid>
      <w:tr>
        <w:trPr>
          <w:cantSplit/>
          <w:tblHeader/>
        </w:trPr>
        <w:tc>
          <w:tcPr>
            <w:tcW w:type="dxa" w:w="21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Formule (exemple)</w:t>
            </w:r>
          </w:p>
        </w:tc>
        <w:tc>
          <w:tcPr>
            <w:tcW w:type="dxa" w:w="43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Contenu</w:t>
            </w:r>
          </w:p>
        </w:tc>
        <w:tc>
          <w:tcPr>
            <w:tcW w:type="dxa" w:w="32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Tarification (hypothèse)</w:t>
            </w:r>
          </w:p>
        </w:tc>
      </w:tr>
      <w:tr>
        <w:trPr>
          <w:cantSplit/>
        </w:trPr>
        <w:tc>
          <w:tcPr>
            <w:tcW w:type="dxa" w:w="21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Essentiel</w:t>
            </w:r>
          </w:p>
        </w:tc>
        <w:tc>
          <w:tcPr>
            <w:tcW w:type="dxa" w:w="4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Actes de décès, courriers aux banques, assureurs, caisses de retraite et mutuelle, tableau de suivi</w:t>
            </w:r>
          </w:p>
        </w:tc>
        <w:tc>
          <w:tcPr>
            <w:tcW w:type="dxa" w:w="32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Forfait fixe</w:t>
            </w:r>
          </w:p>
        </w:tc>
      </w:tr>
      <w:tr>
        <w:trPr>
          <w:cantSplit/>
        </w:trPr>
        <w:tc>
          <w:tcPr>
            <w:tcW w:type="dxa" w:w="21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Complète</w:t>
            </w:r>
          </w:p>
        </w:tc>
        <w:tc>
          <w:tcPr>
            <w:tcW w:type="dxa" w:w="4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Essentiel + abonnements/contrats, impôts, logement, véhicule, réseaux sociaux/comptes en ligne, pension de réversion</w:t>
            </w:r>
          </w:p>
        </w:tc>
        <w:tc>
          <w:tcPr>
            <w:tcW w:type="dxa" w:w="32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Forfait + options</w:t>
            </w:r>
          </w:p>
        </w:tc>
      </w:tr>
      <w:tr>
        <w:trPr>
          <w:cantSplit/>
        </w:trPr>
        <w:tc>
          <w:tcPr>
            <w:tcW w:type="dxa" w:w="21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Succession (préparation)</w:t>
            </w:r>
          </w:p>
        </w:tc>
        <w:tc>
          <w:tcPr>
            <w:tcW w:type="dxa" w:w="4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Inventaire des comptes/contrats, collecte des pièces, dossier prêt pour le notaire, coordination avec le notaire</w:t>
            </w:r>
          </w:p>
        </w:tc>
        <w:tc>
          <w:tcPr>
            <w:tcW w:type="dxa" w:w="32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Forfait ; </w:t>
            </w:r>
            <w:r>
              <w:rPr>
                <w:rFonts w:ascii="Calibri" w:cs="Calibri" w:eastAsia="Calibri" w:hAnsi="Calibri"/>
                <w:b w:val="false"/>
                <w:bCs w:val="false"/>
                <w:sz w:val="20"/>
                <w:szCs w:val="20"/>
              </w:rPr>
              <w:t xml:space="preserve">pas de conseil juridique</w:t>
            </w:r>
          </w:p>
        </w:tc>
      </w:tr>
      <w:tr>
        <w:trPr>
          <w:cantSplit/>
        </w:trPr>
        <w:tc>
          <w:tcPr>
            <w:tcW w:type="dxa" w:w="21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Suivi</w:t>
            </w:r>
          </w:p>
        </w:tc>
        <w:tc>
          <w:tcPr>
            <w:tcW w:type="dxa" w:w="4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Relances et contrôle jusqu’à clôture des dossiers (3 à 12 mois)</w:t>
            </w:r>
          </w:p>
        </w:tc>
        <w:tc>
          <w:tcPr>
            <w:tcW w:type="dxa" w:w="32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Abonnement mensuel ou forfait</w:t>
            </w:r>
          </w:p>
        </w:tc>
      </w:tr>
    </w:tbl>
    <w:p>
      <w:pPr>
        <w:spacing w:after="80"/>
      </w:pPr>
    </w:p>
    <w:p>
      <w:pPr>
        <w:spacing w:after="120" w:line="276"/>
      </w:pPr>
      <w:r>
        <w:rPr>
          <w:rFonts w:ascii="Calibri" w:cs="Calibri" w:eastAsia="Calibri" w:hAnsi="Calibri"/>
          <w:sz w:val="22"/>
          <w:szCs w:val="22"/>
        </w:rPr>
        <w:t xml:space="preserve">La </w:t>
      </w:r>
      <w:r>
        <w:rPr>
          <w:rFonts w:ascii="Calibri" w:cs="Calibri" w:eastAsia="Calibri" w:hAnsi="Calibri"/>
          <w:b/>
          <w:bCs/>
          <w:sz w:val="22"/>
          <w:szCs w:val="22"/>
        </w:rPr>
        <w:t xml:space="preserve">frise des démarches</w:t>
      </w:r>
      <w:r>
        <w:rPr>
          <w:rFonts w:ascii="Calibri" w:cs="Calibri" w:eastAsia="Calibri" w:hAnsi="Calibri"/>
          <w:sz w:val="22"/>
          <w:szCs w:val="22"/>
        </w:rPr>
        <w:t xml:space="preserve"> (Annexe C) sert de base de travail : tout ce qu’on doit faire, dans quel ordre, auprès de qui.</w:t>
      </w:r>
    </w:p>
    <w:p>
      <w:pPr>
        <w:pStyle w:val="Heading2"/>
        <w:keepNext/>
        <w:spacing w:after="120" w:before="280"/>
      </w:pPr>
      <w:r>
        <w:rPr>
          <w:rFonts w:ascii="Calibri" w:cs="Calibri" w:eastAsia="Calibri" w:hAnsi="Calibri"/>
          <w:b/>
          <w:bCs/>
          <w:color w:val="5B7F6B"/>
          <w:sz w:val="28"/>
          <w:szCs w:val="28"/>
        </w:rPr>
        <w:t xml:space="preserve">6.3 Pôle C — Mémoire et sépulture</w:t>
      </w:r>
    </w:p>
    <w:p>
      <w:pPr>
        <w:pStyle w:val="ListParagraph"/>
        <w:numPr>
          <w:ilvl w:val="0"/>
          <w:numId w:val="2"/>
        </w:numPr>
        <w:spacing w:after="60" w:line="264"/>
      </w:pPr>
      <w:r>
        <w:rPr>
          <w:rFonts w:ascii="Calibri" w:cs="Calibri" w:eastAsia="Calibri" w:hAnsi="Calibri"/>
          <w:b/>
          <w:bCs/>
          <w:sz w:val="22"/>
          <w:szCs w:val="22"/>
        </w:rPr>
        <w:t xml:space="preserve">Nettoyage de monument</w:t>
      </w:r>
      <w:r>
        <w:rPr>
          <w:rFonts w:ascii="Calibri" w:cs="Calibri" w:eastAsia="Calibri" w:hAnsi="Calibri"/>
          <w:sz w:val="22"/>
          <w:szCs w:val="22"/>
        </w:rPr>
        <w:t xml:space="preserve"> (lavage doux, désherbage, dépose de mousses) — ponctuel ou saisonnier.</w:t>
      </w:r>
    </w:p>
    <w:p>
      <w:pPr>
        <w:pStyle w:val="ListParagraph"/>
        <w:numPr>
          <w:ilvl w:val="0"/>
          <w:numId w:val="2"/>
        </w:numPr>
        <w:spacing w:after="60" w:line="264"/>
      </w:pPr>
      <w:r>
        <w:rPr>
          <w:rFonts w:ascii="Calibri" w:cs="Calibri" w:eastAsia="Calibri" w:hAnsi="Calibri"/>
          <w:b/>
          <w:bCs/>
          <w:sz w:val="22"/>
          <w:szCs w:val="22"/>
        </w:rPr>
        <w:t xml:space="preserve">Fleurissement</w:t>
      </w:r>
      <w:r>
        <w:rPr>
          <w:rFonts w:ascii="Calibri" w:cs="Calibri" w:eastAsia="Calibri" w:hAnsi="Calibri"/>
          <w:sz w:val="22"/>
          <w:szCs w:val="22"/>
        </w:rPr>
        <w:t xml:space="preserve"> : plantes de saison, bouquets, composition de Toussaint — en partenariat avec un fleuriste local (sans commission de recommandation liée à des familles endeuillées).</w:t>
      </w:r>
    </w:p>
    <w:p>
      <w:pPr>
        <w:pStyle w:val="ListParagraph"/>
        <w:numPr>
          <w:ilvl w:val="0"/>
          <w:numId w:val="2"/>
        </w:numPr>
        <w:spacing w:after="60" w:line="264"/>
      </w:pPr>
      <w:r>
        <w:rPr>
          <w:rFonts w:ascii="Calibri" w:cs="Calibri" w:eastAsia="Calibri" w:hAnsi="Calibri"/>
          <w:b/>
          <w:bCs/>
          <w:sz w:val="22"/>
          <w:szCs w:val="22"/>
        </w:rPr>
        <w:t xml:space="preserve">Abonnement annuel</w:t>
      </w:r>
      <w:r>
        <w:rPr>
          <w:rFonts w:ascii="Calibri" w:cs="Calibri" w:eastAsia="Calibri" w:hAnsi="Calibri"/>
          <w:sz w:val="22"/>
          <w:szCs w:val="22"/>
        </w:rPr>
        <w:t xml:space="preserve"> : 2, 4 ou 12 passages/an, photo avant/après envoyée à la famille.</w:t>
      </w:r>
    </w:p>
    <w:p>
      <w:pPr>
        <w:pStyle w:val="ListParagraph"/>
        <w:numPr>
          <w:ilvl w:val="0"/>
          <w:numId w:val="2"/>
        </w:numPr>
        <w:spacing w:after="60" w:line="264"/>
      </w:pPr>
      <w:r>
        <w:rPr>
          <w:rFonts w:ascii="Calibri" w:cs="Calibri" w:eastAsia="Calibri" w:hAnsi="Calibri"/>
          <w:b/>
          <w:bCs/>
          <w:sz w:val="22"/>
          <w:szCs w:val="22"/>
        </w:rPr>
        <w:t xml:space="preserve">Entretien à distance</w:t>
      </w:r>
      <w:r>
        <w:rPr>
          <w:rFonts w:ascii="Calibri" w:cs="Calibri" w:eastAsia="Calibri" w:hAnsi="Calibri"/>
          <w:sz w:val="22"/>
          <w:szCs w:val="22"/>
        </w:rPr>
        <w:t xml:space="preserve"> pour des familles éloignées : un vrai besoin, une vraie clientèle.</w:t>
      </w:r>
    </w:p>
    <w:p>
      <w:pPr>
        <w:pStyle w:val="ListParagraph"/>
        <w:numPr>
          <w:ilvl w:val="0"/>
          <w:numId w:val="2"/>
        </w:numPr>
        <w:spacing w:after="60" w:line="264"/>
      </w:pPr>
      <w:r>
        <w:rPr>
          <w:rFonts w:ascii="Calibri" w:cs="Calibri" w:eastAsia="Calibri" w:hAnsi="Calibri"/>
          <w:b/>
          <w:bCs/>
          <w:sz w:val="22"/>
          <w:szCs w:val="22"/>
        </w:rPr>
        <w:t xml:space="preserve">Textile et objets souvenirs (flocage, impression)</w:t>
      </w:r>
      <w:r>
        <w:rPr>
          <w:rFonts w:ascii="Calibri" w:cs="Calibri" w:eastAsia="Calibri" w:hAnsi="Calibri"/>
          <w:sz w:val="22"/>
          <w:szCs w:val="22"/>
        </w:rPr>
        <w:t xml:space="preserve"> : t-shirts hommage pour la famille, vêtements de cérémonie, cartes souvenir, marque-pages, livrets, signalétique. L’agence peut le produire (voir chapitre 8). Ton sobre, jamais commercial.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8A00" w:sz="24"/>
              <w:bottom w:val="none" w:color="FFFFFF" w:sz="0"/>
              <w:right w:val="none" w:color="FFFFFF" w:sz="0"/>
            </w:tcBorders>
            <w:shd w:fill="FFF4DC" w:color="auto" w:val="clear"/>
            <w:tcMar>
              <w:top w:type="dxa" w:w="100"/>
              <w:left w:type="dxa" w:w="180"/>
              <w:bottom w:type="dxa" w:w="100"/>
              <w:right w:type="dxa" w:w="160"/>
            </w:tcMar>
          </w:tcPr>
          <w:p>
            <w:pPr>
              <w:spacing w:after="60"/>
            </w:pPr>
            <w:r>
              <w:rPr>
                <w:rFonts w:ascii="Calibri" w:cs="Calibri" w:eastAsia="Calibri" w:hAnsi="Calibri"/>
                <w:b/>
                <w:bCs/>
                <w:color w:val="C98A00"/>
                <w:sz w:val="22"/>
                <w:szCs w:val="22"/>
              </w:rPr>
              <w:t xml:space="preserve">⚠ À confirmer avant de s’engager</w:t>
            </w:r>
          </w:p>
          <w:p>
            <w:pPr>
              <w:spacing w:after="50"/>
            </w:pPr>
            <w:r>
              <w:rPr>
                <w:rFonts w:ascii="Calibri" w:cs="Calibri" w:eastAsia="Calibri" w:hAnsi="Calibri"/>
                <w:sz w:val="21"/>
                <w:szCs w:val="21"/>
              </w:rPr>
              <w:t xml:space="preserve">Vente de marchandises : régime fiscal et TVA spécifiques ; cohérence avec le démarchage (ne pas proposer de produits à une famille « sur la base » d’un décès non demandé).</w:t>
            </w:r>
          </w:p>
        </w:tc>
      </w:tr>
    </w:tbl>
    <w:p>
      <w:pPr>
        <w:pStyle w:val="Heading2"/>
        <w:keepNext/>
        <w:spacing w:after="120" w:before="280"/>
      </w:pPr>
      <w:r>
        <w:rPr>
          <w:rFonts w:ascii="Calibri" w:cs="Calibri" w:eastAsia="Calibri" w:hAnsi="Calibri"/>
          <w:b/>
          <w:bCs/>
          <w:color w:val="5B7F6B"/>
          <w:sz w:val="28"/>
          <w:szCs w:val="28"/>
        </w:rPr>
        <w:t xml:space="preserve">6.4 Pôle D — Écoute et bien-être</w:t>
      </w:r>
    </w:p>
    <w:p>
      <w:pPr>
        <w:pStyle w:val="ListParagraph"/>
        <w:numPr>
          <w:ilvl w:val="0"/>
          <w:numId w:val="2"/>
        </w:numPr>
        <w:spacing w:after="60" w:line="264"/>
      </w:pPr>
      <w:r>
        <w:rPr>
          <w:rFonts w:ascii="Calibri" w:cs="Calibri" w:eastAsia="Calibri" w:hAnsi="Calibri"/>
          <w:b/>
          <w:bCs/>
          <w:sz w:val="22"/>
          <w:szCs w:val="22"/>
        </w:rPr>
        <w:t xml:space="preserve">Entretien d’écoute individuel</w:t>
      </w:r>
      <w:r>
        <w:rPr>
          <w:rFonts w:ascii="Calibri" w:cs="Calibri" w:eastAsia="Calibri" w:hAnsi="Calibri"/>
          <w:sz w:val="22"/>
          <w:szCs w:val="22"/>
        </w:rPr>
        <w:t xml:space="preserve"> (non thérapeutique) après la cérémonie : 1 mois, 3 mois.</w:t>
      </w:r>
    </w:p>
    <w:p>
      <w:pPr>
        <w:pStyle w:val="ListParagraph"/>
        <w:numPr>
          <w:ilvl w:val="0"/>
          <w:numId w:val="2"/>
        </w:numPr>
        <w:spacing w:after="60" w:line="264"/>
      </w:pPr>
      <w:r>
        <w:rPr>
          <w:rFonts w:ascii="Calibri" w:cs="Calibri" w:eastAsia="Calibri" w:hAnsi="Calibri"/>
          <w:b/>
          <w:bCs/>
          <w:sz w:val="22"/>
          <w:szCs w:val="22"/>
        </w:rPr>
        <w:t xml:space="preserve">Groupe de parole / café-deuil</w:t>
      </w:r>
      <w:r>
        <w:rPr>
          <w:rFonts w:ascii="Calibri" w:cs="Calibri" w:eastAsia="Calibri" w:hAnsi="Calibri"/>
          <w:sz w:val="22"/>
          <w:szCs w:val="22"/>
        </w:rPr>
        <w:t xml:space="preserve"> mensuel, animé avec un psychologue partenaire.</w:t>
      </w:r>
    </w:p>
    <w:p>
      <w:pPr>
        <w:pStyle w:val="ListParagraph"/>
        <w:numPr>
          <w:ilvl w:val="0"/>
          <w:numId w:val="2"/>
        </w:numPr>
        <w:spacing w:after="60" w:line="264"/>
      </w:pPr>
      <w:r>
        <w:rPr>
          <w:rFonts w:ascii="Calibri" w:cs="Calibri" w:eastAsia="Calibri" w:hAnsi="Calibri"/>
          <w:b/>
          <w:bCs/>
          <w:sz w:val="22"/>
          <w:szCs w:val="22"/>
        </w:rPr>
        <w:t xml:space="preserve">Ateliers</w:t>
      </w:r>
      <w:r>
        <w:rPr>
          <w:rFonts w:ascii="Calibri" w:cs="Calibri" w:eastAsia="Calibri" w:hAnsi="Calibri"/>
          <w:sz w:val="22"/>
          <w:szCs w:val="22"/>
        </w:rPr>
        <w:t xml:space="preserve"> : écriture, mémoire familiale, album souvenir, cérémonies d’anniversaire.</w:t>
      </w:r>
    </w:p>
    <w:p>
      <w:pPr>
        <w:pStyle w:val="ListParagraph"/>
        <w:numPr>
          <w:ilvl w:val="0"/>
          <w:numId w:val="2"/>
        </w:numPr>
        <w:spacing w:after="60" w:line="264"/>
      </w:pPr>
      <w:r>
        <w:rPr>
          <w:rFonts w:ascii="Calibri" w:cs="Calibri" w:eastAsia="Calibri" w:hAnsi="Calibri"/>
          <w:b/>
          <w:bCs/>
          <w:sz w:val="22"/>
          <w:szCs w:val="22"/>
        </w:rPr>
        <w:t xml:space="preserve">Livret d’accompagnement</w:t>
      </w:r>
      <w:r>
        <w:rPr>
          <w:rFonts w:ascii="Calibri" w:cs="Calibri" w:eastAsia="Calibri" w:hAnsi="Calibri"/>
          <w:sz w:val="22"/>
          <w:szCs w:val="22"/>
        </w:rPr>
        <w:t xml:space="preserve"> (démarches + conseils pour traverser le deuil) : outil de communication et de confiance.</w:t>
      </w:r>
    </w:p>
    <w:p>
      <w:pPr>
        <w:pStyle w:val="ListParagraph"/>
        <w:numPr>
          <w:ilvl w:val="0"/>
          <w:numId w:val="2"/>
        </w:numPr>
        <w:spacing w:after="60" w:line="264"/>
      </w:pPr>
      <w:r>
        <w:rPr>
          <w:rFonts w:ascii="Calibri" w:cs="Calibri" w:eastAsia="Calibri" w:hAnsi="Calibri"/>
          <w:b/>
          <w:bCs/>
          <w:sz w:val="22"/>
          <w:szCs w:val="22"/>
        </w:rPr>
        <w:t xml:space="preserve">Réseau de relais</w:t>
      </w:r>
      <w:r>
        <w:rPr>
          <w:rFonts w:ascii="Calibri" w:cs="Calibri" w:eastAsia="Calibri" w:hAnsi="Calibri"/>
          <w:sz w:val="22"/>
          <w:szCs w:val="22"/>
        </w:rPr>
        <w:t xml:space="preserve"> : psychologues, médecins, associations de deuil, aides sociales.</w:t>
      </w:r>
    </w:p>
    <w:p>
      <w:pPr>
        <w:pStyle w:val="Heading2"/>
        <w:keepNext/>
        <w:spacing w:after="120" w:before="280"/>
      </w:pPr>
      <w:r>
        <w:rPr>
          <w:rFonts w:ascii="Calibri" w:cs="Calibri" w:eastAsia="Calibri" w:hAnsi="Calibri"/>
          <w:b/>
          <w:bCs/>
          <w:color w:val="5B7F6B"/>
          <w:sz w:val="28"/>
          <w:szCs w:val="28"/>
        </w:rPr>
        <w:t xml:space="preserve">6.5 Packs combinés (exemple)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blHeader/>
        </w:trPr>
        <w:tc>
          <w:tcPr>
            <w:tcW w:type="dxa" w:w="23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Pack</w:t>
            </w:r>
          </w:p>
        </w:tc>
        <w:tc>
          <w:tcPr>
            <w:tcW w:type="dxa" w:w="73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Contenu</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Sérénité</w:t>
            </w:r>
          </w:p>
        </w:tc>
        <w:tc>
          <w:tcPr>
            <w:tcW w:type="dxa" w:w="7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Organisation (via partenaire habilité) + démarches Essentiel + livret + 1 entretien d’écoute</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Continuité</w:t>
            </w:r>
          </w:p>
        </w:tc>
        <w:tc>
          <w:tcPr>
            <w:tcW w:type="dxa" w:w="7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Démarches Complète + suivi 6 mois + abonnement sépulture 1 an</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Mémoire</w:t>
            </w:r>
          </w:p>
        </w:tc>
        <w:tc>
          <w:tcPr>
            <w:tcW w:type="dxa" w:w="7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Entretien annuel + fleurissement saisonnier + objets souvenirs</w:t>
            </w:r>
          </w:p>
        </w:tc>
      </w:tr>
    </w:tbl>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7. Vente et relation avec les familles</w:t>
      </w:r>
    </w:p>
    <w:p>
      <w:pPr>
        <w:spacing w:after="120" w:line="276"/>
      </w:pPr>
      <w:r>
        <w:rPr>
          <w:rFonts w:ascii="Calibri" w:cs="Calibri" w:eastAsia="Calibri" w:hAnsi="Calibri"/>
          <w:sz w:val="22"/>
          <w:szCs w:val="22"/>
        </w:rPr>
        <w:t xml:space="preserve">Dans ce métier, </w:t>
      </w:r>
      <w:r>
        <w:rPr>
          <w:rFonts w:ascii="Calibri" w:cs="Calibri" w:eastAsia="Calibri" w:hAnsi="Calibri"/>
          <w:b/>
          <w:bCs/>
          <w:sz w:val="22"/>
          <w:szCs w:val="22"/>
        </w:rPr>
        <w:t xml:space="preserve">on ne vend pas : on rend service</w:t>
      </w:r>
      <w:r>
        <w:rPr>
          <w:rFonts w:ascii="Calibri" w:cs="Calibri" w:eastAsia="Calibri" w:hAnsi="Calibri"/>
          <w:sz w:val="22"/>
          <w:szCs w:val="22"/>
        </w:rPr>
        <w:t xml:space="preserve">. La qualité de l’accueil est la meilleure stratégie commerciale, et la plus sûre juridiquement.</w:t>
      </w:r>
    </w:p>
    <w:p>
      <w:pPr>
        <w:pStyle w:val="Heading2"/>
        <w:keepNext/>
        <w:spacing w:after="120" w:before="280"/>
      </w:pPr>
      <w:r>
        <w:rPr>
          <w:rFonts w:ascii="Calibri" w:cs="Calibri" w:eastAsia="Calibri" w:hAnsi="Calibri"/>
          <w:b/>
          <w:bCs/>
          <w:color w:val="5B7F6B"/>
          <w:sz w:val="28"/>
          <w:szCs w:val="28"/>
        </w:rPr>
        <w:t xml:space="preserve">7.1 Le parcours d’une famille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2500"/>
        <w:gridCol w:w="6438"/>
      </w:tblGrid>
      <w:tr>
        <w:trPr>
          <w:cantSplit/>
          <w:tblHeader/>
        </w:trPr>
        <w:tc>
          <w:tcPr>
            <w:tcW w:type="dxa" w:w="7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w:t>
            </w:r>
          </w:p>
        </w:tc>
        <w:tc>
          <w:tcPr>
            <w:tcW w:type="dxa" w:w="25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Étape</w:t>
            </w:r>
          </w:p>
        </w:tc>
        <w:tc>
          <w:tcPr>
            <w:tcW w:type="dxa" w:w="64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Ce qui se passe / bonne pratique</w:t>
            </w:r>
          </w:p>
        </w:tc>
      </w:tr>
      <w:tr>
        <w:trPr>
          <w:cantSplit/>
        </w:trPr>
        <w:tc>
          <w:tcPr>
            <w:tcW w:type="dxa" w:w="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1</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Premier contact</w:t>
            </w:r>
          </w:p>
        </w:tc>
        <w:tc>
          <w:tcPr>
            <w:tcW w:type="dxa" w:w="6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Appel ou message : réponse rapide, voix calme, disponibilité 24h/24 (ligne dédiée ou permanence). Script d’accueil écrit.</w:t>
            </w:r>
          </w:p>
        </w:tc>
      </w:tr>
      <w:tr>
        <w:trPr>
          <w:cantSplit/>
        </w:trPr>
        <w:tc>
          <w:tcPr>
            <w:tcW w:type="dxa" w:w="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2</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Rendez-vous</w:t>
            </w:r>
          </w:p>
        </w:tc>
        <w:tc>
          <w:tcPr>
            <w:tcW w:type="dxa" w:w="6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À domicile ou au bureau : écoute d’abord, besoins ensuite. Prendre le temps.</w:t>
            </w:r>
          </w:p>
        </w:tc>
      </w:tr>
      <w:tr>
        <w:trPr>
          <w:cantSplit/>
        </w:trPr>
        <w:tc>
          <w:tcPr>
            <w:tcW w:type="dxa" w:w="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3</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Devis</w:t>
            </w:r>
          </w:p>
        </w:tc>
        <w:tc>
          <w:tcPr>
            <w:tcW w:type="dxa" w:w="6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Devis détaillé, gratuit, sans pression, avec explications.</w:t>
            </w:r>
          </w:p>
        </w:tc>
      </w:tr>
      <w:tr>
        <w:trPr>
          <w:cantSplit/>
        </w:trPr>
        <w:tc>
          <w:tcPr>
            <w:tcW w:type="dxa" w:w="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4</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Décision et mandat</w:t>
            </w:r>
          </w:p>
        </w:tc>
        <w:tc>
          <w:tcPr>
            <w:tcW w:type="dxa" w:w="6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Signature du devis et du mandat ; acompte raisonnable.</w:t>
            </w:r>
          </w:p>
        </w:tc>
      </w:tr>
      <w:tr>
        <w:trPr>
          <w:cantSplit/>
        </w:trPr>
        <w:tc>
          <w:tcPr>
            <w:tcW w:type="dxa" w:w="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5</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Réalisation</w:t>
            </w:r>
          </w:p>
        </w:tc>
        <w:tc>
          <w:tcPr>
            <w:tcW w:type="dxa" w:w="6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Point d’étape régulier, photos/documents transmis.</w:t>
            </w:r>
          </w:p>
        </w:tc>
      </w:tr>
      <w:tr>
        <w:trPr>
          <w:cantSplit/>
        </w:trPr>
        <w:tc>
          <w:tcPr>
            <w:tcW w:type="dxa" w:w="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6</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Clôture</w:t>
            </w:r>
          </w:p>
        </w:tc>
        <w:tc>
          <w:tcPr>
            <w:tcW w:type="dxa" w:w="6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Remise du dossier récapitulatif, restitution des originaux.</w:t>
            </w:r>
          </w:p>
        </w:tc>
      </w:tr>
      <w:tr>
        <w:trPr>
          <w:cantSplit/>
        </w:trPr>
        <w:tc>
          <w:tcPr>
            <w:tcW w:type="dxa" w:w="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7</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Suivi</w:t>
            </w:r>
          </w:p>
        </w:tc>
        <w:tc>
          <w:tcPr>
            <w:tcW w:type="dxa" w:w="6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Appel à 1 mois et 3 mois, Toussaint, anniversaire ; demande d’avis (jamais insistante).</w:t>
            </w:r>
          </w:p>
        </w:tc>
      </w:tr>
    </w:tbl>
    <w:p>
      <w:pPr>
        <w:spacing w:after="80"/>
      </w:pPr>
    </w:p>
    <w:p>
      <w:pPr>
        <w:pStyle w:val="Heading2"/>
        <w:keepNext/>
        <w:spacing w:after="120" w:before="280"/>
      </w:pPr>
      <w:r>
        <w:rPr>
          <w:rFonts w:ascii="Calibri" w:cs="Calibri" w:eastAsia="Calibri" w:hAnsi="Calibri"/>
          <w:b/>
          <w:bCs/>
          <w:color w:val="5B7F6B"/>
          <w:sz w:val="28"/>
          <w:szCs w:val="28"/>
        </w:rPr>
        <w:t xml:space="preserve">7.2 Règles d’or</w:t>
      </w:r>
    </w:p>
    <w:p>
      <w:pPr>
        <w:pStyle w:val="ListParagraph"/>
        <w:numPr>
          <w:ilvl w:val="0"/>
          <w:numId w:val="2"/>
        </w:numPr>
        <w:spacing w:after="60" w:line="264"/>
      </w:pPr>
      <w:r>
        <w:rPr>
          <w:rFonts w:ascii="Calibri" w:cs="Calibri" w:eastAsia="Calibri" w:hAnsi="Calibri"/>
          <w:sz w:val="22"/>
          <w:szCs w:val="22"/>
        </w:rPr>
        <w:t xml:space="preserve">Jamais d’argumentaire de pression, de vente d’options non nécessaires, ni de culpabilisation.</w:t>
      </w:r>
    </w:p>
    <w:p>
      <w:pPr>
        <w:pStyle w:val="ListParagraph"/>
        <w:numPr>
          <w:ilvl w:val="0"/>
          <w:numId w:val="2"/>
        </w:numPr>
        <w:spacing w:after="60" w:line="264"/>
      </w:pPr>
      <w:r>
        <w:rPr>
          <w:rFonts w:ascii="Calibri" w:cs="Calibri" w:eastAsia="Calibri" w:hAnsi="Calibri"/>
          <w:sz w:val="22"/>
          <w:szCs w:val="22"/>
        </w:rPr>
        <w:t xml:space="preserve">Présenter toujours une </w:t>
      </w:r>
      <w:r>
        <w:rPr>
          <w:rFonts w:ascii="Calibri" w:cs="Calibri" w:eastAsia="Calibri" w:hAnsi="Calibri"/>
          <w:b/>
          <w:bCs/>
          <w:sz w:val="22"/>
          <w:szCs w:val="22"/>
        </w:rPr>
        <w:t xml:space="preserve">offre minimale</w:t>
      </w:r>
      <w:r>
        <w:rPr>
          <w:rFonts w:ascii="Calibri" w:cs="Calibri" w:eastAsia="Calibri" w:hAnsi="Calibri"/>
          <w:sz w:val="22"/>
          <w:szCs w:val="22"/>
        </w:rPr>
        <w:t xml:space="preserve"> (sobre, économique) à côté des options.</w:t>
      </w:r>
    </w:p>
    <w:p>
      <w:pPr>
        <w:pStyle w:val="ListParagraph"/>
        <w:numPr>
          <w:ilvl w:val="0"/>
          <w:numId w:val="2"/>
        </w:numPr>
        <w:spacing w:after="60" w:line="264"/>
      </w:pPr>
      <w:r>
        <w:rPr>
          <w:rFonts w:ascii="Calibri" w:cs="Calibri" w:eastAsia="Calibri" w:hAnsi="Calibri"/>
          <w:sz w:val="22"/>
          <w:szCs w:val="22"/>
        </w:rPr>
        <w:t xml:space="preserve">Respecter les </w:t>
      </w:r>
      <w:r>
        <w:rPr>
          <w:rFonts w:ascii="Calibri" w:cs="Calibri" w:eastAsia="Calibri" w:hAnsi="Calibri"/>
          <w:b/>
          <w:bCs/>
          <w:sz w:val="22"/>
          <w:szCs w:val="22"/>
        </w:rPr>
        <w:t xml:space="preserve">volontés du défunt</w:t>
      </w:r>
      <w:r>
        <w:rPr>
          <w:rFonts w:ascii="Calibri" w:cs="Calibri" w:eastAsia="Calibri" w:hAnsi="Calibri"/>
          <w:sz w:val="22"/>
          <w:szCs w:val="22"/>
        </w:rPr>
        <w:t xml:space="preserve"> et les </w:t>
      </w:r>
      <w:r>
        <w:rPr>
          <w:rFonts w:ascii="Calibri" w:cs="Calibri" w:eastAsia="Calibri" w:hAnsi="Calibri"/>
          <w:b/>
          <w:bCs/>
          <w:sz w:val="22"/>
          <w:szCs w:val="22"/>
        </w:rPr>
        <w:t xml:space="preserve">moyens</w:t>
      </w:r>
      <w:r>
        <w:rPr>
          <w:rFonts w:ascii="Calibri" w:cs="Calibri" w:eastAsia="Calibri" w:hAnsi="Calibri"/>
          <w:sz w:val="22"/>
          <w:szCs w:val="22"/>
        </w:rPr>
        <w:t xml:space="preserve"> de la famille.</w:t>
      </w:r>
    </w:p>
    <w:p>
      <w:pPr>
        <w:pStyle w:val="ListParagraph"/>
        <w:numPr>
          <w:ilvl w:val="0"/>
          <w:numId w:val="2"/>
        </w:numPr>
        <w:spacing w:after="60" w:line="264"/>
      </w:pPr>
      <w:r>
        <w:rPr>
          <w:rFonts w:ascii="Calibri" w:cs="Calibri" w:eastAsia="Calibri" w:hAnsi="Calibri"/>
          <w:sz w:val="22"/>
          <w:szCs w:val="22"/>
        </w:rPr>
        <w:t xml:space="preserve">Informer sur les droits (aides sociales, contrat obsèques existant, capital décès).</w:t>
      </w:r>
    </w:p>
    <w:p>
      <w:pPr>
        <w:pStyle w:val="Heading2"/>
        <w:keepNext/>
        <w:spacing w:after="120" w:before="280"/>
      </w:pPr>
      <w:r>
        <w:rPr>
          <w:rFonts w:ascii="Calibri" w:cs="Calibri" w:eastAsia="Calibri" w:hAnsi="Calibri"/>
          <w:b/>
          <w:bCs/>
          <w:color w:val="5B7F6B"/>
          <w:sz w:val="28"/>
          <w:szCs w:val="28"/>
        </w:rPr>
        <w:t xml:space="preserve">7.3 Prescripteurs : travailler avec les bons relais</w:t>
      </w:r>
    </w:p>
    <w:p>
      <w:pPr>
        <w:spacing w:after="120" w:line="276"/>
      </w:pPr>
      <w:r>
        <w:rPr>
          <w:rFonts w:ascii="Calibri" w:cs="Calibri" w:eastAsia="Calibri" w:hAnsi="Calibri"/>
          <w:sz w:val="22"/>
          <w:szCs w:val="22"/>
        </w:rPr>
        <w:t xml:space="preserve">Les familles arrivent par le bouche-à-oreille et par des professionnels de confiance. Mais attention : </w:t>
      </w:r>
      <w:r>
        <w:rPr>
          <w:rFonts w:ascii="Calibri" w:cs="Calibri" w:eastAsia="Calibri" w:hAnsi="Calibri"/>
          <w:b/>
          <w:bCs/>
          <w:sz w:val="22"/>
          <w:szCs w:val="22"/>
        </w:rPr>
        <w:t xml:space="preserve">aucune rémunération</w:t>
      </w:r>
      <w:r>
        <w:rPr>
          <w:rFonts w:ascii="Calibri" w:cs="Calibri" w:eastAsia="Calibri" w:hAnsi="Calibri"/>
          <w:sz w:val="22"/>
          <w:szCs w:val="22"/>
        </w:rPr>
        <w:t xml:space="preserve"> d’un prescripteur pour avoir orienté une famille (voir 2.2).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600"/>
        <w:gridCol w:w="3438"/>
      </w:tblGrid>
      <w:tr>
        <w:trPr>
          <w:cantSplit/>
          <w:tblHeader/>
        </w:trPr>
        <w:tc>
          <w:tcPr>
            <w:tcW w:type="dxa" w:w="26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Relais</w:t>
            </w:r>
          </w:p>
        </w:tc>
        <w:tc>
          <w:tcPr>
            <w:tcW w:type="dxa" w:w="36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Pourquoi</w:t>
            </w:r>
          </w:p>
        </w:tc>
        <w:tc>
          <w:tcPr>
            <w:tcW w:type="dxa" w:w="34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Comment (légalement)</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Notaires, avocats, généalogistes</w:t>
            </w:r>
          </w:p>
        </w:tc>
        <w:tc>
          <w:tcPr>
            <w:tcW w:type="dxa" w:w="3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Complémentarité (succession)</w:t>
            </w:r>
          </w:p>
        </w:tc>
        <w:tc>
          <w:tcPr>
            <w:tcW w:type="dxa" w:w="3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Partenariat de renvoi mutuel sans contrepartie financière liée aux dossiers</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Psychologues, médecins, associations de deuil</w:t>
            </w:r>
          </w:p>
        </w:tc>
        <w:tc>
          <w:tcPr>
            <w:tcW w:type="dxa" w:w="36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Relais clinique</w:t>
            </w:r>
          </w:p>
        </w:tc>
        <w:tc>
          <w:tcPr>
            <w:tcW w:type="dxa" w:w="3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Réseau de confiance, informations mutuelles</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Fleuristes, marbriers, traiteurs, officiants</w:t>
            </w:r>
          </w:p>
        </w:tc>
        <w:tc>
          <w:tcPr>
            <w:tcW w:type="dxa" w:w="3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Services complémentaires</w:t>
            </w:r>
          </w:p>
        </w:tc>
        <w:tc>
          <w:tcPr>
            <w:tcW w:type="dxa" w:w="3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Contrats de sous-traitance clairs ; tarifs transparents</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Mairies, services d’état civil</w:t>
            </w:r>
          </w:p>
        </w:tc>
        <w:tc>
          <w:tcPr>
            <w:tcW w:type="dxa" w:w="36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Information</w:t>
            </w:r>
          </w:p>
        </w:tc>
        <w:tc>
          <w:tcPr>
            <w:tcW w:type="dxa" w:w="3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Dépôt de supports d’information neutres, quand c’est accepté</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EHPAD, hôpitaux, cliniques</w:t>
            </w:r>
          </w:p>
        </w:tc>
        <w:tc>
          <w:tcPr>
            <w:tcW w:type="dxa" w:w="3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Source de familles concernées</w:t>
            </w:r>
          </w:p>
        </w:tc>
        <w:tc>
          <w:tcPr>
            <w:tcW w:type="dxa" w:w="3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Prudence maximale</w:t>
            </w:r>
            <w:r>
              <w:rPr>
                <w:rFonts w:ascii="Calibri" w:cs="Calibri" w:eastAsia="Calibri" w:hAnsi="Calibri"/>
                <w:b w:val="false"/>
                <w:bCs w:val="false"/>
                <w:sz w:val="20"/>
                <w:szCs w:val="20"/>
              </w:rPr>
              <w:t xml:space="preserve"> : aucune contrepartie ; respecter leur charte et la loi</w:t>
            </w:r>
          </w:p>
        </w:tc>
      </w:tr>
    </w:tbl>
    <w:p>
      <w:pPr>
        <w:spacing w:after="80"/>
      </w:pPr>
    </w:p>
    <w:p>
      <w:pPr>
        <w:pStyle w:val="Heading2"/>
        <w:keepNext/>
        <w:spacing w:after="120" w:before="280"/>
      </w:pPr>
      <w:r>
        <w:rPr>
          <w:rFonts w:ascii="Calibri" w:cs="Calibri" w:eastAsia="Calibri" w:hAnsi="Calibri"/>
          <w:b/>
          <w:bCs/>
          <w:color w:val="5B7F6B"/>
          <w:sz w:val="28"/>
          <w:szCs w:val="28"/>
        </w:rPr>
        <w:t xml:space="preserve">7.4 Outils de vente légers</w:t>
      </w:r>
    </w:p>
    <w:p>
      <w:pPr>
        <w:pStyle w:val="ListParagraph"/>
        <w:numPr>
          <w:ilvl w:val="0"/>
          <w:numId w:val="2"/>
        </w:numPr>
        <w:spacing w:after="60" w:line="264"/>
      </w:pPr>
      <w:r>
        <w:rPr>
          <w:rFonts w:ascii="Calibri" w:cs="Calibri" w:eastAsia="Calibri" w:hAnsi="Calibri"/>
          <w:sz w:val="22"/>
          <w:szCs w:val="22"/>
        </w:rPr>
        <w:t xml:space="preserve">CRM simple (tableur ou outil léger) : un dossier par famille, étapes, relances.</w:t>
      </w:r>
    </w:p>
    <w:p>
      <w:pPr>
        <w:pStyle w:val="ListParagraph"/>
        <w:numPr>
          <w:ilvl w:val="0"/>
          <w:numId w:val="2"/>
        </w:numPr>
        <w:spacing w:after="60" w:line="264"/>
      </w:pPr>
      <w:r>
        <w:rPr>
          <w:rFonts w:ascii="Calibri" w:cs="Calibri" w:eastAsia="Calibri" w:hAnsi="Calibri"/>
          <w:sz w:val="22"/>
          <w:szCs w:val="22"/>
        </w:rPr>
        <w:t xml:space="preserve">Modèles : devis, mandat, accord de confidentialité, récapitulatif, enquête de satisfaction (Annexe D).</w:t>
      </w:r>
    </w:p>
    <w:p>
      <w:pPr>
        <w:pStyle w:val="ListParagraph"/>
        <w:numPr>
          <w:ilvl w:val="0"/>
          <w:numId w:val="2"/>
        </w:numPr>
        <w:spacing w:after="60" w:line="264"/>
      </w:pPr>
      <w:r>
        <w:rPr>
          <w:rFonts w:ascii="Calibri" w:cs="Calibri" w:eastAsia="Calibri" w:hAnsi="Calibri"/>
          <w:sz w:val="22"/>
          <w:szCs w:val="22"/>
        </w:rPr>
        <w:t xml:space="preserve">Numéro unique et messagerie dédiée, agenda partagé avec les partenaires.</w:t>
      </w:r>
    </w:p>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8. Communication : ce que l’agence peut faire</w:t>
      </w:r>
    </w:p>
    <w:p>
      <w:pPr>
        <w:spacing w:after="120" w:line="276"/>
      </w:pPr>
      <w:r>
        <w:rPr>
          <w:rFonts w:ascii="Calibri" w:cs="Calibri" w:eastAsia="Calibri" w:hAnsi="Calibri"/>
          <w:sz w:val="22"/>
          <w:szCs w:val="22"/>
        </w:rPr>
        <w:t xml:space="preserve">Objectif : être </w:t>
      </w:r>
      <w:r>
        <w:rPr>
          <w:rFonts w:ascii="Calibri" w:cs="Calibri" w:eastAsia="Calibri" w:hAnsi="Calibri"/>
          <w:b/>
          <w:bCs/>
          <w:sz w:val="22"/>
          <w:szCs w:val="22"/>
        </w:rPr>
        <w:t xml:space="preserve">trouvée facilement</w:t>
      </w:r>
      <w:r>
        <w:rPr>
          <w:rFonts w:ascii="Calibri" w:cs="Calibri" w:eastAsia="Calibri" w:hAnsi="Calibri"/>
          <w:sz w:val="22"/>
          <w:szCs w:val="22"/>
        </w:rPr>
        <w:t xml:space="preserve"> quand une famille en a besoin, et inspirer </w:t>
      </w:r>
      <w:r>
        <w:rPr>
          <w:rFonts w:ascii="Calibri" w:cs="Calibri" w:eastAsia="Calibri" w:hAnsi="Calibri"/>
          <w:b/>
          <w:bCs/>
          <w:sz w:val="22"/>
          <w:szCs w:val="22"/>
        </w:rPr>
        <w:t xml:space="preserve">confiance</w:t>
      </w:r>
      <w:r>
        <w:rPr>
          <w:rFonts w:ascii="Calibri" w:cs="Calibri" w:eastAsia="Calibri" w:hAnsi="Calibri"/>
          <w:sz w:val="22"/>
          <w:szCs w:val="22"/>
        </w:rPr>
        <w:t xml:space="preserve"> en quelques secondes — sans jamais démarcher. Tout ce chapitre respecte la règle : </w:t>
      </w:r>
      <w:r>
        <w:rPr>
          <w:rFonts w:ascii="Calibri" w:cs="Calibri" w:eastAsia="Calibri" w:hAnsi="Calibri"/>
          <w:b/>
          <w:bCs/>
          <w:sz w:val="22"/>
          <w:szCs w:val="22"/>
        </w:rPr>
        <w:t xml:space="preserve">communication générale et passive uniquement</w:t>
      </w:r>
      <w:r>
        <w:rPr>
          <w:rFonts w:ascii="Calibri" w:cs="Calibri" w:eastAsia="Calibri" w:hAnsi="Calibri"/>
          <w:sz w:val="22"/>
          <w:szCs w:val="22"/>
        </w:rPr>
        <w:t xml:space="preserve"> (voir 2.2).</w:t>
      </w:r>
    </w:p>
    <w:p>
      <w:pPr>
        <w:pStyle w:val="Heading2"/>
        <w:keepNext/>
        <w:spacing w:after="120" w:before="280"/>
      </w:pPr>
      <w:r>
        <w:rPr>
          <w:rFonts w:ascii="Calibri" w:cs="Calibri" w:eastAsia="Calibri" w:hAnsi="Calibri"/>
          <w:b/>
          <w:bCs/>
          <w:color w:val="5B7F6B"/>
          <w:sz w:val="28"/>
          <w:szCs w:val="28"/>
        </w:rPr>
        <w:t xml:space="preserve">8.1 Identité et marque</w:t>
      </w:r>
    </w:p>
    <w:p>
      <w:pPr>
        <w:pStyle w:val="ListParagraph"/>
        <w:numPr>
          <w:ilvl w:val="0"/>
          <w:numId w:val="2"/>
        </w:numPr>
        <w:spacing w:after="60" w:line="264"/>
      </w:pPr>
      <w:r>
        <w:rPr>
          <w:rFonts w:ascii="Calibri" w:cs="Calibri" w:eastAsia="Calibri" w:hAnsi="Calibri"/>
          <w:sz w:val="22"/>
          <w:szCs w:val="22"/>
        </w:rPr>
        <w:t xml:space="preserve">Nom sobre et rassurant, facile à retenir et à épeler au téléphone. Vérifier disponibilité (INPI), nom de domaine, réseaux sociaux.</w:t>
      </w:r>
    </w:p>
    <w:p>
      <w:pPr>
        <w:pStyle w:val="ListParagraph"/>
        <w:numPr>
          <w:ilvl w:val="0"/>
          <w:numId w:val="2"/>
        </w:numPr>
        <w:spacing w:after="60" w:line="264"/>
      </w:pPr>
      <w:r>
        <w:rPr>
          <w:rFonts w:ascii="Calibri" w:cs="Calibri" w:eastAsia="Calibri" w:hAnsi="Calibri"/>
          <w:sz w:val="22"/>
          <w:szCs w:val="22"/>
        </w:rPr>
        <w:t xml:space="preserve">Logo simple, couleurs apaisantes (tons doux, pas de noir dominant), typographie lisible.</w:t>
      </w:r>
    </w:p>
    <w:p>
      <w:pPr>
        <w:pStyle w:val="ListParagraph"/>
        <w:numPr>
          <w:ilvl w:val="0"/>
          <w:numId w:val="2"/>
        </w:numPr>
        <w:spacing w:after="60" w:line="264"/>
      </w:pPr>
      <w:r>
        <w:rPr>
          <w:rFonts w:ascii="Calibri" w:cs="Calibri" w:eastAsia="Calibri" w:hAnsi="Calibri"/>
          <w:sz w:val="22"/>
          <w:szCs w:val="22"/>
        </w:rPr>
        <w:t xml:space="preserve">Ton : </w:t>
      </w:r>
      <w:r>
        <w:rPr>
          <w:rFonts w:ascii="Calibri" w:cs="Calibri" w:eastAsia="Calibri" w:hAnsi="Calibri"/>
          <w:b/>
          <w:bCs/>
          <w:sz w:val="22"/>
          <w:szCs w:val="22"/>
        </w:rPr>
        <w:t xml:space="preserve">chaleureux, clair, digne</w:t>
      </w:r>
      <w:r>
        <w:rPr>
          <w:rFonts w:ascii="Calibri" w:cs="Calibri" w:eastAsia="Calibri" w:hAnsi="Calibri"/>
          <w:sz w:val="22"/>
          <w:szCs w:val="22"/>
        </w:rPr>
        <w:t xml:space="preserve">. Pas de jargon, pas d’humour, pas de slogan commercial agressif.</w:t>
      </w:r>
    </w:p>
    <w:p>
      <w:pPr>
        <w:pStyle w:val="ListParagraph"/>
        <w:numPr>
          <w:ilvl w:val="0"/>
          <w:numId w:val="2"/>
        </w:numPr>
        <w:spacing w:after="60" w:line="264"/>
      </w:pPr>
      <w:r>
        <w:rPr>
          <w:rFonts w:ascii="Calibri" w:cs="Calibri" w:eastAsia="Calibri" w:hAnsi="Calibri"/>
          <w:sz w:val="22"/>
          <w:szCs w:val="22"/>
        </w:rPr>
        <w:t xml:space="preserve">Charte graphique courte (logo, couleurs, polices, exemples de documents) pour garder la cohérence.</w:t>
      </w:r>
    </w:p>
    <w:p>
      <w:pPr>
        <w:pStyle w:val="Heading2"/>
        <w:keepNext/>
        <w:spacing w:after="120" w:before="280"/>
      </w:pPr>
      <w:r>
        <w:rPr>
          <w:rFonts w:ascii="Calibri" w:cs="Calibri" w:eastAsia="Calibri" w:hAnsi="Calibri"/>
          <w:b/>
          <w:bCs/>
          <w:color w:val="5B7F6B"/>
          <w:sz w:val="28"/>
          <w:szCs w:val="28"/>
        </w:rPr>
        <w:t xml:space="preserve">8.2 Site web — structure recommandée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blHeader/>
        </w:trPr>
        <w:tc>
          <w:tcPr>
            <w:tcW w:type="dxa" w:w="28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Page</w:t>
            </w:r>
          </w:p>
        </w:tc>
        <w:tc>
          <w:tcPr>
            <w:tcW w:type="dxa" w:w="68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Contenu essentiel</w:t>
            </w:r>
          </w:p>
        </w:tc>
      </w:tr>
      <w:tr>
        <w:trPr>
          <w:cantSplit/>
        </w:trPr>
        <w:tc>
          <w:tcPr>
            <w:tcW w:type="dxa" w:w="2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Accueil</w:t>
            </w:r>
          </w:p>
        </w:tc>
        <w:tc>
          <w:tcPr>
            <w:tcW w:type="dxa" w:w="68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Promesse claire, numéro </w:t>
            </w:r>
            <w:r>
              <w:rPr>
                <w:rFonts w:ascii="Calibri" w:cs="Calibri" w:eastAsia="Calibri" w:hAnsi="Calibri"/>
                <w:b w:val="false"/>
                <w:bCs w:val="false"/>
                <w:sz w:val="20"/>
                <w:szCs w:val="20"/>
              </w:rPr>
              <w:t xml:space="preserve">cliquable et visible</w:t>
            </w:r>
            <w:r>
              <w:rPr>
                <w:rFonts w:ascii="Calibri" w:cs="Calibri" w:eastAsia="Calibri" w:hAnsi="Calibri"/>
                <w:b w:val="false"/>
                <w:bCs w:val="false"/>
                <w:sz w:val="20"/>
                <w:szCs w:val="20"/>
              </w:rPr>
              <w:t xml:space="preserve">, présentation en une phrase, accès aux services, avis, mention de l’habilitation</w:t>
            </w:r>
          </w:p>
        </w:tc>
      </w:tr>
      <w:tr>
        <w:trPr>
          <w:cantSplit/>
        </w:trPr>
        <w:tc>
          <w:tcPr>
            <w:tcW w:type="dxa" w:w="2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Qui sommes-nous</w:t>
            </w:r>
          </w:p>
        </w:tc>
        <w:tc>
          <w:tcPr>
            <w:tcW w:type="dxa" w:w="68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Parcours, diplômes, valeurs, photo humaine, zone d’intervention</w:t>
            </w:r>
          </w:p>
        </w:tc>
      </w:tr>
      <w:tr>
        <w:trPr>
          <w:cantSplit/>
        </w:trPr>
        <w:tc>
          <w:tcPr>
            <w:tcW w:type="dxa" w:w="2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Services (1 page par pôle)</w:t>
            </w:r>
          </w:p>
        </w:tc>
        <w:tc>
          <w:tcPr>
            <w:tcW w:type="dxa" w:w="68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Pôles A, B, C, D, avec explications, formules et déroulé</w:t>
            </w:r>
          </w:p>
        </w:tc>
      </w:tr>
      <w:tr>
        <w:trPr>
          <w:cantSplit/>
        </w:trPr>
        <w:tc>
          <w:tcPr>
            <w:tcW w:type="dxa" w:w="2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Tarifs / transparence</w:t>
            </w:r>
          </w:p>
        </w:tc>
        <w:tc>
          <w:tcPr>
            <w:tcW w:type="dxa" w:w="68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Grille ou fourchettes claires, devis gratuit</w:t>
            </w:r>
          </w:p>
        </w:tc>
      </w:tr>
      <w:tr>
        <w:trPr>
          <w:cantSplit/>
        </w:trPr>
        <w:tc>
          <w:tcPr>
            <w:tcW w:type="dxa" w:w="2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Guide « Que faire après un décès ? »</w:t>
            </w:r>
          </w:p>
        </w:tc>
        <w:tc>
          <w:tcPr>
            <w:tcW w:type="dxa" w:w="68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Guide pas à pas (tiré de l’Annexe C) : page à fort trafic de recherche, très utile</w:t>
            </w:r>
          </w:p>
        </w:tc>
      </w:tr>
      <w:tr>
        <w:trPr>
          <w:cantSplit/>
        </w:trPr>
        <w:tc>
          <w:tcPr>
            <w:tcW w:type="dxa" w:w="2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Hommages et souvenirs</w:t>
            </w:r>
          </w:p>
        </w:tc>
        <w:tc>
          <w:tcPr>
            <w:tcW w:type="dxa" w:w="68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Textile, objets, livrets — avec ton sobre</w:t>
            </w:r>
          </w:p>
        </w:tc>
      </w:tr>
      <w:tr>
        <w:trPr>
          <w:cantSplit/>
        </w:trPr>
        <w:tc>
          <w:tcPr>
            <w:tcW w:type="dxa" w:w="2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FAQ</w:t>
            </w:r>
          </w:p>
        </w:tc>
        <w:tc>
          <w:tcPr>
            <w:tcW w:type="dxa" w:w="68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Questions fréquentes (délais, coût, démarches), mise à jour régulière</w:t>
            </w:r>
          </w:p>
        </w:tc>
      </w:tr>
      <w:tr>
        <w:trPr>
          <w:cantSplit/>
        </w:trPr>
        <w:tc>
          <w:tcPr>
            <w:tcW w:type="dxa" w:w="2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Contact / urgence</w:t>
            </w:r>
          </w:p>
        </w:tc>
        <w:tc>
          <w:tcPr>
            <w:tcW w:type="dxa" w:w="68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Téléphone, formulaire simple, horaires, adresse, plan</w:t>
            </w:r>
          </w:p>
        </w:tc>
      </w:tr>
      <w:tr>
        <w:trPr>
          <w:cantSplit/>
        </w:trPr>
        <w:tc>
          <w:tcPr>
            <w:tcW w:type="dxa" w:w="2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Mentions légales, CGV, confidentialité, médiation</w:t>
            </w:r>
          </w:p>
        </w:tc>
        <w:tc>
          <w:tcPr>
            <w:tcW w:type="dxa" w:w="68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Obligatoires (voir 2.3 et 2.7)</w:t>
            </w:r>
          </w:p>
        </w:tc>
      </w:tr>
    </w:tbl>
    <w:p>
      <w:pPr>
        <w:spacing w:after="80"/>
      </w:pPr>
    </w:p>
    <w:p>
      <w:pPr>
        <w:spacing w:after="120" w:line="276"/>
      </w:pPr>
      <w:r>
        <w:rPr>
          <w:rFonts w:ascii="Calibri" w:cs="Calibri" w:eastAsia="Calibri" w:hAnsi="Calibri"/>
          <w:b/>
          <w:bCs/>
          <w:sz w:val="22"/>
          <w:szCs w:val="22"/>
        </w:rPr>
        <w:t xml:space="preserve">Techniques :</w:t>
      </w:r>
      <w:r>
        <w:rPr>
          <w:rFonts w:ascii="Calibri" w:cs="Calibri" w:eastAsia="Calibri" w:hAnsi="Calibri"/>
          <w:sz w:val="22"/>
          <w:szCs w:val="22"/>
        </w:rPr>
        <w:t xml:space="preserve"> site rapide et compatible mobile (la majorité des recherches se font sur téléphone), accessible, sécurisé (HTTPS), bandeau cookies conforme, balisage de données locales (LocalBusiness), mesure d’audience respectueuse.</w:t>
      </w:r>
    </w:p>
    <w:p>
      <w:pPr>
        <w:spacing w:after="120" w:line="276"/>
      </w:pPr>
      <w:r>
        <w:rPr>
          <w:rFonts w:ascii="Calibri" w:cs="Calibri" w:eastAsia="Calibri" w:hAnsi="Calibri"/>
          <w:b/>
          <w:bCs/>
          <w:sz w:val="22"/>
          <w:szCs w:val="22"/>
        </w:rPr>
        <w:t xml:space="preserve">SEO local :</w:t>
      </w:r>
      <w:r>
        <w:rPr>
          <w:rFonts w:ascii="Calibri" w:cs="Calibri" w:eastAsia="Calibri" w:hAnsi="Calibri"/>
          <w:sz w:val="22"/>
          <w:szCs w:val="22"/>
        </w:rPr>
        <w:t xml:space="preserve"> pages dédiées par commune/zone, vocabulaire des recherches réelles (« démarches après décès », « clôturer compte défunt », « nettoyage de tombe », « entretien de sépulture »), contenus pédagogiques réguliers.</w:t>
      </w:r>
    </w:p>
    <w:p>
      <w:pPr>
        <w:pStyle w:val="Heading2"/>
        <w:keepNext/>
        <w:spacing w:after="120" w:before="280"/>
      </w:pPr>
      <w:r>
        <w:rPr>
          <w:rFonts w:ascii="Calibri" w:cs="Calibri" w:eastAsia="Calibri" w:hAnsi="Calibri"/>
          <w:b/>
          <w:bCs/>
          <w:color w:val="5B7F6B"/>
          <w:sz w:val="28"/>
          <w:szCs w:val="28"/>
        </w:rPr>
        <w:t xml:space="preserve">8.3 Google Business Profile (Google My Business)</w:t>
      </w:r>
    </w:p>
    <w:p>
      <w:pPr>
        <w:pStyle w:val="ListParagraph"/>
        <w:numPr>
          <w:ilvl w:val="0"/>
          <w:numId w:val="2"/>
        </w:numPr>
        <w:spacing w:after="60" w:line="264"/>
      </w:pPr>
      <w:r>
        <w:rPr>
          <w:rFonts w:ascii="Calibri" w:cs="Calibri" w:eastAsia="Calibri" w:hAnsi="Calibri"/>
          <w:sz w:val="22"/>
          <w:szCs w:val="22"/>
        </w:rPr>
        <w:t xml:space="preserve">Créer et </w:t>
      </w:r>
      <w:r>
        <w:rPr>
          <w:rFonts w:ascii="Calibri" w:cs="Calibri" w:eastAsia="Calibri" w:hAnsi="Calibri"/>
          <w:b/>
          <w:bCs/>
          <w:sz w:val="22"/>
          <w:szCs w:val="22"/>
        </w:rPr>
        <w:t xml:space="preserve">valider</w:t>
      </w:r>
      <w:r>
        <w:rPr>
          <w:rFonts w:ascii="Calibri" w:cs="Calibri" w:eastAsia="Calibri" w:hAnsi="Calibri"/>
          <w:sz w:val="22"/>
          <w:szCs w:val="22"/>
        </w:rPr>
        <w:t xml:space="preserve"> la fiche (courrier ou vidéo). Catégorie principale adaptée (ex. « Pompes funèbres » si habilitée, sinon une catégorie fidèle à l’activité, plus catégories secondaires).</w:t>
      </w:r>
    </w:p>
    <w:p>
      <w:pPr>
        <w:pStyle w:val="ListParagraph"/>
        <w:numPr>
          <w:ilvl w:val="0"/>
          <w:numId w:val="2"/>
        </w:numPr>
        <w:spacing w:after="60" w:line="264"/>
      </w:pPr>
      <w:r>
        <w:rPr>
          <w:rFonts w:ascii="Calibri" w:cs="Calibri" w:eastAsia="Calibri" w:hAnsi="Calibri"/>
          <w:sz w:val="22"/>
          <w:szCs w:val="22"/>
        </w:rPr>
        <w:t xml:space="preserve">Renseigner : zone de service, horaires (24h/24 si c’est le cas), téléphone, site, description sobre, photos (équipe, accueil, véhicule, prestations), services et produits.</w:t>
      </w:r>
    </w:p>
    <w:p>
      <w:pPr>
        <w:pStyle w:val="ListParagraph"/>
        <w:numPr>
          <w:ilvl w:val="0"/>
          <w:numId w:val="2"/>
        </w:numPr>
        <w:spacing w:after="60" w:line="264"/>
      </w:pPr>
      <w:r>
        <w:rPr>
          <w:rFonts w:ascii="Calibri" w:cs="Calibri" w:eastAsia="Calibri" w:hAnsi="Calibri"/>
          <w:b/>
          <w:bCs/>
          <w:sz w:val="22"/>
          <w:szCs w:val="22"/>
        </w:rPr>
        <w:t xml:space="preserve">Avis</w:t>
      </w:r>
      <w:r>
        <w:rPr>
          <w:rFonts w:ascii="Calibri" w:cs="Calibri" w:eastAsia="Calibri" w:hAnsi="Calibri"/>
          <w:sz w:val="22"/>
          <w:szCs w:val="22"/>
        </w:rPr>
        <w:t xml:space="preserve"> : demander poliment à la fin du dossier (carte avec QR code), répondre à chaque avis avec dignité, ne jamais en acheter ni en inventer.</w:t>
      </w:r>
    </w:p>
    <w:p>
      <w:pPr>
        <w:pStyle w:val="ListParagraph"/>
        <w:numPr>
          <w:ilvl w:val="0"/>
          <w:numId w:val="2"/>
        </w:numPr>
        <w:spacing w:after="60" w:line="264"/>
      </w:pPr>
      <w:r>
        <w:rPr>
          <w:rFonts w:ascii="Calibri" w:cs="Calibri" w:eastAsia="Calibri" w:hAnsi="Calibri"/>
          <w:sz w:val="22"/>
          <w:szCs w:val="22"/>
        </w:rPr>
        <w:t xml:space="preserve">Publier régulièrement (informations utiles, horaires de Toussaint…).</w:t>
      </w:r>
    </w:p>
    <w:p>
      <w:pPr>
        <w:pStyle w:val="ListParagraph"/>
        <w:numPr>
          <w:ilvl w:val="0"/>
          <w:numId w:val="2"/>
        </w:numPr>
        <w:spacing w:after="60" w:line="264"/>
      </w:pPr>
      <w:r>
        <w:rPr>
          <w:rFonts w:ascii="Calibri" w:cs="Calibri" w:eastAsia="Calibri" w:hAnsi="Calibri"/>
          <w:sz w:val="22"/>
          <w:szCs w:val="22"/>
        </w:rPr>
        <w:t xml:space="preserve">Surveiller les faux profils ou fiches dupliquées qui usurpent des entreprises.</w:t>
      </w:r>
    </w:p>
    <w:p>
      <w:pPr>
        <w:pStyle w:val="Heading2"/>
        <w:keepNext/>
        <w:spacing w:after="120" w:before="280"/>
      </w:pPr>
      <w:r>
        <w:rPr>
          <w:rFonts w:ascii="Calibri" w:cs="Calibri" w:eastAsia="Calibri" w:hAnsi="Calibri"/>
          <w:b/>
          <w:bCs/>
          <w:color w:val="5B7F6B"/>
          <w:sz w:val="28"/>
          <w:szCs w:val="28"/>
        </w:rPr>
        <w:t xml:space="preserve">8.4 Réseaux sociaux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838"/>
      </w:tblGrid>
      <w:tr>
        <w:trPr>
          <w:cantSplit/>
          <w:tblHeader/>
        </w:trPr>
        <w:tc>
          <w:tcPr>
            <w:tcW w:type="dxa" w:w="20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Réseau</w:t>
            </w:r>
          </w:p>
        </w:tc>
        <w:tc>
          <w:tcPr>
            <w:tcW w:type="dxa" w:w="38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Rôle</w:t>
            </w:r>
          </w:p>
        </w:tc>
        <w:tc>
          <w:tcPr>
            <w:tcW w:type="dxa" w:w="38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Contenus</w:t>
            </w:r>
          </w:p>
        </w:tc>
      </w:tr>
      <w:tr>
        <w:trPr>
          <w:cantSplit/>
        </w:trPr>
        <w:tc>
          <w:tcPr>
            <w:tcW w:type="dxa" w:w="2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Facebook</w:t>
            </w:r>
          </w:p>
        </w:tc>
        <w:tc>
          <w:tcPr>
            <w:tcW w:type="dxa" w:w="38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Public principal (familles, 40-80 ans), page locale, événements</w:t>
            </w:r>
          </w:p>
        </w:tc>
        <w:tc>
          <w:tcPr>
            <w:tcW w:type="dxa" w:w="38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Informations pratiques, ateliers, rappels Toussaint, témoignages (avec accord)</w:t>
            </w:r>
          </w:p>
        </w:tc>
      </w:tr>
      <w:tr>
        <w:trPr>
          <w:cantSplit/>
        </w:trPr>
        <w:tc>
          <w:tcPr>
            <w:tcW w:type="dxa" w:w="2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Instagram</w:t>
            </w:r>
          </w:p>
        </w:tc>
        <w:tc>
          <w:tcPr>
            <w:tcW w:type="dxa" w:w="38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Image de marque, mémoire et souvenirs</w:t>
            </w:r>
          </w:p>
        </w:tc>
        <w:tc>
          <w:tcPr>
            <w:tcW w:type="dxa" w:w="38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Visuels sobres, coulisses, hommages (avec accord)</w:t>
            </w:r>
          </w:p>
        </w:tc>
      </w:tr>
      <w:tr>
        <w:trPr>
          <w:cantSplit/>
        </w:trPr>
        <w:tc>
          <w:tcPr>
            <w:tcW w:type="dxa" w:w="2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LinkedIn</w:t>
            </w:r>
          </w:p>
        </w:tc>
        <w:tc>
          <w:tcPr>
            <w:tcW w:type="dxa" w:w="38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Réseau professionnel (notaires, médecins, partenaires)</w:t>
            </w:r>
          </w:p>
        </w:tc>
        <w:tc>
          <w:tcPr>
            <w:tcW w:type="dxa" w:w="38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Expertise, partenariats</w:t>
            </w:r>
          </w:p>
        </w:tc>
      </w:tr>
      <w:tr>
        <w:trPr>
          <w:cantSplit/>
        </w:trPr>
        <w:tc>
          <w:tcPr>
            <w:tcW w:type="dxa" w:w="2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YouTube / vidéo courte</w:t>
            </w:r>
          </w:p>
        </w:tc>
        <w:tc>
          <w:tcPr>
            <w:tcW w:type="dxa" w:w="38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Pédagogie : « les 10 démarches à faire », « comment se déroule… »</w:t>
            </w:r>
          </w:p>
        </w:tc>
        <w:tc>
          <w:tcPr>
            <w:tcW w:type="dxa" w:w="38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Vidéos explicatives, témoignages</w:t>
            </w:r>
          </w:p>
        </w:tc>
      </w:tr>
    </w:tbl>
    <w:p>
      <w:pPr>
        <w:spacing w:after="80"/>
      </w:pPr>
    </w:p>
    <w:p>
      <w:pPr>
        <w:pStyle w:val="ListParagraph"/>
        <w:numPr>
          <w:ilvl w:val="0"/>
          <w:numId w:val="2"/>
        </w:numPr>
        <w:spacing w:after="60" w:line="264"/>
      </w:pPr>
      <w:r>
        <w:rPr>
          <w:rFonts w:ascii="Calibri" w:cs="Calibri" w:eastAsia="Calibri" w:hAnsi="Calibri"/>
          <w:b/>
          <w:bCs/>
          <w:sz w:val="22"/>
          <w:szCs w:val="22"/>
        </w:rPr>
        <w:t xml:space="preserve">Ne jamais</w:t>
      </w:r>
      <w:r>
        <w:rPr>
          <w:rFonts w:ascii="Calibri" w:cs="Calibri" w:eastAsia="Calibri" w:hAnsi="Calibri"/>
          <w:sz w:val="22"/>
          <w:szCs w:val="22"/>
        </w:rPr>
        <w:t xml:space="preserve"> poster de promotion en lien avec un décès précis, </w:t>
      </w:r>
      <w:r>
        <w:rPr>
          <w:rFonts w:ascii="Calibri" w:cs="Calibri" w:eastAsia="Calibri" w:hAnsi="Calibri"/>
          <w:b/>
          <w:bCs/>
          <w:sz w:val="22"/>
          <w:szCs w:val="22"/>
        </w:rPr>
        <w:t xml:space="preserve">ni</w:t>
      </w:r>
      <w:r>
        <w:rPr>
          <w:rFonts w:ascii="Calibri" w:cs="Calibri" w:eastAsia="Calibri" w:hAnsi="Calibri"/>
          <w:sz w:val="22"/>
          <w:szCs w:val="22"/>
        </w:rPr>
        <w:t xml:space="preserve"> cibler en publicité des personnes endeuillées.</w:t>
      </w:r>
    </w:p>
    <w:p>
      <w:pPr>
        <w:pStyle w:val="ListParagraph"/>
        <w:numPr>
          <w:ilvl w:val="0"/>
          <w:numId w:val="2"/>
        </w:numPr>
        <w:spacing w:after="60" w:line="264"/>
      </w:pPr>
      <w:r>
        <w:rPr>
          <w:rFonts w:ascii="Calibri" w:cs="Calibri" w:eastAsia="Calibri" w:hAnsi="Calibri"/>
          <w:sz w:val="22"/>
          <w:szCs w:val="22"/>
        </w:rPr>
        <w:t xml:space="preserve">Rythme réaliste : 1 à 2 publications par semaine, mieux vaut peu et bien.</w:t>
      </w:r>
    </w:p>
    <w:p>
      <w:pPr>
        <w:pStyle w:val="ListParagraph"/>
        <w:numPr>
          <w:ilvl w:val="0"/>
          <w:numId w:val="2"/>
        </w:numPr>
        <w:spacing w:after="60" w:line="264"/>
      </w:pPr>
      <w:r>
        <w:rPr>
          <w:rFonts w:ascii="Calibri" w:cs="Calibri" w:eastAsia="Calibri" w:hAnsi="Calibri"/>
          <w:sz w:val="22"/>
          <w:szCs w:val="22"/>
        </w:rPr>
        <w:t xml:space="preserve">Calendrier éditorial : démarches, coulisses du métier, conseils, mémoire/Toussaint, vie locale.</w:t>
      </w:r>
    </w:p>
    <w:p>
      <w:pPr>
        <w:pStyle w:val="Heading2"/>
        <w:keepNext/>
        <w:spacing w:after="120" w:before="280"/>
      </w:pPr>
      <w:r>
        <w:rPr>
          <w:rFonts w:ascii="Calibri" w:cs="Calibri" w:eastAsia="Calibri" w:hAnsi="Calibri"/>
          <w:b/>
          <w:bCs/>
          <w:color w:val="5B7F6B"/>
          <w:sz w:val="28"/>
          <w:szCs w:val="28"/>
        </w:rPr>
        <w:t xml:space="preserve">8.5 Contenus et supports</w:t>
      </w:r>
    </w:p>
    <w:p>
      <w:pPr>
        <w:pStyle w:val="ListParagraph"/>
        <w:numPr>
          <w:ilvl w:val="0"/>
          <w:numId w:val="2"/>
        </w:numPr>
        <w:spacing w:after="60" w:line="264"/>
      </w:pPr>
      <w:r>
        <w:rPr>
          <w:rFonts w:ascii="Calibri" w:cs="Calibri" w:eastAsia="Calibri" w:hAnsi="Calibri"/>
          <w:b/>
          <w:bCs/>
          <w:sz w:val="22"/>
          <w:szCs w:val="22"/>
        </w:rPr>
        <w:t xml:space="preserve">Livret « Que faire après un décès ? »</w:t>
      </w:r>
      <w:r>
        <w:rPr>
          <w:rFonts w:ascii="Calibri" w:cs="Calibri" w:eastAsia="Calibri" w:hAnsi="Calibri"/>
          <w:sz w:val="22"/>
          <w:szCs w:val="22"/>
        </w:rPr>
        <w:t xml:space="preserve"> (PDF/imprimé) : outil de confiance majeur, distribué en mairie, chez le notaire ou le médecin </w:t>
      </w:r>
      <w:r>
        <w:rPr>
          <w:rFonts w:ascii="Calibri" w:cs="Calibri" w:eastAsia="Calibri" w:hAnsi="Calibri"/>
          <w:b/>
          <w:bCs/>
          <w:sz w:val="22"/>
          <w:szCs w:val="22"/>
        </w:rPr>
        <w:t xml:space="preserve">à titre d’information neutre</w:t>
      </w:r>
      <w:r>
        <w:rPr>
          <w:rFonts w:ascii="Calibri" w:cs="Calibri" w:eastAsia="Calibri" w:hAnsi="Calibri"/>
          <w:sz w:val="22"/>
          <w:szCs w:val="22"/>
        </w:rPr>
        <w:t xml:space="preserve">.</w:t>
      </w:r>
    </w:p>
    <w:p>
      <w:pPr>
        <w:pStyle w:val="ListParagraph"/>
        <w:numPr>
          <w:ilvl w:val="0"/>
          <w:numId w:val="2"/>
        </w:numPr>
        <w:spacing w:after="60" w:line="264"/>
      </w:pPr>
      <w:r>
        <w:rPr>
          <w:rFonts w:ascii="Calibri" w:cs="Calibri" w:eastAsia="Calibri" w:hAnsi="Calibri"/>
          <w:sz w:val="22"/>
          <w:szCs w:val="22"/>
        </w:rPr>
        <w:t xml:space="preserve">Cartes de visite, plaquette de présentation, enveloppe et papier à en-tête, dossier remis à la famille, carte « avis Google ».</w:t>
      </w:r>
    </w:p>
    <w:p>
      <w:pPr>
        <w:pStyle w:val="ListParagraph"/>
        <w:numPr>
          <w:ilvl w:val="0"/>
          <w:numId w:val="2"/>
        </w:numPr>
        <w:spacing w:after="60" w:line="264"/>
      </w:pPr>
      <w:r>
        <w:rPr>
          <w:rFonts w:ascii="Calibri" w:cs="Calibri" w:eastAsia="Calibri" w:hAnsi="Calibri"/>
          <w:sz w:val="22"/>
          <w:szCs w:val="22"/>
        </w:rPr>
        <w:t xml:space="preserve">Véhicule : habillage sobre si adapté ; signalétique du local.</w:t>
      </w:r>
    </w:p>
    <w:p>
      <w:pPr>
        <w:pStyle w:val="ListParagraph"/>
        <w:numPr>
          <w:ilvl w:val="0"/>
          <w:numId w:val="2"/>
        </w:numPr>
        <w:spacing w:after="60" w:line="264"/>
      </w:pPr>
      <w:r>
        <w:rPr>
          <w:rFonts w:ascii="Calibri" w:cs="Calibri" w:eastAsia="Calibri" w:hAnsi="Calibri"/>
          <w:sz w:val="22"/>
          <w:szCs w:val="22"/>
        </w:rPr>
        <w:t xml:space="preserve">Textile : tenue de travail brandée discrète.</w:t>
      </w:r>
    </w:p>
    <w:p>
      <w:pPr>
        <w:pStyle w:val="Heading2"/>
        <w:keepNext/>
        <w:spacing w:after="120" w:before="280"/>
      </w:pPr>
      <w:r>
        <w:rPr>
          <w:rFonts w:ascii="Calibri" w:cs="Calibri" w:eastAsia="Calibri" w:hAnsi="Calibri"/>
          <w:b/>
          <w:bCs/>
          <w:color w:val="5B7F6B"/>
          <w:sz w:val="28"/>
          <w:szCs w:val="28"/>
        </w:rPr>
        <w:t xml:space="preserve">8.6 Prestations de l’agence (à chiffrer)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4338"/>
        <w:gridCol w:w="1900"/>
      </w:tblGrid>
      <w:tr>
        <w:trPr>
          <w:cantSplit/>
          <w:tblHeader/>
        </w:trPr>
        <w:tc>
          <w:tcPr>
            <w:tcW w:type="dxa" w:w="34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Livrable</w:t>
            </w:r>
          </w:p>
        </w:tc>
        <w:tc>
          <w:tcPr>
            <w:tcW w:type="dxa" w:w="43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Détail</w:t>
            </w:r>
          </w:p>
        </w:tc>
        <w:tc>
          <w:tcPr>
            <w:tcW w:type="dxa" w:w="19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Statut</w:t>
            </w:r>
          </w:p>
        </w:tc>
      </w:tr>
      <w:tr>
        <w:trPr>
          <w:cantSplit/>
        </w:trPr>
        <w:tc>
          <w:tcPr>
            <w:tcW w:type="dxa" w:w="34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Identité visuelle</w:t>
            </w:r>
          </w:p>
        </w:tc>
        <w:tc>
          <w:tcPr>
            <w:tcW w:type="dxa" w:w="4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Logo, charte, déclinaisons</w:t>
            </w:r>
          </w:p>
        </w:tc>
        <w:tc>
          <w:tcPr>
            <w:tcW w:type="dxa" w:w="19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À chiffrer</w:t>
            </w:r>
          </w:p>
        </w:tc>
      </w:tr>
      <w:tr>
        <w:trPr>
          <w:cantSplit/>
        </w:trPr>
        <w:tc>
          <w:tcPr>
            <w:tcW w:type="dxa" w:w="34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Site web</w:t>
            </w:r>
          </w:p>
        </w:tc>
        <w:tc>
          <w:tcPr>
            <w:tcW w:type="dxa" w:w="4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Conception, rédaction, SEO local, mentions légales</w:t>
            </w:r>
          </w:p>
        </w:tc>
        <w:tc>
          <w:tcPr>
            <w:tcW w:type="dxa" w:w="19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À chiffrer</w:t>
            </w:r>
          </w:p>
        </w:tc>
      </w:tr>
      <w:tr>
        <w:trPr>
          <w:cantSplit/>
        </w:trPr>
        <w:tc>
          <w:tcPr>
            <w:tcW w:type="dxa" w:w="34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Google Business Profile</w:t>
            </w:r>
          </w:p>
        </w:tc>
        <w:tc>
          <w:tcPr>
            <w:tcW w:type="dxa" w:w="4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Création, validation, optimisation, gestion des avis</w:t>
            </w:r>
          </w:p>
        </w:tc>
        <w:tc>
          <w:tcPr>
            <w:tcW w:type="dxa" w:w="19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À chiffrer</w:t>
            </w:r>
          </w:p>
        </w:tc>
      </w:tr>
      <w:tr>
        <w:trPr>
          <w:cantSplit/>
        </w:trPr>
        <w:tc>
          <w:tcPr>
            <w:tcW w:type="dxa" w:w="34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Réseaux sociaux</w:t>
            </w:r>
          </w:p>
        </w:tc>
        <w:tc>
          <w:tcPr>
            <w:tcW w:type="dxa" w:w="4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Pages, modèles de publications, calendrier</w:t>
            </w:r>
          </w:p>
        </w:tc>
        <w:tc>
          <w:tcPr>
            <w:tcW w:type="dxa" w:w="19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À chiffrer</w:t>
            </w:r>
          </w:p>
        </w:tc>
      </w:tr>
      <w:tr>
        <w:trPr>
          <w:cantSplit/>
        </w:trPr>
        <w:tc>
          <w:tcPr>
            <w:tcW w:type="dxa" w:w="34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Supports imprimés</w:t>
            </w:r>
          </w:p>
        </w:tc>
        <w:tc>
          <w:tcPr>
            <w:tcW w:type="dxa" w:w="4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Cartes, plaquette, livret, dossier famille, faire-part</w:t>
            </w:r>
          </w:p>
        </w:tc>
        <w:tc>
          <w:tcPr>
            <w:tcW w:type="dxa" w:w="19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À chiffrer</w:t>
            </w:r>
          </w:p>
        </w:tc>
      </w:tr>
      <w:tr>
        <w:trPr>
          <w:cantSplit/>
        </w:trPr>
        <w:tc>
          <w:tcPr>
            <w:tcW w:type="dxa" w:w="34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Textile et flocage souvenir</w:t>
            </w:r>
          </w:p>
        </w:tc>
        <w:tc>
          <w:tcPr>
            <w:tcW w:type="dxa" w:w="4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Gamme sobre, modèles, quantités minimales</w:t>
            </w:r>
          </w:p>
        </w:tc>
        <w:tc>
          <w:tcPr>
            <w:tcW w:type="dxa" w:w="19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À chiffrer</w:t>
            </w:r>
          </w:p>
        </w:tc>
      </w:tr>
      <w:tr>
        <w:trPr>
          <w:cantSplit/>
        </w:trPr>
        <w:tc>
          <w:tcPr>
            <w:tcW w:type="dxa" w:w="34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Relecture conformité communication</w:t>
            </w:r>
          </w:p>
        </w:tc>
        <w:tc>
          <w:tcPr>
            <w:tcW w:type="dxa" w:w="4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Contrôle des supports vs règles de démarchage (avec un juriste)</w:t>
            </w:r>
          </w:p>
        </w:tc>
        <w:tc>
          <w:tcPr>
            <w:tcW w:type="dxa" w:w="19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À chiffrer</w:t>
            </w:r>
          </w:p>
        </w:tc>
      </w:tr>
      <w:tr>
        <w:trPr>
          <w:cantSplit/>
        </w:trPr>
        <w:tc>
          <w:tcPr>
            <w:tcW w:type="dxa" w:w="34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Suivi mensuel</w:t>
            </w:r>
          </w:p>
        </w:tc>
        <w:tc>
          <w:tcPr>
            <w:tcW w:type="dxa" w:w="4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Mise à jour, reporting, avis, conseils</w:t>
            </w:r>
          </w:p>
        </w:tc>
        <w:tc>
          <w:tcPr>
            <w:tcW w:type="dxa" w:w="19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À chiffrer</w:t>
            </w:r>
          </w:p>
        </w:tc>
      </w:tr>
    </w:tbl>
    <w:p>
      <w:pPr>
        <w:spacing w:after="80"/>
      </w:pPr>
    </w:p>
    <w:p>
      <w:pPr>
        <w:pStyle w:val="Heading2"/>
        <w:keepNext/>
        <w:spacing w:after="120" w:before="280"/>
      </w:pPr>
      <w:r>
        <w:rPr>
          <w:rFonts w:ascii="Calibri" w:cs="Calibri" w:eastAsia="Calibri" w:hAnsi="Calibri"/>
          <w:b/>
          <w:bCs/>
          <w:color w:val="5B7F6B"/>
          <w:sz w:val="28"/>
          <w:szCs w:val="28"/>
        </w:rPr>
        <w:t xml:space="preserve">8.7 Mesurer</w:t>
      </w:r>
    </w:p>
    <w:p>
      <w:pPr>
        <w:pStyle w:val="ListParagraph"/>
        <w:numPr>
          <w:ilvl w:val="0"/>
          <w:numId w:val="2"/>
        </w:numPr>
        <w:spacing w:after="60" w:line="264"/>
      </w:pPr>
      <w:r>
        <w:rPr>
          <w:rFonts w:ascii="Calibri" w:cs="Calibri" w:eastAsia="Calibri" w:hAnsi="Calibri"/>
          <w:sz w:val="22"/>
          <w:szCs w:val="22"/>
        </w:rPr>
        <w:t xml:space="preserve">Appels et formulaires reçus (par source), position locale Google, nombre et note des avis, trafic du site, pages les plus lues, taux de conversion appels → rendez-vous → dossiers.</w:t>
      </w:r>
    </w:p>
    <w:p>
      <w:pPr>
        <w:pStyle w:val="ListParagraph"/>
        <w:numPr>
          <w:ilvl w:val="0"/>
          <w:numId w:val="2"/>
        </w:numPr>
        <w:spacing w:after="60" w:line="264"/>
      </w:pPr>
      <w:r>
        <w:rPr>
          <w:rFonts w:ascii="Calibri" w:cs="Calibri" w:eastAsia="Calibri" w:hAnsi="Calibri"/>
          <w:sz w:val="22"/>
          <w:szCs w:val="22"/>
        </w:rPr>
        <w:t xml:space="preserve">Objectif réaliste 6 mois : fiche Google complète avec des premiers avis, site référencé sur les recherches locales, 10-20 relais de confiance identifiés.</w:t>
      </w:r>
    </w:p>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9. Organisation, moyens et fournisseurs</w:t>
      </w:r>
    </w:p>
    <w:p>
      <w:pPr>
        <w:pStyle w:val="Heading2"/>
        <w:keepNext/>
        <w:spacing w:after="120" w:before="280"/>
      </w:pPr>
      <w:r>
        <w:rPr>
          <w:rFonts w:ascii="Calibri" w:cs="Calibri" w:eastAsia="Calibri" w:hAnsi="Calibri"/>
          <w:b/>
          <w:bCs/>
          <w:color w:val="5B7F6B"/>
          <w:sz w:val="28"/>
          <w:szCs w:val="28"/>
        </w:rPr>
        <w:t xml:space="preserve">9.1 Moyens à prévoir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3600"/>
        <w:gridCol w:w="3238"/>
      </w:tblGrid>
      <w:tr>
        <w:trPr>
          <w:cantSplit/>
          <w:tblHeader/>
        </w:trPr>
        <w:tc>
          <w:tcPr>
            <w:tcW w:type="dxa" w:w="28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Poste</w:t>
            </w:r>
          </w:p>
        </w:tc>
        <w:tc>
          <w:tcPr>
            <w:tcW w:type="dxa" w:w="36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Description</w:t>
            </w:r>
          </w:p>
        </w:tc>
        <w:tc>
          <w:tcPr>
            <w:tcW w:type="dxa" w:w="32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Remarque</w:t>
            </w:r>
          </w:p>
        </w:tc>
      </w:tr>
      <w:tr>
        <w:trPr>
          <w:cantSplit/>
        </w:trPr>
        <w:tc>
          <w:tcPr>
            <w:tcW w:type="dxa" w:w="2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Lieu d’accueil</w:t>
            </w:r>
          </w:p>
        </w:tc>
        <w:tc>
          <w:tcPr>
            <w:tcW w:type="dxa" w:w="3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Bureau calme, confidentiel, accessible</w:t>
            </w:r>
          </w:p>
        </w:tc>
        <w:tc>
          <w:tcPr>
            <w:tcW w:type="dxa" w:w="32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Domicile possible pour B/C/D, local dédié pour A</w:t>
            </w:r>
          </w:p>
        </w:tc>
      </w:tr>
      <w:tr>
        <w:trPr>
          <w:cantSplit/>
        </w:trPr>
        <w:tc>
          <w:tcPr>
            <w:tcW w:type="dxa" w:w="2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Véhicule</w:t>
            </w:r>
          </w:p>
        </w:tc>
        <w:tc>
          <w:tcPr>
            <w:tcW w:type="dxa" w:w="36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Véhicule de service ; véhicule de transport de corps si habilitation</w:t>
            </w:r>
          </w:p>
        </w:tc>
        <w:tc>
          <w:tcPr>
            <w:tcW w:type="dxa" w:w="32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Normes spécifiques</w:t>
            </w:r>
          </w:p>
        </w:tc>
      </w:tr>
      <w:tr>
        <w:trPr>
          <w:cantSplit/>
        </w:trPr>
        <w:tc>
          <w:tcPr>
            <w:tcW w:type="dxa" w:w="2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Téléphonie / permanence 24h</w:t>
            </w:r>
          </w:p>
        </w:tc>
        <w:tc>
          <w:tcPr>
            <w:tcW w:type="dxa" w:w="3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Numéro unique, répondeur, permanence ou renvoi</w:t>
            </w:r>
          </w:p>
        </w:tc>
        <w:tc>
          <w:tcPr>
            <w:tcW w:type="dxa" w:w="32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Cœur de l’activité funéraire</w:t>
            </w:r>
          </w:p>
        </w:tc>
      </w:tr>
      <w:tr>
        <w:trPr>
          <w:cantSplit/>
        </w:trPr>
        <w:tc>
          <w:tcPr>
            <w:tcW w:type="dxa" w:w="2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Informatique</w:t>
            </w:r>
          </w:p>
        </w:tc>
        <w:tc>
          <w:tcPr>
            <w:tcW w:type="dxa" w:w="36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Ordinateur, logiciel de gestion, CRM, scanner, sauvegarde</w:t>
            </w:r>
          </w:p>
        </w:tc>
        <w:tc>
          <w:tcPr>
            <w:tcW w:type="dxa" w:w="32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RGPD</w:t>
            </w:r>
          </w:p>
        </w:tc>
      </w:tr>
      <w:tr>
        <w:trPr>
          <w:cantSplit/>
        </w:trPr>
        <w:tc>
          <w:tcPr>
            <w:tcW w:type="dxa" w:w="2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Outils d’entretien de sépultures</w:t>
            </w:r>
          </w:p>
        </w:tc>
        <w:tc>
          <w:tcPr>
            <w:tcW w:type="dxa" w:w="3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Matériel, produits, équipements de protection</w:t>
            </w:r>
          </w:p>
        </w:tc>
        <w:tc>
          <w:tcPr>
            <w:tcW w:type="dxa" w:w="32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Rangement, véhicule</w:t>
            </w:r>
          </w:p>
        </w:tc>
      </w:tr>
      <w:tr>
        <w:trPr>
          <w:cantSplit/>
        </w:trPr>
        <w:tc>
          <w:tcPr>
            <w:tcW w:type="dxa" w:w="2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Équipe</w:t>
            </w:r>
          </w:p>
        </w:tc>
        <w:tc>
          <w:tcPr>
            <w:tcW w:type="dxa" w:w="36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Seule au début ; renfort ponctuel (porteurs, assistantes, jardinier)</w:t>
            </w:r>
          </w:p>
        </w:tc>
        <w:tc>
          <w:tcPr>
            <w:tcW w:type="dxa" w:w="32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Voir contrats et assurances</w:t>
            </w:r>
          </w:p>
        </w:tc>
      </w:tr>
    </w:tbl>
    <w:p>
      <w:pPr>
        <w:spacing w:after="80"/>
      </w:pPr>
    </w:p>
    <w:p>
      <w:pPr>
        <w:pStyle w:val="Heading2"/>
        <w:keepNext/>
        <w:spacing w:after="120" w:before="280"/>
      </w:pPr>
      <w:r>
        <w:rPr>
          <w:rFonts w:ascii="Calibri" w:cs="Calibri" w:eastAsia="Calibri" w:hAnsi="Calibri"/>
          <w:b/>
          <w:bCs/>
          <w:color w:val="5B7F6B"/>
          <w:sz w:val="28"/>
          <w:szCs w:val="28"/>
        </w:rPr>
        <w:t xml:space="preserve">9.2 Fournisseurs et partenaires à identifier</w:t>
      </w:r>
    </w:p>
    <w:p>
      <w:pPr>
        <w:pStyle w:val="ListParagraph"/>
        <w:numPr>
          <w:ilvl w:val="0"/>
          <w:numId w:val="2"/>
        </w:numPr>
        <w:spacing w:after="60" w:line="264"/>
      </w:pPr>
      <w:r>
        <w:rPr>
          <w:rFonts w:ascii="Calibri" w:cs="Calibri" w:eastAsia="Calibri" w:hAnsi="Calibri"/>
          <w:sz w:val="22"/>
          <w:szCs w:val="22"/>
        </w:rPr>
        <w:t xml:space="preserve">Fournisseur de </w:t>
      </w:r>
      <w:r>
        <w:rPr>
          <w:rFonts w:ascii="Calibri" w:cs="Calibri" w:eastAsia="Calibri" w:hAnsi="Calibri"/>
          <w:b/>
          <w:bCs/>
          <w:sz w:val="22"/>
          <w:szCs w:val="22"/>
        </w:rPr>
        <w:t xml:space="preserve">cercueils, urnes, accessoires</w:t>
      </w:r>
      <w:r>
        <w:rPr>
          <w:rFonts w:ascii="Calibri" w:cs="Calibri" w:eastAsia="Calibri" w:hAnsi="Calibri"/>
          <w:sz w:val="22"/>
          <w:szCs w:val="22"/>
        </w:rPr>
        <w:t xml:space="preserve"> funéraires (grossiste, catalogues, conditions de livraison).</w:t>
      </w:r>
    </w:p>
    <w:p>
      <w:pPr>
        <w:pStyle w:val="ListParagraph"/>
        <w:numPr>
          <w:ilvl w:val="0"/>
          <w:numId w:val="2"/>
        </w:numPr>
        <w:spacing w:after="60" w:line="264"/>
      </w:pPr>
      <w:r>
        <w:rPr>
          <w:rFonts w:ascii="Calibri" w:cs="Calibri" w:eastAsia="Calibri" w:hAnsi="Calibri"/>
          <w:b/>
          <w:bCs/>
          <w:sz w:val="22"/>
          <w:szCs w:val="22"/>
        </w:rPr>
        <w:t xml:space="preserve">Marbrier</w:t>
      </w:r>
      <w:r>
        <w:rPr>
          <w:rFonts w:ascii="Calibri" w:cs="Calibri" w:eastAsia="Calibri" w:hAnsi="Calibri"/>
          <w:sz w:val="22"/>
          <w:szCs w:val="22"/>
        </w:rPr>
        <w:t xml:space="preserve">, </w:t>
      </w:r>
      <w:r>
        <w:rPr>
          <w:rFonts w:ascii="Calibri" w:cs="Calibri" w:eastAsia="Calibri" w:hAnsi="Calibri"/>
          <w:b/>
          <w:bCs/>
          <w:sz w:val="22"/>
          <w:szCs w:val="22"/>
        </w:rPr>
        <w:t xml:space="preserve">fleuriste</w:t>
      </w:r>
      <w:r>
        <w:rPr>
          <w:rFonts w:ascii="Calibri" w:cs="Calibri" w:eastAsia="Calibri" w:hAnsi="Calibri"/>
          <w:sz w:val="22"/>
          <w:szCs w:val="22"/>
        </w:rPr>
        <w:t xml:space="preserve">, </w:t>
      </w:r>
      <w:r>
        <w:rPr>
          <w:rFonts w:ascii="Calibri" w:cs="Calibri" w:eastAsia="Calibri" w:hAnsi="Calibri"/>
          <w:b/>
          <w:bCs/>
          <w:sz w:val="22"/>
          <w:szCs w:val="22"/>
        </w:rPr>
        <w:t xml:space="preserve">traiteur</w:t>
      </w:r>
      <w:r>
        <w:rPr>
          <w:rFonts w:ascii="Calibri" w:cs="Calibri" w:eastAsia="Calibri" w:hAnsi="Calibri"/>
          <w:sz w:val="22"/>
          <w:szCs w:val="22"/>
        </w:rPr>
        <w:t xml:space="preserve">, </w:t>
      </w:r>
      <w:r>
        <w:rPr>
          <w:rFonts w:ascii="Calibri" w:cs="Calibri" w:eastAsia="Calibri" w:hAnsi="Calibri"/>
          <w:b/>
          <w:bCs/>
          <w:sz w:val="22"/>
          <w:szCs w:val="22"/>
        </w:rPr>
        <w:t xml:space="preserve">officiant/maître de cérémonie</w:t>
      </w:r>
      <w:r>
        <w:rPr>
          <w:rFonts w:ascii="Calibri" w:cs="Calibri" w:eastAsia="Calibri" w:hAnsi="Calibri"/>
          <w:sz w:val="22"/>
          <w:szCs w:val="22"/>
        </w:rPr>
        <w:t xml:space="preserve">, </w:t>
      </w:r>
      <w:r>
        <w:rPr>
          <w:rFonts w:ascii="Calibri" w:cs="Calibri" w:eastAsia="Calibri" w:hAnsi="Calibri"/>
          <w:b/>
          <w:bCs/>
          <w:sz w:val="22"/>
          <w:szCs w:val="22"/>
        </w:rPr>
        <w:t xml:space="preserve">musicien</w:t>
      </w:r>
      <w:r>
        <w:rPr>
          <w:rFonts w:ascii="Calibri" w:cs="Calibri" w:eastAsia="Calibri" w:hAnsi="Calibri"/>
          <w:sz w:val="22"/>
          <w:szCs w:val="22"/>
        </w:rPr>
        <w:t xml:space="preserve">.</w:t>
      </w:r>
    </w:p>
    <w:p>
      <w:pPr>
        <w:pStyle w:val="ListParagraph"/>
        <w:numPr>
          <w:ilvl w:val="0"/>
          <w:numId w:val="2"/>
        </w:numPr>
        <w:spacing w:after="60" w:line="264"/>
      </w:pPr>
      <w:r>
        <w:rPr>
          <w:rFonts w:ascii="Calibri" w:cs="Calibri" w:eastAsia="Calibri" w:hAnsi="Calibri"/>
          <w:b/>
          <w:bCs/>
          <w:sz w:val="22"/>
          <w:szCs w:val="22"/>
        </w:rPr>
        <w:t xml:space="preserve">Crématoriums</w:t>
      </w:r>
      <w:r>
        <w:rPr>
          <w:rFonts w:ascii="Calibri" w:cs="Calibri" w:eastAsia="Calibri" w:hAnsi="Calibri"/>
          <w:sz w:val="22"/>
          <w:szCs w:val="22"/>
        </w:rPr>
        <w:t xml:space="preserve"> et </w:t>
      </w:r>
      <w:r>
        <w:rPr>
          <w:rFonts w:ascii="Calibri" w:cs="Calibri" w:eastAsia="Calibri" w:hAnsi="Calibri"/>
          <w:b/>
          <w:bCs/>
          <w:sz w:val="22"/>
          <w:szCs w:val="22"/>
        </w:rPr>
        <w:t xml:space="preserve">chambres funéraires</w:t>
      </w:r>
      <w:r>
        <w:rPr>
          <w:rFonts w:ascii="Calibri" w:cs="Calibri" w:eastAsia="Calibri" w:hAnsi="Calibri"/>
          <w:sz w:val="22"/>
          <w:szCs w:val="22"/>
        </w:rPr>
        <w:t xml:space="preserve"> du secteur (tarifs, conditions).</w:t>
      </w:r>
    </w:p>
    <w:p>
      <w:pPr>
        <w:pStyle w:val="ListParagraph"/>
        <w:numPr>
          <w:ilvl w:val="0"/>
          <w:numId w:val="2"/>
        </w:numPr>
        <w:spacing w:after="60" w:line="264"/>
      </w:pPr>
      <w:r>
        <w:rPr>
          <w:rFonts w:ascii="Calibri" w:cs="Calibri" w:eastAsia="Calibri" w:hAnsi="Calibri"/>
          <w:b/>
          <w:bCs/>
          <w:sz w:val="22"/>
          <w:szCs w:val="22"/>
        </w:rPr>
        <w:t xml:space="preserve">Notaires</w:t>
      </w:r>
      <w:r>
        <w:rPr>
          <w:rFonts w:ascii="Calibri" w:cs="Calibri" w:eastAsia="Calibri" w:hAnsi="Calibri"/>
          <w:sz w:val="22"/>
          <w:szCs w:val="22"/>
        </w:rPr>
        <w:t xml:space="preserve"> et </w:t>
      </w:r>
      <w:r>
        <w:rPr>
          <w:rFonts w:ascii="Calibri" w:cs="Calibri" w:eastAsia="Calibri" w:hAnsi="Calibri"/>
          <w:b/>
          <w:bCs/>
          <w:sz w:val="22"/>
          <w:szCs w:val="22"/>
        </w:rPr>
        <w:t xml:space="preserve">avocats</w:t>
      </w:r>
      <w:r>
        <w:rPr>
          <w:rFonts w:ascii="Calibri" w:cs="Calibri" w:eastAsia="Calibri" w:hAnsi="Calibri"/>
          <w:sz w:val="22"/>
          <w:szCs w:val="22"/>
        </w:rPr>
        <w:t xml:space="preserve"> partenaires, </w:t>
      </w:r>
      <w:r>
        <w:rPr>
          <w:rFonts w:ascii="Calibri" w:cs="Calibri" w:eastAsia="Calibri" w:hAnsi="Calibri"/>
          <w:b/>
          <w:bCs/>
          <w:sz w:val="22"/>
          <w:szCs w:val="22"/>
        </w:rPr>
        <w:t xml:space="preserve">psychologues</w:t>
      </w:r>
      <w:r>
        <w:rPr>
          <w:rFonts w:ascii="Calibri" w:cs="Calibri" w:eastAsia="Calibri" w:hAnsi="Calibri"/>
          <w:sz w:val="22"/>
          <w:szCs w:val="22"/>
        </w:rPr>
        <w:t xml:space="preserve"> partenaires.</w:t>
      </w:r>
    </w:p>
    <w:p>
      <w:pPr>
        <w:pStyle w:val="ListParagraph"/>
        <w:numPr>
          <w:ilvl w:val="0"/>
          <w:numId w:val="2"/>
        </w:numPr>
        <w:spacing w:after="60" w:line="264"/>
      </w:pPr>
      <w:r>
        <w:rPr>
          <w:rFonts w:ascii="Calibri" w:cs="Calibri" w:eastAsia="Calibri" w:hAnsi="Calibri"/>
          <w:b/>
          <w:bCs/>
          <w:sz w:val="22"/>
          <w:szCs w:val="22"/>
        </w:rPr>
        <w:t xml:space="preserve">Imprimeur</w:t>
      </w:r>
      <w:r>
        <w:rPr>
          <w:rFonts w:ascii="Calibri" w:cs="Calibri" w:eastAsia="Calibri" w:hAnsi="Calibri"/>
          <w:sz w:val="22"/>
          <w:szCs w:val="22"/>
        </w:rPr>
        <w:t xml:space="preserve">, </w:t>
      </w:r>
      <w:r>
        <w:rPr>
          <w:rFonts w:ascii="Calibri" w:cs="Calibri" w:eastAsia="Calibri" w:hAnsi="Calibri"/>
          <w:b/>
          <w:bCs/>
          <w:sz w:val="22"/>
          <w:szCs w:val="22"/>
        </w:rPr>
        <w:t xml:space="preserve">atelier de flocage</w:t>
      </w:r>
      <w:r>
        <w:rPr>
          <w:rFonts w:ascii="Calibri" w:cs="Calibri" w:eastAsia="Calibri" w:hAnsi="Calibri"/>
          <w:sz w:val="22"/>
          <w:szCs w:val="22"/>
        </w:rPr>
        <w:t xml:space="preserve">, </w:t>
      </w:r>
      <w:r>
        <w:rPr>
          <w:rFonts w:ascii="Calibri" w:cs="Calibri" w:eastAsia="Calibri" w:hAnsi="Calibri"/>
          <w:b/>
          <w:bCs/>
          <w:sz w:val="22"/>
          <w:szCs w:val="22"/>
        </w:rPr>
        <w:t xml:space="preserve">studio photo</w:t>
      </w:r>
      <w:r>
        <w:rPr>
          <w:rFonts w:ascii="Calibri" w:cs="Calibri" w:eastAsia="Calibri" w:hAnsi="Calibri"/>
          <w:sz w:val="22"/>
          <w:szCs w:val="22"/>
        </w:rPr>
        <w:t xml:space="preserve">.</w:t>
      </w:r>
    </w:p>
    <w:p>
      <w:pPr>
        <w:pStyle w:val="Heading2"/>
        <w:keepNext/>
        <w:spacing w:after="120" w:before="280"/>
      </w:pPr>
      <w:r>
        <w:rPr>
          <w:rFonts w:ascii="Calibri" w:cs="Calibri" w:eastAsia="Calibri" w:hAnsi="Calibri"/>
          <w:b/>
          <w:bCs/>
          <w:color w:val="5B7F6B"/>
          <w:sz w:val="28"/>
          <w:szCs w:val="28"/>
        </w:rPr>
        <w:t xml:space="preserve">9.3 Prendre soin de la professionnelle</w:t>
      </w:r>
    </w:p>
    <w:p>
      <w:pPr>
        <w:spacing w:after="120" w:line="276"/>
      </w:pPr>
      <w:r>
        <w:rPr>
          <w:rFonts w:ascii="Calibri" w:cs="Calibri" w:eastAsia="Calibri" w:hAnsi="Calibri"/>
          <w:sz w:val="22"/>
          <w:szCs w:val="22"/>
        </w:rPr>
        <w:t xml:space="preserve">Ce métier expose à la charge émotionnelle : prévoir dès le départ des </w:t>
      </w:r>
      <w:r>
        <w:rPr>
          <w:rFonts w:ascii="Calibri" w:cs="Calibri" w:eastAsia="Calibri" w:hAnsi="Calibri"/>
          <w:b/>
          <w:bCs/>
          <w:sz w:val="22"/>
          <w:szCs w:val="22"/>
        </w:rPr>
        <w:t xml:space="preserve">temps de récupération</w:t>
      </w:r>
      <w:r>
        <w:rPr>
          <w:rFonts w:ascii="Calibri" w:cs="Calibri" w:eastAsia="Calibri" w:hAnsi="Calibri"/>
          <w:sz w:val="22"/>
          <w:szCs w:val="22"/>
        </w:rPr>
        <w:t xml:space="preserve">, une </w:t>
      </w:r>
      <w:r>
        <w:rPr>
          <w:rFonts w:ascii="Calibri" w:cs="Calibri" w:eastAsia="Calibri" w:hAnsi="Calibri"/>
          <w:b/>
          <w:bCs/>
          <w:sz w:val="22"/>
          <w:szCs w:val="22"/>
        </w:rPr>
        <w:t xml:space="preserve">supervision ou un groupe de pairs</w:t>
      </w:r>
      <w:r>
        <w:rPr>
          <w:rFonts w:ascii="Calibri" w:cs="Calibri" w:eastAsia="Calibri" w:hAnsi="Calibri"/>
          <w:sz w:val="22"/>
          <w:szCs w:val="22"/>
        </w:rPr>
        <w:t xml:space="preserve">, des limites d’horaires, et une organisation qui permette de ne pas être joignable 24h/24 en solitaire sur la durée (permanence partagée, partenariat).</w:t>
      </w:r>
    </w:p>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10. Plan de lancement sur 12 mois et budget</w:t>
      </w:r>
    </w:p>
    <w:p>
      <w:pPr>
        <w:pStyle w:val="Heading2"/>
        <w:keepNext/>
        <w:spacing w:after="120" w:before="280"/>
      </w:pPr>
      <w:r>
        <w:rPr>
          <w:rFonts w:ascii="Calibri" w:cs="Calibri" w:eastAsia="Calibri" w:hAnsi="Calibri"/>
          <w:b/>
          <w:bCs/>
          <w:color w:val="5B7F6B"/>
          <w:sz w:val="28"/>
          <w:szCs w:val="28"/>
        </w:rPr>
        <w:t xml:space="preserve">10.1 Rétroplanning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blHeader/>
        </w:trPr>
        <w:tc>
          <w:tcPr>
            <w:tcW w:type="dxa" w:w="17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Période</w:t>
            </w:r>
          </w:p>
        </w:tc>
        <w:tc>
          <w:tcPr>
            <w:tcW w:type="dxa" w:w="79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Actions</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Mois 0–1</w:t>
            </w:r>
          </w:p>
          <w:p>
            <w:pPr>
              <w:spacing w:after="40"/>
            </w:pPr>
            <w:r>
              <w:rPr>
                <w:rFonts w:ascii="Calibri" w:cs="Calibri" w:eastAsia="Calibri" w:hAnsi="Calibri"/>
                <w:b/>
                <w:bCs/>
                <w:sz w:val="20"/>
                <w:szCs w:val="20"/>
              </w:rPr>
              <w:t xml:space="preserve">Cadrer</w:t>
            </w:r>
          </w:p>
        </w:tc>
        <w:tc>
          <w:tcPr>
            <w:tcW w:type="dxa" w:w="7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Décider du périmètre et du pôle de départ (Annexe F)</w:t>
            </w:r>
          </w:p>
          <w:p>
            <w:pPr>
              <w:spacing w:after="40"/>
            </w:pPr>
            <w:r>
              <w:rPr>
                <w:rFonts w:ascii="Calibri" w:cs="Calibri" w:eastAsia="Calibri" w:hAnsi="Calibri"/>
                <w:b w:val="false"/>
                <w:bCs w:val="false"/>
                <w:sz w:val="20"/>
                <w:szCs w:val="20"/>
              </w:rPr>
              <w:t xml:space="preserve">☐ Rendez-vous préfecture : habilitation, pièces, délais</w:t>
            </w:r>
          </w:p>
          <w:p>
            <w:pPr>
              <w:spacing w:after="40"/>
            </w:pPr>
            <w:r>
              <w:rPr>
                <w:rFonts w:ascii="Calibri" w:cs="Calibri" w:eastAsia="Calibri" w:hAnsi="Calibri"/>
                <w:b w:val="false"/>
                <w:bCs w:val="false"/>
                <w:sz w:val="20"/>
                <w:szCs w:val="20"/>
              </w:rPr>
              <w:t xml:space="preserve">☐ Rendez-vous expert-comptable : statut, TVA, débours</w:t>
            </w:r>
          </w:p>
          <w:p>
            <w:pPr>
              <w:spacing w:after="40"/>
            </w:pPr>
            <w:r>
              <w:rPr>
                <w:rFonts w:ascii="Calibri" w:cs="Calibri" w:eastAsia="Calibri" w:hAnsi="Calibri"/>
                <w:b w:val="false"/>
                <w:bCs w:val="false"/>
                <w:sz w:val="20"/>
                <w:szCs w:val="20"/>
              </w:rPr>
              <w:t xml:space="preserve">☐ Étude de marché locale (concurrents, besoins, prix)</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Mois 1–3</w:t>
            </w:r>
          </w:p>
          <w:p>
            <w:pPr>
              <w:spacing w:after="40"/>
            </w:pPr>
            <w:r>
              <w:rPr>
                <w:rFonts w:ascii="Calibri" w:cs="Calibri" w:eastAsia="Calibri" w:hAnsi="Calibri"/>
                <w:b/>
                <w:bCs/>
                <w:sz w:val="20"/>
                <w:szCs w:val="20"/>
              </w:rPr>
              <w:t xml:space="preserve">Structurer</w:t>
            </w:r>
          </w:p>
        </w:tc>
        <w:tc>
          <w:tcPr>
            <w:tcW w:type="dxa" w:w="7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Choisir le statut et créer la structure</w:t>
            </w:r>
          </w:p>
          <w:p>
            <w:pPr>
              <w:spacing w:after="40"/>
            </w:pPr>
            <w:r>
              <w:rPr>
                <w:rFonts w:ascii="Calibri" w:cs="Calibri" w:eastAsia="Calibri" w:hAnsi="Calibri"/>
                <w:b w:val="false"/>
                <w:bCs w:val="false"/>
                <w:sz w:val="20"/>
                <w:szCs w:val="20"/>
              </w:rPr>
              <w:t xml:space="preserve">☐ Souscrire RC Pro et assurances</w:t>
            </w:r>
          </w:p>
          <w:p>
            <w:pPr>
              <w:spacing w:after="40"/>
            </w:pPr>
            <w:r>
              <w:rPr>
                <w:rFonts w:ascii="Calibri" w:cs="Calibri" w:eastAsia="Calibri" w:hAnsi="Calibri"/>
                <w:b w:val="false"/>
                <w:bCs w:val="false"/>
                <w:sz w:val="20"/>
                <w:szCs w:val="20"/>
              </w:rPr>
              <w:t xml:space="preserve">☐ Ouvrir le compte bancaire pro</w:t>
            </w:r>
          </w:p>
          <w:p>
            <w:pPr>
              <w:spacing w:after="40"/>
            </w:pPr>
            <w:r>
              <w:rPr>
                <w:rFonts w:ascii="Calibri" w:cs="Calibri" w:eastAsia="Calibri" w:hAnsi="Calibri"/>
                <w:b w:val="false"/>
                <w:bCs w:val="false"/>
                <w:sz w:val="20"/>
                <w:szCs w:val="20"/>
              </w:rPr>
              <w:t xml:space="preserve">☐ Rédiger devis, mandat, CGV, mentions légales</w:t>
            </w:r>
          </w:p>
          <w:p>
            <w:pPr>
              <w:spacing w:after="40"/>
            </w:pPr>
            <w:r>
              <w:rPr>
                <w:rFonts w:ascii="Calibri" w:cs="Calibri" w:eastAsia="Calibri" w:hAnsi="Calibri"/>
                <w:b w:val="false"/>
                <w:bCs w:val="false"/>
                <w:sz w:val="20"/>
                <w:szCs w:val="20"/>
              </w:rPr>
              <w:t xml:space="preserve">☐ Identifier partenaires (notaire, psychologue, fleuriste, partenaire habilité)</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Mois 2–4</w:t>
            </w:r>
          </w:p>
          <w:p>
            <w:pPr>
              <w:spacing w:after="40"/>
            </w:pPr>
            <w:r>
              <w:rPr>
                <w:rFonts w:ascii="Calibri" w:cs="Calibri" w:eastAsia="Calibri" w:hAnsi="Calibri"/>
                <w:b/>
                <w:bCs/>
                <w:sz w:val="20"/>
                <w:szCs w:val="20"/>
              </w:rPr>
              <w:t xml:space="preserve">Communiquer</w:t>
            </w:r>
          </w:p>
        </w:tc>
        <w:tc>
          <w:tcPr>
            <w:tcW w:type="dxa" w:w="7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Identité visuelle et site web</w:t>
            </w:r>
          </w:p>
          <w:p>
            <w:pPr>
              <w:spacing w:after="40"/>
            </w:pPr>
            <w:r>
              <w:rPr>
                <w:rFonts w:ascii="Calibri" w:cs="Calibri" w:eastAsia="Calibri" w:hAnsi="Calibri"/>
                <w:b w:val="false"/>
                <w:bCs w:val="false"/>
                <w:sz w:val="20"/>
                <w:szCs w:val="20"/>
              </w:rPr>
              <w:t xml:space="preserve">☐ Fiche Google Business Profile</w:t>
            </w:r>
          </w:p>
          <w:p>
            <w:pPr>
              <w:spacing w:after="40"/>
            </w:pPr>
            <w:r>
              <w:rPr>
                <w:rFonts w:ascii="Calibri" w:cs="Calibri" w:eastAsia="Calibri" w:hAnsi="Calibri"/>
                <w:b w:val="false"/>
                <w:bCs w:val="false"/>
                <w:sz w:val="20"/>
                <w:szCs w:val="20"/>
              </w:rPr>
              <w:t xml:space="preserve">☐ Pages réseaux sociaux</w:t>
            </w:r>
          </w:p>
          <w:p>
            <w:pPr>
              <w:spacing w:after="40"/>
            </w:pPr>
            <w:r>
              <w:rPr>
                <w:rFonts w:ascii="Calibri" w:cs="Calibri" w:eastAsia="Calibri" w:hAnsi="Calibri"/>
                <w:b w:val="false"/>
                <w:bCs w:val="false"/>
                <w:sz w:val="20"/>
                <w:szCs w:val="20"/>
              </w:rPr>
              <w:t xml:space="preserve">☐ Livret « Que faire après un décès ? »</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Mois 4–6</w:t>
            </w:r>
          </w:p>
          <w:p>
            <w:pPr>
              <w:spacing w:after="40"/>
            </w:pPr>
            <w:r>
              <w:rPr>
                <w:rFonts w:ascii="Calibri" w:cs="Calibri" w:eastAsia="Calibri" w:hAnsi="Calibri"/>
                <w:b/>
                <w:bCs/>
                <w:sz w:val="20"/>
                <w:szCs w:val="20"/>
              </w:rPr>
              <w:t xml:space="preserve">Lancer</w:t>
            </w:r>
          </w:p>
        </w:tc>
        <w:tc>
          <w:tcPr>
            <w:tcW w:type="dxa" w:w="7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Premiers dossiers (pôle B/C/D) en offre pilote</w:t>
            </w:r>
          </w:p>
          <w:p>
            <w:pPr>
              <w:spacing w:after="40"/>
            </w:pPr>
            <w:r>
              <w:rPr>
                <w:rFonts w:ascii="Calibri" w:cs="Calibri" w:eastAsia="Calibri" w:hAnsi="Calibri"/>
                <w:b w:val="false"/>
                <w:bCs w:val="false"/>
                <w:sz w:val="20"/>
                <w:szCs w:val="20"/>
              </w:rPr>
              <w:t xml:space="preserve">☐ Recueillir les premiers avis, améliorer les processus</w:t>
            </w:r>
          </w:p>
          <w:p>
            <w:pPr>
              <w:spacing w:after="40"/>
            </w:pPr>
            <w:r>
              <w:rPr>
                <w:rFonts w:ascii="Calibri" w:cs="Calibri" w:eastAsia="Calibri" w:hAnsi="Calibri"/>
                <w:b w:val="false"/>
                <w:bCs w:val="false"/>
                <w:sz w:val="20"/>
                <w:szCs w:val="20"/>
              </w:rPr>
              <w:t xml:space="preserve">☐ Lancer les abonnements d’entretien de tombes</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Mois 6–9</w:t>
            </w:r>
          </w:p>
          <w:p>
            <w:pPr>
              <w:spacing w:after="40"/>
            </w:pPr>
            <w:r>
              <w:rPr>
                <w:rFonts w:ascii="Calibri" w:cs="Calibri" w:eastAsia="Calibri" w:hAnsi="Calibri"/>
                <w:b/>
                <w:bCs/>
                <w:sz w:val="20"/>
                <w:szCs w:val="20"/>
              </w:rPr>
              <w:t xml:space="preserve">Stabiliser</w:t>
            </w:r>
          </w:p>
        </w:tc>
        <w:tc>
          <w:tcPr>
            <w:tcW w:type="dxa" w:w="7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Bilan chiffré : CA, marge, temps</w:t>
            </w:r>
          </w:p>
          <w:p>
            <w:pPr>
              <w:spacing w:after="40"/>
            </w:pPr>
            <w:r>
              <w:rPr>
                <w:rFonts w:ascii="Calibri" w:cs="Calibri" w:eastAsia="Calibri" w:hAnsi="Calibri"/>
                <w:b w:val="false"/>
                <w:bCs w:val="false"/>
                <w:sz w:val="20"/>
                <w:szCs w:val="20"/>
              </w:rPr>
              <w:t xml:space="preserve">☐ Ajuster les tarifs et formules</w:t>
            </w:r>
          </w:p>
          <w:p>
            <w:pPr>
              <w:spacing w:after="40"/>
            </w:pPr>
            <w:r>
              <w:rPr>
                <w:rFonts w:ascii="Calibri" w:cs="Calibri" w:eastAsia="Calibri" w:hAnsi="Calibri"/>
                <w:b w:val="false"/>
                <w:bCs w:val="false"/>
                <w:sz w:val="20"/>
                <w:szCs w:val="20"/>
              </w:rPr>
              <w:t xml:space="preserve">☐ Étendre le réseau de partenaires</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Mois 9–12</w:t>
            </w:r>
          </w:p>
          <w:p>
            <w:pPr>
              <w:spacing w:after="40"/>
            </w:pPr>
            <w:r>
              <w:rPr>
                <w:rFonts w:ascii="Calibri" w:cs="Calibri" w:eastAsia="Calibri" w:hAnsi="Calibri"/>
                <w:b/>
                <w:bCs/>
                <w:sz w:val="20"/>
                <w:szCs w:val="20"/>
              </w:rPr>
              <w:t xml:space="preserve">Décider</w:t>
            </w:r>
          </w:p>
        </w:tc>
        <w:tc>
          <w:tcPr>
            <w:tcW w:type="dxa" w:w="7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Décider de l’habilitation propre / partenariat durable</w:t>
            </w:r>
          </w:p>
          <w:p>
            <w:pPr>
              <w:spacing w:after="40"/>
            </w:pPr>
            <w:r>
              <w:rPr>
                <w:rFonts w:ascii="Calibri" w:cs="Calibri" w:eastAsia="Calibri" w:hAnsi="Calibri"/>
                <w:b w:val="false"/>
                <w:bCs w:val="false"/>
                <w:sz w:val="20"/>
                <w:szCs w:val="20"/>
              </w:rPr>
              <w:t xml:space="preserve">☐ Préparer la saison Toussaint (octobre–novembre)</w:t>
            </w:r>
          </w:p>
          <w:p>
            <w:pPr>
              <w:spacing w:after="40"/>
            </w:pPr>
            <w:r>
              <w:rPr>
                <w:rFonts w:ascii="Calibri" w:cs="Calibri" w:eastAsia="Calibri" w:hAnsi="Calibri"/>
                <w:b w:val="false"/>
                <w:bCs w:val="false"/>
                <w:sz w:val="20"/>
                <w:szCs w:val="20"/>
              </w:rPr>
              <w:t xml:space="preserve">☐ Plan d’investissement année 2</w:t>
            </w:r>
          </w:p>
        </w:tc>
      </w:tr>
    </w:tbl>
    <w:p>
      <w:pPr>
        <w:spacing w:after="80"/>
      </w:pPr>
    </w:p>
    <w:p>
      <w:pPr>
        <w:pStyle w:val="Heading2"/>
        <w:keepNext/>
        <w:spacing w:after="120" w:before="280"/>
      </w:pPr>
      <w:r>
        <w:rPr>
          <w:rFonts w:ascii="Calibri" w:cs="Calibri" w:eastAsia="Calibri" w:hAnsi="Calibri"/>
          <w:b/>
          <w:bCs/>
          <w:color w:val="5B7F6B"/>
          <w:sz w:val="28"/>
          <w:szCs w:val="28"/>
        </w:rPr>
        <w:t xml:space="preserve">10.2 Budget de démarrage (structure à remplir — montants à chiffrer)</w:t>
      </w:r>
    </w:p>
    <w:p>
      <w:pPr>
        <w:spacing w:after="120" w:line="276"/>
      </w:pPr>
      <w:r>
        <w:rPr>
          <w:rFonts w:ascii="Calibri" w:cs="Calibri" w:eastAsia="Calibri" w:hAnsi="Calibri"/>
          <w:i/>
          <w:iCs/>
          <w:sz w:val="22"/>
          <w:szCs w:val="22"/>
        </w:rPr>
        <w:t xml:space="preserve">Les fourchettes sont volontairement laissées vides : elles dépendent du statut, du local et du choix d’habilitation. À remplir avec des </w:t>
      </w:r>
      <w:r>
        <w:rPr>
          <w:rFonts w:ascii="Calibri" w:cs="Calibri" w:eastAsia="Calibri" w:hAnsi="Calibri"/>
          <w:b/>
          <w:bCs/>
          <w:i/>
          <w:iCs/>
          <w:sz w:val="22"/>
          <w:szCs w:val="22"/>
        </w:rPr>
        <w:t xml:space="preserve">devis réels</w:t>
      </w:r>
      <w:r>
        <w:rPr>
          <w:rFonts w:ascii="Calibri" w:cs="Calibri" w:eastAsia="Calibri" w:hAnsi="Calibri"/>
          <w:i/>
          <w:iCs/>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2000"/>
        <w:gridCol w:w="2038"/>
      </w:tblGrid>
      <w:tr>
        <w:trPr>
          <w:cantSplit/>
          <w:tblHeader/>
        </w:trPr>
        <w:tc>
          <w:tcPr>
            <w:tcW w:type="dxa" w:w="36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Poste</w:t>
            </w:r>
          </w:p>
        </w:tc>
        <w:tc>
          <w:tcPr>
            <w:tcW w:type="dxa" w:w="20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Estimation</w:t>
            </w:r>
          </w:p>
        </w:tc>
        <w:tc>
          <w:tcPr>
            <w:tcW w:type="dxa" w:w="20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Devis obtenu</w:t>
            </w:r>
          </w:p>
        </w:tc>
        <w:tc>
          <w:tcPr>
            <w:tcW w:type="dxa" w:w="20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Décision</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Création de société / formalités</w:t>
            </w:r>
          </w:p>
        </w:tc>
        <w:tc>
          <w:tcPr>
            <w:tcW w:type="dxa" w:w="2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Expert-comptable (1ère année)</w:t>
            </w:r>
          </w:p>
        </w:tc>
        <w:tc>
          <w:tcPr>
            <w:tcW w:type="dxa" w:w="2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Assurances (RC Pro, véhicule, multirisque…)</w:t>
            </w:r>
          </w:p>
        </w:tc>
        <w:tc>
          <w:tcPr>
            <w:tcW w:type="dxa" w:w="2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Formation complémentaire (deuil, juridique de base…)</w:t>
            </w:r>
          </w:p>
        </w:tc>
        <w:tc>
          <w:tcPr>
            <w:tcW w:type="dxa" w:w="2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Identité visuelle et site web</w:t>
            </w:r>
          </w:p>
        </w:tc>
        <w:tc>
          <w:tcPr>
            <w:tcW w:type="dxa" w:w="2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Matériel et outils d’entretien de tombes</w:t>
            </w:r>
          </w:p>
        </w:tc>
        <w:tc>
          <w:tcPr>
            <w:tcW w:type="dxa" w:w="2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Véhicule (achat/leasing, aménagement)</w:t>
            </w:r>
          </w:p>
        </w:tc>
        <w:tc>
          <w:tcPr>
            <w:tcW w:type="dxa" w:w="2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Local (dépôt, loyer, aménagement)</w:t>
            </w:r>
          </w:p>
        </w:tc>
        <w:tc>
          <w:tcPr>
            <w:tcW w:type="dxa" w:w="2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Téléphonie / permanence</w:t>
            </w:r>
          </w:p>
        </w:tc>
        <w:tc>
          <w:tcPr>
            <w:tcW w:type="dxa" w:w="2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Fonds de roulement (3 mois de charges)</w:t>
            </w:r>
          </w:p>
        </w:tc>
        <w:tc>
          <w:tcPr>
            <w:tcW w:type="dxa" w:w="2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Total</w:t>
            </w:r>
          </w:p>
        </w:tc>
        <w:tc>
          <w:tcPr>
            <w:tcW w:type="dxa" w:w="2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bl>
    <w:p>
      <w:pPr>
        <w:spacing w:after="80"/>
      </w:pPr>
    </w:p>
    <w:p>
      <w:pPr>
        <w:pStyle w:val="Heading2"/>
        <w:keepNext/>
        <w:spacing w:after="120" w:before="280"/>
      </w:pPr>
      <w:r>
        <w:rPr>
          <w:rFonts w:ascii="Calibri" w:cs="Calibri" w:eastAsia="Calibri" w:hAnsi="Calibri"/>
          <w:b/>
          <w:bCs/>
          <w:color w:val="5B7F6B"/>
          <w:sz w:val="28"/>
          <w:szCs w:val="28"/>
        </w:rPr>
        <w:t xml:space="preserve">10.3 Financements possibles à explorer</w:t>
      </w:r>
    </w:p>
    <w:p>
      <w:pPr>
        <w:pStyle w:val="ListParagraph"/>
        <w:numPr>
          <w:ilvl w:val="0"/>
          <w:numId w:val="2"/>
        </w:numPr>
        <w:spacing w:after="60" w:line="264"/>
      </w:pPr>
      <w:r>
        <w:rPr>
          <w:rFonts w:ascii="Calibri" w:cs="Calibri" w:eastAsia="Calibri" w:hAnsi="Calibri"/>
          <w:sz w:val="22"/>
          <w:szCs w:val="22"/>
        </w:rPr>
        <w:t xml:space="preserve">Aides à la création/reprise : ACRE, accompagnement France Travail, BGE, Initiative France, réseau Entreprendre.</w:t>
      </w:r>
    </w:p>
    <w:p>
      <w:pPr>
        <w:pStyle w:val="ListParagraph"/>
        <w:numPr>
          <w:ilvl w:val="0"/>
          <w:numId w:val="2"/>
        </w:numPr>
        <w:spacing w:after="60" w:line="264"/>
      </w:pPr>
      <w:r>
        <w:rPr>
          <w:rFonts w:ascii="Calibri" w:cs="Calibri" w:eastAsia="Calibri" w:hAnsi="Calibri"/>
          <w:sz w:val="22"/>
          <w:szCs w:val="22"/>
        </w:rPr>
        <w:t xml:space="preserve">Prêt d’honneur, prêt bancaire (avec garantie Bpifrance), microcrédit (ADIE).</w:t>
      </w:r>
    </w:p>
    <w:p>
      <w:pPr>
        <w:pStyle w:val="ListParagraph"/>
        <w:numPr>
          <w:ilvl w:val="0"/>
          <w:numId w:val="2"/>
        </w:numPr>
        <w:spacing w:after="60" w:line="264"/>
      </w:pPr>
      <w:r>
        <w:rPr>
          <w:rFonts w:ascii="Calibri" w:cs="Calibri" w:eastAsia="Calibri" w:hAnsi="Calibri"/>
          <w:sz w:val="22"/>
          <w:szCs w:val="22"/>
        </w:rPr>
        <w:t xml:space="preserve">Aides régionales ou départementales (contacter la Région/CCI).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8A00" w:sz="24"/>
              <w:bottom w:val="none" w:color="FFFFFF" w:sz="0"/>
              <w:right w:val="none" w:color="FFFFFF" w:sz="0"/>
            </w:tcBorders>
            <w:shd w:fill="FFF4DC" w:color="auto" w:val="clear"/>
            <w:tcMar>
              <w:top w:type="dxa" w:w="100"/>
              <w:left w:type="dxa" w:w="180"/>
              <w:bottom w:type="dxa" w:w="100"/>
              <w:right w:type="dxa" w:w="160"/>
            </w:tcMar>
          </w:tcPr>
          <w:p>
            <w:pPr>
              <w:spacing w:after="60"/>
            </w:pPr>
            <w:r>
              <w:rPr>
                <w:rFonts w:ascii="Calibri" w:cs="Calibri" w:eastAsia="Calibri" w:hAnsi="Calibri"/>
                <w:b/>
                <w:bCs/>
                <w:color w:val="C98A00"/>
                <w:sz w:val="22"/>
                <w:szCs w:val="22"/>
              </w:rPr>
              <w:t xml:space="preserve">⚠ À confirmer avant de s’engager</w:t>
            </w:r>
          </w:p>
          <w:p>
            <w:pPr>
              <w:spacing w:after="50"/>
            </w:pPr>
            <w:r>
              <w:rPr>
                <w:rFonts w:ascii="Calibri" w:cs="Calibri" w:eastAsia="Calibri" w:hAnsi="Calibri"/>
                <w:sz w:val="21"/>
                <w:szCs w:val="21"/>
              </w:rPr>
              <w:t xml:space="preserve">Conditions, montants et éligibilité changent : vérifier auprès de chaque organisme.</w:t>
            </w:r>
          </w:p>
        </w:tc>
      </w:tr>
    </w:tbl>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11. Risques et points de vigilance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500"/>
        <w:gridCol w:w="5138"/>
      </w:tblGrid>
      <w:tr>
        <w:trPr>
          <w:cantSplit/>
          <w:tblHeader/>
        </w:trPr>
        <w:tc>
          <w:tcPr>
            <w:tcW w:type="dxa" w:w="30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Risque</w:t>
            </w:r>
          </w:p>
        </w:tc>
        <w:tc>
          <w:tcPr>
            <w:tcW w:type="dxa" w:w="15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Gravité</w:t>
            </w:r>
          </w:p>
        </w:tc>
        <w:tc>
          <w:tcPr>
            <w:tcW w:type="dxa" w:w="51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Mesure</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Exercer une activité funéraire sans habilitation</w:t>
            </w: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Très élevée</w:t>
            </w:r>
          </w:p>
        </w:tc>
        <w:tc>
          <w:tcPr>
            <w:tcW w:type="dxa" w:w="51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Ne rien promettre en pôle A tant que l’habilitation (ou le partenariat) n’est pas acquise ; documents clairs</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Démarchage de familles endeuillées</w:t>
            </w: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Très élevée</w:t>
            </w:r>
          </w:p>
        </w:tc>
        <w:tc>
          <w:tcPr>
            <w:tcW w:type="dxa" w:w="51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Communication passive uniquement ; relecture juridique ; aucun fichier de décès</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Commission à un prescripteur</w:t>
            </w: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Très élevée</w:t>
            </w:r>
          </w:p>
        </w:tc>
        <w:tc>
          <w:tcPr>
            <w:tcW w:type="dxa" w:w="51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Aucune contrepartie financière ; contrats de partenariat sans lien avec les dossiers</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Conseil juridique ou fiscal payant</w:t>
            </w: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Élevée</w:t>
            </w:r>
          </w:p>
        </w:tc>
        <w:tc>
          <w:tcPr>
            <w:tcW w:type="dxa" w:w="51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Périmètre écrit, renvoi notaire/avocat, mentions sur devis</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Erreur dans une démarche (délai, document)</w:t>
            </w: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Élevée</w:t>
            </w:r>
          </w:p>
        </w:tc>
        <w:tc>
          <w:tcPr>
            <w:tcW w:type="dxa" w:w="51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Check-lists, double vérification, RC Pro</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Perte ou détérioration d’un document / objet</w:t>
            </w: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Élevée</w:t>
            </w:r>
          </w:p>
        </w:tc>
        <w:tc>
          <w:tcPr>
            <w:tcW w:type="dxa" w:w="51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Inventaire signé, stockage sécurisé, assurance biens confiés</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Mélange de fonds entre entreprise et familles</w:t>
            </w: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Élevée</w:t>
            </w:r>
          </w:p>
        </w:tc>
        <w:tc>
          <w:tcPr>
            <w:tcW w:type="dxa" w:w="51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Compte dédié, facturation des débours, comptable</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Titre ou promesse de « thérapie » abusive</w:t>
            </w: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Moyenne</w:t>
            </w:r>
          </w:p>
        </w:tc>
        <w:tc>
          <w:tcPr>
            <w:tcW w:type="dxa" w:w="51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Vocabulaire encadré ; partenaires diplômés</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Dégradation en cimetière</w:t>
            </w: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Moyenne</w:t>
            </w:r>
          </w:p>
        </w:tc>
        <w:tc>
          <w:tcPr>
            <w:tcW w:type="dxa" w:w="51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Règlement du cimetière, formation, RC exploitation</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Épuisement émotionnel</w:t>
            </w: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Élevée à moyen terme</w:t>
            </w:r>
          </w:p>
        </w:tc>
        <w:tc>
          <w:tcPr>
            <w:tcW w:type="dxa" w:w="51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Limites horaires, supervision, partenariats, congés</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Dépendance à une seule source de familles</w:t>
            </w: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Moyenne</w:t>
            </w:r>
          </w:p>
        </w:tc>
        <w:tc>
          <w:tcPr>
            <w:tcW w:type="dxa" w:w="51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Diversifier les relais, soigner la réputation</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Retards de paiement</w:t>
            </w: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Moyenne</w:t>
            </w:r>
          </w:p>
        </w:tc>
        <w:tc>
          <w:tcPr>
            <w:tcW w:type="dxa" w:w="51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Acompte, réserve de trésorerie, suivi courtois</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Données personnelles mal protégées</w:t>
            </w: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Élevée</w:t>
            </w:r>
          </w:p>
        </w:tc>
        <w:tc>
          <w:tcPr>
            <w:tcW w:type="dxa" w:w="51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RGPD, sauvegardes, accès restreint</w:t>
            </w:r>
          </w:p>
        </w:tc>
      </w:tr>
    </w:tbl>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Annexe A — Checklist « avant de lancer »</w:t>
      </w:r>
    </w:p>
    <w:p>
      <w:pPr>
        <w:pStyle w:val="Heading3"/>
        <w:keepNext/>
        <w:spacing w:after="80" w:before="180"/>
      </w:pPr>
      <w:r>
        <w:rPr>
          <w:rFonts w:ascii="Calibri" w:cs="Calibri" w:eastAsia="Calibri" w:hAnsi="Calibri"/>
          <w:b/>
          <w:bCs/>
          <w:color w:val="1F3A5F"/>
          <w:sz w:val="24"/>
          <w:szCs w:val="24"/>
        </w:rPr>
        <w:t xml:space="preserve">Cadre légal</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Diplôme vérifié par la préfecture / CCI comme valable pour dirigeant</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Dossier d’habilitation demandé (ou choix assumé de partenariat)</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Périmètre de chaque pôle écrit et relu par un juriste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Règles de démarchage et de publicité comprises et diffusées</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Médiateur de la consommation choisi</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Mentions légales et CGV rédigées</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Registre RGPD et politique de confidentialité</w:t>
      </w:r>
    </w:p>
    <w:p>
      <w:pPr>
        <w:pStyle w:val="Heading3"/>
        <w:keepNext/>
        <w:spacing w:after="80" w:before="180"/>
      </w:pPr>
      <w:r>
        <w:rPr>
          <w:rFonts w:ascii="Calibri" w:cs="Calibri" w:eastAsia="Calibri" w:hAnsi="Calibri"/>
          <w:b/>
          <w:bCs/>
          <w:color w:val="1F3A5F"/>
          <w:sz w:val="24"/>
          <w:szCs w:val="24"/>
        </w:rPr>
        <w:t xml:space="preserve">Entreprise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Statut choisi avec l’expert-comptable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Immatriculation au guichet unique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Codes d’activité confirmés</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Compte bancaire pro (et compte pour fonds clients)</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Logiciel de facturation conforme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Nom, marque et domaine déposés</w:t>
      </w:r>
    </w:p>
    <w:p>
      <w:pPr>
        <w:pStyle w:val="Heading3"/>
        <w:keepNext/>
        <w:spacing w:after="80" w:before="180"/>
      </w:pPr>
      <w:r>
        <w:rPr>
          <w:rFonts w:ascii="Calibri" w:cs="Calibri" w:eastAsia="Calibri" w:hAnsi="Calibri"/>
          <w:b/>
          <w:bCs/>
          <w:color w:val="1F3A5F"/>
          <w:sz w:val="24"/>
          <w:szCs w:val="24"/>
        </w:rPr>
        <w:t xml:space="preserve">Assurances</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3 devis RC Pro comparés</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Garanties vérifiées pour chaque pôle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Assurance véhicule adaptée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Biens confiés couverts</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Prévoyance du dirigeant</w:t>
      </w:r>
    </w:p>
    <w:p>
      <w:pPr>
        <w:pStyle w:val="Heading3"/>
        <w:keepNext/>
        <w:spacing w:after="80" w:before="180"/>
      </w:pPr>
      <w:r>
        <w:rPr>
          <w:rFonts w:ascii="Calibri" w:cs="Calibri" w:eastAsia="Calibri" w:hAnsi="Calibri"/>
          <w:b/>
          <w:bCs/>
          <w:color w:val="1F3A5F"/>
          <w:sz w:val="24"/>
          <w:szCs w:val="24"/>
        </w:rPr>
        <w:t xml:space="preserve">Offre et vente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Formules et tarifs fixés</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Modèles : devis, mandat, inventaire, récapitulatif</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Script d’accueil téléphonique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Partenaires identifiés (notaire, psychologue, fleuriste, marbrier…)</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Permanence téléphonique organisée</w:t>
      </w:r>
    </w:p>
    <w:p>
      <w:pPr>
        <w:pStyle w:val="Heading3"/>
        <w:keepNext/>
        <w:spacing w:after="80" w:before="180"/>
      </w:pPr>
      <w:r>
        <w:rPr>
          <w:rFonts w:ascii="Calibri" w:cs="Calibri" w:eastAsia="Calibri" w:hAnsi="Calibri"/>
          <w:b/>
          <w:bCs/>
          <w:color w:val="1F3A5F"/>
          <w:sz w:val="24"/>
          <w:szCs w:val="24"/>
        </w:rPr>
        <w:t xml:space="preserve">Communication</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Identité visuelle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Site web en ligne et relu juridiquement</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Google Business Profile validé</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Pages réseaux sociaux</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Livret « Que faire après un décès ?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Cartes et plaquette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Collecte d’avis organisée</w:t>
      </w:r>
    </w:p>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Annexe B — Contacts et sources officielles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Sujet</w:t>
            </w:r>
          </w:p>
        </w:tc>
        <w:tc>
          <w:tcPr>
            <w:tcW w:type="dxa" w:w="60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Où se renseigner</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Habilitation funéraire</w:t>
            </w:r>
          </w:p>
        </w:tc>
        <w:tc>
          <w:tcPr>
            <w:tcW w:type="dxa" w:w="6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Préfecture du département du siège (bureau de la réglementation / des élections et de la réglementation générale)</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Création, formalités, code APE</w:t>
            </w:r>
          </w:p>
        </w:tc>
        <w:tc>
          <w:tcPr>
            <w:tcW w:type="dxa" w:w="6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Guichet unique des formalités d’entreprises — formalites.inpi.fr ; INSEE</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Statut, plafonds, cotisations</w:t>
            </w:r>
          </w:p>
        </w:tc>
        <w:tc>
          <w:tcPr>
            <w:tcW w:type="dxa" w:w="6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urssaf.fr (simulateurs), impots.gouv.fr (TVA, régimes), expert-comptable</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Conseil à la création</w:t>
            </w:r>
          </w:p>
        </w:tc>
        <w:tc>
          <w:tcPr>
            <w:tcW w:type="dxa" w:w="6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CCI, CMA, BGE, Initiative France</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Textes juridiques</w:t>
            </w:r>
          </w:p>
        </w:tc>
        <w:tc>
          <w:tcPr>
            <w:tcW w:type="dxa" w:w="6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legifrance.gouv.fr (CGCT L2223-19 et suivants ; loi n° 71-1130 du 31/12/1971 ; Code de la consommation)</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Droits et démarches des familles</w:t>
            </w:r>
          </w:p>
        </w:tc>
        <w:tc>
          <w:tcPr>
            <w:tcW w:type="dxa" w:w="6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service-public.fr (rubrique décès / succession)</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Protection des données</w:t>
            </w:r>
          </w:p>
        </w:tc>
        <w:tc>
          <w:tcPr>
            <w:tcW w:type="dxa" w:w="6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cnil.fr</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Consommation, étiquetage, tarifs, litiges</w:t>
            </w:r>
          </w:p>
        </w:tc>
        <w:tc>
          <w:tcPr>
            <w:tcW w:type="dxa" w:w="6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DGCCRF (economie.gouv.fr)</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Recherche de contrats obsèques</w:t>
            </w:r>
          </w:p>
        </w:tc>
        <w:tc>
          <w:tcPr>
            <w:tcW w:type="dxa" w:w="6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Agira (agira.asso.fr)</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Recherche de comptes / assurance-vie</w:t>
            </w:r>
          </w:p>
        </w:tc>
        <w:tc>
          <w:tcPr>
            <w:tcW w:type="dxa" w:w="6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Procédures Ficoba / Ficovie via les services fiscaux, notaires ou héritiers mandatés</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Règlement de cimetière</w:t>
            </w:r>
          </w:p>
        </w:tc>
        <w:tc>
          <w:tcPr>
            <w:tcW w:type="dxa" w:w="6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Mairie de chaque commune d’intervention</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Assurance spécialisée</w:t>
            </w:r>
          </w:p>
        </w:tc>
        <w:tc>
          <w:tcPr>
            <w:tcW w:type="dxa" w:w="6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Courtiers spécialisés funéraire / services à la personne</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Titres de santé protégés</w:t>
            </w:r>
          </w:p>
        </w:tc>
        <w:tc>
          <w:tcPr>
            <w:tcW w:type="dxa" w:w="6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Code de la santé publique ; ARS ; ordre ou associations professionnelles</w:t>
            </w:r>
          </w:p>
        </w:tc>
      </w:tr>
    </w:tbl>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Annexe C — Frise des démarches après un décès</w:t>
      </w:r>
    </w:p>
    <w:p>
      <w:pPr>
        <w:spacing w:after="120" w:line="276"/>
      </w:pPr>
      <w:r>
        <w:rPr>
          <w:rFonts w:ascii="Calibri" w:cs="Calibri" w:eastAsia="Calibri" w:hAnsi="Calibri"/>
          <w:i/>
          <w:iCs/>
          <w:sz w:val="22"/>
          <w:szCs w:val="22"/>
        </w:rPr>
        <w:t xml:space="preserve">Base de travail du pôle B. Les délais sont des </w:t>
      </w:r>
      <w:r>
        <w:rPr>
          <w:rFonts w:ascii="Calibri" w:cs="Calibri" w:eastAsia="Calibri" w:hAnsi="Calibri"/>
          <w:b/>
          <w:bCs/>
          <w:i/>
          <w:iCs/>
          <w:sz w:val="22"/>
          <w:szCs w:val="22"/>
        </w:rPr>
        <w:t xml:space="preserve">repères à confirmer</w:t>
      </w:r>
      <w:r>
        <w:rPr>
          <w:rFonts w:ascii="Calibri" w:cs="Calibri" w:eastAsia="Calibri" w:hAnsi="Calibri"/>
          <w:i/>
          <w:iCs/>
          <w:sz w:val="22"/>
          <w:szCs w:val="22"/>
        </w:rPr>
        <w:t xml:space="preserve"> sur service-public.fr avant d’être mentionnés aux familles.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500"/>
        <w:gridCol w:w="5438"/>
      </w:tblGrid>
      <w:tr>
        <w:trPr>
          <w:cantSplit/>
          <w:tblHeader/>
        </w:trPr>
        <w:tc>
          <w:tcPr>
            <w:tcW w:type="dxa" w:w="17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Quand</w:t>
            </w:r>
          </w:p>
        </w:tc>
        <w:tc>
          <w:tcPr>
            <w:tcW w:type="dxa" w:w="25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Quoi / auprès de qui</w:t>
            </w:r>
          </w:p>
        </w:tc>
        <w:tc>
          <w:tcPr>
            <w:tcW w:type="dxa" w:w="54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Notes</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Immédiat</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Médecin : certificat de décès</w:t>
            </w:r>
          </w:p>
        </w:tc>
        <w:tc>
          <w:tcPr>
            <w:tcW w:type="dxa" w:w="5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Constat du décès ; lieu du décès</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Sous 24 h (jours ouvrables)</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Mairie du lieu du décès : déclaration de décès et acte de décès</w:t>
            </w:r>
          </w:p>
        </w:tc>
        <w:tc>
          <w:tcPr>
            <w:tcW w:type="dxa" w:w="5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Déclarant : proche ou entreprise funéraire mandatée</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Dans les jours suivants</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Organisation des obsèques (délai légal à confirmer : un guide cite 14 jours calendaires ; l’ancien repère était 6 jours ouvrables)</w:t>
            </w:r>
          </w:p>
        </w:tc>
        <w:tc>
          <w:tcPr>
            <w:tcW w:type="dxa" w:w="5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Rechercher volontés du défunt et contrat obsèques</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Semaine 1</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Demander </w:t>
            </w:r>
            <w:r>
              <w:rPr>
                <w:rFonts w:ascii="Calibri" w:cs="Calibri" w:eastAsia="Calibri" w:hAnsi="Calibri"/>
                <w:b w:val="false"/>
                <w:bCs w:val="false"/>
                <w:sz w:val="20"/>
                <w:szCs w:val="20"/>
              </w:rPr>
              <w:t xml:space="preserve">plusieurs copies</w:t>
            </w:r>
            <w:r>
              <w:rPr>
                <w:rFonts w:ascii="Calibri" w:cs="Calibri" w:eastAsia="Calibri" w:hAnsi="Calibri"/>
                <w:b w:val="false"/>
                <w:bCs w:val="false"/>
                <w:sz w:val="20"/>
                <w:szCs w:val="20"/>
              </w:rPr>
              <w:t xml:space="preserve"> de l’acte de décès</w:t>
            </w:r>
          </w:p>
        </w:tc>
        <w:tc>
          <w:tcPr>
            <w:tcW w:type="dxa" w:w="5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Nécessaires pour presque toutes les démarches</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Semaine 1</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Notaire : prise de contact, testament, contrat de mariage</w:t>
            </w:r>
          </w:p>
        </w:tc>
        <w:tc>
          <w:tcPr>
            <w:tcW w:type="dxa" w:w="5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Début de la succession</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Semaine 1–2</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Employeur / France Travail / retraite du défunt</w:t>
            </w:r>
          </w:p>
        </w:tc>
        <w:tc>
          <w:tcPr>
            <w:tcW w:type="dxa" w:w="5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Dernier salaire, capital décès, pension</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Semaine 1–2</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Banques : informer du décès, déblocage frais d’obsèques (plafond à confirmer)</w:t>
            </w:r>
          </w:p>
        </w:tc>
        <w:tc>
          <w:tcPr>
            <w:tcW w:type="dxa" w:w="5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Comptes bloqués ; procurations caduques</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Semaine 1–2</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Assurances : décès, vie, auto, habitation, mutuelle, prévoyance</w:t>
            </w:r>
          </w:p>
        </w:tc>
        <w:tc>
          <w:tcPr>
            <w:tcW w:type="dxa" w:w="5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Recherche de contrats via Agira/Ficovie</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Semaine 2–4</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Caisses de retraite, CPAM, CAF : fin de droits, réversion, allocations</w:t>
            </w:r>
          </w:p>
        </w:tc>
        <w:tc>
          <w:tcPr>
            <w:tcW w:type="dxa" w:w="5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Pension de réversion (conditions variables)</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Semaine 2–4</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Bailleur / logement, copropriété, énergie, eau, internet, téléphone</w:t>
            </w:r>
          </w:p>
        </w:tc>
        <w:tc>
          <w:tcPr>
            <w:tcW w:type="dxa" w:w="5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Résiliation ou transfert</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Semaine 2–4</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Véhicule (carte grise), abonnements, adhésions, impôts locaux</w:t>
            </w:r>
          </w:p>
        </w:tc>
        <w:tc>
          <w:tcPr>
            <w:tcW w:type="dxa" w:w="5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Selon biens</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Mois 1–3</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Impôts : déclaration de revenus du défunt, situation du conjoint</w:t>
            </w:r>
          </w:p>
        </w:tc>
        <w:tc>
          <w:tcPr>
            <w:tcW w:type="dxa" w:w="5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Délai fiscal spécifique, à confirmer</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Mois 1–6</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Succession : inventaire, déclaration de succession chez le notaire</w:t>
            </w:r>
          </w:p>
        </w:tc>
        <w:tc>
          <w:tcPr>
            <w:tcW w:type="dxa" w:w="5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Délai fiscal de la déclaration, à confirmer</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Mois 3–12</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Clôture des comptes, résiliations finales, comptes dormants</w:t>
            </w:r>
          </w:p>
        </w:tc>
        <w:tc>
          <w:tcPr>
            <w:tcW w:type="dxa" w:w="5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Suivi jusqu’à clôture</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Au long cours</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Comptes en ligne, messageries, réseaux sociaux du défunt</w:t>
            </w:r>
          </w:p>
        </w:tc>
        <w:tc>
          <w:tcPr>
            <w:tcW w:type="dxa" w:w="5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Clôture ou mémorialisation selon plateforme</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Saison</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Entretien de la sépulture, fleurissement, Toussaint</w:t>
            </w:r>
          </w:p>
        </w:tc>
        <w:tc>
          <w:tcPr>
            <w:tcW w:type="dxa" w:w="5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Pôle C</w:t>
            </w:r>
          </w:p>
        </w:tc>
      </w:tr>
    </w:tbl>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Annexe D — Trame de mandat et de devis</w:t>
      </w:r>
    </w:p>
    <w:p>
      <w:pPr>
        <w:pStyle w:val="Heading2"/>
        <w:keepNext/>
        <w:spacing w:after="120" w:before="280"/>
      </w:pPr>
      <w:r>
        <w:rPr>
          <w:rFonts w:ascii="Calibri" w:cs="Calibri" w:eastAsia="Calibri" w:hAnsi="Calibri"/>
          <w:b/>
          <w:bCs/>
          <w:color w:val="5B7F6B"/>
          <w:sz w:val="28"/>
          <w:szCs w:val="28"/>
        </w:rPr>
        <w:t xml:space="preserve">D1. Trame de mandat (à faire valider par un juriste)</w:t>
      </w:r>
    </w:p>
    <w:p>
      <w:pPr>
        <w:spacing w:after="120" w:line="276"/>
      </w:pPr>
      <w:r>
        <w:rPr>
          <w:rFonts w:ascii="Calibri" w:cs="Calibri" w:eastAsia="Calibri" w:hAnsi="Calibri"/>
          <w:sz w:val="22"/>
          <w:szCs w:val="22"/>
        </w:rPr>
        <w:t xml:space="preserve">Éléments à faire figurer dans un mandat de démarches :</w:t>
      </w:r>
    </w:p>
    <w:p>
      <w:pPr>
        <w:pStyle w:val="ListParagraph"/>
        <w:numPr>
          <w:ilvl w:val="0"/>
          <w:numId w:val="2"/>
        </w:numPr>
        <w:spacing w:after="60" w:line="264"/>
      </w:pPr>
      <w:r>
        <w:rPr>
          <w:rFonts w:ascii="Calibri" w:cs="Calibri" w:eastAsia="Calibri" w:hAnsi="Calibri"/>
          <w:sz w:val="22"/>
          <w:szCs w:val="22"/>
        </w:rPr>
        <w:t xml:space="preserve">Identité du mandant (famille) et du mandataire (entreprise, SIRET, assurance RC Pro)</w:t>
      </w:r>
    </w:p>
    <w:p>
      <w:pPr>
        <w:pStyle w:val="ListParagraph"/>
        <w:numPr>
          <w:ilvl w:val="0"/>
          <w:numId w:val="2"/>
        </w:numPr>
        <w:spacing w:after="60" w:line="264"/>
      </w:pPr>
      <w:r>
        <w:rPr>
          <w:rFonts w:ascii="Calibri" w:cs="Calibri" w:eastAsia="Calibri" w:hAnsi="Calibri"/>
          <w:sz w:val="22"/>
          <w:szCs w:val="22"/>
        </w:rPr>
        <w:t xml:space="preserve">Identité du défunt et lien du mandant avec le défunt (héritier, conjoint…)</w:t>
      </w:r>
    </w:p>
    <w:p>
      <w:pPr>
        <w:pStyle w:val="ListParagraph"/>
        <w:numPr>
          <w:ilvl w:val="0"/>
          <w:numId w:val="2"/>
        </w:numPr>
        <w:spacing w:after="60" w:line="264"/>
      </w:pPr>
      <w:r>
        <w:rPr>
          <w:rFonts w:ascii="Calibri" w:cs="Calibri" w:eastAsia="Calibri" w:hAnsi="Calibri"/>
          <w:sz w:val="22"/>
          <w:szCs w:val="22"/>
        </w:rPr>
        <w:t xml:space="preserve">Liste précise des démarches confiées</w:t>
      </w:r>
    </w:p>
    <w:p>
      <w:pPr>
        <w:pStyle w:val="ListParagraph"/>
        <w:numPr>
          <w:ilvl w:val="0"/>
          <w:numId w:val="2"/>
        </w:numPr>
        <w:spacing w:after="60" w:line="264"/>
      </w:pPr>
      <w:r>
        <w:rPr>
          <w:rFonts w:ascii="Calibri" w:cs="Calibri" w:eastAsia="Calibri" w:hAnsi="Calibri"/>
          <w:sz w:val="22"/>
          <w:szCs w:val="22"/>
        </w:rPr>
        <w:t xml:space="preserve">Mention : « Le mandataire ne fournit ni conseil juridique, ni conseil fiscal ni rédaction d’acte »</w:t>
      </w:r>
    </w:p>
    <w:p>
      <w:pPr>
        <w:pStyle w:val="ListParagraph"/>
        <w:numPr>
          <w:ilvl w:val="0"/>
          <w:numId w:val="2"/>
        </w:numPr>
        <w:spacing w:after="60" w:line="264"/>
      </w:pPr>
      <w:r>
        <w:rPr>
          <w:rFonts w:ascii="Calibri" w:cs="Calibri" w:eastAsia="Calibri" w:hAnsi="Calibri"/>
          <w:sz w:val="22"/>
          <w:szCs w:val="22"/>
        </w:rPr>
        <w:t xml:space="preserve">Durée du mandat, possibilité de révocation</w:t>
      </w:r>
    </w:p>
    <w:p>
      <w:pPr>
        <w:pStyle w:val="ListParagraph"/>
        <w:numPr>
          <w:ilvl w:val="0"/>
          <w:numId w:val="2"/>
        </w:numPr>
        <w:spacing w:after="60" w:line="264"/>
      </w:pPr>
      <w:r>
        <w:rPr>
          <w:rFonts w:ascii="Calibri" w:cs="Calibri" w:eastAsia="Calibri" w:hAnsi="Calibri"/>
          <w:sz w:val="22"/>
          <w:szCs w:val="22"/>
        </w:rPr>
        <w:t xml:space="preserve">Documents remis (inventaire signé) et conditions de restitution</w:t>
      </w:r>
    </w:p>
    <w:p>
      <w:pPr>
        <w:pStyle w:val="ListParagraph"/>
        <w:numPr>
          <w:ilvl w:val="0"/>
          <w:numId w:val="2"/>
        </w:numPr>
        <w:spacing w:after="60" w:line="264"/>
      </w:pPr>
      <w:r>
        <w:rPr>
          <w:rFonts w:ascii="Calibri" w:cs="Calibri" w:eastAsia="Calibri" w:hAnsi="Calibri"/>
          <w:sz w:val="22"/>
          <w:szCs w:val="22"/>
        </w:rPr>
        <w:t xml:space="preserve">Honoraires : forfait, ce qui est inclus, frais avancés (débours) sur justificatifs</w:t>
      </w:r>
    </w:p>
    <w:p>
      <w:pPr>
        <w:pStyle w:val="ListParagraph"/>
        <w:numPr>
          <w:ilvl w:val="0"/>
          <w:numId w:val="2"/>
        </w:numPr>
        <w:spacing w:after="60" w:line="264"/>
      </w:pPr>
      <w:r>
        <w:rPr>
          <w:rFonts w:ascii="Calibri" w:cs="Calibri" w:eastAsia="Calibri" w:hAnsi="Calibri"/>
          <w:sz w:val="22"/>
          <w:szCs w:val="22"/>
        </w:rPr>
        <w:t xml:space="preserve">Confidentialité et traitement des données personnelles (RGPD)</w:t>
      </w:r>
    </w:p>
    <w:p>
      <w:pPr>
        <w:pStyle w:val="ListParagraph"/>
        <w:numPr>
          <w:ilvl w:val="0"/>
          <w:numId w:val="2"/>
        </w:numPr>
        <w:spacing w:after="60" w:line="264"/>
      </w:pPr>
      <w:r>
        <w:rPr>
          <w:rFonts w:ascii="Calibri" w:cs="Calibri" w:eastAsia="Calibri" w:hAnsi="Calibri"/>
          <w:sz w:val="22"/>
          <w:szCs w:val="22"/>
        </w:rPr>
        <w:t xml:space="preserve">Droit de médiation de la consommation</w:t>
      </w:r>
    </w:p>
    <w:p>
      <w:pPr>
        <w:pStyle w:val="ListParagraph"/>
        <w:numPr>
          <w:ilvl w:val="0"/>
          <w:numId w:val="2"/>
        </w:numPr>
        <w:spacing w:after="60" w:line="264"/>
      </w:pPr>
      <w:r>
        <w:rPr>
          <w:rFonts w:ascii="Calibri" w:cs="Calibri" w:eastAsia="Calibri" w:hAnsi="Calibri"/>
          <w:sz w:val="22"/>
          <w:szCs w:val="22"/>
        </w:rPr>
        <w:t xml:space="preserve">Date et signatures</w:t>
      </w:r>
    </w:p>
    <w:p>
      <w:pPr>
        <w:pStyle w:val="Heading2"/>
        <w:keepNext/>
        <w:spacing w:after="120" w:before="280"/>
      </w:pPr>
      <w:r>
        <w:rPr>
          <w:rFonts w:ascii="Calibri" w:cs="Calibri" w:eastAsia="Calibri" w:hAnsi="Calibri"/>
          <w:b/>
          <w:bCs/>
          <w:color w:val="5B7F6B"/>
          <w:sz w:val="28"/>
          <w:szCs w:val="28"/>
        </w:rPr>
        <w:t xml:space="preserve">D2. Trame de devis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3000"/>
        <w:gridCol w:w="3038"/>
      </w:tblGrid>
      <w:tr>
        <w:trPr>
          <w:cantSplit/>
          <w:tblHeader/>
        </w:trPr>
        <w:tc>
          <w:tcPr>
            <w:tcW w:type="dxa" w:w="36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Rubrique</w:t>
            </w:r>
          </w:p>
        </w:tc>
        <w:tc>
          <w:tcPr>
            <w:tcW w:type="dxa" w:w="30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Contenu</w:t>
            </w:r>
          </w:p>
        </w:tc>
        <w:tc>
          <w:tcPr>
            <w:tcW w:type="dxa" w:w="30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Remarque</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Identité</w:t>
            </w:r>
          </w:p>
        </w:tc>
        <w:tc>
          <w:tcPr>
            <w:tcW w:type="dxa" w:w="3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Nom, SIRET, habilitation (n°, date de validité), assurance</w:t>
            </w:r>
          </w:p>
        </w:tc>
        <w:tc>
          <w:tcPr>
            <w:tcW w:type="dxa" w:w="3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Pour toute prestation funéraire</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Prestations obligatoires</w:t>
            </w:r>
          </w:p>
        </w:tc>
        <w:tc>
          <w:tcPr>
            <w:tcW w:type="dxa" w:w="3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Services indispensables</w:t>
            </w:r>
          </w:p>
        </w:tc>
        <w:tc>
          <w:tcPr>
            <w:tcW w:type="dxa" w:w="3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Selon modèle réglementaire</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Prestations optionnelles</w:t>
            </w:r>
          </w:p>
        </w:tc>
        <w:tc>
          <w:tcPr>
            <w:tcW w:type="dxa" w:w="3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Choix de la famille, chacun chiffré</w:t>
            </w:r>
          </w:p>
        </w:tc>
        <w:tc>
          <w:tcPr>
            <w:tcW w:type="dxa" w:w="3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Total hors options et total avec options</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Frais avancés (débours)</w:t>
            </w:r>
          </w:p>
        </w:tc>
        <w:tc>
          <w:tcPr>
            <w:tcW w:type="dxa" w:w="3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Taxes, crématorium, notaire…</w:t>
            </w:r>
          </w:p>
        </w:tc>
        <w:tc>
          <w:tcPr>
            <w:tcW w:type="dxa" w:w="3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Refacturés à l’identique, justificatifs</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Conditions</w:t>
            </w:r>
          </w:p>
        </w:tc>
        <w:tc>
          <w:tcPr>
            <w:tcW w:type="dxa" w:w="3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Acompte, paiement, délais, annulation, médiateur</w:t>
            </w:r>
          </w:p>
        </w:tc>
        <w:tc>
          <w:tcPr>
            <w:tcW w:type="dxa" w:w="3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CGV jointes</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Validité</w:t>
            </w:r>
          </w:p>
        </w:tc>
        <w:tc>
          <w:tcPr>
            <w:tcW w:type="dxa" w:w="3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Durée de validité du devis</w:t>
            </w:r>
          </w:p>
        </w:tc>
        <w:tc>
          <w:tcPr>
            <w:tcW w:type="dxa" w:w="3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bl>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Annexe E — Questions à poser</w:t>
      </w:r>
    </w:p>
    <w:p>
      <w:pPr>
        <w:pStyle w:val="Heading3"/>
        <w:keepNext/>
        <w:spacing w:after="80" w:before="180"/>
      </w:pPr>
      <w:r>
        <w:rPr>
          <w:rFonts w:ascii="Calibri" w:cs="Calibri" w:eastAsia="Calibri" w:hAnsi="Calibri"/>
          <w:b/>
          <w:bCs/>
          <w:color w:val="1F3A5F"/>
          <w:sz w:val="24"/>
          <w:szCs w:val="24"/>
        </w:rPr>
        <w:t xml:space="preserve">À la préfecture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Quelles pièces pour l’habilitation ? Quel délai de traitement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Quel diplôme est exigé pour le dirigeant et pour les agents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Quelles exigences pour le véhicule et le local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Quelles assurances ou garanties sont demandées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Peut-on exercer en partenariat/sous-traitance avec une entreprise habilitée ? Dans quelles conditions ?</w:t>
      </w:r>
    </w:p>
    <w:p>
      <w:pPr>
        <w:pStyle w:val="Heading3"/>
        <w:keepNext/>
        <w:spacing w:after="80" w:before="180"/>
      </w:pPr>
      <w:r>
        <w:rPr>
          <w:rFonts w:ascii="Calibri" w:cs="Calibri" w:eastAsia="Calibri" w:hAnsi="Calibri"/>
          <w:b/>
          <w:bCs/>
          <w:color w:val="1F3A5F"/>
          <w:sz w:val="24"/>
          <w:szCs w:val="24"/>
        </w:rPr>
        <w:t xml:space="preserve">À l’expert-comptable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Quel statut est le plus adapté à mon projet et à mes pôles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Quel régime de TVA par type de prestation (funéraire, démarches, entretien, textile)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Comment traiter les débours et les fonds clients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Quelle facturation électronique et quel logiciel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Quel budget comptable annuel ?</w:t>
      </w:r>
    </w:p>
    <w:p>
      <w:pPr>
        <w:pStyle w:val="Heading3"/>
        <w:keepNext/>
        <w:spacing w:after="80" w:before="180"/>
      </w:pPr>
      <w:r>
        <w:rPr>
          <w:rFonts w:ascii="Calibri" w:cs="Calibri" w:eastAsia="Calibri" w:hAnsi="Calibri"/>
          <w:b/>
          <w:bCs/>
          <w:color w:val="1F3A5F"/>
          <w:sz w:val="24"/>
          <w:szCs w:val="24"/>
        </w:rPr>
        <w:t xml:space="preserve">À l’assureur / courtier</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Mon activité est-elle couverte (funéraire, conseil administratif, cimetière, bien-être, textile)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Quels plafonds, franchises et exclusions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Les biens confiés et documents originaux sont-ils couverts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Y a-t-il une garantie protection juridique et cyber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Quelle assurance pour le véhicule de transport ?</w:t>
      </w:r>
    </w:p>
    <w:p>
      <w:pPr>
        <w:pStyle w:val="Heading3"/>
        <w:keepNext/>
        <w:spacing w:after="80" w:before="180"/>
      </w:pPr>
      <w:r>
        <w:rPr>
          <w:rFonts w:ascii="Calibri" w:cs="Calibri" w:eastAsia="Calibri" w:hAnsi="Calibri"/>
          <w:b/>
          <w:bCs/>
          <w:color w:val="1F3A5F"/>
          <w:sz w:val="24"/>
          <w:szCs w:val="24"/>
        </w:rPr>
        <w:t xml:space="preserve">À un avocat / juriste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Où s’arrête le conseil administratif et où commence le conseil juridique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Mon mandat, mon devis et mes CGV sont-ils conformes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Mes supports de communication respectent-ils l’interdiction de démarchage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Mon partenariat avec un prescripteur est-il licite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Mon vocabulaire sur le deuil et le bien-être est-il conforme ?</w:t>
      </w:r>
    </w:p>
    <w:p>
      <w:pPr>
        <w:pStyle w:val="Heading3"/>
        <w:keepNext/>
        <w:spacing w:after="80" w:before="180"/>
      </w:pPr>
      <w:r>
        <w:rPr>
          <w:rFonts w:ascii="Calibri" w:cs="Calibri" w:eastAsia="Calibri" w:hAnsi="Calibri"/>
          <w:b/>
          <w:bCs/>
          <w:color w:val="1F3A5F"/>
          <w:sz w:val="24"/>
          <w:szCs w:val="24"/>
        </w:rPr>
        <w:t xml:space="preserve">À la mairie de chaque commune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Règlement du cimetière et conditions d’intervention d’un prestataire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Taxes et formalités pour l’inhumation / entretien</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Horaires et jours d’accès</w:t>
      </w:r>
    </w:p>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Annexe F — Décisions à prendre</w:t>
      </w:r>
    </w:p>
    <w:p>
      <w:pPr>
        <w:spacing w:after="120" w:line="276"/>
      </w:pPr>
      <w:r>
        <w:rPr>
          <w:rFonts w:ascii="Calibri" w:cs="Calibri" w:eastAsia="Calibri" w:hAnsi="Calibri"/>
          <w:sz w:val="22"/>
          <w:szCs w:val="22"/>
        </w:rPr>
        <w:t xml:space="preserve">Fiche à remplir au crayon lors d’un premier atelier de travail.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5638"/>
      </w:tblGrid>
      <w:tr>
        <w:trPr>
          <w:cantSplit/>
          <w:tblHeader/>
        </w:trPr>
        <w:tc>
          <w:tcPr>
            <w:tcW w:type="dxa" w:w="40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Décision</w:t>
            </w:r>
          </w:p>
        </w:tc>
        <w:tc>
          <w:tcPr>
            <w:tcW w:type="dxa" w:w="56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Réponse / notes</w:t>
            </w:r>
          </w:p>
        </w:tc>
      </w:tr>
      <w:tr>
        <w:trPr>
          <w:cantSplit/>
        </w:trPr>
        <w:tc>
          <w:tcPr>
            <w:tcW w:type="dxa" w:w="4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Pôle de départ</w:t>
            </w:r>
          </w:p>
        </w:tc>
        <w:tc>
          <w:tcPr>
            <w:tcW w:type="dxa" w:w="5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4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Voie pour le pôle A (propre / partenariat / plus tard)</w:t>
            </w:r>
          </w:p>
        </w:tc>
        <w:tc>
          <w:tcPr>
            <w:tcW w:type="dxa" w:w="5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4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Zone d’intervention (communes, rayon)</w:t>
            </w:r>
          </w:p>
        </w:tc>
        <w:tc>
          <w:tcPr>
            <w:tcW w:type="dxa" w:w="5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4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Statut juridique envisagé</w:t>
            </w:r>
          </w:p>
        </w:tc>
        <w:tc>
          <w:tcPr>
            <w:tcW w:type="dxa" w:w="5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4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Nom de l’entreprise (3 propositions)</w:t>
            </w:r>
          </w:p>
        </w:tc>
        <w:tc>
          <w:tcPr>
            <w:tcW w:type="dxa" w:w="5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4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Date de démarrage visée</w:t>
            </w:r>
          </w:p>
        </w:tc>
        <w:tc>
          <w:tcPr>
            <w:tcW w:type="dxa" w:w="5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4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Budget de départ disponible</w:t>
            </w:r>
          </w:p>
        </w:tc>
        <w:tc>
          <w:tcPr>
            <w:tcW w:type="dxa" w:w="5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4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Rémunération mensuelle visée</w:t>
            </w:r>
          </w:p>
        </w:tc>
        <w:tc>
          <w:tcPr>
            <w:tcW w:type="dxa" w:w="5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4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Temps de travail souhaité par semaine</w:t>
            </w:r>
          </w:p>
        </w:tc>
        <w:tc>
          <w:tcPr>
            <w:tcW w:type="dxa" w:w="5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4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Permanence 24h/24 : oui/non, comment</w:t>
            </w:r>
          </w:p>
        </w:tc>
        <w:tc>
          <w:tcPr>
            <w:tcW w:type="dxa" w:w="5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4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Partenaires à contacter en premier</w:t>
            </w:r>
          </w:p>
        </w:tc>
        <w:tc>
          <w:tcPr>
            <w:tcW w:type="dxa" w:w="5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4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Formation complémentaire à suivre</w:t>
            </w:r>
          </w:p>
        </w:tc>
        <w:tc>
          <w:tcPr>
            <w:tcW w:type="dxa" w:w="5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4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Rôle de l’agence (site, Google, réseaux, flocage…)</w:t>
            </w:r>
          </w:p>
        </w:tc>
        <w:tc>
          <w:tcPr>
            <w:tcW w:type="dxa" w:w="5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4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Prochaine échéance et responsable</w:t>
            </w:r>
          </w:p>
        </w:tc>
        <w:tc>
          <w:tcPr>
            <w:tcW w:type="dxa" w:w="5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bl>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Annexe G — Glossaire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Terme</w:t>
            </w:r>
          </w:p>
        </w:tc>
        <w:tc>
          <w:tcPr>
            <w:tcW w:type="dxa" w:w="70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Définition</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Habilitation funéraire</w:t>
            </w:r>
          </w:p>
        </w:tc>
        <w:tc>
          <w:tcPr>
            <w:tcW w:type="dxa" w:w="7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Autorisation du préfet d’exercer le service extérieur des pompes funèbres</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Service extérieur des pompes funèbres</w:t>
            </w:r>
          </w:p>
        </w:tc>
        <w:tc>
          <w:tcPr>
            <w:tcW w:type="dxa" w:w="7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Ensemble des services funéraires : transport, organisation d’obsèques, fournitures, personnel, etc.</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Conseiller funéraire</w:t>
            </w:r>
          </w:p>
        </w:tc>
        <w:tc>
          <w:tcPr>
            <w:tcW w:type="dxa" w:w="7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Fonction et diplôme de capacité professionnelle de l’activité funéraire</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Démarchage funéraire</w:t>
            </w:r>
          </w:p>
        </w:tc>
        <w:tc>
          <w:tcPr>
            <w:tcW w:type="dxa" w:w="7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Offre de service en prévision d’obsèques ou après un décès, interdite hors exceptions</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Débours</w:t>
            </w:r>
          </w:p>
        </w:tc>
        <w:tc>
          <w:tcPr>
            <w:tcW w:type="dxa" w:w="7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Sommes avancées pour le compte d’un client et refacturées à l’identique</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Mandat</w:t>
            </w:r>
          </w:p>
        </w:tc>
        <w:tc>
          <w:tcPr>
            <w:tcW w:type="dxa" w:w="7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Document par lequel la famille autorise l’entreprise à agir en son nom pour des démarches précises</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Ficoba / Ficovie</w:t>
            </w:r>
          </w:p>
        </w:tc>
        <w:tc>
          <w:tcPr>
            <w:tcW w:type="dxa" w:w="7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Fichiers des comptes bancaires / des contrats d’assurance-vie</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Agira</w:t>
            </w:r>
          </w:p>
        </w:tc>
        <w:tc>
          <w:tcPr>
            <w:tcW w:type="dxa" w:w="7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Association qui permet de savoir si un contrat d’assurance obsèques ou de décès existait</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Certificat d’hérédité / acte de notoriété</w:t>
            </w:r>
          </w:p>
        </w:tc>
        <w:tc>
          <w:tcPr>
            <w:tcW w:type="dxa" w:w="7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Pièces qui établissent la qualité d’héritier (mairie ou notaire selon montants)</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Concession</w:t>
            </w:r>
          </w:p>
        </w:tc>
        <w:tc>
          <w:tcPr>
            <w:tcW w:type="dxa" w:w="7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Droit d’occuper un emplacement de cimetière pour une durée donnée</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Ayants droit</w:t>
            </w:r>
          </w:p>
        </w:tc>
        <w:tc>
          <w:tcPr>
            <w:tcW w:type="dxa" w:w="7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Personnes ayant des droits sur la succession ou la sépulture</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RC Pro</w:t>
            </w:r>
          </w:p>
        </w:tc>
        <w:tc>
          <w:tcPr>
            <w:tcW w:type="dxa" w:w="7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Responsabilité civile professionnelle</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RGPD</w:t>
            </w:r>
          </w:p>
        </w:tc>
        <w:tc>
          <w:tcPr>
            <w:tcW w:type="dxa" w:w="7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Règlement européen de protection des données personnelles</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Micro-entreprise</w:t>
            </w:r>
          </w:p>
        </w:tc>
        <w:tc>
          <w:tcPr>
            <w:tcW w:type="dxa" w:w="7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Régime simplifié d’entreprise individuelle avec plafonds de chiffre d’affaires</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Flocage</w:t>
            </w:r>
          </w:p>
        </w:tc>
        <w:tc>
          <w:tcPr>
            <w:tcW w:type="dxa" w:w="7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Impression d’un motif sur un textile (ici : t-shirts, vêtements souvenirs)</w:t>
            </w:r>
          </w:p>
        </w:tc>
      </w:tr>
    </w:tbl>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Annexe H — Textes prêts à l’emploi</w:t>
      </w:r>
    </w:p>
    <w:p>
      <w:pPr>
        <w:spacing w:after="120" w:line="276"/>
      </w:pPr>
      <w:r>
        <w:rPr>
          <w:rFonts w:ascii="Calibri" w:cs="Calibri" w:eastAsia="Calibri" w:hAnsi="Calibri"/>
          <w:i/>
          <w:iCs/>
          <w:sz w:val="22"/>
          <w:szCs w:val="22"/>
        </w:rPr>
        <w:t xml:space="preserve">Brouillons à adapter au nom, à la zone et au statut réel. Chaque texte est volontairement </w:t>
      </w:r>
      <w:r>
        <w:rPr>
          <w:rFonts w:ascii="Calibri" w:cs="Calibri" w:eastAsia="Calibri" w:hAnsi="Calibri"/>
          <w:b/>
          <w:bCs/>
          <w:i/>
          <w:iCs/>
          <w:sz w:val="22"/>
          <w:szCs w:val="22"/>
        </w:rPr>
        <w:t xml:space="preserve">sobre et passif</w:t>
      </w:r>
      <w:r>
        <w:rPr>
          <w:rFonts w:ascii="Calibri" w:cs="Calibri" w:eastAsia="Calibri" w:hAnsi="Calibri"/>
          <w:i/>
          <w:iCs/>
          <w:sz w:val="22"/>
          <w:szCs w:val="22"/>
        </w:rPr>
        <w:t xml:space="preserve"> (aucune offre adressée à une famille endeuillée). Les phrases entre [crochets] sont à remplir. </w:t>
      </w:r>
      <w:r>
        <w:rPr>
          <w:rFonts w:ascii="Calibri" w:cs="Calibri" w:eastAsia="Calibri" w:hAnsi="Calibri"/>
          <w:b/>
          <w:bCs/>
          <w:i/>
          <w:iCs/>
          <w:sz w:val="22"/>
          <w:szCs w:val="22"/>
        </w:rPr>
        <w:t xml:space="preserve">Relecture juridique avant diffusion</w:t>
      </w:r>
      <w:r>
        <w:rPr>
          <w:rFonts w:ascii="Calibri" w:cs="Calibri" w:eastAsia="Calibri" w:hAnsi="Calibri"/>
          <w:i/>
          <w:iCs/>
          <w:sz w:val="22"/>
          <w:szCs w:val="22"/>
        </w:rPr>
        <w:t xml:space="preserve"> (voir 2.2).</w:t>
      </w:r>
    </w:p>
    <w:p>
      <w:pPr>
        <w:pStyle w:val="Heading2"/>
        <w:keepNext/>
        <w:spacing w:after="120" w:before="280"/>
      </w:pPr>
      <w:r>
        <w:rPr>
          <w:rFonts w:ascii="Calibri" w:cs="Calibri" w:eastAsia="Calibri" w:hAnsi="Calibri"/>
          <w:b/>
          <w:bCs/>
          <w:color w:val="5B7F6B"/>
          <w:sz w:val="28"/>
          <w:szCs w:val="28"/>
        </w:rPr>
        <w:t xml:space="preserve">H1. Page d’accueil du site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5B7F6B" w:sz="24"/>
              <w:bottom w:val="none" w:color="FFFFFF" w:sz="0"/>
              <w:right w:val="none" w:color="FFFFFF" w:sz="0"/>
            </w:tcBorders>
            <w:shd w:fill="EEF3F0" w:color="auto" w:val="clear"/>
            <w:tcMar>
              <w:top w:type="dxa" w:w="100"/>
              <w:left w:type="dxa" w:w="180"/>
              <w:bottom w:type="dxa" w:w="100"/>
              <w:right w:type="dxa" w:w="160"/>
            </w:tcMar>
          </w:tcPr>
          <w:p>
            <w:pPr>
              <w:spacing w:after="60"/>
            </w:pPr>
            <w:r>
              <w:rPr>
                <w:rFonts w:ascii="Calibri" w:cs="Calibri" w:eastAsia="Calibri" w:hAnsi="Calibri"/>
                <w:b/>
                <w:bCs/>
                <w:color w:val="5B7F6B"/>
                <w:sz w:val="22"/>
                <w:szCs w:val="22"/>
              </w:rPr>
              <w:t xml:space="preserve">Titre</w:t>
            </w:r>
          </w:p>
          <w:p>
            <w:pPr>
              <w:spacing w:after="50"/>
            </w:pPr>
            <w:r>
              <w:rPr>
                <w:rFonts w:ascii="Calibri" w:cs="Calibri" w:eastAsia="Calibri" w:hAnsi="Calibri"/>
                <w:sz w:val="21"/>
                <w:szCs w:val="21"/>
              </w:rPr>
              <w:t xml:space="preserve">« Vous n’êtes pas seuls face aux démarches. »</w:t>
            </w:r>
          </w:p>
        </w:tc>
      </w:tr>
    </w:tbl>
    <w:p>
      <w:pPr>
        <w:spacing w:after="80"/>
      </w:pPr>
    </w:p>
    <w:p>
      <w:pPr>
        <w:spacing w:after="120" w:line="276"/>
      </w:pPr>
      <w:r>
        <w:rPr>
          <w:rFonts w:ascii="Calibri" w:cs="Calibri" w:eastAsia="Calibri" w:hAnsi="Calibri"/>
          <w:sz w:val="22"/>
          <w:szCs w:val="22"/>
        </w:rPr>
        <w:t xml:space="preserve">« [Nom] accompagne les familles après la perte d’un proche, avec écoute et clarté : organisation de la cérémonie avec [partenaire habilité / en propre], prise en charge des démarches administratives, entretien de la sépulture, souvenirs personnalisés. [Prénom], diplômée en pompes funèbres, vous reçoit [à domicile / à Lieu] sur rendez-vous. Appel et devis gratuits. »</w:t>
      </w:r>
    </w:p>
    <w:p>
      <w:pPr>
        <w:spacing w:after="120" w:line="276"/>
      </w:pPr>
      <w:r>
        <w:rPr>
          <w:rFonts w:ascii="Calibri" w:cs="Calibri" w:eastAsia="Calibri" w:hAnsi="Calibri"/>
          <w:b/>
          <w:bCs/>
          <w:sz w:val="22"/>
          <w:szCs w:val="22"/>
        </w:rPr>
        <w:t xml:space="preserve">Sous le titre :</w:t>
      </w:r>
      <w:r>
        <w:rPr>
          <w:rFonts w:ascii="Calibri" w:cs="Calibri" w:eastAsia="Calibri" w:hAnsi="Calibri"/>
          <w:sz w:val="22"/>
          <w:szCs w:val="22"/>
        </w:rPr>
        <w:t xml:space="preserve"> bouton d’appel [N° de téléphone] · liste des 4 services · 3 engagements (transparence des prix, devis écrit, suivi après la cérémonie) · avis clients · mention d’habilitation [n°, date de validité] si prestations funéraires.</w:t>
      </w:r>
    </w:p>
    <w:p>
      <w:pPr>
        <w:pStyle w:val="Heading2"/>
        <w:keepNext/>
        <w:spacing w:after="120" w:before="280"/>
      </w:pPr>
      <w:r>
        <w:rPr>
          <w:rFonts w:ascii="Calibri" w:cs="Calibri" w:eastAsia="Calibri" w:hAnsi="Calibri"/>
          <w:b/>
          <w:bCs/>
          <w:color w:val="5B7F6B"/>
          <w:sz w:val="28"/>
          <w:szCs w:val="28"/>
        </w:rPr>
        <w:t xml:space="preserve">H2. Description de la fiche Google Business Profile (≈ 750 caractères max)</w:t>
      </w:r>
    </w:p>
    <w:p>
      <w:pPr>
        <w:spacing w:after="120" w:line="276"/>
      </w:pPr>
      <w:r>
        <w:rPr>
          <w:rFonts w:ascii="Calibri" w:cs="Calibri" w:eastAsia="Calibri" w:hAnsi="Calibri"/>
          <w:sz w:val="22"/>
          <w:szCs w:val="22"/>
        </w:rPr>
        <w:t xml:space="preserve">« [Nom] vous accompagne dans les moments difficiles : conseil et organisation d’obsèques [si habilitée], aide aux démarches administratives après un décès (banques, assurances, caisses, abonnements), entretien et fleurissement de sépultures, souvenirs personnalisés. Une interlocutrice unique, des tarifs clairs, un devis écrit gratuit. Intervention à [communes / rayon]. Rendez-vous à domicile possible. [Habilitation préfectorale n° … valable jusqu’au …]. »</w:t>
      </w:r>
    </w:p>
    <w:p>
      <w:pPr>
        <w:pStyle w:val="Heading2"/>
        <w:keepNext/>
        <w:spacing w:after="120" w:before="280"/>
      </w:pPr>
      <w:r>
        <w:rPr>
          <w:rFonts w:ascii="Calibri" w:cs="Calibri" w:eastAsia="Calibri" w:hAnsi="Calibri"/>
          <w:b/>
          <w:bCs/>
          <w:color w:val="5B7F6B"/>
          <w:sz w:val="28"/>
          <w:szCs w:val="28"/>
        </w:rPr>
        <w:t xml:space="preserve">H3. Script d’accueil téléphonique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blHeader/>
        </w:trPr>
        <w:tc>
          <w:tcPr>
            <w:tcW w:type="dxa" w:w="22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Moment</w:t>
            </w:r>
          </w:p>
        </w:tc>
        <w:tc>
          <w:tcPr>
            <w:tcW w:type="dxa" w:w="74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Formulation proposée</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Décrocher</w:t>
            </w:r>
          </w:p>
        </w:tc>
        <w:tc>
          <w:tcPr>
            <w:tcW w:type="dxa" w:w="7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[Nom], bonjour, [Prénom] à l’appareil. »</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Écouter</w:t>
            </w:r>
          </w:p>
        </w:tc>
        <w:tc>
          <w:tcPr>
            <w:tcW w:type="dxa" w:w="7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Laisser parler sans interrompre. Reformuler : « Je suis désolée pour votre perte. Pouvez-vous me dire où en est la situation ? »</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Qualifier (3 questions max)</w:t>
            </w:r>
          </w:p>
        </w:tc>
        <w:tc>
          <w:tcPr>
            <w:tcW w:type="dxa" w:w="7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Lieu du décès · date · volontés connues / contrat obsèques existant ? — noter, ne pas presser</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Rassurer</w:t>
            </w:r>
          </w:p>
        </w:tc>
        <w:tc>
          <w:tcPr>
            <w:tcW w:type="dxa" w:w="7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Nous allons avancer pas à pas. Il y a des démarches urgentes et beaucoup qui peuvent attendre. »</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Proposer un rendez-vous</w:t>
            </w:r>
          </w:p>
        </w:tc>
        <w:tc>
          <w:tcPr>
            <w:tcW w:type="dxa" w:w="7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Je peux vous recevoir [où/quand]. Le devis est gratuit et sans engagement. »</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Clôturer</w:t>
            </w:r>
          </w:p>
        </w:tc>
        <w:tc>
          <w:tcPr>
            <w:tcW w:type="dxa" w:w="7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Résumer ce qui a été convenu, rappeler le numéro direct. Envoyer un SMS/mail de confirmation (avec leur accord).</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5B7F6B" w:sz="24"/>
              <w:bottom w:val="none" w:color="FFFFFF" w:sz="0"/>
              <w:right w:val="none" w:color="FFFFFF" w:sz="0"/>
            </w:tcBorders>
            <w:shd w:fill="EEF3F0" w:color="auto" w:val="clear"/>
            <w:tcMar>
              <w:top w:type="dxa" w:w="100"/>
              <w:left w:type="dxa" w:w="180"/>
              <w:bottom w:type="dxa" w:w="100"/>
              <w:right w:type="dxa" w:w="160"/>
            </w:tcMar>
          </w:tcPr>
          <w:p>
            <w:pPr>
              <w:spacing w:after="60"/>
            </w:pPr>
            <w:r>
              <w:rPr>
                <w:rFonts w:ascii="Calibri" w:cs="Calibri" w:eastAsia="Calibri" w:hAnsi="Calibri"/>
                <w:b/>
                <w:bCs/>
                <w:color w:val="5B7F6B"/>
                <w:sz w:val="22"/>
                <w:szCs w:val="22"/>
              </w:rPr>
              <w:t xml:space="preserve">À retenir</w:t>
            </w:r>
          </w:p>
          <w:p>
            <w:pPr>
              <w:spacing w:after="50"/>
            </w:pPr>
            <w:r>
              <w:rPr>
                <w:rFonts w:ascii="Calibri" w:cs="Calibri" w:eastAsia="Calibri" w:hAnsi="Calibri"/>
                <w:sz w:val="21"/>
                <w:szCs w:val="21"/>
              </w:rPr>
              <w:t xml:space="preserve">Règle : on ne </w:t>
            </w:r>
            <w:r>
              <w:rPr>
                <w:rFonts w:ascii="Calibri" w:cs="Calibri" w:eastAsia="Calibri" w:hAnsi="Calibri"/>
                <w:b/>
                <w:bCs/>
                <w:sz w:val="21"/>
                <w:szCs w:val="21"/>
              </w:rPr>
              <w:t xml:space="preserve">rappelle jamais</w:t>
            </w:r>
            <w:r>
              <w:rPr>
                <w:rFonts w:ascii="Calibri" w:cs="Calibri" w:eastAsia="Calibri" w:hAnsi="Calibri"/>
                <w:sz w:val="21"/>
                <w:szCs w:val="21"/>
              </w:rPr>
              <w:t xml:space="preserve"> une famille qui n’a pas elle-même pris contact. Une demande entrante est un contact légitime ; une relance non sollicitée après un décès ne l’est pas.</w:t>
            </w:r>
          </w:p>
        </w:tc>
      </w:tr>
    </w:tbl>
    <w:p>
      <w:pPr>
        <w:pStyle w:val="Heading2"/>
        <w:keepNext/>
        <w:spacing w:after="120" w:before="280"/>
      </w:pPr>
      <w:r>
        <w:rPr>
          <w:rFonts w:ascii="Calibri" w:cs="Calibri" w:eastAsia="Calibri" w:hAnsi="Calibri"/>
          <w:b/>
          <w:bCs/>
          <w:color w:val="5B7F6B"/>
          <w:sz w:val="28"/>
          <w:szCs w:val="28"/>
        </w:rPr>
        <w:t xml:space="preserve">H4. Demande d’avis (fin de dossier, remise en main propre ou message à un client)</w:t>
      </w:r>
    </w:p>
    <w:p>
      <w:pPr>
        <w:spacing w:after="120" w:line="276"/>
      </w:pPr>
      <w:r>
        <w:rPr>
          <w:rFonts w:ascii="Calibri" w:cs="Calibri" w:eastAsia="Calibri" w:hAnsi="Calibri"/>
          <w:sz w:val="22"/>
          <w:szCs w:val="22"/>
        </w:rPr>
        <w:t xml:space="preserve">« Merci de la confiance que vous nous avez accordée. Si vous le souhaitez, et seulement si vous vous en sentez la force, vous pouvez partager votre expérience en quelques mots : [QR code / lien]. Cela aide d’autres familles à trouver un accompagnement. Aucune obligation, bien sûr. »</w:t>
      </w:r>
    </w:p>
    <w:p>
      <w:pPr>
        <w:pStyle w:val="Heading2"/>
        <w:keepNext/>
        <w:spacing w:after="120" w:before="280"/>
      </w:pPr>
      <w:r>
        <w:rPr>
          <w:rFonts w:ascii="Calibri" w:cs="Calibri" w:eastAsia="Calibri" w:hAnsi="Calibri"/>
          <w:b/>
          <w:bCs/>
          <w:color w:val="5B7F6B"/>
          <w:sz w:val="28"/>
          <w:szCs w:val="28"/>
        </w:rPr>
        <w:t xml:space="preserve">H5. Message de suivi à un client existant (à 1 mois)</w:t>
      </w:r>
    </w:p>
    <w:p>
      <w:pPr>
        <w:spacing w:after="120" w:line="276"/>
      </w:pPr>
      <w:r>
        <w:rPr>
          <w:rFonts w:ascii="Calibri" w:cs="Calibri" w:eastAsia="Calibri" w:hAnsi="Calibri"/>
          <w:sz w:val="22"/>
          <w:szCs w:val="22"/>
        </w:rPr>
        <w:t xml:space="preserve">« Bonjour [Prénom], je prends de vos nouvelles un mois après les obsèques de [proche]. Où en sont les démarches ? Je reste disponible si vous avez besoin de faire le point ou d’un coup de main sur un dossier. Avec toute ma sympathie, [Prénom]. »</w:t>
      </w:r>
    </w:p>
    <w:p>
      <w:pPr>
        <w:spacing w:after="120" w:line="276"/>
      </w:pPr>
      <w:r>
        <w:rPr>
          <w:rFonts w:ascii="Calibri" w:cs="Calibri" w:eastAsia="Calibri" w:hAnsi="Calibri"/>
          <w:i/>
          <w:iCs/>
          <w:color w:val="6B7280"/>
          <w:sz w:val="22"/>
          <w:szCs w:val="22"/>
        </w:rPr>
        <w:t xml:space="preserve">Ce message concerne uniquement une famille </w:t>
      </w:r>
      <w:r>
        <w:rPr>
          <w:rFonts w:ascii="Calibri" w:cs="Calibri" w:eastAsia="Calibri" w:hAnsi="Calibri"/>
          <w:b/>
          <w:bCs/>
          <w:i/>
          <w:iCs/>
          <w:color w:val="6B7280"/>
          <w:sz w:val="22"/>
          <w:szCs w:val="22"/>
        </w:rPr>
        <w:t xml:space="preserve">déjà cliente</w:t>
      </w:r>
      <w:r>
        <w:rPr>
          <w:rFonts w:ascii="Calibri" w:cs="Calibri" w:eastAsia="Calibri" w:hAnsi="Calibri"/>
          <w:i/>
          <w:iCs/>
          <w:color w:val="6B7280"/>
          <w:sz w:val="22"/>
          <w:szCs w:val="22"/>
        </w:rPr>
        <w:t xml:space="preserve">, avec son accord pour être recontactée (à recueillir dans le mandat).</w:t>
      </w:r>
    </w:p>
    <w:p>
      <w:pPr>
        <w:pStyle w:val="Heading2"/>
        <w:keepNext/>
        <w:spacing w:after="120" w:before="280"/>
      </w:pPr>
      <w:r>
        <w:rPr>
          <w:rFonts w:ascii="Calibri" w:cs="Calibri" w:eastAsia="Calibri" w:hAnsi="Calibri"/>
          <w:b/>
          <w:bCs/>
          <w:color w:val="5B7F6B"/>
          <w:sz w:val="28"/>
          <w:szCs w:val="28"/>
        </w:rPr>
        <w:t xml:space="preserve">H6. Mentions à reprendre sur le devis et le site</w:t>
      </w:r>
    </w:p>
    <w:p>
      <w:pPr>
        <w:pStyle w:val="ListParagraph"/>
        <w:numPr>
          <w:ilvl w:val="0"/>
          <w:numId w:val="2"/>
        </w:numPr>
        <w:spacing w:after="60" w:line="264"/>
      </w:pPr>
      <w:r>
        <w:rPr>
          <w:rFonts w:ascii="Calibri" w:cs="Calibri" w:eastAsia="Calibri" w:hAnsi="Calibri"/>
          <w:sz w:val="22"/>
          <w:szCs w:val="22"/>
        </w:rPr>
        <w:t xml:space="preserve">Dénomination, forme juridique, SIRET, adresse, téléphone, e-mail</w:t>
      </w:r>
    </w:p>
    <w:p>
      <w:pPr>
        <w:pStyle w:val="ListParagraph"/>
        <w:numPr>
          <w:ilvl w:val="0"/>
          <w:numId w:val="2"/>
        </w:numPr>
        <w:spacing w:after="60" w:line="264"/>
      </w:pPr>
      <w:r>
        <w:rPr>
          <w:rFonts w:ascii="Calibri" w:cs="Calibri" w:eastAsia="Calibri" w:hAnsi="Calibri"/>
          <w:sz w:val="22"/>
          <w:szCs w:val="22"/>
        </w:rPr>
        <w:t xml:space="preserve">Habilitation préfectorale : numéro et date de fin de validité (prestations funéraires)</w:t>
      </w:r>
    </w:p>
    <w:p>
      <w:pPr>
        <w:pStyle w:val="ListParagraph"/>
        <w:numPr>
          <w:ilvl w:val="0"/>
          <w:numId w:val="2"/>
        </w:numPr>
        <w:spacing w:after="60" w:line="264"/>
      </w:pPr>
      <w:r>
        <w:rPr>
          <w:rFonts w:ascii="Calibri" w:cs="Calibri" w:eastAsia="Calibri" w:hAnsi="Calibri"/>
          <w:sz w:val="22"/>
          <w:szCs w:val="22"/>
        </w:rPr>
        <w:t xml:space="preserve">Assurance RC Pro : assureur et couverture géographique</w:t>
      </w:r>
    </w:p>
    <w:p>
      <w:pPr>
        <w:pStyle w:val="ListParagraph"/>
        <w:numPr>
          <w:ilvl w:val="0"/>
          <w:numId w:val="2"/>
        </w:numPr>
        <w:spacing w:after="60" w:line="264"/>
      </w:pPr>
      <w:r>
        <w:rPr>
          <w:rFonts w:ascii="Calibri" w:cs="Calibri" w:eastAsia="Calibri" w:hAnsi="Calibri"/>
          <w:sz w:val="22"/>
          <w:szCs w:val="22"/>
        </w:rPr>
        <w:t xml:space="preserve">Médiateur de la consommation : nom et coordonnées</w:t>
      </w:r>
    </w:p>
    <w:p>
      <w:pPr>
        <w:pStyle w:val="ListParagraph"/>
        <w:numPr>
          <w:ilvl w:val="0"/>
          <w:numId w:val="2"/>
        </w:numPr>
        <w:spacing w:after="60" w:line="264"/>
      </w:pPr>
      <w:r>
        <w:rPr>
          <w:rFonts w:ascii="Calibri" w:cs="Calibri" w:eastAsia="Calibri" w:hAnsi="Calibri"/>
          <w:sz w:val="22"/>
          <w:szCs w:val="22"/>
        </w:rPr>
        <w:t xml:space="preserve">Mention : « Les démarches administratives sont réalisées sur mandat. [Nom] ne fournit pas de conseil juridique ou fiscal ; pour ces questions, nous vous orientons vers un notaire ou un avocat. »</w:t>
      </w:r>
    </w:p>
    <w:p>
      <w:pPr>
        <w:pStyle w:val="ListParagraph"/>
        <w:numPr>
          <w:ilvl w:val="0"/>
          <w:numId w:val="2"/>
        </w:numPr>
        <w:spacing w:after="60" w:line="264"/>
      </w:pPr>
      <w:r>
        <w:rPr>
          <w:rFonts w:ascii="Calibri" w:cs="Calibri" w:eastAsia="Calibri" w:hAnsi="Calibri"/>
          <w:sz w:val="22"/>
          <w:szCs w:val="22"/>
        </w:rPr>
        <w:t xml:space="preserve">TVA : numéro ou mention « TVA non applicable » selon le régime</w:t>
      </w:r>
    </w:p>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Annexe I — Calendrier éditorial sur 12 mois</w:t>
      </w:r>
    </w:p>
    <w:p>
      <w:pPr>
        <w:spacing w:after="120" w:line="276"/>
      </w:pPr>
      <w:r>
        <w:rPr>
          <w:rFonts w:ascii="Calibri" w:cs="Calibri" w:eastAsia="Calibri" w:hAnsi="Calibri"/>
          <w:i/>
          <w:iCs/>
          <w:sz w:val="22"/>
          <w:szCs w:val="22"/>
        </w:rPr>
        <w:t xml:space="preserve">Rythme proposé : 1 à 2 publications par semaine sur Facebook (principal), 1 sur Instagram, 1 article de blog par mois pour le référencement. Contenus </w:t>
      </w:r>
      <w:r>
        <w:rPr>
          <w:rFonts w:ascii="Calibri" w:cs="Calibri" w:eastAsia="Calibri" w:hAnsi="Calibri"/>
          <w:b/>
          <w:bCs/>
          <w:i/>
          <w:iCs/>
          <w:sz w:val="22"/>
          <w:szCs w:val="22"/>
        </w:rPr>
        <w:t xml:space="preserve">informatifs</w:t>
      </w:r>
      <w:r>
        <w:rPr>
          <w:rFonts w:ascii="Calibri" w:cs="Calibri" w:eastAsia="Calibri" w:hAnsi="Calibri"/>
          <w:i/>
          <w:iCs/>
          <w:sz w:val="22"/>
          <w:szCs w:val="22"/>
        </w:rPr>
        <w:t xml:space="preserve">, jamais promotionnels autour d’un décès.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4000"/>
        <w:gridCol w:w="4138"/>
      </w:tblGrid>
      <w:tr>
        <w:trPr>
          <w:cantSplit/>
          <w:tblHeader/>
        </w:trPr>
        <w:tc>
          <w:tcPr>
            <w:tcW w:type="dxa" w:w="15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Mois</w:t>
            </w:r>
          </w:p>
        </w:tc>
        <w:tc>
          <w:tcPr>
            <w:tcW w:type="dxa" w:w="40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Thèmes de contenu</w:t>
            </w:r>
          </w:p>
        </w:tc>
        <w:tc>
          <w:tcPr>
            <w:tcW w:type="dxa" w:w="41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Idées de formats</w:t>
            </w:r>
          </w:p>
        </w:tc>
      </w:tr>
      <w:tr>
        <w:trPr>
          <w:cantSplit/>
        </w:trPr>
        <w:tc>
          <w:tcPr>
            <w:tcW w:type="dxa" w:w="15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Janvier</w:t>
            </w:r>
          </w:p>
        </w:tc>
        <w:tc>
          <w:tcPr>
            <w:tcW w:type="dxa" w:w="4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Clôture de l’année, déclarations de revenus : « Que devient la déclaration d’un proche décédé ? »</w:t>
            </w:r>
          </w:p>
        </w:tc>
        <w:tc>
          <w:tcPr>
            <w:tcW w:type="dxa" w:w="41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Article + fiche pratique PDF</w:t>
            </w:r>
          </w:p>
        </w:tc>
      </w:tr>
      <w:tr>
        <w:trPr>
          <w:cantSplit/>
        </w:trPr>
        <w:tc>
          <w:tcPr>
            <w:tcW w:type="dxa" w:w="15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Février</w:t>
            </w:r>
          </w:p>
        </w:tc>
        <w:tc>
          <w:tcPr>
            <w:tcW w:type="dxa" w:w="4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Les 10 premières démarches (frise Annexe C)</w:t>
            </w:r>
          </w:p>
        </w:tc>
        <w:tc>
          <w:tcPr>
            <w:tcW w:type="dxa" w:w="41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Carrousel Instagram, vidéo courte</w:t>
            </w:r>
          </w:p>
        </w:tc>
      </w:tr>
      <w:tr>
        <w:trPr>
          <w:cantSplit/>
        </w:trPr>
        <w:tc>
          <w:tcPr>
            <w:tcW w:type="dxa" w:w="15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Mars</w:t>
            </w:r>
          </w:p>
        </w:tc>
        <w:tc>
          <w:tcPr>
            <w:tcW w:type="dxa" w:w="4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Retour du printemps : entretien et fleurissement des sépultures</w:t>
            </w:r>
          </w:p>
        </w:tc>
        <w:tc>
          <w:tcPr>
            <w:tcW w:type="dxa" w:w="41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Avant/après (avec accord), conseils</w:t>
            </w:r>
          </w:p>
        </w:tc>
      </w:tr>
      <w:tr>
        <w:trPr>
          <w:cantSplit/>
        </w:trPr>
        <w:tc>
          <w:tcPr>
            <w:tcW w:type="dxa" w:w="15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Avril</w:t>
            </w:r>
          </w:p>
        </w:tc>
        <w:tc>
          <w:tcPr>
            <w:tcW w:type="dxa" w:w="4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Contrats obsèques : comment s’y retrouver, comment les retrouver (Agira)</w:t>
            </w:r>
          </w:p>
        </w:tc>
        <w:tc>
          <w:tcPr>
            <w:tcW w:type="dxa" w:w="41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Article, FAQ</w:t>
            </w:r>
          </w:p>
        </w:tc>
      </w:tr>
      <w:tr>
        <w:trPr>
          <w:cantSplit/>
        </w:trPr>
        <w:tc>
          <w:tcPr>
            <w:tcW w:type="dxa" w:w="15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Mai</w:t>
            </w:r>
          </w:p>
        </w:tc>
        <w:tc>
          <w:tcPr>
            <w:tcW w:type="dxa" w:w="4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Fête des mères : traverser les dates difficiles</w:t>
            </w:r>
          </w:p>
        </w:tc>
        <w:tc>
          <w:tcPr>
            <w:tcW w:type="dxa" w:w="41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Texte sensible, sans promotion</w:t>
            </w:r>
          </w:p>
        </w:tc>
      </w:tr>
      <w:tr>
        <w:trPr>
          <w:cantSplit/>
        </w:trPr>
        <w:tc>
          <w:tcPr>
            <w:tcW w:type="dxa" w:w="15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Juin</w:t>
            </w:r>
          </w:p>
        </w:tc>
        <w:tc>
          <w:tcPr>
            <w:tcW w:type="dxa" w:w="4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Fête des pères ; groupes de parole et ressources d’écoute</w:t>
            </w:r>
          </w:p>
        </w:tc>
        <w:tc>
          <w:tcPr>
            <w:tcW w:type="dxa" w:w="41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Événement (café-deuil), liste de ressources</w:t>
            </w:r>
          </w:p>
        </w:tc>
      </w:tr>
      <w:tr>
        <w:trPr>
          <w:cantSplit/>
        </w:trPr>
        <w:tc>
          <w:tcPr>
            <w:tcW w:type="dxa" w:w="15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Juillet–Août</w:t>
            </w:r>
          </w:p>
        </w:tc>
        <w:tc>
          <w:tcPr>
            <w:tcW w:type="dxa" w:w="4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Familles éloignées : suivre un dossier à distance ; entretien à distance</w:t>
            </w:r>
          </w:p>
        </w:tc>
        <w:tc>
          <w:tcPr>
            <w:tcW w:type="dxa" w:w="41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Page service, vidéo explicative</w:t>
            </w:r>
          </w:p>
        </w:tc>
      </w:tr>
      <w:tr>
        <w:trPr>
          <w:cantSplit/>
        </w:trPr>
        <w:tc>
          <w:tcPr>
            <w:tcW w:type="dxa" w:w="15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Septembre</w:t>
            </w:r>
          </w:p>
        </w:tc>
        <w:tc>
          <w:tcPr>
            <w:tcW w:type="dxa" w:w="4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Rentrée : organiser les papiers d’un proche âgé (information générale)</w:t>
            </w:r>
          </w:p>
        </w:tc>
        <w:tc>
          <w:tcPr>
            <w:tcW w:type="dxa" w:w="41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Guide téléchargeable</w:t>
            </w:r>
          </w:p>
        </w:tc>
      </w:tr>
      <w:tr>
        <w:trPr>
          <w:cantSplit/>
        </w:trPr>
        <w:tc>
          <w:tcPr>
            <w:tcW w:type="dxa" w:w="15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Octobre</w:t>
            </w:r>
          </w:p>
        </w:tc>
        <w:tc>
          <w:tcPr>
            <w:tcW w:type="dxa" w:w="4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Préparer la Toussaint : horaires, règles des cimetières, entretien</w:t>
            </w:r>
          </w:p>
        </w:tc>
        <w:tc>
          <w:tcPr>
            <w:tcW w:type="dxa" w:w="41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Information pratique, infos horaires</w:t>
            </w:r>
          </w:p>
        </w:tc>
      </w:tr>
      <w:tr>
        <w:trPr>
          <w:cantSplit/>
        </w:trPr>
        <w:tc>
          <w:tcPr>
            <w:tcW w:type="dxa" w:w="15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Novembre</w:t>
            </w:r>
          </w:p>
        </w:tc>
        <w:tc>
          <w:tcPr>
            <w:tcW w:type="dxa" w:w="4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Toussaint et jour des défunts : honorer la mémoire</w:t>
            </w:r>
          </w:p>
        </w:tc>
        <w:tc>
          <w:tcPr>
            <w:tcW w:type="dxa" w:w="41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Message sobre, pas de promotion</w:t>
            </w:r>
          </w:p>
        </w:tc>
      </w:tr>
      <w:tr>
        <w:trPr>
          <w:cantSplit/>
        </w:trPr>
        <w:tc>
          <w:tcPr>
            <w:tcW w:type="dxa" w:w="15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Décembre</w:t>
            </w:r>
          </w:p>
        </w:tc>
        <w:tc>
          <w:tcPr>
            <w:tcW w:type="dxa" w:w="4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Les fêtes après une perte : conseils et soutien</w:t>
            </w:r>
          </w:p>
        </w:tc>
        <w:tc>
          <w:tcPr>
            <w:tcW w:type="dxa" w:w="41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Article, ressources</w:t>
            </w:r>
          </w:p>
        </w:tc>
      </w:tr>
      <w:tr>
        <w:trPr>
          <w:cantSplit/>
        </w:trPr>
        <w:tc>
          <w:tcPr>
            <w:tcW w:type="dxa" w:w="15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Toute l’année</w:t>
            </w:r>
          </w:p>
        </w:tc>
        <w:tc>
          <w:tcPr>
            <w:tcW w:type="dxa" w:w="4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Coulisses du métier, portraits de partenaires, mises à jour tarifs et FAQ</w:t>
            </w:r>
          </w:p>
        </w:tc>
        <w:tc>
          <w:tcPr>
            <w:tcW w:type="dxa" w:w="41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Photos équipe, Q/R</w:t>
            </w:r>
          </w:p>
        </w:tc>
      </w:tr>
    </w:tbl>
    <w:p>
      <w:pPr>
        <w:spacing w:after="80"/>
      </w:pPr>
    </w:p>
    <w:p>
      <w:pPr>
        <w:pStyle w:val="Heading3"/>
        <w:keepNext/>
        <w:spacing w:after="80" w:before="180"/>
      </w:pPr>
      <w:r>
        <w:rPr>
          <w:rFonts w:ascii="Calibri" w:cs="Calibri" w:eastAsia="Calibri" w:hAnsi="Calibri"/>
          <w:b/>
          <w:bCs/>
          <w:color w:val="1F3A5F"/>
          <w:sz w:val="24"/>
          <w:szCs w:val="24"/>
        </w:rPr>
        <w:t xml:space="preserve">Règles de publication</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Valider chaque visuel pour son ton (pas de noir dominant, pas d’images choc, pas d’humour).</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Demander l’accord écrit avant tout témoignage, photo de sépulture ou nom de famille.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Ne jamais publier en réaction à un avis de décès ou à une actualité locale funeste.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Répondre aux commentaires dans un délai raisonnable, avec respect ; modérer les propos inappropriés.</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Prévoir un modèle de réponse aux avis négatifs : accuser réception, proposer un échange direct, ne pas se justifier en public.</w:t>
      </w:r>
    </w:p>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Annexe J — Gamme textile et souvenirs (flocage)</w:t>
      </w:r>
    </w:p>
    <w:p>
      <w:pPr>
        <w:spacing w:after="120" w:line="276"/>
      </w:pPr>
      <w:r>
        <w:rPr>
          <w:rFonts w:ascii="Calibri" w:cs="Calibri" w:eastAsia="Calibri" w:hAnsi="Calibri"/>
          <w:sz w:val="22"/>
          <w:szCs w:val="22"/>
        </w:rPr>
        <w:t xml:space="preserve">Pôle C : une offre mémorielle que l’agence peut produire. Le sujet est sensible : mieux vaut une gamme courte, soignée, </w:t>
      </w:r>
      <w:r>
        <w:rPr>
          <w:rFonts w:ascii="Calibri" w:cs="Calibri" w:eastAsia="Calibri" w:hAnsi="Calibri"/>
          <w:b/>
          <w:bCs/>
          <w:sz w:val="22"/>
          <w:szCs w:val="22"/>
        </w:rPr>
        <w:t xml:space="preserve">demandée par la famille</w:t>
      </w:r>
      <w:r>
        <w:rPr>
          <w:rFonts w:ascii="Calibri" w:cs="Calibri" w:eastAsia="Calibri" w:hAnsi="Calibri"/>
          <w:sz w:val="22"/>
          <w:szCs w:val="22"/>
        </w:rPr>
        <w:t xml:space="preserve"> (jamais proposée en push) et livrée dans des délais compatibles avec la cérémonie.</w:t>
      </w:r>
    </w:p>
    <w:p>
      <w:pPr>
        <w:pStyle w:val="Heading2"/>
        <w:keepNext/>
        <w:spacing w:after="120" w:before="280"/>
      </w:pPr>
      <w:r>
        <w:rPr>
          <w:rFonts w:ascii="Calibri" w:cs="Calibri" w:eastAsia="Calibri" w:hAnsi="Calibri"/>
          <w:b/>
          <w:bCs/>
          <w:color w:val="5B7F6B"/>
          <w:sz w:val="28"/>
          <w:szCs w:val="28"/>
        </w:rPr>
        <w:t xml:space="preserve">J1. Idées de produits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600"/>
        <w:gridCol w:w="3438"/>
      </w:tblGrid>
      <w:tr>
        <w:trPr>
          <w:cantSplit/>
          <w:tblHeader/>
        </w:trPr>
        <w:tc>
          <w:tcPr>
            <w:tcW w:type="dxa" w:w="26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Produit</w:t>
            </w:r>
          </w:p>
        </w:tc>
        <w:tc>
          <w:tcPr>
            <w:tcW w:type="dxa" w:w="36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Usage</w:t>
            </w:r>
          </w:p>
        </w:tc>
        <w:tc>
          <w:tcPr>
            <w:tcW w:type="dxa" w:w="34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Point de vigilance</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T-shirts / sweats hommage</w:t>
            </w:r>
          </w:p>
        </w:tc>
        <w:tc>
          <w:tcPr>
            <w:tcW w:type="dxa" w:w="3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Famille et proches portent un visuel (prénom, dates, dessin, phrase)</w:t>
            </w:r>
          </w:p>
        </w:tc>
        <w:tc>
          <w:tcPr>
            <w:tcW w:type="dxa" w:w="3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Visuel validé par la famille (BAT) ; délais courts</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Vêtements pour enfants / ados</w:t>
            </w:r>
          </w:p>
        </w:tc>
        <w:tc>
          <w:tcPr>
            <w:tcW w:type="dxa" w:w="36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Hommage dans une école, un club</w:t>
            </w:r>
          </w:p>
        </w:tc>
        <w:tc>
          <w:tcPr>
            <w:tcW w:type="dxa" w:w="3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Accord des représentants légaux ; sobriété</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Cartes souvenir / marque-pages</w:t>
            </w:r>
          </w:p>
        </w:tc>
        <w:tc>
          <w:tcPr>
            <w:tcW w:type="dxa" w:w="3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Remis à l’assistance lors de la cérémonie</w:t>
            </w:r>
          </w:p>
        </w:tc>
        <w:tc>
          <w:tcPr>
            <w:tcW w:type="dxa" w:w="3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Photo en bonne résolution ; texte relu</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Livret de cérémonie</w:t>
            </w:r>
          </w:p>
        </w:tc>
        <w:tc>
          <w:tcPr>
            <w:tcW w:type="dxa" w:w="36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Déroulé, textes, photos</w:t>
            </w:r>
          </w:p>
        </w:tc>
        <w:tc>
          <w:tcPr>
            <w:tcW w:type="dxa" w:w="3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Relecture orthographe/noms ; impression à temps</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Faire-part, remerciements</w:t>
            </w:r>
          </w:p>
        </w:tc>
        <w:tc>
          <w:tcPr>
            <w:tcW w:type="dxa" w:w="3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Après les obsèques</w:t>
            </w:r>
          </w:p>
        </w:tc>
        <w:tc>
          <w:tcPr>
            <w:tcW w:type="dxa" w:w="3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Modèles sobres</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Objets personnalisés (mug, coussin, toile)</w:t>
            </w:r>
          </w:p>
        </w:tc>
        <w:tc>
          <w:tcPr>
            <w:tcW w:type="dxa" w:w="36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Souvenir à garder</w:t>
            </w:r>
          </w:p>
        </w:tc>
        <w:tc>
          <w:tcPr>
            <w:tcW w:type="dxa" w:w="3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Gamme limitée ; pas d’effet « boutique »</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Tenue de la professionnelle</w:t>
            </w:r>
          </w:p>
        </w:tc>
        <w:tc>
          <w:tcPr>
            <w:tcW w:type="dxa" w:w="3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Image de marque discrète</w:t>
            </w:r>
          </w:p>
        </w:tc>
        <w:tc>
          <w:tcPr>
            <w:tcW w:type="dxa" w:w="3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Cohérent avec la charte graphique</w:t>
            </w:r>
          </w:p>
        </w:tc>
      </w:tr>
    </w:tbl>
    <w:p>
      <w:pPr>
        <w:spacing w:after="80"/>
      </w:pPr>
    </w:p>
    <w:p>
      <w:pPr>
        <w:pStyle w:val="Heading2"/>
        <w:keepNext/>
        <w:spacing w:after="120" w:before="280"/>
      </w:pPr>
      <w:r>
        <w:rPr>
          <w:rFonts w:ascii="Calibri" w:cs="Calibri" w:eastAsia="Calibri" w:hAnsi="Calibri"/>
          <w:b/>
          <w:bCs/>
          <w:color w:val="5B7F6B"/>
          <w:sz w:val="28"/>
          <w:szCs w:val="28"/>
        </w:rPr>
        <w:t xml:space="preserve">J2. Processus de commande (de la demande à la livraison)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2600"/>
        <w:gridCol w:w="6338"/>
      </w:tblGrid>
      <w:tr>
        <w:trPr>
          <w:cantSplit/>
          <w:tblHeader/>
        </w:trPr>
        <w:tc>
          <w:tcPr>
            <w:tcW w:type="dxa" w:w="7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w:t>
            </w:r>
          </w:p>
        </w:tc>
        <w:tc>
          <w:tcPr>
            <w:tcW w:type="dxa" w:w="26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Étape</w:t>
            </w:r>
          </w:p>
        </w:tc>
        <w:tc>
          <w:tcPr>
            <w:tcW w:type="dxa" w:w="63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Détail</w:t>
            </w:r>
          </w:p>
        </w:tc>
      </w:tr>
      <w:tr>
        <w:trPr>
          <w:cantSplit/>
        </w:trPr>
        <w:tc>
          <w:tcPr>
            <w:tcW w:type="dxa" w:w="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1</w:t>
            </w:r>
          </w:p>
        </w:tc>
        <w:tc>
          <w:tcPr>
            <w:tcW w:type="dxa" w:w="2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Demande de la famille</w:t>
            </w:r>
          </w:p>
        </w:tc>
        <w:tc>
          <w:tcPr>
            <w:tcW w:type="dxa" w:w="6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Reçue au rendez-vous ou par la professionnelle ; pas de proposition non sollicitée</w:t>
            </w:r>
          </w:p>
        </w:tc>
      </w:tr>
      <w:tr>
        <w:trPr>
          <w:cantSplit/>
        </w:trPr>
        <w:tc>
          <w:tcPr>
            <w:tcW w:type="dxa" w:w="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2</w:t>
            </w:r>
          </w:p>
        </w:tc>
        <w:tc>
          <w:tcPr>
            <w:tcW w:type="dxa" w:w="26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Brief visuel</w:t>
            </w:r>
          </w:p>
        </w:tc>
        <w:tc>
          <w:tcPr>
            <w:tcW w:type="dxa" w:w="6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Photo, texte, couleurs ; modèle simple choisi parmi 3 maximum</w:t>
            </w:r>
          </w:p>
        </w:tc>
      </w:tr>
      <w:tr>
        <w:trPr>
          <w:cantSplit/>
        </w:trPr>
        <w:tc>
          <w:tcPr>
            <w:tcW w:type="dxa" w:w="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3</w:t>
            </w:r>
          </w:p>
        </w:tc>
        <w:tc>
          <w:tcPr>
            <w:tcW w:type="dxa" w:w="2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Bon à tirer (BAT)</w:t>
            </w:r>
          </w:p>
        </w:tc>
        <w:tc>
          <w:tcPr>
            <w:tcW w:type="dxa" w:w="6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Maquette envoyée à la famille ; validation écrite (mail/SMS) avant impression</w:t>
            </w:r>
          </w:p>
        </w:tc>
      </w:tr>
      <w:tr>
        <w:trPr>
          <w:cantSplit/>
        </w:trPr>
        <w:tc>
          <w:tcPr>
            <w:tcW w:type="dxa" w:w="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4</w:t>
            </w:r>
          </w:p>
        </w:tc>
        <w:tc>
          <w:tcPr>
            <w:tcW w:type="dxa" w:w="26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Production</w:t>
            </w:r>
          </w:p>
        </w:tc>
        <w:tc>
          <w:tcPr>
            <w:tcW w:type="dxa" w:w="6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Flocage/impression, contrôle qualité unité par unité</w:t>
            </w:r>
          </w:p>
        </w:tc>
      </w:tr>
      <w:tr>
        <w:trPr>
          <w:cantSplit/>
        </w:trPr>
        <w:tc>
          <w:tcPr>
            <w:tcW w:type="dxa" w:w="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5</w:t>
            </w:r>
          </w:p>
        </w:tc>
        <w:tc>
          <w:tcPr>
            <w:tcW w:type="dxa" w:w="2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Livraison</w:t>
            </w:r>
          </w:p>
        </w:tc>
        <w:tc>
          <w:tcPr>
            <w:tcW w:type="dxa" w:w="6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Remise avant la cérémonie ; emballage soigné</w:t>
            </w:r>
          </w:p>
        </w:tc>
      </w:tr>
      <w:tr>
        <w:trPr>
          <w:cantSplit/>
        </w:trPr>
        <w:tc>
          <w:tcPr>
            <w:tcW w:type="dxa" w:w="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6</w:t>
            </w:r>
          </w:p>
        </w:tc>
        <w:tc>
          <w:tcPr>
            <w:tcW w:type="dxa" w:w="26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Facturation</w:t>
            </w:r>
          </w:p>
        </w:tc>
        <w:tc>
          <w:tcPr>
            <w:tcW w:type="dxa" w:w="6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Devis signé ; TVA 20 % sur marchandises (à confirmer)</w:t>
            </w:r>
          </w:p>
        </w:tc>
      </w:tr>
    </w:tbl>
    <w:p>
      <w:pPr>
        <w:spacing w:after="80"/>
      </w:pPr>
    </w:p>
    <w:p>
      <w:pPr>
        <w:pStyle w:val="Heading2"/>
        <w:keepNext/>
        <w:spacing w:after="120" w:before="280"/>
      </w:pPr>
      <w:r>
        <w:rPr>
          <w:rFonts w:ascii="Calibri" w:cs="Calibri" w:eastAsia="Calibri" w:hAnsi="Calibri"/>
          <w:b/>
          <w:bCs/>
          <w:color w:val="5B7F6B"/>
          <w:sz w:val="28"/>
          <w:szCs w:val="28"/>
        </w:rPr>
        <w:t xml:space="preserve">J3. À décider avec l’agence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Délai de production « urgence cérémonie » (48-72 h ?) et supplément éventuel</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Quantités minimales, tailles, gamme de couleurs</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Fournisseur de textile (qualité, origine, éthique)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Prix de vente et marge par produit</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Qui facture : l’agence ou l’entreprise de la professionnelle (la structure qui facture doit être cohérente avec le statut et la TVA)</w:t>
      </w:r>
    </w:p>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Annexe K — Étude locale : concurrents, mots-clés, partenaires</w:t>
      </w:r>
    </w:p>
    <w:p>
      <w:pPr>
        <w:pStyle w:val="Heading2"/>
        <w:keepNext/>
        <w:spacing w:after="120" w:before="280"/>
      </w:pPr>
      <w:r>
        <w:rPr>
          <w:rFonts w:ascii="Calibri" w:cs="Calibri" w:eastAsia="Calibri" w:hAnsi="Calibri"/>
          <w:b/>
          <w:bCs/>
          <w:color w:val="5B7F6B"/>
          <w:sz w:val="28"/>
          <w:szCs w:val="28"/>
        </w:rPr>
        <w:t xml:space="preserve">K1. Grille d’analyse des concurrents (à remplir)</w:t>
      </w:r>
    </w:p>
    <w:p>
      <w:pPr>
        <w:spacing w:after="120" w:line="276"/>
      </w:pPr>
      <w:r>
        <w:rPr>
          <w:rFonts w:ascii="Calibri" w:cs="Calibri" w:eastAsia="Calibri" w:hAnsi="Calibri"/>
          <w:i/>
          <w:iCs/>
          <w:sz w:val="22"/>
          <w:szCs w:val="22"/>
        </w:rPr>
        <w:t xml:space="preserve">Lister 5 à 10 entreprises de pompes funèbres, services de démarches et prestataires d’entretien de tombes de la zone.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1500"/>
        <w:gridCol w:w="1500"/>
        <w:gridCol w:w="1500"/>
        <w:gridCol w:w="1638"/>
      </w:tblGrid>
      <w:tr>
        <w:trPr>
          <w:cantSplit/>
          <w:tblHeader/>
        </w:trPr>
        <w:tc>
          <w:tcPr>
            <w:tcW w:type="dxa" w:w="20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Entreprise</w:t>
            </w:r>
          </w:p>
        </w:tc>
        <w:tc>
          <w:tcPr>
            <w:tcW w:type="dxa" w:w="15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Services</w:t>
            </w:r>
          </w:p>
        </w:tc>
        <w:tc>
          <w:tcPr>
            <w:tcW w:type="dxa" w:w="15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Tarifs visibles</w:t>
            </w:r>
          </w:p>
        </w:tc>
        <w:tc>
          <w:tcPr>
            <w:tcW w:type="dxa" w:w="15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Note Google / nb avis</w:t>
            </w:r>
          </w:p>
        </w:tc>
        <w:tc>
          <w:tcPr>
            <w:tcW w:type="dxa" w:w="15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Site (qualité)</w:t>
            </w:r>
          </w:p>
        </w:tc>
        <w:tc>
          <w:tcPr>
            <w:tcW w:type="dxa" w:w="16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Points forts / faibles</w:t>
            </w:r>
          </w:p>
        </w:tc>
      </w:tr>
      <w:tr>
        <w:trPr>
          <w:cantSplit/>
        </w:trPr>
        <w:tc>
          <w:tcPr>
            <w:tcW w:type="dxa" w:w="2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2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2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2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2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2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2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2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bl>
    <w:p>
      <w:pPr>
        <w:spacing w:after="80"/>
      </w:pPr>
    </w:p>
    <w:p>
      <w:pPr>
        <w:pStyle w:val="Heading2"/>
        <w:keepNext/>
        <w:spacing w:after="120" w:before="280"/>
      </w:pPr>
      <w:r>
        <w:rPr>
          <w:rFonts w:ascii="Calibri" w:cs="Calibri" w:eastAsia="Calibri" w:hAnsi="Calibri"/>
          <w:b/>
          <w:bCs/>
          <w:color w:val="5B7F6B"/>
          <w:sz w:val="28"/>
          <w:szCs w:val="28"/>
        </w:rPr>
        <w:t xml:space="preserve">K2. Mots-clés à travailler (référencement local)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0"/>
        <w:gridCol w:w="4838"/>
      </w:tblGrid>
      <w:tr>
        <w:trPr>
          <w:cantSplit/>
          <w:tblHeader/>
        </w:trPr>
        <w:tc>
          <w:tcPr>
            <w:tcW w:type="dxa" w:w="48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Intention de recherche</w:t>
            </w:r>
          </w:p>
        </w:tc>
        <w:tc>
          <w:tcPr>
            <w:tcW w:type="dxa" w:w="48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Exemples</w:t>
            </w:r>
          </w:p>
        </w:tc>
      </w:tr>
      <w:tr>
        <w:trPr>
          <w:cantSplit/>
        </w:trPr>
        <w:tc>
          <w:tcPr>
            <w:tcW w:type="dxa" w:w="4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Démarches</w:t>
            </w:r>
          </w:p>
        </w:tc>
        <w:tc>
          <w:tcPr>
            <w:tcW w:type="dxa" w:w="48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démarches après décès [ville] · clôturer compte d’un défunt · que faire après un décès · prévenir les organismes d’un décès</w:t>
            </w:r>
          </w:p>
        </w:tc>
      </w:tr>
      <w:tr>
        <w:trPr>
          <w:cantSplit/>
        </w:trPr>
        <w:tc>
          <w:tcPr>
            <w:tcW w:type="dxa" w:w="4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Organisation d’obsèques</w:t>
            </w:r>
          </w:p>
        </w:tc>
        <w:tc>
          <w:tcPr>
            <w:tcW w:type="dxa" w:w="48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pompes funèbres [ville] · organisation obsèques [ville] · devis obsèques</w:t>
            </w:r>
          </w:p>
        </w:tc>
      </w:tr>
      <w:tr>
        <w:trPr>
          <w:cantSplit/>
        </w:trPr>
        <w:tc>
          <w:tcPr>
            <w:tcW w:type="dxa" w:w="4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Sépulture</w:t>
            </w:r>
          </w:p>
        </w:tc>
        <w:tc>
          <w:tcPr>
            <w:tcW w:type="dxa" w:w="48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nettoyage de tombe [ville] · entretien de sépulture · fleurissement tombe Toussaint</w:t>
            </w:r>
          </w:p>
        </w:tc>
      </w:tr>
      <w:tr>
        <w:trPr>
          <w:cantSplit/>
        </w:trPr>
        <w:tc>
          <w:tcPr>
            <w:tcW w:type="dxa" w:w="4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Succession (information)</w:t>
            </w:r>
          </w:p>
        </w:tc>
        <w:tc>
          <w:tcPr>
            <w:tcW w:type="dxa" w:w="48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documents pour la succession · notaire succession [ville] (renvoi vers le notaire)</w:t>
            </w:r>
          </w:p>
        </w:tc>
      </w:tr>
      <w:tr>
        <w:trPr>
          <w:cantSplit/>
        </w:trPr>
        <w:tc>
          <w:tcPr>
            <w:tcW w:type="dxa" w:w="4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Deuil</w:t>
            </w:r>
          </w:p>
        </w:tc>
        <w:tc>
          <w:tcPr>
            <w:tcW w:type="dxa" w:w="48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groupe de parole deuil [ville] · accompagnement deuil · café-deuil</w:t>
            </w:r>
          </w:p>
        </w:tc>
      </w:tr>
      <w:tr>
        <w:trPr>
          <w:cantSplit/>
        </w:trPr>
        <w:tc>
          <w:tcPr>
            <w:tcW w:type="dxa" w:w="4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Souvenirs</w:t>
            </w:r>
          </w:p>
        </w:tc>
        <w:tc>
          <w:tcPr>
            <w:tcW w:type="dxa" w:w="48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livret de cérémonie · t-shirt hommage · carte souvenir</w:t>
            </w:r>
          </w:p>
        </w:tc>
      </w:tr>
    </w:tbl>
    <w:p>
      <w:pPr>
        <w:spacing w:after="80"/>
      </w:pPr>
    </w:p>
    <w:p>
      <w:pPr>
        <w:pStyle w:val="Heading2"/>
        <w:keepNext/>
        <w:spacing w:after="120" w:before="280"/>
      </w:pPr>
      <w:r>
        <w:rPr>
          <w:rFonts w:ascii="Calibri" w:cs="Calibri" w:eastAsia="Calibri" w:hAnsi="Calibri"/>
          <w:b/>
          <w:bCs/>
          <w:color w:val="5B7F6B"/>
          <w:sz w:val="28"/>
          <w:szCs w:val="28"/>
        </w:rPr>
        <w:t xml:space="preserve">K3. Cartographie des partenaires locaux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2800"/>
        <w:gridCol w:w="2200"/>
        <w:gridCol w:w="2338"/>
      </w:tblGrid>
      <w:tr>
        <w:trPr>
          <w:cantSplit/>
          <w:tblHeader/>
        </w:trPr>
        <w:tc>
          <w:tcPr>
            <w:tcW w:type="dxa" w:w="23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Type</w:t>
            </w:r>
          </w:p>
        </w:tc>
        <w:tc>
          <w:tcPr>
            <w:tcW w:type="dxa" w:w="28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Nom / contact</w:t>
            </w:r>
          </w:p>
        </w:tc>
        <w:tc>
          <w:tcPr>
            <w:tcW w:type="dxa" w:w="22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Date de 1er échange</w:t>
            </w:r>
          </w:p>
        </w:tc>
        <w:tc>
          <w:tcPr>
            <w:tcW w:type="dxa" w:w="23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Suite à donner</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Notaire(s)</w:t>
            </w:r>
          </w:p>
        </w:tc>
        <w:tc>
          <w:tcPr>
            <w:tcW w:type="dxa" w:w="28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2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Psychologue / psychothérapeute</w:t>
            </w:r>
          </w:p>
        </w:tc>
        <w:tc>
          <w:tcPr>
            <w:tcW w:type="dxa" w:w="28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2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Association de deuil</w:t>
            </w:r>
          </w:p>
        </w:tc>
        <w:tc>
          <w:tcPr>
            <w:tcW w:type="dxa" w:w="28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2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Fleuriste</w:t>
            </w:r>
          </w:p>
        </w:tc>
        <w:tc>
          <w:tcPr>
            <w:tcW w:type="dxa" w:w="28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2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Marbrier</w:t>
            </w:r>
          </w:p>
        </w:tc>
        <w:tc>
          <w:tcPr>
            <w:tcW w:type="dxa" w:w="28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2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Entreprise de pompes funèbres habilitée (partenaire)</w:t>
            </w:r>
          </w:p>
        </w:tc>
        <w:tc>
          <w:tcPr>
            <w:tcW w:type="dxa" w:w="28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2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Crématorium / chambre funéraire</w:t>
            </w:r>
          </w:p>
        </w:tc>
        <w:tc>
          <w:tcPr>
            <w:tcW w:type="dxa" w:w="28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2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Mairies / cimetières</w:t>
            </w:r>
          </w:p>
        </w:tc>
        <w:tc>
          <w:tcPr>
            <w:tcW w:type="dxa" w:w="28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2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Imprimeur / atelier de flocage</w:t>
            </w:r>
          </w:p>
        </w:tc>
        <w:tc>
          <w:tcPr>
            <w:tcW w:type="dxa" w:w="28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2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5B7F6B" w:sz="24"/>
              <w:bottom w:val="none" w:color="FFFFFF" w:sz="0"/>
              <w:right w:val="none" w:color="FFFFFF" w:sz="0"/>
            </w:tcBorders>
            <w:shd w:fill="EEF3F0" w:color="auto" w:val="clear"/>
            <w:tcMar>
              <w:top w:type="dxa" w:w="100"/>
              <w:left w:type="dxa" w:w="180"/>
              <w:bottom w:type="dxa" w:w="100"/>
              <w:right w:type="dxa" w:w="160"/>
            </w:tcMar>
          </w:tcPr>
          <w:p>
            <w:pPr>
              <w:spacing w:after="60"/>
            </w:pPr>
            <w:r>
              <w:rPr>
                <w:rFonts w:ascii="Calibri" w:cs="Calibri" w:eastAsia="Calibri" w:hAnsi="Calibri"/>
                <w:b/>
                <w:bCs/>
                <w:color w:val="5B7F6B"/>
                <w:sz w:val="22"/>
                <w:szCs w:val="22"/>
              </w:rPr>
              <w:t xml:space="preserve">À retenir</w:t>
            </w:r>
          </w:p>
          <w:p>
            <w:pPr>
              <w:spacing w:after="50"/>
            </w:pPr>
            <w:r>
              <w:rPr>
                <w:rFonts w:ascii="Calibri" w:cs="Calibri" w:eastAsia="Calibri" w:hAnsi="Calibri"/>
                <w:sz w:val="21"/>
                <w:szCs w:val="21"/>
              </w:rPr>
              <w:t xml:space="preserve">Rappel : les partenariats se construisent par la </w:t>
            </w:r>
            <w:r>
              <w:rPr>
                <w:rFonts w:ascii="Calibri" w:cs="Calibri" w:eastAsia="Calibri" w:hAnsi="Calibri"/>
                <w:b/>
                <w:bCs/>
                <w:sz w:val="21"/>
                <w:szCs w:val="21"/>
              </w:rPr>
              <w:t xml:space="preserve">qualité du travail et la réciprocité d’information</w:t>
            </w:r>
            <w:r>
              <w:rPr>
                <w:rFonts w:ascii="Calibri" w:cs="Calibri" w:eastAsia="Calibri" w:hAnsi="Calibri"/>
                <w:sz w:val="21"/>
                <w:szCs w:val="21"/>
              </w:rPr>
              <w:t xml:space="preserve">, jamais par une rémunération liée à des familles orientées (voir 2.2).</w:t>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7"/>
        <w:szCs w:val="17"/>
      </w:rPr>
      <w:t xml:space="preserve">Document de travail — à valider avec les organismes officiels   ·   Page </w:t>
    </w:r>
    <w:r>
      <w:rPr>
        <w:rFonts w:ascii="Calibri" w:cs="Calibri" w:eastAsia="Calibri" w:hAnsi="Calibri"/>
        <w:color w:val="6B7280"/>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7"/>
        <w:szCs w:val="17"/>
      </w:rPr>
      <w:t xml:space="preserve">Dossier de préparation — Accompagnement des familles après un décès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5B7F6B"/>
      </w:rPr>
    </w:lvl>
    <w:lvl w:ilvl="1" w15:tentative="1">
      <w:start w:val="1"/>
      <w:numFmt w:val="bullet"/>
      <w:lvlText w:val="–"/>
      <w:lvlJc w:val="left"/>
      <w:pPr>
        <w:ind w:left="100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0"/>
      <w:outlineLvl w:val="0"/>
    </w:pPr>
    <w:rPr>
      <w:rFonts w:ascii="Calibri" w:cs="Calibri" w:eastAsia="Calibri" w:hAnsi="Calibri"/>
      <w:b/>
      <w:bCs/>
      <w:color w:val="1F3A5F"/>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5B7F6B"/>
      <w:sz w:val="28"/>
      <w:szCs w:val="28"/>
    </w:rPr>
  </w:style>
  <w:style w:type="paragraph" w:styleId="Heading3">
    <w:name w:val="Heading 3"/>
    <w:basedOn w:val="Normal"/>
    <w:next w:val="Normal"/>
    <w:qFormat/>
    <w:pPr>
      <w:spacing w:after="80" w:before="180"/>
      <w:outlineLvl w:val="2"/>
    </w:pPr>
    <w:rPr>
      <w:rFonts w:ascii="Calibri" w:cs="Calibri" w:eastAsia="Calibri" w:hAnsi="Calibri"/>
      <w:b/>
      <w:bCs/>
      <w:color w:val="1F3A5F"/>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Dossier de préparation — Accompagnement des familles après un décès</dc:title>
  <dc:creator>Horizon Vendée</dc:creator>
  <cp:lastModifiedBy>Un-named</cp:lastModifiedBy>
  <cp:revision>1</cp:revision>
  <dcterms:created xsi:type="dcterms:W3CDTF">2026-10-10T18:51:09.326Z</dcterms:created>
  <dcterms:modified xsi:type="dcterms:W3CDTF">2026-10-10T18:51:09.333Z</dcterms:modified>
</cp:coreProperties>
</file>

<file path=docProps/custom.xml><?xml version="1.0" encoding="utf-8"?>
<Properties xmlns="http://schemas.openxmlformats.org/officeDocument/2006/custom-properties" xmlns:vt="http://schemas.openxmlformats.org/officeDocument/2006/docPropsVTypes"/>
</file>