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C5552D" w:space="4"/>
        </w:pBdr>
      </w:pPr>
      <w:r>
        <w:rPr>
          <w:b/>
          <w:color w:val="C5552D"/>
          <w:sz w:val="36"/>
        </w:rPr>
        <w:t>SaaS Market-Gap — Findings &amp; Recommendation</w:t>
      </w:r>
    </w:p>
    <w:p>
      <w:r>
        <w:rPr>
          <w:i/>
          <w:color w:val="6B6055"/>
        </w:rPr>
        <w:t>Decision brief built from the Data Bible: 4 years of Google Keyword Planner demand (USA / Canada / Worldwide), Ubersuggest SEO difficulty, and a 164-tool competitor teardown (two AI engines). Currency: CAD. Companion file: SaaS_Gap_Research_DATA_BIBLE.xlsx (21 tabs).</w:t>
      </w:r>
    </w:p>
    <w:p>
      <w:r>
        <w:rPr>
          <w:b/>
          <w:color w:val="C5552D"/>
          <w:sz w:val="28"/>
        </w:rPr>
        <w:t>1. The one-paragraph answer</w:t>
      </w:r>
    </w:p>
    <w:p>
      <w:r>
        <w:rPr>
          <w:i w:val="0"/>
        </w:rPr>
        <w:t>Build an AI-native, simple ALL-IN-ONE operating system for marketing/creative agencies and the service SMBs they serve — a clean alternative to GoHighLevel, winning on the post-sale 'client-operations' layer that CRMs (pre-sale) and project tools (internal-only) both ignore. Sell to agencies first (they buy 'all-in-one', have high willingness-to-pay, and onboard the non-technical SMB for you). Win SEO and ads on the qualified, consolidation and client-delivery long-tail — where difficulty is 8–35 — not the head terms, which are walls at 76–93.</w:t>
      </w:r>
    </w:p>
    <w:p>
      <w:r>
        <w:rPr>
          <w:b/>
          <w:color w:val="C5552D"/>
          <w:sz w:val="28"/>
        </w:rPr>
        <w:t>2. Why this and not something else — the data triangulation</w:t>
      </w:r>
    </w:p>
    <w:p>
      <w:r>
        <w:rPr>
          <w:i w:val="0"/>
        </w:rPr>
        <w:t>Every keyword now carries four lenses: DEMAND (Planner volume) × WINNABILITY (Ubersuggest SEO difficulty) × COMMERCIAL VALUE (CPC) × INCUMBENT SENTIMENT (teardown complaints). All four point to the same territory.</w:t>
      </w:r>
    </w:p>
    <w:p>
      <w:r>
        <w:rPr>
          <w:b/>
          <w:color w:val="1B1714"/>
          <w:sz w:val="23"/>
        </w:rPr>
        <w:t>a) The big category words are unwinnable walls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SEO difficulty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forms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newsletters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close / front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appointments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leads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contacts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clickup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booking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</w:t>
            </w:r>
          </w:p>
        </w:tc>
      </w:tr>
    </w:tbl>
    <w:p>
      <w:r>
        <w:rPr>
          <w:i/>
          <w:color w:val="6B6055"/>
        </w:rPr>
        <w:t>You cannot rank or profitably bid against these. Chasing the famous category words is the classic founder mistake.</w:t>
      </w:r>
    </w:p>
    <w:p>
      <w:r>
        <w:rPr>
          <w:b/>
          <w:color w:val="1B1714"/>
          <w:sz w:val="23"/>
        </w:rPr>
        <w:t>b) The grey space — high demand at LOW SEO difficulty, in your 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USA vol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SEO diff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CPC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crm with marketing automation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1,600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consolidation thesis, wide open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project management software for agencies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agency lane, ~no competition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social media reporting tool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agency reporting, high CPC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client retention software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client-delivery wedge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crm with client portal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$63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all-in-one angle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client tracking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$63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client-ops core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business management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27,100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$48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big volume, still rankable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client management software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6,600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real volume + winnable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small business management software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12,100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SMB all-in-one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crm for marketing agencies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exact lane</w:t>
            </w:r>
          </w:p>
        </w:tc>
      </w:tr>
    </w:tbl>
    <w:p>
      <w:r>
        <w:rPr>
          <w:i/>
          <w:color w:val="6B6055"/>
        </w:rPr>
        <w:t>These cluster into ONE coherent territory: agency / client-delivery / all-in-one consolidation — at SEO 8–35 with $60–130 CPCs (real buyer money, almost nobody ranking).</w:t>
      </w:r>
    </w:p>
    <w:p>
      <w:r>
        <w:rPr>
          <w:b/>
          <w:color w:val="1B1714"/>
          <w:sz w:val="23"/>
        </w:rPr>
        <w:t>c) The supply side is weak where it counts</w:t>
      </w:r>
    </w:p>
    <w:p>
      <w:pPr>
        <w:pStyle w:val="ListBullet"/>
      </w:pPr>
      <w:r>
        <w:rPr>
          <w:b/>
        </w:rPr>
        <w:t xml:space="preserve">~70% of competitors are legacy </w:t>
      </w:r>
      <w:r>
        <w:t>(AI bolted on, not built-in) — structural room for an AI-native entrant.</w:t>
      </w:r>
    </w:p>
    <w:p>
      <w:pPr>
        <w:pStyle w:val="ListBullet"/>
      </w:pPr>
      <w:r>
        <w:rPr>
          <w:b/>
        </w:rPr>
        <w:t xml:space="preserve">Loudest complaints: </w:t>
      </w:r>
      <w:r>
        <w:t>pricing that punishes growth, tool sprawl (narrow tools), bad data, and complexity. GoHighLevel — the hot agency all-in-one (+573% search growth, $1,415 CPC) — is specifically hated for being 'too complex for beginners.'</w:t>
      </w:r>
    </w:p>
    <w:p>
      <w:pPr>
        <w:pStyle w:val="ListBullet"/>
      </w:pPr>
      <w:r>
        <w:rPr>
          <w:b/>
        </w:rPr>
        <w:t xml:space="preserve">The unowned middle: </w:t>
      </w:r>
      <w:r>
        <w:t>CRMs stop at 'closed won'; project tools don't know what a client or contract is. 'Client operations' (onboarding → delivery → retention) is the gap — and it's exactly what PPC-Guru already models.</w:t>
      </w:r>
    </w:p>
    <w:p>
      <w:r>
        <w:rPr>
          <w:b/>
          <w:color w:val="C5552D"/>
          <w:sz w:val="28"/>
        </w:rPr>
        <w:t>3. Market &amp; go-to-market</w:t>
      </w:r>
    </w:p>
    <w:p>
      <w:r>
        <w:rPr>
          <w:b/>
          <w:color w:val="1B1714"/>
          <w:sz w:val="23"/>
        </w:rPr>
        <w:t>Sell to agencies, build for the SMB</w:t>
      </w:r>
    </w:p>
    <w:p>
      <w:r>
        <w:rPr>
          <w:i w:val="0"/>
        </w:rPr>
        <w:t>Demand data is decisive: agencies search 'all-in-one' (gohighlevel +573%); direct SMBs only search single jobs (calendly, quickbooks). So broad direct-to-SMB has the wrong demand shape and fatal economics (high CAC, high churn, heavy support at low ACV). Selling to agencies/consultants — who deploy and onboard the non-technical SMB for you — gives higher ACV, lower CAC, and lighter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ACV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Churn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CAC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440"/>
            <w:shd w:val="clear" w:fill="C5552D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Broad direct-to-SMB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$30–60/mo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Brutal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5/5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Avoid as entry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Agency-led (B2B2B)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$100–500/mo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2–3/5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START HERE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One vertical, direct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$100–300/mo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Later expansion</w:t>
            </w:r>
          </w:p>
        </w:tc>
      </w:tr>
    </w:tbl>
    <w:p>
      <w:r>
        <w:rPr>
          <w:b/>
          <w:color w:val="1B1714"/>
          <w:sz w:val="23"/>
        </w:rPr>
        <w:t>Entry ICP</w:t>
      </w:r>
    </w:p>
    <w:p>
      <w:r>
        <w:rPr>
          <w:i w:val="0"/>
        </w:rPr>
        <w:t>Small marketing/creative agencies, consultants and solo operators managing 5–30 SMB clients who find GoHighLevel bloated. Be your own first reseller: prove it on your own agency, then sell to peers as 'the clean, simple GHL.'</w:t>
      </w:r>
    </w:p>
    <w:p>
      <w:r>
        <w:rPr>
          <w:b/>
          <w:color w:val="C5552D"/>
          <w:sz w:val="28"/>
        </w:rPr>
        <w:t>4. Build sequence (wedge → hook → expand)</w:t>
      </w:r>
    </w:p>
    <w:p>
      <w:pPr>
        <w:pStyle w:val="ListBullet"/>
      </w:pPr>
      <w:r>
        <w:rPr>
          <w:b/>
        </w:rPr>
        <w:t xml:space="preserve">Wedge (difficulty 2/5): </w:t>
      </w:r>
      <w:r>
        <w:t>the client-delivery operating layer — onboarding, client health, per-client MRR/contracts, delivery boards, renewal signals. You're ~70% built. Clean, unowned space.</w:t>
      </w:r>
    </w:p>
    <w:p>
      <w:pPr>
        <w:pStyle w:val="ListBullet"/>
      </w:pPr>
      <w:r>
        <w:rPr>
          <w:b/>
        </w:rPr>
        <w:t xml:space="preserve">Hook (difficulty 3/5): </w:t>
      </w:r>
      <w:r>
        <w:t>auto client reporting (Meta/Google/GA4 → branded reports). Agencies pay to start just for this; it maps to your PPC DNA and is the cheapest acquisition magnet.</w:t>
      </w:r>
    </w:p>
    <w:p>
      <w:pPr>
        <w:pStyle w:val="ListBullet"/>
      </w:pPr>
      <w:r>
        <w:rPr>
          <w:b/>
        </w:rPr>
        <w:t xml:space="preserve">Expand (difficulty 4/5): </w:t>
      </w:r>
      <w:r>
        <w:t>layer pre-sale CRM + task depth into the full clean, AI-native GoHighLevel alternative — winning on simplicity and design.</w:t>
      </w:r>
    </w:p>
    <w:p>
      <w:r>
        <w:rPr>
          <w:b/>
          <w:color w:val="C5552D"/>
          <w:sz w:val="28"/>
        </w:rPr>
        <w:t>5. SEO / content plan (built on the winnable keywords)</w:t>
      </w:r>
    </w:p>
    <w:p>
      <w:r>
        <w:rPr>
          <w:i w:val="0"/>
        </w:rPr>
        <w:t>Target the SEO 8–35 long-tail, not the head terms. Priority page/cluster targets:</w:t>
      </w:r>
    </w:p>
    <w:p>
      <w:pPr>
        <w:pStyle w:val="ListBullet"/>
      </w:pPr>
      <w:r>
        <w:t>crm with client portal / crm with marketing automation (consolidation pages, SEO 9–17)</w:t>
      </w:r>
    </w:p>
    <w:p>
      <w:pPr>
        <w:pStyle w:val="ListBullet"/>
      </w:pPr>
      <w:r>
        <w:t>client retention software / client tracking / customer onboarding (client-ops wedge, SEO 15–38)</w:t>
      </w:r>
    </w:p>
    <w:p>
      <w:pPr>
        <w:pStyle w:val="ListBullet"/>
      </w:pPr>
      <w:r>
        <w:t>crm for marketing agencies / project management for agencies / agency os (ICP pages, SEO 8–30)</w:t>
      </w:r>
    </w:p>
    <w:p>
      <w:pPr>
        <w:pStyle w:val="ListBullet"/>
      </w:pPr>
      <w:r>
        <w:t>social media reporting tool / automated client reporting (the hook, SEO 10–35)</w:t>
      </w:r>
    </w:p>
    <w:p>
      <w:pPr>
        <w:pStyle w:val="ListBullet"/>
      </w:pPr>
      <w:r>
        <w:t>comparison/switching: gohighlevel alternatives (SEO 14), gohighlevel vs hubspot (14) — sentiment-led BOFU pages</w:t>
      </w:r>
    </w:p>
    <w:p>
      <w:r>
        <w:rPr>
          <w:b/>
          <w:color w:val="C5552D"/>
          <w:sz w:val="28"/>
        </w:rPr>
        <w:t>6. Risks &amp; honest caveats</w:t>
      </w:r>
    </w:p>
    <w:p>
      <w:pPr>
        <w:pStyle w:val="ListBullet"/>
      </w:pPr>
      <w:r>
        <w:rPr>
          <w:b/>
        </w:rPr>
        <w:t xml:space="preserve">Agency TAM per logo is smaller than horizontal. </w:t>
      </w:r>
      <w:r>
        <w:t>Mitigate by targeting established 5–50 person firms (real contracts, acute pain), not tiny freelancers; expand to adjacent service verticals (consultancies, studios, MSPs).</w:t>
      </w:r>
    </w:p>
    <w:p>
      <w:pPr>
        <w:pStyle w:val="ListBullet"/>
      </w:pPr>
      <w:r>
        <w:rPr>
          <w:b/>
        </w:rPr>
        <w:t xml:space="preserve">Planner volumes are bucketed </w:t>
      </w:r>
      <w:r>
        <w:t>(rounded) — treat as ranges/relative, not exact.</w:t>
      </w:r>
    </w:p>
    <w:p>
      <w:pPr>
        <w:pStyle w:val="ListBullet"/>
      </w:pPr>
      <w:r>
        <w:rPr>
          <w:b/>
        </w:rPr>
        <w:t xml:space="preserve">Worldwide SEO difficulty = USA proxy </w:t>
      </w:r>
      <w:r>
        <w:t>(Ubersuggest is single-country; SEO difficulty is near-constant across countries for the same English term).</w:t>
      </w:r>
    </w:p>
    <w:p>
      <w:pPr>
        <w:pStyle w:val="ListBullet"/>
      </w:pPr>
      <w:r>
        <w:rPr>
          <w:b/>
        </w:rPr>
        <w:t xml:space="preserve">Competitor specifics need verification </w:t>
      </w:r>
      <w:r>
        <w:t>— trust cross-engine agreement; the Google-engine sheet's exact figures are partly estimated.</w:t>
      </w:r>
    </w:p>
    <w:p>
      <w:r>
        <w:rPr>
          <w:b/>
          <w:color w:val="C5552D"/>
          <w:sz w:val="28"/>
        </w:rPr>
        <w:t>7. What's in the companion workbook (21 tabs)</w:t>
      </w:r>
    </w:p>
    <w:p>
      <w:pPr>
        <w:pStyle w:val="ListBullet"/>
      </w:pPr>
      <w:r>
        <w:t>Tabs 2–4: brand keyword masters (USA/Canada/World) with 4-yr YoY + seasonality.</w:t>
      </w:r>
    </w:p>
    <w:p>
      <w:pPr>
        <w:pStyle w:val="ListBullet"/>
      </w:pPr>
      <w:r>
        <w:t>Tabs 17–19: REAL demand keywords (560) with YoY, seasonality, CPC, competition.</w:t>
      </w:r>
    </w:p>
    <w:p>
      <w:pPr>
        <w:pStyle w:val="ListBullet"/>
      </w:pPr>
      <w:r>
        <w:t>Tab 20: demand highlights (biggest non-brand category demand).</w:t>
      </w:r>
    </w:p>
    <w:p>
      <w:pPr>
        <w:pStyle w:val="ListBullet"/>
      </w:pPr>
      <w:r>
        <w:t>Tab 21: OPPORTUNITY SCORE — every keyword ranked by winnable demand (demand × low-SEO × commercial × non-brand), tagged in-lane / adjacent / off-lane. Filter Lane = IN-LANE for the build target list.</w:t>
      </w:r>
    </w:p>
    <w:p>
      <w:pPr>
        <w:pStyle w:val="ListBullet"/>
      </w:pPr>
      <w:r>
        <w:t>Tabs 10–13: competitor teardown, AI-posture, complaint coding, cross-engine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