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7C3AED"/>
          <w:spacing w:val="40"/>
          <w:sz w:val="15"/>
          <w:szCs w:val="15"/>
        </w:rPr>
        <w:t xml:space="preserve">MODÈLE — À FAIRE VALIDER PAR UN CONSEIL AVANT SIGNATURE</w:t>
      </w:r>
    </w:p>
    <w:p>
      <w:pPr>
        <w:pStyle w:val="Heading1"/>
        <w:spacing w:after="200" w:before="60"/>
      </w:pPr>
      <w:r>
        <w:rPr>
          <w:rFonts w:ascii="Arial" w:cs="Arial" w:eastAsia="Arial" w:hAnsi="Arial"/>
          <w:b/>
          <w:bCs/>
          <w:color w:val="1E2233"/>
          <w:sz w:val="40"/>
          <w:szCs w:val="40"/>
        </w:rPr>
        <w:t>Contrat d'apporteur d'affaires — v1.3 (septembre 2026)</w:t>
      </w:r>
    </w:p>
    <w:p>
      <w:pPr>
        <w:spacing w:after="80" w:before="0" w:line="300"/>
      </w:pPr>
      <w:r>
        <w:rPr>
          <w:rFonts w:ascii="Arial" w:cs="Arial" w:eastAsia="Arial" w:hAnsi="Arial"/>
          <w:color w:val="1E2233"/>
          <w:sz w:val="20"/>
          <w:szCs w:val="20"/>
        </w:rPr>
        <w:t xml:space="preserve">Entre les soussignés :</w:t>
      </w:r>
    </w:p>
    <w:p>
      <w:pPr>
        <w:spacing w:after="120" w:before="0" w:line="300"/>
      </w:pPr>
      <w:r>
        <w:rPr>
          <w:rFonts w:ascii="Arial" w:cs="Arial" w:eastAsia="Arial" w:hAnsi="Arial"/>
          <w:b/>
          <w:bCs/>
          <w:color w:val="1E2233"/>
          <w:sz w:val="20"/>
          <w:szCs w:val="20"/>
        </w:rPr>
        <w:t xml:space="preserve">IDEAFORMA</w:t>
      </w:r>
      <w:r>
        <w:rPr>
          <w:rFonts w:ascii="Arial" w:cs="Arial" w:eastAsia="Arial" w:hAnsi="Arial"/>
          <w:color w:val="1E2233"/>
          <w:sz w:val="20"/>
          <w:szCs w:val="20"/>
        </w:rPr>
        <w:t xml:space="preserve">, 144 Avenue Charles de Gaulle, 92200 Neuilly-sur-Seine, SIRET 993 125 335 00014, représentée par son représentant légal, ci-après « IDEAFORMA » ou « le Mandant »,</w:t>
      </w:r>
    </w:p>
    <w:p>
      <w:pPr>
        <w:spacing w:after="80" w:before="0" w:line="300"/>
      </w:pPr>
      <w:r>
        <w:rPr>
          <w:rFonts w:ascii="Arial" w:cs="Arial" w:eastAsia="Arial" w:hAnsi="Arial"/>
          <w:color w:val="1E2233"/>
          <w:sz w:val="20"/>
          <w:szCs w:val="20"/>
        </w:rPr>
        <w:t xml:space="preserve">et</w:t>
      </w:r>
    </w:p>
    <w:p>
      <w:pPr>
        <w:spacing w:after="120" w:before="0" w:line="300"/>
      </w:pPr>
      <w:r>
        <w:rPr>
          <w:rFonts w:ascii="Arial" w:cs="Arial" w:eastAsia="Arial" w:hAnsi="Arial"/>
          <w:b/>
          <w:bCs/>
          <w:color w:val="1E2233"/>
          <w:sz w:val="20"/>
          <w:szCs w:val="20"/>
        </w:rPr>
        <w:t xml:space="preserve">[Nom / raison sociale de l'apporteur]</w:t>
      </w:r>
      <w:r>
        <w:rPr>
          <w:rFonts w:ascii="Arial" w:cs="Arial" w:eastAsia="Arial" w:hAnsi="Arial"/>
          <w:color w:val="1E2233"/>
          <w:sz w:val="20"/>
          <w:szCs w:val="20"/>
        </w:rPr>
        <w:t xml:space="preserve">, [forme juridique — auto-entrepreneur / société], [adresse], SIRET [__________], ci-après « l'Apporteur »,</w:t>
      </w:r>
    </w:p>
    <w:p>
      <w:pPr>
        <w:spacing w:after="200" w:before="0" w:line="300"/>
      </w:pPr>
      <w:r>
        <w:rPr>
          <w:rFonts w:ascii="Arial" w:cs="Arial" w:eastAsia="Arial" w:hAnsi="Arial"/>
          <w:color w:val="1E2233"/>
          <w:sz w:val="20"/>
          <w:szCs w:val="20"/>
        </w:rPr>
        <w:t xml:space="preserve">il a été convenu ce qui suit.</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1 — Objet</w:t>
      </w:r>
    </w:p>
    <w:p>
      <w:pPr>
        <w:spacing w:after="120" w:before="0" w:line="300"/>
      </w:pPr>
      <w:r>
        <w:rPr>
          <w:rFonts w:ascii="Arial" w:cs="Arial" w:eastAsia="Arial" w:hAnsi="Arial"/>
          <w:color w:val="1E2233"/>
          <w:sz w:val="20"/>
          <w:szCs w:val="20"/>
        </w:rPr>
        <w:t xml:space="preserve">IDEAFORMA édite l'application My Easy Auto et propose aux professionnels de la réparation automobile un service de secrétariat à distance (ensemble, « les Services »). L'Apporteur s'engage, de manière indépendante, à rechercher et présenter à IDEAFORMA des garages susceptibles de souscrire aux Services, à les qualifier et à les accompagner jusqu'à la signature du devis. L'Apporteur n'a aucun pouvoir de conclure un contrat, de consentir une remise ou d'encaisser un paiement au nom d'IDEAFORMA.</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2 — Indépendance</w:t>
      </w:r>
    </w:p>
    <w:p>
      <w:pPr>
        <w:spacing w:after="120" w:before="0" w:line="300"/>
      </w:pPr>
      <w:r>
        <w:rPr>
          <w:rFonts w:ascii="Arial" w:cs="Arial" w:eastAsia="Arial" w:hAnsi="Arial"/>
          <w:color w:val="1E2233"/>
          <w:sz w:val="20"/>
          <w:szCs w:val="20"/>
        </w:rPr>
        <w:t xml:space="preserve">L'Apporteur exerce en toute indépendance, sous son propre statut, avec ses propres moyens et son assurance responsabilité civile professionnelle, dont il remet l'attestation à la signature. Il organise librement son activité, ses horaires et ses déplacements et n'est soumis à aucun lien de subordination. Il peut exercer toute autre activité, sous réserve de l'article 8. Il déclare être à jour de ses obligations sociales et fiscales et le justifie sur demande (attestation de vigilance URSSAF tous les six mois).</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3 — Déclaration et protection des prospects</w:t>
      </w:r>
    </w:p>
    <w:p>
      <w:pPr>
        <w:spacing w:after="120" w:before="0" w:line="300"/>
      </w:pPr>
      <w:r>
        <w:rPr>
          <w:rFonts w:ascii="Arial" w:cs="Arial" w:eastAsia="Arial" w:hAnsi="Arial"/>
          <w:color w:val="1E2233"/>
          <w:sz w:val="20"/>
          <w:szCs w:val="20"/>
        </w:rPr>
        <w:t>Un prospect est réputé apporté par l'Apporteur lorsque celui-ci l'a déclaré sur la page myeasyauto.fr/vente avec son code apporteur (ou, à défaut, par email à contact@myeasyauto.fr avec dénomination, SIRET, contact et fiche besoins) et qu'IDEAFORMA en a accusé réception. Le prospect ainsi déclaré est réservé à l'Apporteur pendant soixante (60) jours ; passé ce délai sans signature, il redevient libre. En cas de déclarations concurrentes, la première reçue prévaut. Le contrat conclu avec le garage n'est définitif qu'après validation par IDEAFORMA (création du compte), au plus tard sous cinq jours ouvrés ; IDEAFORMA peut refuser une vente non conforme à la grille ou aux conditions de vente en vigueur.</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4 — Rémunération</w:t>
      </w:r>
    </w:p>
    <w:p>
      <w:pPr>
        <w:spacing w:after="120" w:before="0" w:line="300"/>
      </w:pPr>
      <w:r>
        <w:rPr>
          <w:rFonts w:ascii="Arial" w:cs="Arial" w:eastAsia="Arial" w:hAnsi="Arial"/>
          <w:color w:val="1E2233"/>
          <w:sz w:val="20"/>
          <w:szCs w:val="20"/>
        </w:rPr>
        <w:t xml:space="preserve">L'Apporteur perçoit, pour chaque contrat signé par un prospect qu'il a apporté, la prime suivante, fixée forfaitairement par formule souscrite (85 % de la mensualité hors taxes de la grille en vigueur)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800"/>
        <w:gridCol w:w="2800"/>
      </w:tblGrid>
      <w:tr>
        <w:trPr>
          <w:tblHeader w:val="false"/>
        </w:trPr>
        <w:tc>
          <w:tcPr>
            <w:tcW w:type="dxa" w:w="37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Formule</w:t>
            </w:r>
          </w:p>
        </w:tc>
        <w:tc>
          <w:tcPr>
            <w:tcW w:type="dxa" w:w="28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Prime (par garage signé)</w:t>
            </w:r>
          </w:p>
        </w:tc>
        <w:tc>
          <w:tcPr>
            <w:tcW w:type="dxa" w:w="28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Bonus engagement 12 mois</w:t>
            </w:r>
          </w:p>
        </w:tc>
      </w:tr>
      <w:tr>
        <w:trPr>
          <w:cantSplit/>
        </w:trPr>
        <w:tc>
          <w:tcPr>
            <w:tcW w:type="dxa" w:w="37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ESSENTIEL (79 € HT / mois)</w:t>
            </w:r>
          </w:p>
        </w:tc>
        <w:tc>
          <w:tcPr>
            <w:tcW w:type="dxa" w:w="28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130 €</w:t>
            </w:r>
          </w:p>
        </w:tc>
        <w:tc>
          <w:tcPr>
            <w:tcW w:type="dxa" w:w="28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40 €</w:t>
            </w:r>
          </w:p>
        </w:tc>
      </w:tr>
      <w:tr>
        <w:trPr>
          <w:cantSplit/>
        </w:trPr>
        <w:tc>
          <w:tcPr>
            <w:tcW w:type="dxa" w:w="37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STARTER (490 € HT / mois)</w:t>
            </w:r>
          </w:p>
        </w:tc>
        <w:tc>
          <w:tcPr>
            <w:tcW w:type="dxa" w:w="28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415 €</w:t>
            </w:r>
          </w:p>
        </w:tc>
        <w:tc>
          <w:tcPr>
            <w:tcW w:type="dxa" w:w="28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r>
      <w:tr>
        <w:trPr>
          <w:cantSplit/>
        </w:trPr>
        <w:tc>
          <w:tcPr>
            <w:tcW w:type="dxa" w:w="37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CONFORT (860 € HT / mois)</w:t>
            </w:r>
          </w:p>
        </w:tc>
        <w:tc>
          <w:tcPr>
            <w:tcW w:type="dxa" w:w="28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730 €</w:t>
            </w:r>
          </w:p>
        </w:tc>
        <w:tc>
          <w:tcPr>
            <w:tcW w:type="dxa" w:w="28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r>
      <w:tr>
        <w:trPr>
          <w:cantSplit/>
        </w:trPr>
        <w:tc>
          <w:tcPr>
            <w:tcW w:type="dxa" w:w="37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SÉRÉNITÉ (1 570 € HT / mois)</w:t>
            </w:r>
          </w:p>
        </w:tc>
        <w:tc>
          <w:tcPr>
            <w:tcW w:type="dxa" w:w="28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1 335 €</w:t>
            </w:r>
          </w:p>
        </w:tc>
        <w:tc>
          <w:tcPr>
            <w:tcW w:type="dxa" w:w="28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r>
    </w:tbl>
    <w:p>
      <w:pPr>
        <w:spacing w:after="40" w:before="0" w:line="300"/>
      </w:pPr>
      <w:r>
        <w:rPr>
          <w:rFonts w:ascii="Arial" w:cs="Arial" w:eastAsia="Arial" w:hAnsi="Arial"/>
          <w:color w:val="1E2233"/>
          <w:sz w:val="20"/>
          <w:szCs w:val="20"/>
        </w:rPr>
        <w:t xml:space="preserve"/>
      </w:r>
    </w:p>
    <w:p>
      <w:pPr>
        <w:pStyle w:val="ListParagraph"/>
        <w:numPr>
          <w:ilvl w:val="0"/>
          <w:numId w:val="2"/>
        </w:numPr>
        <w:spacing w:after="80" w:line="290"/>
      </w:pPr>
      <w:r>
        <w:rPr>
          <w:rFonts w:ascii="Arial" w:cs="Arial" w:eastAsia="Arial" w:hAnsi="Arial"/>
          <w:b/>
          <w:bCs/>
          <w:color w:val="1E2233"/>
          <w:sz w:val="20"/>
          <w:szCs w:val="20"/>
        </w:rPr>
        <w:t>Prime : versée UNE seule fois par contrat. Elle est ACQUISE, lorsque le garage a souscrit un engagement de douze mois (ou payé l'année en une fois), dès l'encaissement par IDEAFORMA de la première mensualité (ou du forfait annuel) ; en l'absence d'engagement, elle est acquise à l'encaissement de la troisième mensualité, soit un différé de deux mois. Les remises prévues à la grille (engagement de douze mois, paiement annuel) ne réduisent pas la prime. Une remise exceptionnelle hors grille, qui ne peut être consentie qu'avec l'accord écrit d'IDEAFORMA, réduit la prime dans la même proportion, sans pouvoir être inférieure à 130 € pour ESSENTIEL ; le bonus engagement reste inchangé.</w:t>
      </w:r>
      <w:r>
        <w:rPr>
          <w:rFonts w:ascii="Arial" w:cs="Arial" w:eastAsia="Arial" w:hAnsi="Arial"/>
          <w:color w:val="1E2233"/>
          <w:sz w:val="20"/>
          <w:szCs w:val="20"/>
        </w:rPr>
      </w:r>
    </w:p>
    <w:p>
      <w:pPr>
        <w:pStyle w:val="ListParagraph"/>
        <w:numPr>
          <w:ilvl w:val="0"/>
          <w:numId w:val="2"/>
        </w:numPr>
        <w:spacing w:after="80" w:line="290"/>
      </w:pPr>
      <w:r>
        <w:rPr>
          <w:rFonts w:ascii="Arial" w:cs="Arial" w:eastAsia="Arial" w:hAnsi="Arial"/>
          <w:b/>
          <w:bCs/>
          <w:color w:val="1E2233"/>
          <w:sz w:val="20"/>
          <w:szCs w:val="20"/>
        </w:rPr>
        <w:t xml:space="preserve">Bonus engagement : </w:t>
      </w:r>
      <w:r>
        <w:rPr>
          <w:rFonts w:ascii="Arial" w:cs="Arial" w:eastAsia="Arial" w:hAnsi="Arial"/>
          <w:color w:val="1E2233"/>
          <w:sz w:val="20"/>
          <w:szCs w:val="20"/>
        </w:rPr>
        <w:t xml:space="preserve">acquis avec la prime de signature lorsque le devis signé comporte un engagement de douze mois.</w:t>
      </w:r>
    </w:p>
    <w:p>
      <w:pPr>
        <w:pStyle w:val="ListParagraph"/>
        <w:numPr>
          <w:ilvl w:val="0"/>
          <w:numId w:val="2"/>
        </w:numPr>
        <w:spacing w:after="80" w:line="290"/>
      </w:pPr>
      <w:r>
        <w:rPr>
          <w:rFonts w:ascii="Arial" w:cs="Arial" w:eastAsia="Arial" w:hAnsi="Arial"/>
          <w:b/>
          <w:bCs/>
          <w:color w:val="1E2233"/>
          <w:sz w:val="20"/>
          <w:szCs w:val="20"/>
        </w:rPr>
        <w:t xml:space="preserve">Montée en formule : </w:t>
      </w:r>
      <w:r>
        <w:rPr>
          <w:rFonts w:ascii="Arial" w:cs="Arial" w:eastAsia="Arial" w:hAnsi="Arial"/>
          <w:color w:val="1E2233"/>
          <w:sz w:val="20"/>
          <w:szCs w:val="20"/>
        </w:rPr>
        <w:t xml:space="preserve">lorsqu'un garage apporté souscrit une formule supérieure dans les douze mois suivant sa signature, l'Apporteur perçoit 85 % de la différence entre les deux mensualités hors taxes, aux conditions de la prime.</w:t>
      </w:r>
    </w:p>
    <w:p>
      <w:pPr>
        <w:pStyle w:val="ListParagraph"/>
        <w:numPr>
          <w:ilvl w:val="0"/>
          <w:numId w:val="2"/>
        </w:numPr>
        <w:spacing w:after="80" w:line="290"/>
      </w:pPr>
      <w:r>
        <w:rPr>
          <w:rFonts w:ascii="Arial" w:cs="Arial" w:eastAsia="Arial" w:hAnsi="Arial"/>
          <w:b/>
          <w:bCs/>
          <w:color w:val="1E2233"/>
          <w:sz w:val="20"/>
          <w:szCs w:val="20"/>
        </w:rPr>
        <w:t xml:space="preserve">Bonus de volume : </w:t>
      </w:r>
      <w:r>
        <w:rPr>
          <w:rFonts w:ascii="Arial" w:cs="Arial" w:eastAsia="Arial" w:hAnsi="Arial"/>
          <w:color w:val="1E2233"/>
          <w:sz w:val="20"/>
          <w:szCs w:val="20"/>
        </w:rPr>
        <w:t xml:space="preserve">255 € lorsque cinq contrats hors ESSENTIEL apportés par l'Apporteur ont été signés et ont donné lieu à un premier règlement au cours d'un même trimestre civil ; 680 € pour dix contrats. Ces deux bonus ne se cumulent pas.</w:t>
      </w:r>
    </w:p>
    <w:p>
      <w:pPr>
        <w:spacing w:after="120" w:before="0" w:line="300"/>
      </w:pPr>
      <w:r>
        <w:rPr>
          <w:rFonts w:ascii="Arial" w:cs="Arial" w:eastAsia="Arial" w:hAnsi="Arial"/>
          <w:color w:val="1E2233"/>
          <w:sz w:val="20"/>
          <w:szCs w:val="20"/>
        </w:rPr>
        <w:t xml:space="preserve">Les commissions sont exprimées hors taxes ; l'Apporteur y ajoute la TVA selon son régime. Aucune commission n'est due sur les heures hors forfait, les frais de mise en service ni les prestations ponctuelles.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5 — Reprise et absence de commission</w:t>
      </w:r>
    </w:p>
    <w:p>
      <w:pPr>
        <w:spacing w:after="120" w:before="0" w:line="300"/>
      </w:pPr>
      <w:r>
        <w:rPr>
          <w:rFonts w:ascii="Arial" w:cs="Arial" w:eastAsia="Arial" w:hAnsi="Arial"/>
          <w:color w:val="1E2233"/>
          <w:sz w:val="20"/>
          <w:szCs w:val="20"/>
        </w:rPr>
        <w:t>Si le garage résilie, cesse de payer, exerce un droit de rétractation ou obtient l'annulation de son contrat avant d'avoir réglé sa troisième mensualité, la prime et le bonus engagement correspondants sont repris : IDEAFORMA les compense sur les commissions dues à l'Apporteur au titre des relevés suivants et, à défaut de compensation possible, l'Apporteur les rembourse sous trente jours de la demande. La reprise s'applique que le garage ait ou non réglé l'indemnité de résiliation anticipée prévue à son propre contrat. Aucune commission n'est due sur une vente refusée par IDEAFORMA, sur une vente obtenue au moyen d'une promesse non prévue par les documents commerciaux, ni lorsque l'Apporteur a encaissé un paiement en son nom ou omis de déclarer sous quarante-huit heures un règlement remis par le garage.</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6 — Relevé et paiement</w:t>
      </w:r>
    </w:p>
    <w:p>
      <w:pPr>
        <w:spacing w:after="120" w:before="0" w:line="300"/>
      </w:pPr>
      <w:r>
        <w:rPr>
          <w:rFonts w:ascii="Arial" w:cs="Arial" w:eastAsia="Arial" w:hAnsi="Arial"/>
          <w:color w:val="1E2233"/>
          <w:sz w:val="20"/>
          <w:szCs w:val="20"/>
        </w:rPr>
        <w:t xml:space="preserve">Avant le 5 de chaque mois, IDEAFORMA adresse à l'Apporteur un relevé des commissions acquises au cours du mois précédent, contrat par contrat. L'Apporteur émet sa facture sur la base de ce relevé ; IDEAFORMA la règle par virement à trente (30) jours date de facture. Toute contestation du relevé est formulée par écrit dans les quinze jours de sa réception.</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7 — Conduite commerciale</w:t>
      </w:r>
    </w:p>
    <w:p>
      <w:pPr>
        <w:spacing w:after="120" w:before="0" w:line="300"/>
      </w:pPr>
      <w:r>
        <w:rPr>
          <w:rFonts w:ascii="Arial" w:cs="Arial" w:eastAsia="Arial" w:hAnsi="Arial"/>
          <w:color w:val="1E2233"/>
          <w:sz w:val="20"/>
          <w:szCs w:val="20"/>
        </w:rPr>
        <w:t>L'Apporteur présente les Services conformément aux documents commerciaux remis par IDEAFORMA (plaquette, plaquette tarifaire, kit de vente, contrat d'abonnement et conditions générales de vente, grille de commissions en vigueur). Il fait lire au garage les conditions particulières et les conditions générales avant signature, notamment le caractère ferme de l'engagement de douze mois. Il s'interdit toute promesse non prévue par ces documents, toute remise hors grille sans accord écrit d'IDEAFORMA, et tout encaissement en son nom : les paiements sont libellés à l'ordre d'IDEAFORMA ou versés sur son compte, et déclarés dans la vente. Il utilise exclusivement le compte de démonstration fourni par IDEAFORMA pour ses présentations et n'y saisit aucune donnée réelle d'un garage. Il n'a pas qualité pour engager IDEAFORMA ni pour signer en son nom.</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8 — Non-concurrence limitée et non-sollicitation</w:t>
      </w:r>
    </w:p>
    <w:p>
      <w:pPr>
        <w:spacing w:after="120" w:before="0" w:line="300"/>
      </w:pPr>
      <w:r>
        <w:rPr>
          <w:rFonts w:ascii="Arial" w:cs="Arial" w:eastAsia="Arial" w:hAnsi="Arial"/>
          <w:color w:val="1E2233"/>
          <w:sz w:val="20"/>
          <w:szCs w:val="20"/>
        </w:rPr>
        <w:t xml:space="preserve">Pendant la durée du contrat et douze (12) mois après sa fin, l'Apporteur s'interdit de proposer aux garages qu'il a rencontrés ou déclarés dans le cadre du présent contrat un logiciel de gestion de sinistres ou un service de secrétariat concurrent des Services, et de solliciter les collaborateurs d'IDEAFORMA. Cette clause est limitée aux prospects et clients identifiés dans le cadre du contrat ; elle n'interdit pas à l'Apporteur d'exercer toute autre activité commerciale.</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9 — Confidentialité</w:t>
      </w:r>
    </w:p>
    <w:p>
      <w:pPr>
        <w:spacing w:after="120" w:before="0" w:line="300"/>
      </w:pPr>
      <w:r>
        <w:rPr>
          <w:rFonts w:ascii="Arial" w:cs="Arial" w:eastAsia="Arial" w:hAnsi="Arial"/>
          <w:color w:val="1E2233"/>
          <w:sz w:val="20"/>
          <w:szCs w:val="20"/>
        </w:rPr>
        <w:t xml:space="preserve">Les informations relatives à IDEAFORMA (tarifs internes, marges, contrats collaborateurs, feuille de route de l'application, données des garages) sont confidentielles pendant la durée du contrat et trois ans après son terme. Le présent guide et ses annexes ne sont pas remis aux garages.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10 — Durée et fin du contrat</w:t>
      </w:r>
    </w:p>
    <w:p>
      <w:pPr>
        <w:spacing w:after="120" w:before="0" w:line="300"/>
      </w:pPr>
      <w:r>
        <w:rPr>
          <w:rFonts w:ascii="Arial" w:cs="Arial" w:eastAsia="Arial" w:hAnsi="Arial"/>
          <w:color w:val="1E2233"/>
          <w:sz w:val="20"/>
          <w:szCs w:val="20"/>
        </w:rPr>
        <w:t xml:space="preserve">Le contrat est conclu pour une durée indéterminée à compter de sa signature. Chaque partie peut y mettre fin à tout moment par email ou lettre recommandée, moyennant un préavis d'un mois. Les commissions acquises avant la fin du contrat restent dues ; les primes des contrats signés avant la fin du contrat restent dues si leur condition d'acquisition se réalise dans les trois mois suivant celle-ci. En cas de manquement grave (article 7 ou 8), IDEAFORMA peut résilier sans préavis par écrit motivé.</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11 — Droit applicable</w:t>
      </w:r>
    </w:p>
    <w:p>
      <w:pPr>
        <w:spacing w:after="120" w:before="0" w:line="300"/>
      </w:pPr>
      <w:r>
        <w:rPr>
          <w:rFonts w:ascii="Arial" w:cs="Arial" w:eastAsia="Arial" w:hAnsi="Arial"/>
          <w:color w:val="1E2233"/>
          <w:sz w:val="20"/>
          <w:szCs w:val="20"/>
        </w:rPr>
        <w:t xml:space="preserve">Le présent contrat est soumis au droit français. Les parties rechercheront une solution amiable à tout différend ; à défaut, les tribunaux du ressort du siège d'IDEAFORMA sont compétents.</w:t>
      </w:r>
    </w:p>
    <w:p>
      <w:pPr>
        <w:spacing w:after="240" w:before="240" w:line="300"/>
      </w:pPr>
      <w:r>
        <w:rPr>
          <w:rFonts w:ascii="Arial" w:cs="Arial" w:eastAsia="Arial" w:hAnsi="Arial"/>
          <w:color w:val="1E2233"/>
          <w:sz w:val="20"/>
          <w:szCs w:val="20"/>
        </w:rPr>
        <w:t xml:space="preserve">Fait en deux exemplaires à [__________], le [__________].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20"/>
                <w:szCs w:val="20"/>
              </w:rPr>
              <w:t xml:space="preserve">Pour IDEAFORMA</w:t>
            </w:r>
          </w:p>
        </w:tc>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20"/>
                <w:szCs w:val="20"/>
              </w:rPr>
              <w:t xml:space="preserve">L'Apporteur</w:t>
            </w:r>
          </w:p>
        </w:tc>
      </w:tr>
      <w:tr>
        <w:trPr>
          <w:cantSplit/>
        </w:trPr>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Nom, qualité, signature :</w:t>
            </w:r>
          </w:p>
        </w:tc>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Nom, signature (précédée de « lu et approuvé ») :</w:t>
            </w:r>
          </w:p>
        </w:tc>
      </w:tr>
      <w:tr>
        <w:trPr>
          <w:cantSplit/>
        </w:trPr>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r>
      <w:tr>
        <w:trPr>
          <w:cantSplit/>
        </w:trPr>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r>
    </w:tbl>
    <w:p>
      <w:pPr>
        <w:spacing w:after="140" w:before="60"/>
      </w:pPr>
      <w:r>
        <w:rPr>
          <w:rFonts w:ascii="Arial" w:cs="Arial" w:eastAsia="Arial" w:hAnsi="Arial"/>
          <w:i/>
          <w:iCs/>
          <w:color w:val="5B6078"/>
          <w:sz w:val="17"/>
          <w:szCs w:val="17"/>
        </w:rPr>
        <w:t xml:space="preserve">Ce modèle est fourni à titre indicatif et ne constitue pas un conseil juridique. Faites-le relire par un avocat ou un expert-comptable, notamment sur l'indépendance de l'Apporteur (absence de subordination), la clause de non-sollicitation et le régime de TVA applicable aux commissions.</w:t>
      </w:r>
    </w:p>
    <w:sectPr>
      <w:headerReference w:type="default" r:id="rId7"/>
      <w:footerReference w:type="default" r:id="rId8"/>
      <w:pgSz w:w="11906" w:h="16838" w:orient="portrait"/>
      <w:pgMar w:top="13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6F0" w:sz="6" w:space="6"/>
      </w:pBdr>
      <w:tabs>
        <w:tab w:val="right" w:pos="9360"/>
      </w:tabs>
      <w:spacing w:after="0" w:before="0"/>
    </w:pPr>
    <w:r>
      <w:rPr>
        <w:rFonts w:ascii="Arial" w:cs="Arial" w:eastAsia="Arial" w:hAnsi="Arial"/>
        <w:color w:val="9AA0B8"/>
        <w:sz w:val="14"/>
        <w:szCs w:val="14"/>
      </w:rPr>
      <w:t xml:space="preserve">IDEAFORMA — 144 Avenue Charles de Gaulle, 92200 Neuilly-sur-Seine — SIRET 993 125 335 00014 — contact@myeasyauto.fr</w:t>
    </w:r>
    <w:r>
      <w:rPr>
        <w:rFonts w:ascii="Arial" w:cs="Arial" w:eastAsia="Arial" w:hAnsi="Arial"/>
        <w:color w:val="9AA0B8"/>
        <w:sz w:val="14"/>
        <w:szCs w:val="14"/>
      </w:rPr>
      <w:t xml:space="preserve">	Page </w:t>
    </w:r>
    <w:r>
      <w:rPr>
        <w:rFonts w:ascii="Arial" w:cs="Arial" w:eastAsia="Arial" w:hAnsi="Arial"/>
        <w:color w:val="9AA0B8"/>
        <w:sz w:val="14"/>
        <w:szCs w:val="14"/>
      </w:rPr>
      <w:fldChar w:fldCharType="begin"/>
      <w:instrText xml:space="preserve">PAGE</w:instrText>
      <w:fldChar w:fldCharType="separate"/>
      <w:fldChar w:fldCharType="end"/>
    </w:r>
    <w:r>
      <w:rPr>
        <w:rFonts w:ascii="Arial" w:cs="Arial" w:eastAsia="Arial" w:hAnsi="Arial"/>
        <w:color w:val="9AA0B8"/>
        <w:sz w:val="14"/>
        <w:szCs w:val="14"/>
      </w:rPr>
      <w:t xml:space="preserve"> / </w:t>
    </w:r>
    <w:r>
      <w:rPr>
        <w:rFonts w:ascii="Arial" w:cs="Arial" w:eastAsia="Arial" w:hAnsi="Arial"/>
        <w:color w:val="9AA0B8"/>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4660"/>
      <w:gridCol w:w="4000"/>
    </w:tblGrid>
    <w:tr>
      <w:tc>
        <w:tcPr>
          <w:tcW w:type="dxa" w:w="700"/>
          <w:tcBorders>
            <w:top w:val="none" w:color="FFFFFF" w:sz="0"/>
            <w:left w:val="none" w:color="FFFFFF" w:sz="0"/>
            <w:bottom w:val="none" w:color="FFFFFF" w:sz="0"/>
            <w:right w:val="none" w:color="FFFFFF" w:sz="0"/>
          </w:tcBorders>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 cy="381000"/>
                        </a:xfrm>
                        <a:prstGeom prst="rect">
                          <a:avLst/>
                        </a:prstGeom>
                      </pic:spPr>
                    </pic:pic>
                  </a:graphicData>
                </a:graphic>
              </wp:inline>
            </w:drawing>
          </w:r>
        </w:p>
      </w:tc>
      <w:tc>
        <w:tcPr>
          <w:tcW w:type="dxa" w:w="4660"/>
          <w:tcBorders>
            <w:top w:val="none" w:color="FFFFFF" w:sz="0"/>
            <w:left w:val="none" w:color="FFFFFF" w:sz="0"/>
            <w:bottom w:val="none" w:color="FFFFFF" w:sz="0"/>
            <w:right w:val="none" w:color="FFFFFF" w:sz="0"/>
          </w:tcBorders>
          <w:vAlign w:val="center"/>
        </w:tcPr>
        <w:p>
          <w:pPr>
            <w:spacing w:after="0"/>
          </w:pPr>
          <w:r>
            <w:rPr>
              <w:rFonts w:ascii="Arial" w:cs="Arial" w:eastAsia="Arial" w:hAnsi="Arial"/>
              <w:b/>
              <w:bCs/>
              <w:color w:val="1E2233"/>
              <w:sz w:val="22"/>
              <w:szCs w:val="22"/>
            </w:rPr>
            <w:t xml:space="preserve">My Easy Auto</w:t>
          </w:r>
        </w:p>
        <w:p>
          <w:pPr>
            <w:spacing w:after="0"/>
          </w:pPr>
          <w:r>
            <w:rPr>
              <w:rFonts w:ascii="Arial" w:cs="Arial" w:eastAsia="Arial" w:hAnsi="Arial"/>
              <w:color w:val="5B6078"/>
              <w:sz w:val="16"/>
              <w:szCs w:val="16"/>
            </w:rPr>
            <w:t xml:space="preserve">Contrat d'apporteur d'affaires</w:t>
          </w:r>
        </w:p>
      </w:tc>
      <w:tc>
        <w:tcPr>
          <w:tcW w:type="dxa" w:w="4000"/>
          <w:tcBorders>
            <w:top w:val="none" w:color="FFFFFF" w:sz="0"/>
            <w:left w:val="none" w:color="FFFFFF" w:sz="0"/>
            <w:bottom w:val="none" w:color="FFFFFF" w:sz="0"/>
            <w:right w:val="none" w:color="FFFFFF" w:sz="0"/>
          </w:tcBorders>
          <w:vAlign w:val="center"/>
        </w:tcPr>
        <w:p>
          <w:pPr>
            <w:spacing w:after="0"/>
            <w:jc w:val="right"/>
          </w:pPr>
          <w:r>
            <w:rPr>
              <w:rFonts w:ascii="Arial" w:cs="Arial" w:eastAsia="Arial" w:hAnsi="Arial"/>
              <w:b/>
              <w:bCs/>
              <w:color w:val="7C3AED"/>
              <w:sz w:val="16"/>
              <w:szCs w:val="16"/>
            </w:rPr>
            <w:t xml:space="preserve">MY EASY AUTO by IDEAFORMA</w:t>
          </w:r>
        </w:p>
        <w:p>
          <w:pPr>
            <w:spacing w:after="0"/>
            <w:jc w:val="right"/>
          </w:pPr>
          <w:r>
            <w:rPr>
              <w:rFonts w:ascii="Arial" w:cs="Arial" w:eastAsia="Arial" w:hAnsi="Arial"/>
              <w:color w:val="5B6078"/>
              <w:sz w:val="16"/>
              <w:szCs w:val="16"/>
            </w:rPr>
            <w:t xml:space="preserve">contact@myeasyauto.fr</w:t>
          </w:r>
        </w:p>
      </w:tc>
    </w:tr>
  </w:tbl>
  <w:p>
    <w:pPr>
      <w:pBdr>
        <w:bottom w:val="single" w:color="E4E6F0" w:sz="6" w:space="6"/>
      </w:pBdr>
      <w:spacing w:after="2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b/>
        <w:bCs/>
        <w:color w:val="DB2777"/>
      </w:rPr>
    </w:lvl>
  </w:abstractNum>
  <w:abstractNum w:abstractNumId="3" w15:restartNumberingAfterBreak="0">
    <w:multiLevelType w:val="hybridMultilevel"/>
    <w:lvl w:ilvl="0" w15:tentative="1">
      <w:start w:val="1"/>
      <w:numFmt w:val="decimal"/>
      <w:lvlText w:val="%1."/>
      <w:lvlJc w:val="left"/>
      <w:pPr>
        <w:ind w:left="440" w:hanging="300"/>
      </w:pPr>
      <w:rPr>
        <w:b/>
        <w:bCs/>
        <w:color w:val="7C3AED"/>
      </w:rPr>
    </w:lvl>
  </w:abstractNum>
  <w:abstractNum w:abstractNumId="4" w15:restartNumberingAfterBreak="0">
    <w:multiLevelType w:val="hybridMultilevel"/>
    <w:lvl w:ilvl="0" w15:tentative="1">
      <w:start w:val="1"/>
      <w:numFmt w:val="decimal"/>
      <w:lvlText w:val="%1."/>
      <w:lvlJc w:val="left"/>
      <w:pPr>
        <w:ind w:left="440" w:hanging="300"/>
      </w:pPr>
      <w:rPr>
        <w:b/>
        <w:bCs/>
        <w:color w:val="7C3AED"/>
      </w:rPr>
    </w:lvl>
  </w:abstractNum>
  <w:abstractNum w:abstractNumId="5" w15:restartNumberingAfterBreak="0">
    <w:multiLevelType w:val="hybridMultilevel"/>
    <w:lvl w:ilvl="0" w15:tentative="1">
      <w:start w:val="1"/>
      <w:numFmt w:val="decimal"/>
      <w:lvlText w:val="%1."/>
      <w:lvlJc w:val="left"/>
      <w:pPr>
        <w:ind w:left="440" w:hanging="300"/>
      </w:pPr>
      <w:rPr>
        <w:b/>
        <w:bCs/>
        <w:color w:val="7C3AE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f66ef9b9b07e7a87e11ee03d0ddb2c0ae966ed1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2026-08-25T21:30:36.295Z</dcterms:created>
  <dcterms:modified xsi:type="dcterms:W3CDTF">2026-08-25T21:30:36.296Z</dcterms:modified>
</cp:coreProperties>
</file>

<file path=docProps/custom.xml><?xml version="1.0" encoding="utf-8"?>
<Properties xmlns="http://schemas.openxmlformats.org/officeDocument/2006/custom-properties" xmlns:vt="http://schemas.openxmlformats.org/officeDocument/2006/docPropsVTypes"/>
</file>