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DB2777"/>
          <w:sz w:val="17"/>
        </w:rPr>
        <w:t>PROCÉDURE INTERNE IDEAFORMA</w:t>
      </w:r>
    </w:p>
    <w:p>
      <w:pPr>
        <w:spacing w:after="120"/>
      </w:pPr>
      <w:r>
        <w:rPr>
          <w:b/>
          <w:color w:val="7C3AED"/>
          <w:sz w:val="40"/>
        </w:rPr>
        <w:t>Changement de formule : montée et descente en gamme</w:t>
      </w:r>
    </w:p>
    <w:p>
      <w:pPr>
        <w:spacing w:after="80"/>
      </w:pPr>
      <w:r>
        <w:rPr>
          <w:b w:val="0"/>
          <w:i w:val="0"/>
          <w:color w:val="4B5068"/>
          <w:sz w:val="20"/>
        </w:rPr>
        <w:t>Qui fait quoi, dans quel ordre, et ce que ça change pour la facturation, le chargé de mission et la prime du commercial. Les règles contractuelles sont à l'article 12 des CGV ; ce document est leur mode d'emploi.</w:t>
      </w:r>
    </w:p>
    <w:p>
      <w:pPr>
        <w:spacing w:before="200" w:after="60"/>
      </w:pPr>
      <w:r>
        <w:rPr>
          <w:b/>
          <w:color w:val="7C3AED"/>
          <w:sz w:val="25"/>
        </w:rPr>
        <w:t>1. Les cas et la règle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CE8"/>
          <w:left w:val="single" w:sz="6" w:space="0" w:color="D9DCE8"/>
          <w:bottom w:val="single" w:sz="6" w:space="0" w:color="D9DCE8"/>
          <w:right w:val="single" w:sz="6" w:space="0" w:color="D9DCE8"/>
          <w:insideH w:val="single" w:sz="6" w:space="0" w:color="D9DCE8"/>
          <w:insideV w:val="single" w:sz="6" w:space="0" w:color="D9DCE8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2041"/>
            <w:shd w:val="clear" w:color="auto" w:fill="7C3AED"/>
          </w:tcPr>
          <w:p>
            <w:r>
              <w:rPr>
                <w:b/>
                <w:color w:val="FFFFFF"/>
                <w:sz w:val="17"/>
              </w:rPr>
              <w:t>Cas</w:t>
            </w:r>
          </w:p>
        </w:tc>
        <w:tc>
          <w:tcPr>
            <w:tcW w:type="dxa" w:w="2154"/>
            <w:shd w:val="clear" w:color="auto" w:fill="7C3AED"/>
          </w:tcPr>
          <w:p>
            <w:r>
              <w:rPr>
                <w:b/>
                <w:color w:val="FFFFFF"/>
                <w:sz w:val="17"/>
              </w:rPr>
              <w:t>Quand</w:t>
            </w:r>
          </w:p>
        </w:tc>
        <w:tc>
          <w:tcPr>
            <w:tcW w:type="dxa" w:w="2154"/>
            <w:shd w:val="clear" w:color="auto" w:fill="7C3AED"/>
          </w:tcPr>
          <w:p>
            <w:r>
              <w:rPr>
                <w:b/>
                <w:color w:val="FFFFFF"/>
                <w:sz w:val="17"/>
              </w:rPr>
              <w:t>Effet</w:t>
            </w:r>
          </w:p>
        </w:tc>
        <w:tc>
          <w:tcPr>
            <w:tcW w:type="dxa" w:w="2154"/>
            <w:shd w:val="clear" w:color="auto" w:fill="7C3AED"/>
          </w:tcPr>
          <w:p>
            <w:r>
              <w:rPr>
                <w:b/>
                <w:color w:val="FFFFFF"/>
                <w:sz w:val="17"/>
              </w:rPr>
              <w:t>Engagement</w:t>
            </w:r>
          </w:p>
        </w:tc>
        <w:tc>
          <w:tcPr>
            <w:tcW w:type="dxa" w:w="1587"/>
            <w:shd w:val="clear" w:color="auto" w:fill="7C3AED"/>
          </w:tcPr>
          <w:p>
            <w:r>
              <w:rPr>
                <w:b/>
                <w:color w:val="FFFFFF"/>
                <w:sz w:val="17"/>
              </w:rPr>
              <w:t>Frais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7"/>
              </w:rPr>
              <w:t>Montée en gamme</w:t>
            </w:r>
          </w:p>
        </w:tc>
        <w:tc>
          <w:tcPr>
            <w:tcW w:type="dxa" w:w="2154"/>
          </w:tcPr>
          <w:p>
            <w:r>
              <w:rPr>
                <w:b w:val="0"/>
                <w:sz w:val="17"/>
              </w:rPr>
              <w:t>À tout moment, sur demande écrite du garage (email suffit)</w:t>
            </w:r>
          </w:p>
        </w:tc>
        <w:tc>
          <w:tcPr>
            <w:tcW w:type="dxa" w:w="2154"/>
          </w:tcPr>
          <w:p>
            <w:r>
              <w:rPr>
                <w:b w:val="0"/>
                <w:sz w:val="17"/>
              </w:rPr>
              <w:t>1er du mois suivant, ou immédiat avec prorata de la différence</w:t>
            </w:r>
          </w:p>
        </w:tc>
        <w:tc>
          <w:tcPr>
            <w:tcW w:type="dxa" w:w="2154"/>
          </w:tcPr>
          <w:p>
            <w:r>
              <w:rPr>
                <w:b w:val="0"/>
                <w:sz w:val="17"/>
              </w:rPr>
              <w:t>Conservé, même terme ; remise engagée de la nouvelle formule</w:t>
            </w:r>
          </w:p>
        </w:tc>
        <w:tc>
          <w:tcPr>
            <w:tcW w:type="dxa" w:w="1587"/>
          </w:tcPr>
          <w:p>
            <w:r>
              <w:rPr>
                <w:b w:val="0"/>
                <w:sz w:val="17"/>
              </w:rPr>
              <w:t>Aucun</w:t>
            </w:r>
          </w:p>
        </w:tc>
      </w:tr>
      <w:tr>
        <w:tc>
          <w:tcPr>
            <w:tcW w:type="dxa" w:w="2041"/>
            <w:shd w:val="clear" w:color="auto" w:fill="F6F7FB"/>
          </w:tcPr>
          <w:p>
            <w:r>
              <w:rPr>
                <w:b w:val="0"/>
                <w:sz w:val="17"/>
              </w:rPr>
              <w:t>Descente en gamme, sans engagement</w:t>
            </w:r>
          </w:p>
        </w:tc>
        <w:tc>
          <w:tcPr>
            <w:tcW w:type="dxa" w:w="2154"/>
            <w:shd w:val="clear" w:color="auto" w:fill="F6F7FB"/>
          </w:tcPr>
          <w:p>
            <w:r>
              <w:rPr>
                <w:b w:val="0"/>
                <w:sz w:val="17"/>
              </w:rPr>
              <w:t>À tout moment, préavis 1 mois</w:t>
            </w:r>
          </w:p>
        </w:tc>
        <w:tc>
          <w:tcPr>
            <w:tcW w:type="dxa" w:w="2154"/>
            <w:shd w:val="clear" w:color="auto" w:fill="F6F7FB"/>
          </w:tcPr>
          <w:p>
            <w:r>
              <w:rPr>
                <w:b w:val="0"/>
                <w:sz w:val="17"/>
              </w:rPr>
              <w:t>1er du mois suivant le préavis</w:t>
            </w:r>
          </w:p>
        </w:tc>
        <w:tc>
          <w:tcPr>
            <w:tcW w:type="dxa" w:w="2154"/>
            <w:shd w:val="clear" w:color="auto" w:fill="F6F7FB"/>
          </w:tcPr>
          <w:p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587"/>
            <w:shd w:val="clear" w:color="auto" w:fill="F6F7FB"/>
          </w:tcPr>
          <w:p>
            <w:r>
              <w:rPr>
                <w:b w:val="0"/>
                <w:sz w:val="17"/>
              </w:rPr>
              <w:t>Aucun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7"/>
              </w:rPr>
              <w:t>Descente en gamme, engagé 12 mois</w:t>
            </w:r>
          </w:p>
        </w:tc>
        <w:tc>
          <w:tcPr>
            <w:tcW w:type="dxa" w:w="2154"/>
          </w:tcPr>
          <w:p>
            <w:r>
              <w:rPr>
                <w:b w:val="0"/>
                <w:sz w:val="17"/>
              </w:rPr>
              <w:t>Au terme, ou après 6 mensualités réglées</w:t>
            </w:r>
          </w:p>
        </w:tc>
        <w:tc>
          <w:tcPr>
            <w:tcW w:type="dxa" w:w="2154"/>
          </w:tcPr>
          <w:p>
            <w:r>
              <w:rPr>
                <w:b w:val="0"/>
                <w:sz w:val="17"/>
              </w:rPr>
              <w:t>1er du mois suivant</w:t>
            </w:r>
          </w:p>
        </w:tc>
        <w:tc>
          <w:tcPr>
            <w:tcW w:type="dxa" w:w="2154"/>
          </w:tcPr>
          <w:p>
            <w:r>
              <w:rPr>
                <w:b w:val="0"/>
                <w:sz w:val="17"/>
              </w:rPr>
              <w:t>Se poursuit jusqu'au terme sur la nouvelle formule, au tarif engagé</w:t>
            </w:r>
          </w:p>
        </w:tc>
        <w:tc>
          <w:tcPr>
            <w:tcW w:type="dxa" w:w="1587"/>
          </w:tcPr>
          <w:p>
            <w:r>
              <w:rPr>
                <w:b w:val="0"/>
                <w:sz w:val="17"/>
              </w:rPr>
              <w:t>Aucune indemnité</w:t>
            </w:r>
          </w:p>
        </w:tc>
      </w:tr>
      <w:tr>
        <w:tc>
          <w:tcPr>
            <w:tcW w:type="dxa" w:w="2041"/>
            <w:shd w:val="clear" w:color="auto" w:fill="F6F7FB"/>
          </w:tcPr>
          <w:p>
            <w:r>
              <w:rPr>
                <w:b w:val="0"/>
                <w:sz w:val="17"/>
              </w:rPr>
              <w:t>Descente en gamme, année payée d'un coup</w:t>
            </w:r>
          </w:p>
        </w:tc>
        <w:tc>
          <w:tcPr>
            <w:tcW w:type="dxa" w:w="2154"/>
            <w:shd w:val="clear" w:color="auto" w:fill="F6F7FB"/>
          </w:tcPr>
          <w:p>
            <w:r>
              <w:rPr>
                <w:b w:val="0"/>
                <w:sz w:val="17"/>
              </w:rPr>
              <w:t>Au renouvellement</w:t>
            </w:r>
          </w:p>
        </w:tc>
        <w:tc>
          <w:tcPr>
            <w:tcW w:type="dxa" w:w="2154"/>
            <w:shd w:val="clear" w:color="auto" w:fill="F6F7FB"/>
          </w:tcPr>
          <w:p>
            <w:r>
              <w:rPr>
                <w:b w:val="0"/>
                <w:sz w:val="17"/>
              </w:rPr>
              <w:t>Date anniversaire</w:t>
            </w:r>
          </w:p>
        </w:tc>
        <w:tc>
          <w:tcPr>
            <w:tcW w:type="dxa" w:w="2154"/>
            <w:shd w:val="clear" w:color="auto" w:fill="F6F7FB"/>
          </w:tcPr>
          <w:p>
            <w:r>
              <w:rPr>
                <w:b w:val="0"/>
                <w:sz w:val="17"/>
              </w:rPr>
              <w:t>Nouvelle souscription</w:t>
            </w:r>
          </w:p>
        </w:tc>
        <w:tc>
          <w:tcPr>
            <w:tcW w:type="dxa" w:w="1587"/>
            <w:shd w:val="clear" w:color="auto" w:fill="F6F7FB"/>
          </w:tcPr>
          <w:p>
            <w:r>
              <w:rPr>
                <w:b w:val="0"/>
                <w:sz w:val="17"/>
              </w:rPr>
              <w:t>Pas de remboursement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7"/>
              </w:rPr>
              <w:t>Montée en gamme, année payée d'un coup</w:t>
            </w:r>
          </w:p>
        </w:tc>
        <w:tc>
          <w:tcPr>
            <w:tcW w:type="dxa" w:w="2154"/>
          </w:tcPr>
          <w:p>
            <w:r>
              <w:rPr>
                <w:b w:val="0"/>
                <w:sz w:val="17"/>
              </w:rPr>
              <w:t>À tout moment</w:t>
            </w:r>
          </w:p>
        </w:tc>
        <w:tc>
          <w:tcPr>
            <w:tcW w:type="dxa" w:w="2154"/>
          </w:tcPr>
          <w:p>
            <w:r>
              <w:rPr>
                <w:b w:val="0"/>
                <w:sz w:val="17"/>
              </w:rPr>
              <w:t>Complément facturé : différence × mois restants</w:t>
            </w:r>
          </w:p>
        </w:tc>
        <w:tc>
          <w:tcPr>
            <w:tcW w:type="dxa" w:w="2154"/>
          </w:tcPr>
          <w:p>
            <w:r>
              <w:rPr>
                <w:b w:val="0"/>
                <w:sz w:val="17"/>
              </w:rPr>
              <w:t>Même terme</w:t>
            </w:r>
          </w:p>
        </w:tc>
        <w:tc>
          <w:tcPr>
            <w:tcW w:type="dxa" w:w="1587"/>
          </w:tcPr>
          <w:p>
            <w:r>
              <w:rPr>
                <w:b w:val="0"/>
                <w:sz w:val="17"/>
              </w:rPr>
              <w:t>Aucun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7C3AED"/>
          <w:sz w:val="25"/>
        </w:rPr>
        <w:t>2. Étapes</w:t>
      </w:r>
    </w:p>
    <w:p>
      <w:pPr>
        <w:pStyle w:val="ListBullet"/>
        <w:spacing w:after="40"/>
      </w:pPr>
      <w:r>
        <w:rPr>
          <w:b/>
          <w:sz w:val="20"/>
        </w:rPr>
        <w:t xml:space="preserve">Demande. </w:t>
      </w:r>
      <w:r>
        <w:rPr>
          <w:sz w:val="20"/>
        </w:rPr>
        <w:t>Le garage écrit à contact@myeasyauto.fr (ou le signale à son chargé de mission, qui transmet). Accusé de réception sous 2 jours ouvrés avec l'avenant pré-rempli (AVENANT-CHANGEMENT-DE-FORMULE) et la date d'effet proposée.</w:t>
      </w:r>
    </w:p>
    <w:p>
      <w:pPr>
        <w:pStyle w:val="ListBullet"/>
        <w:spacing w:after="40"/>
      </w:pPr>
      <w:r>
        <w:rPr>
          <w:b/>
          <w:sz w:val="20"/>
        </w:rPr>
        <w:t xml:space="preserve">Contrôle. </w:t>
      </w:r>
      <w:r>
        <w:rPr>
          <w:sz w:val="20"/>
        </w:rPr>
        <w:t>Vérifier : engagement en cours et son terme, nombre de mensualités réglées (descente en gamme engagée = 6 minimum), impayés (un garage en impayé ne change pas de formule avant régularisation), heures reportées.</w:t>
      </w:r>
    </w:p>
    <w:p>
      <w:pPr>
        <w:pStyle w:val="ListBullet"/>
        <w:spacing w:after="40"/>
      </w:pPr>
      <w:r>
        <w:rPr>
          <w:b/>
          <w:sz w:val="20"/>
        </w:rPr>
        <w:t xml:space="preserve">Avenant signé. </w:t>
      </w:r>
      <w:r>
        <w:rPr>
          <w:sz w:val="20"/>
        </w:rPr>
        <w:t>Retour signé (papier scanné ou signature électronique). Sans avenant signé, pas de changement : la formule actuelle continue d'être facturée.</w:t>
      </w:r>
    </w:p>
    <w:p>
      <w:pPr>
        <w:pStyle w:val="ListBullet"/>
        <w:spacing w:after="40"/>
      </w:pPr>
      <w:r>
        <w:rPr>
          <w:b/>
          <w:sz w:val="20"/>
        </w:rPr>
        <w:t xml:space="preserve">Espace éditeur → Abonnements. </w:t>
      </w:r>
      <w:r>
        <w:rPr>
          <w:sz w:val="20"/>
        </w:rPr>
        <w:t>Ouvrir l'abonnement, changer la formule, la mensualité HT (remise engagée de la nouvelle formule, remise exceptionnelle conservée si validée) et les heures ; noter « Avenant n° __ du __ ». Les mensualités futures suivent le nouveau montant ; le mois de bascule avec prorata se saisit à la main.</w:t>
      </w:r>
    </w:p>
    <w:p>
      <w:pPr>
        <w:pStyle w:val="ListBullet"/>
        <w:spacing w:after="40"/>
      </w:pPr>
      <w:r>
        <w:rPr>
          <w:b/>
          <w:sz w:val="20"/>
        </w:rPr>
        <w:t xml:space="preserve">Chargé de mission. </w:t>
      </w:r>
      <w:r>
        <w:rPr>
          <w:sz w:val="20"/>
        </w:rPr>
        <w:t>Prévenir le chargé de mission (heures du forfait modifiées → sa rémunération = nouvelles heures × taux horaire dès la mensualité concernée). Descente vers ESSENTIEL = fin de l'affectation ; réaffecter ses heures.</w:t>
      </w:r>
    </w:p>
    <w:p>
      <w:pPr>
        <w:pStyle w:val="ListBullet"/>
        <w:spacing w:after="40"/>
      </w:pPr>
      <w:r>
        <w:rPr>
          <w:b/>
          <w:sz w:val="20"/>
        </w:rPr>
        <w:t xml:space="preserve">Garage. </w:t>
      </w:r>
      <w:r>
        <w:rPr>
          <w:sz w:val="20"/>
        </w:rPr>
        <w:t>Email de confirmation : nouvelle formule, nouvelle mensualité, date d'effet, heures d'Adhésion Service du mois de bascule, rappel des heures reportées perdues.</w:t>
      </w:r>
    </w:p>
    <w:p>
      <w:pPr>
        <w:pStyle w:val="ListBullet"/>
        <w:spacing w:after="40"/>
      </w:pPr>
      <w:r>
        <w:rPr>
          <w:b/>
          <w:sz w:val="20"/>
        </w:rPr>
        <w:t xml:space="preserve">Commercial. </w:t>
      </w:r>
      <w:r>
        <w:rPr>
          <w:sz w:val="20"/>
        </w:rPr>
        <w:t>Voir § 3 : ligne manuelle sur le relevé (montée en gamme) ou correction (descente précoce).</w:t>
      </w:r>
    </w:p>
    <w:p>
      <w:pPr>
        <w:spacing w:before="200" w:after="60"/>
      </w:pPr>
      <w:r>
        <w:rPr>
          <w:b/>
          <w:color w:val="7C3AED"/>
          <w:sz w:val="25"/>
        </w:rPr>
        <w:t>3. Effet sur la prime du commercial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CE8"/>
          <w:left w:val="single" w:sz="6" w:space="0" w:color="D9DCE8"/>
          <w:bottom w:val="single" w:sz="6" w:space="0" w:color="D9DCE8"/>
          <w:right w:val="single" w:sz="6" w:space="0" w:color="D9DCE8"/>
          <w:insideH w:val="single" w:sz="6" w:space="0" w:color="D9DCE8"/>
          <w:insideV w:val="single" w:sz="6" w:space="0" w:color="D9DCE8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989"/>
        <w:gridCol w:w="4989"/>
      </w:tblGrid>
      <w:tr>
        <w:tc>
          <w:tcPr>
            <w:tcW w:type="dxa" w:w="3402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Formule</w:t>
            </w:r>
          </w:p>
        </w:tc>
        <w:tc>
          <w:tcPr>
            <w:tcW w:type="dxa" w:w="4535"/>
            <w:shd w:val="clear" w:color="auto" w:fill="7C3AED"/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Prime de référence (85 % d'une mensualité)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19"/>
              </w:rPr>
              <w:t>ESSENTIEL</w:t>
            </w:r>
          </w:p>
        </w:tc>
        <w:tc>
          <w:tcPr>
            <w:tcW w:type="dxa" w:w="4535"/>
          </w:tcPr>
          <w:p>
            <w:pPr>
              <w:jc w:val="right"/>
            </w:pPr>
            <w:r>
              <w:rPr>
                <w:b w:val="0"/>
                <w:sz w:val="19"/>
              </w:rPr>
              <w:t>130 €</w:t>
            </w:r>
          </w:p>
        </w:tc>
      </w:tr>
      <w:tr>
        <w:tc>
          <w:tcPr>
            <w:tcW w:type="dxa" w:w="3402"/>
            <w:shd w:val="clear" w:color="auto" w:fill="F6F7FB"/>
          </w:tcPr>
          <w:p>
            <w:r>
              <w:rPr>
                <w:b w:val="0"/>
                <w:sz w:val="19"/>
              </w:rPr>
              <w:t>ADHÉSION SERVICE PLUS</w:t>
            </w:r>
          </w:p>
        </w:tc>
        <w:tc>
          <w:tcPr>
            <w:tcW w:type="dxa" w:w="4535"/>
            <w:shd w:val="clear" w:color="auto" w:fill="F6F7FB"/>
          </w:tcPr>
          <w:p>
            <w:pPr>
              <w:jc w:val="right"/>
            </w:pPr>
            <w:r>
              <w:rPr>
                <w:b w:val="0"/>
                <w:sz w:val="19"/>
              </w:rPr>
              <w:t>415 €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19"/>
              </w:rPr>
              <w:t>ADHÉSION SERVICE PREMIUM</w:t>
            </w:r>
          </w:p>
        </w:tc>
        <w:tc>
          <w:tcPr>
            <w:tcW w:type="dxa" w:w="4535"/>
          </w:tcPr>
          <w:p>
            <w:pPr>
              <w:jc w:val="right"/>
            </w:pPr>
            <w:r>
              <w:rPr>
                <w:b w:val="0"/>
                <w:sz w:val="19"/>
              </w:rPr>
              <w:t>730 €</w:t>
            </w:r>
          </w:p>
        </w:tc>
      </w:tr>
      <w:tr>
        <w:tc>
          <w:tcPr>
            <w:tcW w:type="dxa" w:w="3402"/>
            <w:shd w:val="clear" w:color="auto" w:fill="F6F7FB"/>
          </w:tcPr>
          <w:p>
            <w:r>
              <w:rPr>
                <w:b w:val="0"/>
                <w:sz w:val="19"/>
              </w:rPr>
              <w:t>ADHÉSION SERVICE ULTIMATE</w:t>
            </w:r>
          </w:p>
        </w:tc>
        <w:tc>
          <w:tcPr>
            <w:tcW w:type="dxa" w:w="4535"/>
            <w:shd w:val="clear" w:color="auto" w:fill="F6F7FB"/>
          </w:tcPr>
          <w:p>
            <w:pPr>
              <w:jc w:val="right"/>
            </w:pPr>
            <w:r>
              <w:rPr>
                <w:b w:val="0"/>
                <w:sz w:val="19"/>
              </w:rPr>
              <w:t>1 335 €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  <w:insideH w:val="single" w:sz="6" w:space="0" w:color="E5E7EB"/>
          <w:insideV w:val="single" w:sz="6" w:space="0" w:color="E5E7EB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978"/>
      </w:tblGrid>
      <w:tr>
        <w:tc>
          <w:tcPr>
            <w:tcW w:type="dxa" w:w="9978"/>
            <w:shd w:val="clear" w:color="auto" w:fill="FEF3C7"/>
          </w:tcPr>
          <w:p>
            <w:r>
              <w:rPr>
                <w:b/>
                <w:color w:val="92400E"/>
                <w:sz w:val="21"/>
              </w:rPr>
              <w:t>Règles</w:t>
            </w:r>
          </w:p>
          <w:p>
            <w:pPr>
              <w:spacing w:after="40"/>
            </w:pPr>
            <w:r>
              <w:rPr>
                <w:b/>
                <w:sz w:val="19"/>
              </w:rPr>
              <w:t xml:space="preserve">Montée en gamme dans les 12 mois suivant la signature : </w:t>
            </w:r>
            <w:r>
              <w:rPr>
                <w:sz w:val="19"/>
              </w:rPr>
              <w:t>le commercial touche 85 % de la différence entre les deux mensualités HT de grille (ex. ADHÉSION SERVICE PLUS → ADHÉSION SERVICE PREMIUM : 730 − 415 = 315 €), acquise à la 1re mensualité de la nouvelle formule encaissée (engagé) ou à la 3e (sans engagement). Ligne manuelle « Montée en formule — &lt;garage&gt; » sur le relevé (espace éditeur → Relevés &amp; paiements). Au-delà de 12 mois : pas de commission (le garage est fidélisé, le mérite revient au service).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 xml:space="preserve">Descente en gamme avant la 3e mensualité encaissée : </w:t>
            </w:r>
            <w:r>
              <w:rPr>
                <w:sz w:val="19"/>
              </w:rPr>
              <w:t>la prime est recalculée sur la nouvelle formule ; la différence est reprise sur le relevé suivant (ligne manuelle négative). Après la 3e mensualité : la prime reste acquise.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 xml:space="preserve">Descente en gamme après une montée commissionnée : </w:t>
            </w:r>
            <w:r>
              <w:rPr>
                <w:sz w:val="19"/>
              </w:rPr>
              <w:t>si elle intervient avant 3 mensualités de la formule supérieure encaissées, la commission de montée est reprise.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 xml:space="preserve">Pas de prime </w:t>
            </w:r>
            <w:r>
              <w:rPr>
                <w:sz w:val="19"/>
              </w:rPr>
              <w:t>sur une montée en gamme provoquée par IDEAFORMA (offre commerciale, geste) ni sur les heures hors forfait.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7C3AED"/>
          <w:sz w:val="25"/>
        </w:rPr>
        <w:t>4. Modèles d'emails</w:t>
      </w:r>
    </w:p>
    <w:p>
      <w:pPr>
        <w:spacing w:before="120" w:after="40"/>
      </w:pPr>
      <w:r>
        <w:rPr>
          <w:b/>
          <w:color w:val="1E2233"/>
          <w:sz w:val="21"/>
        </w:rPr>
        <w:t>Accusé de réception (montée en gamme)</w:t>
      </w:r>
    </w:p>
    <w:p>
      <w:pPr>
        <w:spacing w:after="80"/>
      </w:pPr>
      <w:r>
        <w:rPr>
          <w:b w:val="0"/>
          <w:i w:val="0"/>
          <w:color w:val="4B5068"/>
          <w:sz w:val="18"/>
        </w:rPr>
        <w:t>Bonjour [Prénom],</w:t>
        <w:br/>
        <w:t>Nous avons bien reçu votre demande de passage à la formule [ADHÉSION SERVICE PREMIUM — 20 h / mois]. Elle prendra effet le [1er octobre], avec une mensualité de [756,80 € HT] (votre engagement en cours jusqu'au [date] est conservé, avec la remise de [12 %] de la formule ADHÉSION SERVICE PREMIUM). Vous trouverez ci-joint l'avenant à nous retourner signé ; dès réception, votre chargé de mission [Prénom] passe à [20 h / mois].</w:t>
        <w:br/>
        <w:t>Bien à vous, IDEAFORMA</w:t>
      </w:r>
    </w:p>
    <w:p>
      <w:pPr>
        <w:spacing w:before="120" w:after="40"/>
      </w:pPr>
      <w:r>
        <w:rPr>
          <w:b/>
          <w:color w:val="1E2233"/>
          <w:sz w:val="21"/>
        </w:rPr>
        <w:t>Réponse à une demande de descente en gamme pendant l'engagement (moins de 6 mensualités)</w:t>
      </w:r>
    </w:p>
    <w:p>
      <w:pPr>
        <w:spacing w:after="80"/>
      </w:pPr>
      <w:r>
        <w:rPr>
          <w:b w:val="0"/>
          <w:i w:val="0"/>
          <w:color w:val="4B5068"/>
          <w:sz w:val="18"/>
        </w:rPr>
        <w:t>Bonjour [Prénom],</w:t>
        <w:br/>
        <w:t>Votre contrat comporte un engagement de 12 mois jusqu'au [date], en contrepartie d'une remise de [12 %]. Le passage à une formule inférieure est possible après six mensualités réglées, soit à partir du [date] : nous pouvons dès maintenant programmer le changement à cette date, sans frais. D'ici là, si le volume d'heures ne correspond pas à votre besoin, nous proposons de [réorganiser les tâches confiées à votre chargé de mission / reporter 50 % des heures non consommées].</w:t>
        <w:br/>
        <w:t>Bien à vous, IDEAFORMA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pgSz w:w="11906" w:h="16838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8A8FA8"/>
        <w:sz w:val="15"/>
      </w:rPr>
      <w:t>IDEAFORMA — procédure interne — changement de formule (v1.0, septembre 2026) — confidentiel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color w:val="1E22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