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7"/>
        </w:rPr>
        <w:t>PROCÉDURE INTERNE IDEAFORMA</w:t>
      </w:r>
    </w:p>
    <w:p>
      <w:pPr>
        <w:spacing w:after="120"/>
      </w:pPr>
      <w:r>
        <w:rPr>
          <w:b/>
          <w:color w:val="7C3AED"/>
          <w:sz w:val="40"/>
        </w:rPr>
        <w:t>Résiliation d'un abonnement : du premier signal à la fermeture du compte</w:t>
      </w:r>
    </w:p>
    <w:p>
      <w:pPr>
        <w:spacing w:after="80"/>
      </w:pPr>
      <w:r>
        <w:rPr>
          <w:b w:val="0"/>
          <w:i w:val="0"/>
          <w:color w:val="4B5068"/>
          <w:sz w:val="20"/>
        </w:rPr>
        <w:t>Cinq situations, une seule règle : on répond vite, on chiffre par écrit, on garde la porte ouverte (ESSENTIEL), on protège les données du garage et la trésorerie d'IDEAFORMA. Les règles contractuelles sont aux articles 2, 3, 4, 5 et 9 des CGV.</w:t>
      </w:r>
    </w:p>
    <w:p>
      <w:pPr>
        <w:spacing w:before="200" w:after="60"/>
      </w:pPr>
      <w:r>
        <w:rPr>
          <w:b/>
          <w:color w:val="7C3AED"/>
          <w:sz w:val="25"/>
        </w:rPr>
        <w:t>1. Les cinq situations</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1996"/>
        <w:gridCol w:w="1996"/>
        <w:gridCol w:w="1996"/>
        <w:gridCol w:w="1996"/>
        <w:gridCol w:w="1996"/>
      </w:tblGrid>
      <w:tr>
        <w:tc>
          <w:tcPr>
            <w:tcW w:type="dxa" w:w="1928"/>
            <w:shd w:val="clear" w:color="auto" w:fill="7C3AED"/>
          </w:tcPr>
          <w:p>
            <w:r>
              <w:rPr>
                <w:b/>
                <w:color w:val="FFFFFF"/>
                <w:sz w:val="17"/>
              </w:rPr>
              <w:t>Situation</w:t>
            </w:r>
          </w:p>
        </w:tc>
        <w:tc>
          <w:tcPr>
            <w:tcW w:type="dxa" w:w="1020"/>
            <w:shd w:val="clear" w:color="auto" w:fill="7C3AED"/>
          </w:tcPr>
          <w:p>
            <w:r>
              <w:rPr>
                <w:b/>
                <w:color w:val="FFFFFF"/>
                <w:sz w:val="17"/>
              </w:rPr>
              <w:t>Base</w:t>
            </w:r>
          </w:p>
        </w:tc>
        <w:tc>
          <w:tcPr>
            <w:tcW w:type="dxa" w:w="2041"/>
            <w:shd w:val="clear" w:color="auto" w:fill="7C3AED"/>
          </w:tcPr>
          <w:p>
            <w:r>
              <w:rPr>
                <w:b/>
                <w:color w:val="FFFFFF"/>
                <w:sz w:val="17"/>
              </w:rPr>
              <w:t>Date de fin</w:t>
            </w:r>
          </w:p>
        </w:tc>
        <w:tc>
          <w:tcPr>
            <w:tcW w:type="dxa" w:w="2608"/>
            <w:shd w:val="clear" w:color="auto" w:fill="7C3AED"/>
          </w:tcPr>
          <w:p>
            <w:r>
              <w:rPr>
                <w:b/>
                <w:color w:val="FFFFFF"/>
                <w:sz w:val="17"/>
              </w:rPr>
              <w:t>Sommes dues par le garage</w:t>
            </w:r>
          </w:p>
        </w:tc>
        <w:tc>
          <w:tcPr>
            <w:tcW w:type="dxa" w:w="2494"/>
            <w:shd w:val="clear" w:color="auto" w:fill="7C3AED"/>
          </w:tcPr>
          <w:p>
            <w:r>
              <w:rPr>
                <w:b/>
                <w:color w:val="FFFFFF"/>
                <w:sz w:val="17"/>
              </w:rPr>
              <w:t>Prime du commercial</w:t>
            </w:r>
          </w:p>
        </w:tc>
      </w:tr>
      <w:tr>
        <w:tc>
          <w:tcPr>
            <w:tcW w:type="dxa" w:w="1928"/>
          </w:tcPr>
          <w:p>
            <w:r>
              <w:rPr>
                <w:b w:val="0"/>
                <w:sz w:val="17"/>
              </w:rPr>
              <w:t>Sans engagement, préavis</w:t>
            </w:r>
          </w:p>
        </w:tc>
        <w:tc>
          <w:tcPr>
            <w:tcW w:type="dxa" w:w="1020"/>
          </w:tcPr>
          <w:p>
            <w:r>
              <w:rPr>
                <w:b w:val="0"/>
                <w:sz w:val="17"/>
              </w:rPr>
              <w:t>CGV art. 2</w:t>
            </w:r>
          </w:p>
        </w:tc>
        <w:tc>
          <w:tcPr>
            <w:tcW w:type="dxa" w:w="2041"/>
          </w:tcPr>
          <w:p>
            <w:r>
              <w:rPr>
                <w:b w:val="0"/>
                <w:sz w:val="17"/>
              </w:rPr>
              <w:t>Dernier jour du mois suivant la demande</w:t>
            </w:r>
          </w:p>
        </w:tc>
        <w:tc>
          <w:tcPr>
            <w:tcW w:type="dxa" w:w="2608"/>
          </w:tcPr>
          <w:p>
            <w:r>
              <w:rPr>
                <w:b w:val="0"/>
                <w:sz w:val="17"/>
              </w:rPr>
              <w:t>Mensualités jusqu'à la date de fin</w:t>
            </w:r>
          </w:p>
        </w:tc>
        <w:tc>
          <w:tcPr>
            <w:tcW w:type="dxa" w:w="2494"/>
          </w:tcPr>
          <w:p>
            <w:r>
              <w:rPr>
                <w:b w:val="0"/>
                <w:sz w:val="17"/>
              </w:rPr>
              <w:t>Reprise si moins de 3 mensualités encaissées ; sinon acquise</w:t>
            </w:r>
          </w:p>
        </w:tc>
      </w:tr>
      <w:tr>
        <w:tc>
          <w:tcPr>
            <w:tcW w:type="dxa" w:w="1928"/>
            <w:shd w:val="clear" w:color="auto" w:fill="F6F7FB"/>
          </w:tcPr>
          <w:p>
            <w:r>
              <w:rPr>
                <w:b w:val="0"/>
                <w:sz w:val="17"/>
              </w:rPr>
              <w:t>Terme de l'engagement (non-renouvellement)</w:t>
            </w:r>
          </w:p>
        </w:tc>
        <w:tc>
          <w:tcPr>
            <w:tcW w:type="dxa" w:w="1020"/>
            <w:shd w:val="clear" w:color="auto" w:fill="F6F7FB"/>
          </w:tcPr>
          <w:p>
            <w:r>
              <w:rPr>
                <w:b w:val="0"/>
                <w:sz w:val="17"/>
              </w:rPr>
              <w:t>CGV art. 2</w:t>
            </w:r>
          </w:p>
        </w:tc>
        <w:tc>
          <w:tcPr>
            <w:tcW w:type="dxa" w:w="2041"/>
            <w:shd w:val="clear" w:color="auto" w:fill="F6F7FB"/>
          </w:tcPr>
          <w:p>
            <w:r>
              <w:rPr>
                <w:b w:val="0"/>
                <w:sz w:val="17"/>
              </w:rPr>
              <w:t>Terme des 12 mois (demande ≥ 1 mois avant)</w:t>
            </w:r>
          </w:p>
        </w:tc>
        <w:tc>
          <w:tcPr>
            <w:tcW w:type="dxa" w:w="2608"/>
            <w:shd w:val="clear" w:color="auto" w:fill="F6F7FB"/>
          </w:tcPr>
          <w:p>
            <w:r>
              <w:rPr>
                <w:b w:val="0"/>
                <w:sz w:val="17"/>
              </w:rPr>
              <w:t>Rien au-delà du terme</w:t>
            </w:r>
          </w:p>
        </w:tc>
        <w:tc>
          <w:tcPr>
            <w:tcW w:type="dxa" w:w="2494"/>
            <w:shd w:val="clear" w:color="auto" w:fill="F6F7FB"/>
          </w:tcPr>
          <w:p>
            <w:r>
              <w:rPr>
                <w:b w:val="0"/>
                <w:sz w:val="17"/>
              </w:rPr>
              <w:t>Acquise</w:t>
            </w:r>
          </w:p>
        </w:tc>
      </w:tr>
      <w:tr>
        <w:tc>
          <w:tcPr>
            <w:tcW w:type="dxa" w:w="1928"/>
          </w:tcPr>
          <w:p>
            <w:r>
              <w:rPr>
                <w:b w:val="0"/>
                <w:sz w:val="17"/>
              </w:rPr>
              <w:t>Anticipée pendant l'engagement</w:t>
            </w:r>
          </w:p>
        </w:tc>
        <w:tc>
          <w:tcPr>
            <w:tcW w:type="dxa" w:w="1020"/>
          </w:tcPr>
          <w:p>
            <w:r>
              <w:rPr>
                <w:b w:val="0"/>
                <w:sz w:val="17"/>
              </w:rPr>
              <w:t>CGV art. 2</w:t>
            </w:r>
          </w:p>
        </w:tc>
        <w:tc>
          <w:tcPr>
            <w:tcW w:type="dxa" w:w="2041"/>
          </w:tcPr>
          <w:p>
            <w:r>
              <w:rPr>
                <w:b w:val="0"/>
                <w:sz w:val="17"/>
              </w:rPr>
              <w:t>Fin du mois de la demande (accès maintenu jusqu'au terme si le garage le souhaite)</w:t>
            </w:r>
          </w:p>
        </w:tc>
        <w:tc>
          <w:tcPr>
            <w:tcW w:type="dxa" w:w="2608"/>
          </w:tcPr>
          <w:p>
            <w:r>
              <w:rPr>
                <w:b w:val="0"/>
                <w:sz w:val="17"/>
              </w:rPr>
              <w:t xml:space="preserve">Frais de résiliation anticipée (CGV v2.0, art. 2.3) = rattrapage de la remise sur les mois consommés + mise en service offerte + indemnité forfaitaire de 50 % des mensualités HT restantes ; ce qui a été payé d'avance s'impute (2.4). Négociable à la baisse par IDEAFORMA seul.</w:t>
            </w:r>
          </w:p>
        </w:tc>
        <w:tc>
          <w:tcPr>
            <w:tcW w:type="dxa" w:w="2494"/>
          </w:tcPr>
          <w:p>
            <w:r>
              <w:rPr>
                <w:b w:val="0"/>
                <w:sz w:val="17"/>
              </w:rPr>
              <w:t>Reprise si moins de 3 mensualités encaissées</w:t>
            </w:r>
          </w:p>
        </w:tc>
      </w:tr>
      <w:tr>
        <w:tc>
          <w:tcPr>
            <w:tcW w:type="dxa" w:w="1928"/>
            <w:shd w:val="clear" w:color="auto" w:fill="F6F7FB"/>
          </w:tcPr>
          <w:p>
            <w:r>
              <w:rPr>
                <w:b w:val="0"/>
                <w:sz w:val="17"/>
              </w:rPr>
              <w:t>Rétractation 14 jours (hors établissement, ≤ 5 salariés)</w:t>
            </w:r>
          </w:p>
        </w:tc>
        <w:tc>
          <w:tcPr>
            <w:tcW w:type="dxa" w:w="1020"/>
            <w:shd w:val="clear" w:color="auto" w:fill="F6F7FB"/>
          </w:tcPr>
          <w:p>
            <w:r>
              <w:rPr>
                <w:b w:val="0"/>
                <w:sz w:val="17"/>
              </w:rPr>
              <w:t>CGV art. 3</w:t>
            </w:r>
          </w:p>
        </w:tc>
        <w:tc>
          <w:tcPr>
            <w:tcW w:type="dxa" w:w="2041"/>
            <w:shd w:val="clear" w:color="auto" w:fill="F6F7FB"/>
          </w:tcPr>
          <w:p>
            <w:r>
              <w:rPr>
                <w:b w:val="0"/>
                <w:sz w:val="17"/>
              </w:rPr>
              <w:t>Date de la notification</w:t>
            </w:r>
          </w:p>
        </w:tc>
        <w:tc>
          <w:tcPr>
            <w:tcW w:type="dxa" w:w="2608"/>
            <w:shd w:val="clear" w:color="auto" w:fill="F6F7FB"/>
          </w:tcPr>
          <w:p>
            <w:r>
              <w:rPr>
                <w:b w:val="0"/>
                <w:sz w:val="17"/>
              </w:rPr>
              <w:t>Prorata du service fourni si mise en service demandée</w:t>
            </w:r>
          </w:p>
        </w:tc>
        <w:tc>
          <w:tcPr>
            <w:tcW w:type="dxa" w:w="2494"/>
            <w:shd w:val="clear" w:color="auto" w:fill="F6F7FB"/>
          </w:tcPr>
          <w:p>
            <w:r>
              <w:rPr>
                <w:b w:val="0"/>
                <w:sz w:val="17"/>
              </w:rPr>
              <w:t>Reprise intégrale</w:t>
            </w:r>
          </w:p>
        </w:tc>
      </w:tr>
      <w:tr>
        <w:tc>
          <w:tcPr>
            <w:tcW w:type="dxa" w:w="1928"/>
          </w:tcPr>
          <w:p>
            <w:r>
              <w:rPr>
                <w:b w:val="0"/>
                <w:sz w:val="17"/>
              </w:rPr>
              <w:t>Résiliation par IDEAFORMA pour impayé</w:t>
            </w:r>
          </w:p>
        </w:tc>
        <w:tc>
          <w:tcPr>
            <w:tcW w:type="dxa" w:w="1020"/>
          </w:tcPr>
          <w:p>
            <w:r>
              <w:rPr>
                <w:b w:val="0"/>
                <w:sz w:val="17"/>
              </w:rPr>
              <w:t>CGV art. 5</w:t>
            </w:r>
          </w:p>
        </w:tc>
        <w:tc>
          <w:tcPr>
            <w:tcW w:type="dxa" w:w="2041"/>
          </w:tcPr>
          <w:p>
            <w:r>
              <w:rPr>
                <w:b w:val="0"/>
                <w:sz w:val="17"/>
              </w:rPr>
              <w:t>Après suspension (J+15 après relance) puis 30 jours d'impayé</w:t>
            </w:r>
          </w:p>
        </w:tc>
        <w:tc>
          <w:tcPr>
            <w:tcW w:type="dxa" w:w="2608"/>
          </w:tcPr>
          <w:p>
            <w:r>
              <w:rPr>
                <w:b w:val="0"/>
                <w:sz w:val="17"/>
              </w:rPr>
              <w:t xml:space="preserve">Impayés + frais de résiliation anticipée (CGV art. 2.3) si engagé + pénalités L441-10</w:t>
            </w:r>
          </w:p>
        </w:tc>
        <w:tc>
          <w:tcPr>
            <w:tcW w:type="dxa" w:w="2494"/>
          </w:tcPr>
          <w:p>
            <w:r>
              <w:rPr>
                <w:b w:val="0"/>
                <w:sz w:val="17"/>
              </w:rPr>
              <w:t>Reprise si moins de 3 mensualités encaissées</w:t>
            </w:r>
          </w:p>
        </w:tc>
      </w:tr>
    </w:tbl>
    <w:p>
      <w:pPr>
        <w:spacing w:after="40"/>
      </w:pPr>
    </w:p>
    <w:p>
      <w:pPr>
        <w:spacing w:before="200" w:after="60"/>
      </w:pPr>
      <w:r>
        <w:rPr>
          <w:b/>
          <w:color w:val="7C3AED"/>
          <w:sz w:val="25"/>
        </w:rPr>
        <w:t>2. Étapes — demande du garage</w:t>
      </w:r>
    </w:p>
    <w:p>
      <w:pPr>
        <w:pStyle w:val="ListBullet"/>
        <w:spacing w:after="40"/>
      </w:pPr>
      <w:r>
        <w:rPr>
          <w:b/>
          <w:sz w:val="20"/>
        </w:rPr>
        <w:t xml:space="preserve">J+0 — Accusé de réception (2 jours ouvrés max). </w:t>
      </w:r>
      <w:r>
        <w:rPr>
          <w:sz w:val="20"/>
        </w:rPr>
        <w:t>Email : « Nous avons bien reçu votre demande du [date] » + rappel de la situation contractuelle (engagement ? terme ?) + date de fin calculée + proposition d'un appel de 10 minutes. Objectif de l'appel : comprendre le motif, proposer une alternative (descente en gamme, ESSENTIEL à 79 €, report d'heures, réaffectation de chargé de mission).</w:t>
      </w:r>
    </w:p>
    <w:p>
      <w:pPr>
        <w:pStyle w:val="ListBullet"/>
        <w:spacing w:after="40"/>
      </w:pPr>
      <w:r>
        <w:rPr>
          <w:b/>
          <w:sz w:val="20"/>
        </w:rPr>
        <w:t xml:space="preserve">J+2 — Décompte écrit. </w:t>
      </w:r>
      <w:r>
        <w:rPr>
          <w:sz w:val="20"/>
        </w:rPr>
        <w:t>Courrier/email de confirmation (modèle § 4) : date de fin, mensualités restant dues, indemnité éventuelle, modalités de paiement, rappel de l'export des données et du délai de 90 jours. Sans réponse du garage, la date de fin proposée s'applique.</w:t>
      </w:r>
    </w:p>
    <w:p>
      <w:pPr>
        <w:pStyle w:val="ListBullet"/>
        <w:spacing w:after="40"/>
      </w:pPr>
      <w:r>
        <w:rPr>
          <w:b/>
          <w:sz w:val="20"/>
        </w:rPr>
        <w:t xml:space="preserve">Espace éditeur → Abonnements. </w:t>
      </w:r>
      <w:r>
        <w:rPr>
          <w:sz w:val="20"/>
        </w:rPr>
        <w:t>Statut « résilié » à la date de fin ; générer les mensualités jusqu'à la date de fin (et celles de l'indemnité si engagé, note « indemnité de résiliation anticipée ») ; pointer les encaissements. → Le relevé du commercial calcule automatiquement la reprise si moins de 3 mensualités encaissées.</w:t>
      </w:r>
    </w:p>
    <w:p>
      <w:pPr>
        <w:pStyle w:val="ListBullet"/>
        <w:spacing w:after="40"/>
      </w:pPr>
      <w:r>
        <w:rPr>
          <w:b/>
          <w:sz w:val="20"/>
        </w:rPr>
        <w:t xml:space="preserve">Chargé de mission. </w:t>
      </w:r>
      <w:r>
        <w:rPr>
          <w:sz w:val="20"/>
        </w:rPr>
        <w:t>Prévenir dès l'accusé de réception : fin des heures à la date de fin, réaffectation ; sa rémunération s'arrête avec la dernière mensualité encaissée.</w:t>
      </w:r>
    </w:p>
    <w:p>
      <w:pPr>
        <w:pStyle w:val="ListBullet"/>
        <w:spacing w:after="40"/>
      </w:pPr>
      <w:r>
        <w:rPr>
          <w:b/>
          <w:sz w:val="20"/>
        </w:rPr>
        <w:t xml:space="preserve">Ventes (espace éditeur). </w:t>
      </w:r>
      <w:r>
        <w:rPr>
          <w:sz w:val="20"/>
        </w:rPr>
        <w:t>Vente correspondante → « Perdue » (fidélisation) ; noter le motif dans les notes de suivi : c'est la matière première pour améliorer l'offre.</w:t>
      </w:r>
    </w:p>
    <w:p>
      <w:pPr>
        <w:pStyle w:val="ListBullet"/>
        <w:spacing w:after="40"/>
      </w:pPr>
      <w:r>
        <w:rPr>
          <w:b/>
          <w:sz w:val="20"/>
        </w:rPr>
        <w:t xml:space="preserve">J = date de fin. </w:t>
      </w:r>
      <w:r>
        <w:rPr>
          <w:sz w:val="20"/>
        </w:rPr>
        <w:t>Compte passé en lecture seule (export possible) ; email « votre compte est fermé, vos données restent exportables jusqu'au [date + 90 j] ».</w:t>
      </w:r>
    </w:p>
    <w:p>
      <w:pPr>
        <w:pStyle w:val="ListBullet"/>
        <w:spacing w:after="40"/>
      </w:pPr>
      <w:r>
        <w:rPr>
          <w:b/>
          <w:sz w:val="20"/>
        </w:rPr>
        <w:t xml:space="preserve">J+90. </w:t>
      </w:r>
      <w:r>
        <w:rPr>
          <w:sz w:val="20"/>
        </w:rPr>
        <w:t>Suppression des données (Supabase : compte Auth + lignes rattachées + storage) après vérification qu'aucune contestation n'est en cours. Conserver uniquement les factures IDEAFORMA (obligation comptable 10 ans).</w:t>
      </w:r>
    </w:p>
    <w:p>
      <w:pPr>
        <w:spacing w:before="200" w:after="60"/>
      </w:pPr>
      <w:r>
        <w:rPr>
          <w:b/>
          <w:color w:val="7C3AED"/>
          <w:sz w:val="25"/>
        </w:rPr>
        <w:t>3. Étapes — impayé (résiliation à l'initiative d'IDEAFORMA)</w:t>
      </w:r>
    </w:p>
    <w:p>
      <w:pPr>
        <w:pStyle w:val="ListBullet"/>
        <w:spacing w:after="40"/>
      </w:pPr>
      <w:r>
        <w:rPr>
          <w:b/>
          <w:sz w:val="20"/>
        </w:rPr>
        <w:t xml:space="preserve">J+0 (échéance) → J+7 : </w:t>
      </w:r>
      <w:r>
        <w:rPr>
          <w:sz w:val="20"/>
        </w:rPr>
        <w:t>relance amicale par email (facture jointe, lien de paiement).</w:t>
      </w:r>
    </w:p>
    <w:p>
      <w:pPr>
        <w:pStyle w:val="ListBullet"/>
        <w:spacing w:after="40"/>
      </w:pPr>
      <w:r>
        <w:rPr>
          <w:b/>
          <w:sz w:val="20"/>
        </w:rPr>
        <w:t xml:space="preserve">J+15 : </w:t>
      </w:r>
      <w:r>
        <w:rPr>
          <w:sz w:val="20"/>
        </w:rPr>
        <w:t>relance formelle : « sans règlement sous 15 jours, l'accès sera suspendu (CGV art. 5) ».</w:t>
      </w:r>
    </w:p>
    <w:p>
      <w:pPr>
        <w:pStyle w:val="ListBullet"/>
        <w:spacing w:after="40"/>
      </w:pPr>
      <w:r>
        <w:rPr>
          <w:b/>
          <w:sz w:val="20"/>
        </w:rPr>
        <w:t xml:space="preserve">J+30 : </w:t>
      </w:r>
      <w:r>
        <w:rPr>
          <w:sz w:val="20"/>
        </w:rPr>
        <w:t>SUSPENSION de l'application et de l'Adhésion Service (bandeau dans l'appli ; les mensualités continuent de courir). Email + appel.</w:t>
      </w:r>
    </w:p>
    <w:p>
      <w:pPr>
        <w:pStyle w:val="ListBullet"/>
        <w:spacing w:after="40"/>
      </w:pPr>
      <w:r>
        <w:rPr>
          <w:b/>
          <w:sz w:val="20"/>
        </w:rPr>
        <w:t xml:space="preserve">J+45 : mise en demeure (recommandé ou email avec accusé) : impayés + pénalités (3 × taux légal) + 40 € de frais de recouvrement ; si engagé, frais de résiliation anticipée (rattrapage de remise + mise en service + 50 % des mensualités restantes, CGV art. 2.3).</w:t>
      </w:r>
    </w:p>
    <w:p>
      <w:pPr>
        <w:pStyle w:val="ListBullet"/>
        <w:spacing w:after="40"/>
      </w:pPr>
      <w:r>
        <w:rPr>
          <w:b/>
          <w:sz w:val="20"/>
        </w:rPr>
        <w:t xml:space="preserve">J+60 : </w:t>
      </w:r>
      <w:r>
        <w:rPr>
          <w:sz w:val="20"/>
        </w:rPr>
        <w:t>RÉSILIATION aux torts du garage (CGV art. 5 et 2) ; décompte final ; données exportables 90 jours ; recouvrement (injonction de payer possible au tribunal de commerce de Nanterre).</w:t>
      </w:r>
    </w:p>
    <w:p>
      <w:pPr>
        <w:spacing w:before="200" w:after="60"/>
      </w:pPr>
      <w:r>
        <w:rPr>
          <w:b/>
          <w:color w:val="7C3AED"/>
          <w:sz w:val="25"/>
        </w:rPr>
        <w:t>4. Modèles</w:t>
      </w:r>
    </w:p>
    <w:p>
      <w:pPr>
        <w:spacing w:before="120" w:after="40"/>
      </w:pPr>
      <w:r>
        <w:rPr>
          <w:b/>
          <w:color w:val="1E2233"/>
          <w:sz w:val="21"/>
        </w:rPr>
        <w:t>Confirmation de résiliation (sans engagement)</w:t>
      </w:r>
    </w:p>
    <w:p>
      <w:pPr>
        <w:spacing w:after="80"/>
      </w:pPr>
      <w:r>
        <w:rPr>
          <w:b w:val="0"/>
          <w:i w:val="0"/>
          <w:color w:val="4B5068"/>
          <w:sz w:val="18"/>
        </w:rPr>
        <w:t>Bonjour [Prénom],</w:t>
        <w:br/>
        <w:t>Nous confirmons la résiliation de votre abonnement My Easy Auto [ADHÉSION SERVICE PLUS], reçue le [date]. Conformément au préavis d'un mois, votre contrat prend fin le [dernier jour du mois suivant]. La mensualité de [mois] reste due ([441 € HT]) ; aucune autre somme ne vous sera facturée.</w:t>
        <w:br/>
        <w:t>Vos données (dossiers, documents, factures, photos) sont exportables depuis Organisation → Sauvegarde jusqu'au [date de fin], puis pendant 90 jours ; elles seront supprimées le [date + 90 j].</w:t>
        <w:br/>
        <w:t>Si vous souhaitez conserver l'application seule (ESSENTIEL, 79 € HT / mois, sans engagement), dites-le nous : nous vous adressons un avenant.</w:t>
        <w:br/>
        <w:t>Merci pour votre confiance, IDEAFORMA</w:t>
      </w:r>
    </w:p>
    <w:p>
      <w:pPr>
        <w:spacing w:before="120" w:after="40"/>
      </w:pPr>
      <w:r>
        <w:rPr>
          <w:b/>
          <w:color w:val="1E2233"/>
          <w:sz w:val="21"/>
        </w:rPr>
        <w:t>Réponse à une résiliation anticipée pendant l'engagement</w:t>
      </w:r>
    </w:p>
    <w:p>
      <w:pPr>
        <w:spacing w:after="80"/>
      </w:pPr>
      <w:r>
        <w:rPr>
          <w:b w:val="0"/>
          <w:i w:val="0"/>
          <w:color w:val="4B5068"/>
          <w:sz w:val="18"/>
        </w:rPr>
        <w:t>Bonjour [Prénom],</w:t>
        <w:br/>
        <w:t>Nous avons bien reçu votre demande du [date]. Votre contrat comporte un engagement de 12 mois jusqu'au [terme], souscrit avec une remise de [12 %] ; conformément à l'article 2 des conditions générales, les [7] mensualités restant à courir ([7 × 756,80 = 5 297,60 € HT]) sont exigibles en cas de résiliation anticipée.</w:t>
        <w:br/>
        <w:t>Nous préférons une solution qui vous convienne : (1) passer en formule [ADHÉSION SERVICE PLUS / ESSENTIEL] jusqu'au terme (avenant, sans indemnité, après 6 mensualités réglées) ; (2) maintenir votre accès jusqu'au terme en réglant les mensualités normalement ; (3) clore le contrat immédiatement contre le règlement de l'indemnité [éventuellement : ramenée à X € si réglée sous 30 jours].</w:t>
        <w:br/>
        <w:t>Dites-nous ce que vous préférez d'ici le [date + 10 j].</w:t>
        <w:br/>
        <w:t>Bien à vous, IDEAFORMA</w:t>
      </w:r>
    </w:p>
    <w:p>
      <w:pPr>
        <w:spacing w:before="120" w:after="40"/>
      </w:pPr>
      <w:r>
        <w:rPr>
          <w:b/>
          <w:color w:val="1E2233"/>
          <w:sz w:val="21"/>
        </w:rPr>
        <w:t>Suspension pour impayé</w:t>
      </w:r>
    </w:p>
    <w:p>
      <w:pPr>
        <w:spacing w:after="80"/>
      </w:pPr>
      <w:r>
        <w:rPr>
          <w:b w:val="0"/>
          <w:i w:val="0"/>
          <w:color w:val="4B5068"/>
          <w:sz w:val="18"/>
        </w:rPr>
        <w:t>Bonjour [Prénom],</w:t>
        <w:br/>
        <w:t>Malgré nos relances des [dates], la facture [n°] de [montant] € TTC échue le [date] reste impayée. Conformément à l'article 5 des conditions générales, l'accès à l'application et le service de déblocage de dossiers (Adhésion Service) sont suspendus à compter du [date] jusqu'à régularisation ; les mensualités continuent de courir. Vous pouvez régler par virement (IBAN […]) ou par ce lien : […]. Sans règlement sous 15 jours, le contrat sera résilié à vos torts et les sommes dues recouvrées.</w:t>
        <w:br/>
        <w:t>Nous restons joignables pour trouver une solution.</w:t>
        <w:br/>
        <w:t>IDEAFORMA</w:t>
      </w:r>
    </w:p>
    <w:p>
      <w:pPr>
        <w:spacing w:before="200" w:after="60"/>
      </w:pPr>
      <w:r>
        <w:rPr>
          <w:b/>
          <w:color w:val="7C3AED"/>
          <w:sz w:val="25"/>
        </w:rPr>
        <w:t>5. Ce que l'appli fait déjà / à prévoir</w:t>
      </w:r>
    </w:p>
    <w:p>
      <w:pPr>
        <w:pStyle w:val="ListBullet"/>
        <w:spacing w:after="40"/>
      </w:pPr>
      <w:r>
        <w:rPr>
          <w:sz w:val="20"/>
        </w:rPr>
        <w:t>Export complet des données par le garage (Organisation → Sauvegarde, avec factures PDF et rapports d'expertise) et export comptable par période (Finance → Export comptable) ; statut « résilié » et date de fin sur l'abonnement ; reprise automatique de la prime du commercial (relevés) ; suivi « Perdue » dans Ventes.</w:t>
      </w:r>
    </w:p>
    <w:p>
      <w:pPr>
        <w:pStyle w:val="ListBullet"/>
        <w:spacing w:after="40"/>
      </w:pPr>
      <w:r>
        <w:rPr>
          <w:sz w:val="20"/>
        </w:rPr>
        <w:t>SUSPENSION pour impayé : espace éditeur → Abonnements → « Accès du compte » → Suspendre : voile bloquant sur toute l'appli avec votre message (facture, montant, IBAN) et le contact ; « Lever la suspension » dès régularisation.</w:t>
      </w:r>
    </w:p>
    <w:p>
      <w:pPr>
        <w:pStyle w:val="ListBullet"/>
        <w:spacing w:after="40"/>
      </w:pPr>
      <w:r>
        <w:rPr>
          <w:sz w:val="20"/>
        </w:rPr>
        <w:t>LECTURE SEULE automatique : chaque nuit (5 h), tout abonnement résilié dont la date de fin est passée bascule son compte en lecture seule (bandeau, écritures bloquées, export possible) avec une purge programmée à J+90. Bouton « Appliquer les fins de contrat » pour ne pas attendre.</w:t>
      </w:r>
    </w:p>
    <w:p>
      <w:pPr>
        <w:pStyle w:val="ListBullet"/>
        <w:spacing w:after="40"/>
      </w:pPr>
      <w:r>
        <w:rPr>
          <w:sz w:val="20"/>
        </w:rPr>
        <w:t>PURGE à J+90 : email automatique au garage et à l'éditeur à J-7 ; suppression des fichiers et du compte à la date, trace dans le journal des purges. Pour CONSERVER un compte (litige, retour probable), vider sa date de purge dans « Accès du compte ». Purge manuelle possible (mot PURGER).</w:t>
      </w:r>
    </w:p>
    <w:sectPr w:rsidR="00FC693F" w:rsidRPr="0006063C" w:rsidSect="00034616">
      <w:footerReference w:type="default" r:id="rId9"/>
      <w:headerReference w:type="default" r:id="rId10"/>
      <w:headerReference w:type="first" r:id="rId11"/>
      <w:footerReference w:type="first" r:id="rId12"/>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FA8"/>
        <w:sz w:val="15"/>
      </w:rPr>
      <w:t>IDEAFORMA — procédure interne — résiliation d'un abonnement (v1.0, septembre 2026) — confidentiel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