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C3AED"/>
          <w:sz w:val="15"/>
        </w:rPr>
        <w:t>DOCUMENTATION REMISE À LA SIGNATURE DU CONTRAT DE PRESTATION — VERSION 2.1 (SEPTEMBRE 2026)</w:t>
      </w:r>
    </w:p>
    <w:p>
      <w:pPr>
        <w:spacing w:after="40"/>
      </w:pPr>
      <w:r>
        <w:rPr>
          <w:rFonts w:ascii="Arial" w:hAnsi="Arial"/>
          <w:b/>
          <w:color w:val="1E2233"/>
          <w:sz w:val="40"/>
        </w:rPr>
        <w:t>Guide du collaborateur indépendant</w:t>
      </w:r>
    </w:p>
    <w:p>
      <w:pPr>
        <w:spacing w:after="200"/>
      </w:pPr>
      <w:r>
        <w:rPr>
          <w:rFonts w:ascii="Arial" w:hAnsi="Arial"/>
          <w:color w:val="64748B"/>
          <w:sz w:val="22"/>
        </w:rPr>
        <w:t xml:space="preserve">Gestion des litiges et déblocage de dossiers des garages, à distance, sur la plateforme My Easy Auto</w:t>
      </w:r>
    </w:p>
    <w:p>
      <w:pPr>
        <w:keepNext/>
        <w:spacing w:before="240" w:after="80"/>
      </w:pPr>
      <w:r>
        <w:rPr>
          <w:rFonts w:ascii="Arial" w:hAnsi="Arial"/>
          <w:b/>
          <w:color w:val="7C3AED"/>
          <w:sz w:val="26"/>
        </w:rPr>
        <w:t>1. Votre mission en une phrase</w:t>
      </w:r>
    </w:p>
    <w:p>
      <w:r>
        <w:rPr>
          <w:rFonts w:ascii="Arial" w:hAnsi="Arial"/>
          <w:sz w:val="20"/>
        </w:rPr>
        <w:t xml:space="preserve">Vous êtes prestataire indépendant(e) de MY EASY AUTO, affecté(e) à un ou plusieurs garages : à distance, dans l'application My Easy Auto, vous débloquez les dossiers de sinistre qui traînent (impayés, litiges, relances restées sans réponse) jusqu'au paiement, pour que le carrossier ne fasse que de la carrosserie. Vous n'êtes ni salarié(e) de MY EASY AUTO, ni salarié(e) des garages : vous organisez votre travail, avec vos moyens, dans le cadre du périmètre convenu au contrat.</w:t>
      </w:r>
    </w:p>
    <w:tbl>
      <w:tblPr>
        <w:tblW w:type="auto" w:w="0"/>
        <w:tblLook w:firstColumn="1" w:firstRow="1" w:lastColumn="0" w:lastRow="0" w:noHBand="0" w:noVBand="1" w:val="04A0"/>
      </w:tblPr>
      <w:tblGrid>
        <w:gridCol w:w="9866"/>
      </w:tblGrid>
      <w:tr>
        <w:tc>
          <w:tcPr>
            <w:tcW w:type="dxa" w:w="9866"/>
            <w:shd w:val="clear" w:color="auto" w:fill="F3E8FF"/>
            <w:tcBorders>
              <w:top w:val="nil"/>
              <w:bottom w:val="nil"/>
              <w:right w:val="nil"/>
              <w:left w:val="single" w:sz="24" w:color="7C3AED"/>
            </w:tcBorders>
          </w:tcPr>
          <w:p>
            <w:r>
              <w:rPr>
                <w:rFonts w:ascii="Arial" w:hAnsi="Arial"/>
                <w:b/>
                <w:color w:val="7C3AED"/>
                <w:sz w:val="20"/>
              </w:rPr>
              <w:t>À distance, toujours</w:t>
            </w:r>
          </w:p>
          <w:p>
            <w:r>
              <w:rPr>
                <w:rFonts w:ascii="Arial" w:hAnsi="Arial"/>
                <w:sz w:val="19"/>
              </w:rPr>
              <w:t>Votre prestation s'exécute exclusivement à distance : aucune présence au garage, aucun déplacement. Une demande qui supposerait une présence physique est hors périmètre — vous pouvez la refuser (contrat, art. 1 et 3).</w:t>
            </w:r>
          </w:p>
        </w:tc>
      </w:tr>
    </w:tbl>
    <w:p>
      <w:pPr>
        <w:spacing w:after="40"/>
      </w:pPr>
    </w:p>
    <w:p>
      <w:pPr>
        <w:keepNext/>
        <w:spacing w:before="240" w:after="80"/>
      </w:pPr>
      <w:r>
        <w:rPr>
          <w:rFonts w:ascii="Arial" w:hAnsi="Arial"/>
          <w:b/>
          <w:color w:val="7C3AED"/>
          <w:sz w:val="26"/>
        </w:rPr>
        <w:t>2. Ce que dit votre contrat — les dix repères</w:t>
      </w:r>
    </w:p>
    <w:tbl>
      <w:tblPr>
        <w:tblStyle w:val="TableGrid"/>
        <w:tblW w:type="auto" w:w="0"/>
        <w:jc w:val="center"/>
        <w:tblLayout w:type="fixed"/>
        <w:tblLook w:firstColumn="1" w:firstRow="1" w:lastColumn="0" w:lastRow="0" w:noHBand="0" w:noVBand="1" w:val="04A0"/>
        <w:tblLayout w:type="fixed"/>
      </w:tblPr>
      <w:tblGrid>
        <w:gridCol w:w="2041"/>
        <w:gridCol w:w="6350"/>
        <w:gridCol w:w="907"/>
      </w:tblGrid>
      <w:tr>
        <w:tc>
          <w:tcPr>
            <w:tcW w:type="dxa" w:w="2041"/>
            <w:shd w:val="clear" w:color="auto" w:fill="7C3AED"/>
          </w:tcPr>
          <w:p>
            <w:r/>
            <w:r>
              <w:rPr>
                <w:rFonts w:ascii="Arial" w:hAnsi="Arial"/>
                <w:b/>
                <w:color w:val="FFFFFF"/>
                <w:sz w:val="18"/>
              </w:rPr>
              <w:t>Repère</w:t>
            </w:r>
          </w:p>
        </w:tc>
        <w:tc>
          <w:tcPr>
            <w:tcW w:type="dxa" w:w="6350"/>
            <w:shd w:val="clear" w:color="auto" w:fill="7C3AED"/>
          </w:tcPr>
          <w:p>
            <w:r/>
            <w:r>
              <w:rPr>
                <w:rFonts w:ascii="Arial" w:hAnsi="Arial"/>
                <w:b/>
                <w:color w:val="FFFFFF"/>
                <w:sz w:val="18"/>
              </w:rPr>
              <w:t>Ce qu'il faut retenir</w:t>
            </w:r>
          </w:p>
        </w:tc>
        <w:tc>
          <w:tcPr>
            <w:tcW w:type="dxa" w:w="907"/>
            <w:shd w:val="clear" w:color="auto" w:fill="7C3AED"/>
          </w:tcPr>
          <w:p>
            <w:r/>
            <w:r>
              <w:rPr>
                <w:rFonts w:ascii="Arial" w:hAnsi="Arial"/>
                <w:b/>
                <w:color w:val="FFFFFF"/>
                <w:sz w:val="18"/>
              </w:rPr>
              <w:t>Article</w:t>
            </w:r>
          </w:p>
        </w:tc>
      </w:tr>
      <w:tr>
        <w:tc>
          <w:tcPr>
            <w:tcW w:type="dxa" w:w="2041"/>
          </w:tcPr>
          <w:p>
            <w:r/>
            <w:r>
              <w:rPr>
                <w:rFonts w:ascii="Arial" w:hAnsi="Arial"/>
                <w:sz w:val="18"/>
              </w:rPr>
              <w:t>Indépendance</w:t>
            </w:r>
          </w:p>
        </w:tc>
        <w:tc>
          <w:tcPr>
            <w:tcW w:type="dxa" w:w="6350"/>
          </w:tcPr>
          <w:p>
            <w:r/>
            <w:r>
              <w:rPr>
                <w:rFonts w:ascii="Arial" w:hAnsi="Arial"/>
                <w:sz w:val="18"/>
              </w:rPr>
              <w:t>Vous choisissez vos horaires, vos méthodes, vos outils. Personne ne vous donne d'ordres ni de sanctions : le contrat organise une prestation, pas un emploi.</w:t>
            </w:r>
          </w:p>
        </w:tc>
        <w:tc>
          <w:tcPr>
            <w:tcW w:type="dxa" w:w="907"/>
          </w:tcPr>
          <w:p>
            <w:r/>
            <w:r>
              <w:rPr>
                <w:rFonts w:ascii="Arial" w:hAnsi="Arial"/>
                <w:sz w:val="18"/>
              </w:rPr>
              <w:t>2</w:t>
            </w:r>
          </w:p>
        </w:tc>
      </w:tr>
      <w:tr>
        <w:tc>
          <w:tcPr>
            <w:tcW w:type="dxa" w:w="2041"/>
            <w:shd w:val="clear" w:color="auto" w:fill="F6F7FB"/>
          </w:tcPr>
          <w:p>
            <w:r/>
            <w:r>
              <w:rPr>
                <w:rFonts w:ascii="Arial" w:hAnsi="Arial"/>
                <w:sz w:val="18"/>
              </w:rPr>
              <w:t>Périmètre convenu et droit de refus</w:t>
            </w:r>
          </w:p>
        </w:tc>
        <w:tc>
          <w:tcPr>
            <w:tcW w:type="dxa" w:w="6350"/>
            <w:shd w:val="clear" w:color="auto" w:fill="F6F7FB"/>
          </w:tcPr>
          <w:p>
            <w:r/>
            <w:r>
              <w:rPr>
                <w:rFonts w:ascii="Arial" w:hAnsi="Arial"/>
                <w:sz w:val="18"/>
              </w:rPr>
              <w:t>Vos tâches sont celles de l'annexe 2 (voir § 4). Ce qui n'y figure pas, ou qui est « hors périmètre », vous pouvez le refuser sans avoir à vous justifier.</w:t>
            </w:r>
          </w:p>
        </w:tc>
        <w:tc>
          <w:tcPr>
            <w:tcW w:type="dxa" w:w="907"/>
            <w:shd w:val="clear" w:color="auto" w:fill="F6F7FB"/>
          </w:tcPr>
          <w:p>
            <w:r/>
            <w:r>
              <w:rPr>
                <w:rFonts w:ascii="Arial" w:hAnsi="Arial"/>
                <w:sz w:val="18"/>
              </w:rPr>
              <w:t>3</w:t>
            </w:r>
          </w:p>
        </w:tc>
      </w:tr>
      <w:tr>
        <w:tc>
          <w:tcPr>
            <w:tcW w:type="dxa" w:w="2041"/>
          </w:tcPr>
          <w:p>
            <w:r/>
            <w:r>
              <w:rPr>
                <w:rFonts w:ascii="Arial" w:hAnsi="Arial"/>
                <w:sz w:val="18"/>
              </w:rPr>
              <w:t>Affectation</w:t>
            </w:r>
          </w:p>
        </w:tc>
        <w:tc>
          <w:tcPr>
            <w:tcW w:type="dxa" w:w="6350"/>
          </w:tcPr>
          <w:p>
            <w:r/>
            <w:r>
              <w:rPr>
                <w:rFonts w:ascii="Arial" w:hAnsi="Arial"/>
                <w:sz w:val="18"/>
              </w:rPr>
              <w:t xml:space="preserve">MY EASY AUTO vous affecte des garages par avenant. Aucun volume n'est garanti ; un garage peut être retiré ou ajouté.</w:t>
            </w:r>
          </w:p>
        </w:tc>
        <w:tc>
          <w:tcPr>
            <w:tcW w:type="dxa" w:w="907"/>
          </w:tcPr>
          <w:p>
            <w:r/>
            <w:r>
              <w:rPr>
                <w:rFonts w:ascii="Arial" w:hAnsi="Arial"/>
                <w:sz w:val="18"/>
              </w:rPr>
              <w:t>4</w:t>
            </w:r>
          </w:p>
        </w:tc>
      </w:tr>
      <w:tr>
        <w:tc>
          <w:tcPr>
            <w:tcW w:type="dxa" w:w="2041"/>
            <w:shd w:val="clear" w:color="auto" w:fill="F6F7FB"/>
          </w:tcPr>
          <w:p>
            <w:r/>
            <w:r>
              <w:rPr>
                <w:rFonts w:ascii="Arial" w:hAnsi="Arial"/>
                <w:sz w:val="18"/>
              </w:rPr>
              <w:t>Rémunération</w:t>
            </w:r>
          </w:p>
        </w:tc>
        <w:tc>
          <w:tcPr>
            <w:tcW w:type="dxa" w:w="6350"/>
            <w:shd w:val="clear" w:color="auto" w:fill="F6F7FB"/>
          </w:tcPr>
          <w:p>
            <w:r/>
            <w:r>
              <w:rPr>
                <w:rFonts w:ascii="Arial" w:hAnsi="Arial"/>
                <w:sz w:val="18"/>
              </w:rPr>
              <w:t xml:space="preserve">Heures de forfait de chaque garage affecté × votre taux horaire négocié (annexe 1). Vous facturez MY EASY AUTO, jamais le garage.</w:t>
            </w:r>
          </w:p>
        </w:tc>
        <w:tc>
          <w:tcPr>
            <w:tcW w:type="dxa" w:w="907"/>
            <w:shd w:val="clear" w:color="auto" w:fill="F6F7FB"/>
          </w:tcPr>
          <w:p>
            <w:r/>
            <w:r>
              <w:rPr>
                <w:rFonts w:ascii="Arial" w:hAnsi="Arial"/>
                <w:sz w:val="18"/>
              </w:rPr>
              <w:t>6</w:t>
            </w:r>
          </w:p>
        </w:tc>
      </w:tr>
      <w:tr>
        <w:tc>
          <w:tcPr>
            <w:tcW w:type="dxa" w:w="2041"/>
          </w:tcPr>
          <w:p>
            <w:r/>
            <w:r>
              <w:rPr>
                <w:rFonts w:ascii="Arial" w:hAnsi="Arial"/>
                <w:sz w:val="18"/>
              </w:rPr>
              <w:t>Heures supplémentaires</w:t>
            </w:r>
          </w:p>
        </w:tc>
        <w:tc>
          <w:tcPr>
            <w:tcW w:type="dxa" w:w="6350"/>
          </w:tcPr>
          <w:p>
            <w:r/>
            <w:r>
              <w:rPr>
                <w:rFonts w:ascii="Arial" w:hAnsi="Arial"/>
                <w:sz w:val="18"/>
              </w:rPr>
              <w:t xml:space="preserve">Un garage qui veut plus d'heures s'adresse à MY EASY AUTO, pas à vous. Vous êtes libre d'accepter ou non. Rien n'est dû sans accord ÉCRIT préalable des trois parties.</w:t>
            </w:r>
          </w:p>
        </w:tc>
        <w:tc>
          <w:tcPr>
            <w:tcW w:type="dxa" w:w="907"/>
          </w:tcPr>
          <w:p>
            <w:r/>
            <w:r>
              <w:rPr>
                <w:rFonts w:ascii="Arial" w:hAnsi="Arial"/>
                <w:sz w:val="18"/>
              </w:rPr>
              <w:t>7</w:t>
            </w:r>
          </w:p>
        </w:tc>
      </w:tr>
      <w:tr>
        <w:tc>
          <w:tcPr>
            <w:tcW w:type="dxa" w:w="2041"/>
            <w:shd w:val="clear" w:color="auto" w:fill="F6F7FB"/>
          </w:tcPr>
          <w:p>
            <w:r/>
            <w:r>
              <w:rPr>
                <w:rFonts w:ascii="Arial" w:hAnsi="Arial"/>
                <w:sz w:val="18"/>
              </w:rPr>
              <w:t>Facturation</w:t>
            </w:r>
          </w:p>
        </w:tc>
        <w:tc>
          <w:tcPr>
            <w:tcW w:type="dxa" w:w="6350"/>
            <w:shd w:val="clear" w:color="auto" w:fill="F6F7FB"/>
          </w:tcPr>
          <w:p>
            <w:r/>
            <w:r>
              <w:rPr>
                <w:rFonts w:ascii="Arial" w:hAnsi="Arial"/>
                <w:sz w:val="18"/>
              </w:rPr>
              <w:t>Facture + relevé d'heures de la plateforme avant le 5 du mois ; règlement sous 10 jours. Le relevé de la plateforme fait foi.</w:t>
            </w:r>
          </w:p>
        </w:tc>
        <w:tc>
          <w:tcPr>
            <w:tcW w:type="dxa" w:w="907"/>
            <w:shd w:val="clear" w:color="auto" w:fill="F6F7FB"/>
          </w:tcPr>
          <w:p>
            <w:r/>
            <w:r>
              <w:rPr>
                <w:rFonts w:ascii="Arial" w:hAnsi="Arial"/>
                <w:sz w:val="18"/>
              </w:rPr>
              <w:t>8</w:t>
            </w:r>
          </w:p>
        </w:tc>
      </w:tr>
      <w:tr>
        <w:tc>
          <w:tcPr>
            <w:tcW w:type="dxa" w:w="2041"/>
          </w:tcPr>
          <w:p>
            <w:r/>
            <w:r>
              <w:rPr>
                <w:rFonts w:ascii="Arial" w:hAnsi="Arial"/>
                <w:sz w:val="18"/>
              </w:rPr>
              <w:t>Qualité</w:t>
            </w:r>
          </w:p>
        </w:tc>
        <w:tc>
          <w:tcPr>
            <w:tcW w:type="dxa" w:w="6350"/>
          </w:tcPr>
          <w:p>
            <w:r/>
            <w:r>
              <w:rPr>
                <w:rFonts w:ascii="Arial" w:hAnsi="Arial"/>
                <w:sz w:val="18"/>
              </w:rPr>
              <w:t>Réactivité convenue : accusé de réception sous un jour ouvré ; tout ce qui est dit est écrit dans le dossier.</w:t>
            </w:r>
          </w:p>
        </w:tc>
        <w:tc>
          <w:tcPr>
            <w:tcW w:type="dxa" w:w="907"/>
          </w:tcPr>
          <w:p>
            <w:r/>
            <w:r>
              <w:rPr>
                <w:rFonts w:ascii="Arial" w:hAnsi="Arial"/>
                <w:sz w:val="18"/>
              </w:rPr>
              <w:t>9</w:t>
            </w:r>
          </w:p>
        </w:tc>
      </w:tr>
      <w:tr>
        <w:tc>
          <w:tcPr>
            <w:tcW w:type="dxa" w:w="2041"/>
            <w:shd w:val="clear" w:color="auto" w:fill="F6F7FB"/>
          </w:tcPr>
          <w:p>
            <w:r/>
            <w:r>
              <w:rPr>
                <w:rFonts w:ascii="Arial" w:hAnsi="Arial"/>
                <w:sz w:val="18"/>
              </w:rPr>
              <w:t>Réclamations</w:t>
            </w:r>
          </w:p>
        </w:tc>
        <w:tc>
          <w:tcPr>
            <w:tcW w:type="dxa" w:w="6350"/>
            <w:shd w:val="clear" w:color="auto" w:fill="F6F7FB"/>
          </w:tcPr>
          <w:p>
            <w:r/>
            <w:r>
              <w:rPr>
                <w:rFonts w:ascii="Arial" w:hAnsi="Arial"/>
                <w:sz w:val="18"/>
              </w:rPr>
              <w:t xml:space="preserve">Si un garage se plaint par écrit, MY EASY AUTO vous transmet et vous avez 8 jours pour donner vos observations. Ce sont des constats contradictoires, pas des sanctions.</w:t>
            </w:r>
          </w:p>
        </w:tc>
        <w:tc>
          <w:tcPr>
            <w:tcW w:type="dxa" w:w="907"/>
            <w:shd w:val="clear" w:color="auto" w:fill="F6F7FB"/>
          </w:tcPr>
          <w:p>
            <w:r/>
            <w:r>
              <w:rPr>
                <w:rFonts w:ascii="Arial" w:hAnsi="Arial"/>
                <w:sz w:val="18"/>
              </w:rPr>
              <w:t>10</w:t>
            </w:r>
          </w:p>
        </w:tc>
      </w:tr>
      <w:tr>
        <w:tc>
          <w:tcPr>
            <w:tcW w:type="dxa" w:w="2041"/>
          </w:tcPr>
          <w:p>
            <w:r/>
            <w:r>
              <w:rPr>
                <w:rFonts w:ascii="Arial" w:hAnsi="Arial"/>
                <w:sz w:val="18"/>
              </w:rPr>
              <w:t>Changement de chargé de mission</w:t>
            </w:r>
          </w:p>
        </w:tc>
        <w:tc>
          <w:tcPr>
            <w:tcW w:type="dxa" w:w="6350"/>
          </w:tcPr>
          <w:p>
            <w:r>
              <w:t>Un garage peut demander un autre chargé de mission, même par simple convenance : fin d'affectation par avenant, préavis 15 jours, sans faute de votre part, contrat maintenu.</w:t>
            </w:r>
            <w:r>
              <w:rPr>
                <w:rFonts w:ascii="Arial" w:hAnsi="Arial"/>
                <w:sz w:val="18"/>
              </w:rPr>
            </w:r>
          </w:p>
        </w:tc>
        <w:tc>
          <w:tcPr>
            <w:tcW w:type="dxa" w:w="907"/>
          </w:tcPr>
          <w:p>
            <w:r/>
            <w:r>
              <w:rPr>
                <w:rFonts w:ascii="Arial" w:hAnsi="Arial"/>
                <w:sz w:val="18"/>
              </w:rPr>
              <w:t>11</w:t>
            </w:r>
          </w:p>
        </w:tc>
      </w:tr>
      <w:tr>
        <w:tc>
          <w:tcPr>
            <w:tcW w:type="dxa" w:w="2041"/>
            <w:shd w:val="clear" w:color="auto" w:fill="F6F7FB"/>
          </w:tcPr>
          <w:p>
            <w:r/>
            <w:r>
              <w:rPr>
                <w:rFonts w:ascii="Arial" w:hAnsi="Arial"/>
                <w:sz w:val="18"/>
              </w:rPr>
              <w:t>Non-contournement</w:t>
            </w:r>
          </w:p>
        </w:tc>
        <w:tc>
          <w:tcPr>
            <w:tcW w:type="dxa" w:w="6350"/>
            <w:shd w:val="clear" w:color="auto" w:fill="F6F7FB"/>
          </w:tcPr>
          <w:p>
            <w:r/>
            <w:r>
              <w:rPr>
                <w:rFonts w:ascii="Arial" w:hAnsi="Arial"/>
                <w:sz w:val="18"/>
              </w:rPr>
              <w:t xml:space="preserve">Aucune relation directe avec un garage en dehors de MY EASY AUTO, pendant le contrat et 12 mois après — même si c'est le garage qui vous sollicite. Vous refusez et vous prévenez MY EASY AUTO.</w:t>
            </w:r>
          </w:p>
        </w:tc>
        <w:tc>
          <w:tcPr>
            <w:tcW w:type="dxa" w:w="907"/>
            <w:shd w:val="clear" w:color="auto" w:fill="F6F7FB"/>
          </w:tcPr>
          <w:p>
            <w:r/>
            <w:r>
              <w:rPr>
                <w:rFonts w:ascii="Arial" w:hAnsi="Arial"/>
                <w:sz w:val="18"/>
              </w:rPr>
              <w:t>17</w:t>
            </w:r>
          </w:p>
        </w:tc>
      </w:tr>
    </w:tbl>
    <w:p>
      <w:pPr>
        <w:spacing w:after="40"/>
      </w:pPr>
    </w:p>
    <w:p>
      <w:r>
        <w:rPr>
          <w:rFonts w:ascii="Arial" w:hAnsi="Arial"/>
          <w:color w:val="64748B"/>
          <w:sz w:val="19"/>
        </w:rPr>
        <w:t>Complètent ces repères : la confidentialité et le RGPD (art. 12-13 : vous êtes sous-traitant ultérieur, vous ne traitez les données que dans la plateforme), vos moyens propres (art. 14), votre assurance responsabilité civile professionnelle (art. 15), l'attestation de vigilance URSSAF tous les six mois (art. 16) et la réversibilité en fin de contrat (art. 23).</w:t>
      </w:r>
    </w:p>
    <w:p>
      <w:pPr>
        <w:keepNext/>
        <w:spacing w:before="240" w:after="80"/>
      </w:pPr>
      <w:r>
        <w:rPr>
          <w:rFonts w:ascii="Arial" w:hAnsi="Arial"/>
          <w:b/>
          <w:color w:val="7C3AED"/>
          <w:sz w:val="26"/>
        </w:rPr>
        <w:t>3. Le pipeline d'un dossier — 7 étapes</w:t>
      </w:r>
    </w:p>
    <w:tbl>
      <w:tblPr>
        <w:tblStyle w:val="TableGrid"/>
        <w:tblW w:type="auto" w:w="0"/>
        <w:jc w:val="center"/>
        <w:tblLayout w:type="fixed"/>
        <w:tblLook w:firstColumn="1" w:firstRow="1" w:lastColumn="0" w:lastRow="0" w:noHBand="0" w:noVBand="1" w:val="04A0"/>
        <w:tblLayout w:type="fixed"/>
      </w:tblPr>
      <w:tblGrid>
        <w:gridCol w:w="1814"/>
        <w:gridCol w:w="7483"/>
      </w:tblGrid>
      <w:tr>
        <w:tc>
          <w:tcPr>
            <w:tcW w:type="dxa" w:w="1814"/>
            <w:shd w:val="clear" w:color="auto" w:fill="7C3AED"/>
          </w:tcPr>
          <w:p>
            <w:r/>
            <w:r>
              <w:rPr>
                <w:rFonts w:ascii="Arial" w:hAnsi="Arial"/>
                <w:b/>
                <w:color w:val="FFFFFF"/>
                <w:sz w:val="18"/>
              </w:rPr>
              <w:t>Étape</w:t>
            </w:r>
          </w:p>
        </w:tc>
        <w:tc>
          <w:tcPr>
            <w:tcW w:type="dxa" w:w="7483"/>
            <w:shd w:val="clear" w:color="auto" w:fill="7C3AED"/>
          </w:tcPr>
          <w:p>
            <w:r/>
            <w:r>
              <w:rPr>
                <w:rFonts w:ascii="Arial" w:hAnsi="Arial"/>
                <w:b/>
                <w:color w:val="FFFFFF"/>
                <w:sz w:val="18"/>
              </w:rPr>
              <w:t>Ce qui se passe dans l'application</w:t>
            </w:r>
          </w:p>
        </w:tc>
      </w:tr>
      <w:tr>
        <w:tc>
          <w:tcPr>
            <w:tcW w:type="dxa" w:w="1814"/>
          </w:tcPr>
          <w:p>
            <w:r/>
            <w:r>
              <w:rPr>
                <w:rFonts w:ascii="Arial" w:hAnsi="Arial"/>
                <w:sz w:val="18"/>
              </w:rPr>
              <w:t>1 · Nouveau</w:t>
            </w:r>
          </w:p>
        </w:tc>
        <w:tc>
          <w:tcPr>
            <w:tcW w:type="dxa" w:w="7483"/>
          </w:tcPr>
          <w:p>
            <w:r/>
            <w:r>
              <w:rPr>
                <w:rFonts w:ascii="Arial" w:hAnsi="Arial"/>
                <w:sz w:val="18"/>
              </w:rPr>
              <w:t>Le dossier est créé, le plus souvent en important le rapport d'expertise PDF : l'analyse lit le client, le véhicule, l'assurance et le chiffrage ligne à ligne. Vous contrôlez, complétez, et signalez les mentions particulières (conservatoire, sursis, VGE…).</w:t>
            </w:r>
          </w:p>
        </w:tc>
      </w:tr>
      <w:tr>
        <w:tc>
          <w:tcPr>
            <w:tcW w:type="dxa" w:w="1814"/>
            <w:shd w:val="clear" w:color="auto" w:fill="F6F7FB"/>
          </w:tcPr>
          <w:p>
            <w:r/>
            <w:r>
              <w:rPr>
                <w:rFonts w:ascii="Arial" w:hAnsi="Arial"/>
                <w:sz w:val="18"/>
              </w:rPr>
              <w:t>2 · Expertise</w:t>
            </w:r>
          </w:p>
        </w:tc>
        <w:tc>
          <w:tcPr>
            <w:tcW w:type="dxa" w:w="7483"/>
            <w:shd w:val="clear" w:color="auto" w:fill="F6F7FB"/>
          </w:tcPr>
          <w:p>
            <w:r/>
            <w:r>
              <w:rPr>
                <w:rFonts w:ascii="Arial" w:hAnsi="Arial"/>
                <w:sz w:val="18"/>
              </w:rPr>
              <w:t>Rendez-vous d'expertise suivi dans l'agenda ; relance du cabinet si le rapport définitif tarde.</w:t>
            </w:r>
          </w:p>
        </w:tc>
      </w:tr>
      <w:tr>
        <w:tc>
          <w:tcPr>
            <w:tcW w:type="dxa" w:w="1814"/>
          </w:tcPr>
          <w:p>
            <w:r/>
            <w:r>
              <w:rPr>
                <w:rFonts w:ascii="Arial" w:hAnsi="Arial"/>
                <w:sz w:val="18"/>
              </w:rPr>
              <w:t>3 · Devis</w:t>
            </w:r>
          </w:p>
        </w:tc>
        <w:tc>
          <w:tcPr>
            <w:tcW w:type="dxa" w:w="7483"/>
          </w:tcPr>
          <w:p>
            <w:r/>
            <w:r>
              <w:rPr>
                <w:rFonts w:ascii="Arial" w:hAnsi="Arial"/>
                <w:sz w:val="18"/>
              </w:rPr>
              <w:t>Le devis est généré depuis le chiffrage. Validation, puis signature électronique (tablette à l'atelier ou lien envoyé au client), ordre de réparation et, le cas échéant, cession de créance.</w:t>
            </w:r>
          </w:p>
        </w:tc>
      </w:tr>
      <w:tr>
        <w:tc>
          <w:tcPr>
            <w:tcW w:type="dxa" w:w="1814"/>
            <w:shd w:val="clear" w:color="auto" w:fill="F6F7FB"/>
          </w:tcPr>
          <w:p>
            <w:r/>
            <w:r>
              <w:rPr>
                <w:rFonts w:ascii="Arial" w:hAnsi="Arial"/>
                <w:sz w:val="18"/>
              </w:rPr>
              <w:t>4 · Réparation</w:t>
            </w:r>
          </w:p>
        </w:tc>
        <w:tc>
          <w:tcPr>
            <w:tcW w:type="dxa" w:w="7483"/>
            <w:shd w:val="clear" w:color="auto" w:fill="F6F7FB"/>
          </w:tcPr>
          <w:p>
            <w:r/>
            <w:r>
              <w:rPr>
                <w:rFonts w:ascii="Arial" w:hAnsi="Arial"/>
                <w:sz w:val="18"/>
              </w:rPr>
              <w:t>Planning atelier, bon de commande des pièces (références, quantités), véhicule de prêt éventuel.</w:t>
            </w:r>
          </w:p>
        </w:tc>
      </w:tr>
      <w:tr>
        <w:tc>
          <w:tcPr>
            <w:tcW w:type="dxa" w:w="1814"/>
          </w:tcPr>
          <w:p>
            <w:r/>
            <w:r>
              <w:rPr>
                <w:rFonts w:ascii="Arial" w:hAnsi="Arial"/>
                <w:sz w:val="18"/>
              </w:rPr>
              <w:t>5 · Facture envoyée</w:t>
            </w:r>
          </w:p>
        </w:tc>
        <w:tc>
          <w:tcPr>
            <w:tcW w:type="dxa" w:w="7483"/>
          </w:tcPr>
          <w:p>
            <w:r/>
            <w:r>
              <w:rPr>
                <w:rFonts w:ascii="Arial" w:hAnsi="Arial"/>
                <w:sz w:val="18"/>
              </w:rPr>
              <w:t>Facture générée depuis le devis, conforme au rapport ; pièces jointes cochées (rapport d'expertise, OR signé, cession / accord de prise en charge) ; envoi à l'assurance ou au client selon le mode de paiement.</w:t>
            </w:r>
          </w:p>
        </w:tc>
      </w:tr>
      <w:tr>
        <w:tc>
          <w:tcPr>
            <w:tcW w:type="dxa" w:w="1814"/>
            <w:shd w:val="clear" w:color="auto" w:fill="F6F7FB"/>
          </w:tcPr>
          <w:p>
            <w:r/>
            <w:r>
              <w:rPr>
                <w:rFonts w:ascii="Arial" w:hAnsi="Arial"/>
                <w:sz w:val="18"/>
              </w:rPr>
              <w:t>6 · Véhicule rendu</w:t>
            </w:r>
          </w:p>
        </w:tc>
        <w:tc>
          <w:tcPr>
            <w:tcW w:type="dxa" w:w="7483"/>
            <w:shd w:val="clear" w:color="auto" w:fill="F6F7FB"/>
          </w:tcPr>
          <w:p>
            <w:r/>
            <w:r>
              <w:rPr>
                <w:rFonts w:ascii="Arial" w:hAnsi="Arial"/>
                <w:sz w:val="18"/>
              </w:rPr>
              <w:t>PV de restitution signé ; encaissement de la franchise ou du reste à charge par le garage.</w:t>
            </w:r>
          </w:p>
        </w:tc>
      </w:tr>
      <w:tr>
        <w:tc>
          <w:tcPr>
            <w:tcW w:type="dxa" w:w="1814"/>
          </w:tcPr>
          <w:p>
            <w:r/>
            <w:r>
              <w:rPr>
                <w:rFonts w:ascii="Arial" w:hAnsi="Arial"/>
                <w:sz w:val="18"/>
              </w:rPr>
              <w:t>7 · Payé</w:t>
            </w:r>
          </w:p>
        </w:tc>
        <w:tc>
          <w:tcPr>
            <w:tcW w:type="dxa" w:w="7483"/>
          </w:tcPr>
          <w:p>
            <w:r/>
            <w:r>
              <w:rPr>
                <w:rFonts w:ascii="Arial" w:hAnsi="Arial"/>
                <w:sz w:val="18"/>
              </w:rPr>
              <w:t>Pointage du paiement (rapprochement bancaire CSV), facture acquittée. Le dossier est clôturé ; il pourra être archivé.</w:t>
            </w:r>
          </w:p>
        </w:tc>
      </w:tr>
    </w:tbl>
    <w:p>
      <w:pPr>
        <w:spacing w:after="40"/>
      </w:pPr>
    </w:p>
    <w:p>
      <w:pPr>
        <w:keepNext/>
        <w:spacing w:before="240" w:after="80"/>
      </w:pPr>
      <w:r>
        <w:rPr>
          <w:rFonts w:ascii="Arial" w:hAnsi="Arial"/>
          <w:b/>
          <w:color w:val="7C3AED"/>
          <w:sz w:val="26"/>
        </w:rPr>
        <w:t>4. Le périmètre convenu (annexe 2)</w:t>
      </w:r>
    </w:p>
    <w:p>
      <w:r>
        <w:rPr>
          <w:rFonts w:ascii="Arial" w:hAnsi="Arial"/>
          <w:sz w:val="20"/>
        </w:rPr>
        <w:t>Six familles de tâches. Celles que vous avez cochées dans votre profil de prestation constituent votre périmètre ; les autres ne vous sont pas confiées.</w:t>
      </w:r>
    </w:p>
    <w:tbl>
      <w:tblPr>
        <w:tblStyle w:val="TableGrid"/>
        <w:tblW w:type="auto" w:w="0"/>
        <w:jc w:val="center"/>
        <w:tblLayout w:type="fixed"/>
        <w:tblLook w:firstColumn="1" w:firstRow="1" w:lastColumn="0" w:lastRow="0" w:noHBand="0" w:noVBand="1" w:val="04A0"/>
        <w:tblLayout w:type="fixed"/>
      </w:tblPr>
      <w:tblGrid>
        <w:gridCol w:w="2835"/>
        <w:gridCol w:w="6463"/>
      </w:tblGrid>
      <w:tr>
        <w:tc>
          <w:tcPr>
            <w:tcW w:type="dxa" w:w="2835"/>
            <w:shd w:val="clear" w:color="auto" w:fill="7C3AED"/>
          </w:tcPr>
          <w:p>
            <w:r/>
            <w:r>
              <w:rPr>
                <w:rFonts w:ascii="Arial" w:hAnsi="Arial"/>
                <w:b/>
                <w:color w:val="FFFFFF"/>
                <w:sz w:val="18"/>
              </w:rPr>
              <w:t>Famille</w:t>
            </w:r>
          </w:p>
        </w:tc>
        <w:tc>
          <w:tcPr>
            <w:tcW w:type="dxa" w:w="6463"/>
            <w:shd w:val="clear" w:color="auto" w:fill="7C3AED"/>
          </w:tcPr>
          <w:p>
            <w:r/>
            <w:r>
              <w:rPr>
                <w:rFonts w:ascii="Arial" w:hAnsi="Arial"/>
                <w:b/>
                <w:color w:val="FFFFFF"/>
                <w:sz w:val="18"/>
              </w:rPr>
              <w:t>Exemples de tâches</w:t>
            </w:r>
          </w:p>
        </w:tc>
      </w:tr>
      <w:tr>
        <w:tc>
          <w:tcPr>
            <w:tcW w:type="dxa" w:w="2835"/>
          </w:tcPr>
          <w:p>
            <w:r/>
            <w:r>
              <w:rPr>
                <w:rFonts w:ascii="Arial" w:hAnsi="Arial"/>
                <w:sz w:val="18"/>
              </w:rPr>
              <w:t>Dossiers de sinistres</w:t>
            </w:r>
          </w:p>
        </w:tc>
        <w:tc>
          <w:tcPr>
            <w:tcW w:type="dxa" w:w="6463"/>
          </w:tcPr>
          <w:p>
            <w:r/>
            <w:r>
              <w:rPr>
                <w:rFonts w:ascii="Arial" w:hAnsi="Arial"/>
                <w:sz w:val="18"/>
              </w:rPr>
              <w:t>création à réception du rapport, contrôle du chiffrage, mentions particulières, suivi du pipeline, photos d'état, note et historique.</w:t>
            </w:r>
          </w:p>
        </w:tc>
      </w:tr>
      <w:tr>
        <w:tc>
          <w:tcPr>
            <w:tcW w:type="dxa" w:w="2835"/>
            <w:shd w:val="clear" w:color="auto" w:fill="F6F7FB"/>
          </w:tcPr>
          <w:p>
            <w:r/>
            <w:r>
              <w:rPr>
                <w:rFonts w:ascii="Arial" w:hAnsi="Arial"/>
                <w:sz w:val="18"/>
              </w:rPr>
              <w:t>Devis, factures et documents</w:t>
            </w:r>
          </w:p>
        </w:tc>
        <w:tc>
          <w:tcPr>
            <w:tcW w:type="dxa" w:w="6463"/>
            <w:shd w:val="clear" w:color="auto" w:fill="F6F7FB"/>
          </w:tcPr>
          <w:p>
            <w:r/>
            <w:r>
              <w:rPr>
                <w:rFonts w:ascii="Arial" w:hAnsi="Arial"/>
                <w:sz w:val="18"/>
              </w:rPr>
              <w:t>devis et factures conformes au rapport, ordres de réparation, envoi en signature, cessions de créance, contrats de prêt et gardiennage, PV de restitution.</w:t>
            </w:r>
          </w:p>
        </w:tc>
      </w:tr>
      <w:tr>
        <w:tc>
          <w:tcPr>
            <w:tcW w:type="dxa" w:w="2835"/>
          </w:tcPr>
          <w:p>
            <w:r/>
            <w:r>
              <w:rPr>
                <w:rFonts w:ascii="Arial" w:hAnsi="Arial"/>
                <w:sz w:val="18"/>
              </w:rPr>
              <w:t>Relations experts, assurances, clients</w:t>
            </w:r>
          </w:p>
        </w:tc>
        <w:tc>
          <w:tcPr>
            <w:tcW w:type="dxa" w:w="6463"/>
          </w:tcPr>
          <w:p>
            <w:r/>
            <w:r>
              <w:rPr>
                <w:rFonts w:ascii="Arial" w:hAnsi="Arial"/>
                <w:sz w:val="18"/>
              </w:rPr>
              <w:t xml:space="preserve">relances (experts, compagnies, clients), suivi des accords et des règlements, portail client.</w:t>
            </w:r>
          </w:p>
        </w:tc>
      </w:tr>
      <w:tr>
        <w:tc>
          <w:tcPr>
            <w:tcW w:type="dxa" w:w="2835"/>
            <w:shd w:val="clear" w:color="auto" w:fill="F6F7FB"/>
          </w:tcPr>
          <w:p>
            <w:r/>
            <w:r>
              <w:rPr>
                <w:rFonts w:ascii="Arial" w:hAnsi="Arial"/>
                <w:sz w:val="18"/>
              </w:rPr>
              <w:t>Encaissement et suivi financier</w:t>
            </w:r>
          </w:p>
        </w:tc>
        <w:tc>
          <w:tcPr>
            <w:tcW w:type="dxa" w:w="6463"/>
            <w:shd w:val="clear" w:color="auto" w:fill="F6F7FB"/>
          </w:tcPr>
          <w:p>
            <w:r/>
            <w:r>
              <w:rPr>
                <w:rFonts w:ascii="Arial" w:hAnsi="Arial"/>
                <w:sz w:val="18"/>
              </w:rPr>
              <w:t>suivi des paiements, relances d'impayés selon la procédure du garage, échéanciers, rapprochement bancaire, point mensuel.</w:t>
            </w:r>
          </w:p>
        </w:tc>
      </w:tr>
      <w:tr>
        <w:tc>
          <w:tcPr>
            <w:tcW w:type="dxa" w:w="2835"/>
          </w:tcPr>
          <w:p>
            <w:r/>
            <w:r>
              <w:rPr>
                <w:rFonts w:ascii="Arial" w:hAnsi="Arial"/>
                <w:sz w:val="18"/>
              </w:rPr>
              <w:t>Atelier et logistique</w:t>
            </w:r>
          </w:p>
        </w:tc>
        <w:tc>
          <w:tcPr>
            <w:tcW w:type="dxa" w:w="6463"/>
          </w:tcPr>
          <w:p>
            <w:r/>
            <w:r>
              <w:rPr>
                <w:rFonts w:ascii="Arial" w:hAnsi="Arial"/>
                <w:sz w:val="18"/>
              </w:rPr>
              <w:t>planning de l'atelier, commandes de pièces, véhicules présents.</w:t>
            </w:r>
          </w:p>
        </w:tc>
      </w:tr>
      <w:tr>
        <w:tc>
          <w:tcPr>
            <w:tcW w:type="dxa" w:w="2835"/>
            <w:shd w:val="clear" w:color="auto" w:fill="F6F7FB"/>
          </w:tcPr>
          <w:p>
            <w:r/>
            <w:r>
              <w:rPr>
                <w:rFonts w:ascii="Arial" w:hAnsi="Arial"/>
                <w:sz w:val="18"/>
              </w:rPr>
              <w:t>Administratif</w:t>
            </w:r>
          </w:p>
        </w:tc>
        <w:tc>
          <w:tcPr>
            <w:tcW w:type="dxa" w:w="6463"/>
            <w:shd w:val="clear" w:color="auto" w:fill="F6F7FB"/>
          </w:tcPr>
          <w:p>
            <w:r/>
            <w:r>
              <w:rPr>
                <w:rFonts w:ascii="Arial" w:hAnsi="Arial"/>
                <w:sz w:val="18"/>
              </w:rPr>
              <w:t>boîte email du garage, annuaire, classement et archivage des pièces.</w:t>
            </w:r>
          </w:p>
        </w:tc>
      </w:tr>
    </w:tbl>
    <w:p>
      <w:pPr>
        <w:spacing w:after="40"/>
      </w:pPr>
    </w:p>
    <w:p>
      <w:pPr>
        <w:keepNext/>
        <w:spacing w:before="120" w:after="40"/>
      </w:pPr>
      <w:r>
        <w:rPr>
          <w:rFonts w:ascii="Arial" w:hAnsi="Arial"/>
          <w:b/>
          <w:color w:val="DB2777"/>
          <w:sz w:val="22"/>
        </w:rPr>
        <w:t>Hors périmètre — jamais confié, même contre rémunération</w:t>
      </w:r>
    </w:p>
    <w:p>
      <w:pPr>
        <w:pStyle w:val="ListBullet"/>
        <w:spacing w:after="40"/>
      </w:pPr>
      <w:r>
        <w:rPr>
          <w:rFonts w:ascii="Arial" w:hAnsi="Arial"/>
          <w:sz w:val="20"/>
        </w:rPr>
        <w:t>Comptabilité, bilan, déclarations fiscales ou de TVA du garage ; paie et gestion du personnel.</w:t>
      </w:r>
    </w:p>
    <w:p>
      <w:pPr>
        <w:pStyle w:val="ListBullet"/>
        <w:spacing w:after="40"/>
      </w:pPr>
      <w:r>
        <w:rPr>
          <w:rFonts w:ascii="Arial" w:hAnsi="Arial"/>
          <w:sz w:val="20"/>
        </w:rPr>
        <w:t>Signature ou engagement juridique au nom du garage ; négociation d'une responsabilité, d'une garantie ou d'une indemnité avec un assureur.</w:t>
      </w:r>
    </w:p>
    <w:p>
      <w:pPr>
        <w:pStyle w:val="ListBullet"/>
        <w:spacing w:after="40"/>
      </w:pPr>
      <w:r>
        <w:rPr>
          <w:rFonts w:ascii="Arial" w:hAnsi="Arial"/>
          <w:sz w:val="20"/>
        </w:rPr>
        <w:t>Manipulation de fonds, encaissement d'espèces, détention des moyens de paiement du garage.</w:t>
      </w:r>
    </w:p>
    <w:p>
      <w:pPr>
        <w:pStyle w:val="ListBullet"/>
        <w:spacing w:after="40"/>
      </w:pPr>
      <w:r>
        <w:rPr>
          <w:rFonts w:ascii="Arial" w:hAnsi="Arial"/>
          <w:sz w:val="20"/>
        </w:rPr>
        <w:t>Démarchage commercial pour le garage ; tâches relevant d'une profession réglementée ; tâches personnelles du dirigeant.</w:t>
      </w:r>
    </w:p>
    <w:p>
      <w:pPr>
        <w:pStyle w:val="ListBullet"/>
        <w:spacing w:after="40"/>
      </w:pPr>
      <w:r>
        <w:rPr>
          <w:rFonts w:ascii="Arial" w:hAnsi="Arial"/>
          <w:sz w:val="20"/>
        </w:rPr>
        <w:t>Toute tâche réalisée hors de la plateforme My Easy Auto et non prévue à l'annexe 2.</w:t>
      </w:r>
    </w:p>
    <w:p>
      <w:pPr>
        <w:keepNext/>
        <w:spacing w:before="240" w:after="80"/>
      </w:pPr>
      <w:r>
        <w:rPr>
          <w:rFonts w:ascii="Arial" w:hAnsi="Arial"/>
          <w:b/>
          <w:color w:val="7C3AED"/>
          <w:sz w:val="26"/>
        </w:rPr>
        <w:t>5. Ce qui marche — bonnes pratiques</w:t>
      </w:r>
    </w:p>
    <w:p>
      <w:r>
        <w:rPr>
          <w:rFonts w:ascii="Arial" w:hAnsi="Arial"/>
          <w:sz w:val="20"/>
        </w:rPr>
        <w:t>Ces pratiques sont des recommandations issues du terrain, pas des consignes : vous restez libre de votre organisation. Elles décrivent ce qui permet de tenir l'engagement de qualité de l'article 9.</w:t>
      </w:r>
    </w:p>
    <w:p>
      <w:pPr>
        <w:keepNext/>
        <w:spacing w:before="120" w:after="40"/>
      </w:pPr>
      <w:r>
        <w:rPr>
          <w:rFonts w:ascii="Arial" w:hAnsi="Arial"/>
          <w:b/>
          <w:color w:val="DB2777"/>
          <w:sz w:val="22"/>
        </w:rPr>
        <w:t>Au quotidien</w:t>
      </w:r>
    </w:p>
    <w:p>
      <w:pPr>
        <w:pStyle w:val="ListBullet"/>
        <w:spacing w:after="40"/>
      </w:pPr>
      <w:r>
        <w:rPr>
          <w:rFonts w:ascii="Arial" w:hAnsi="Arial"/>
          <w:sz w:val="20"/>
        </w:rPr>
        <w:t>Ouvrir le tableau de bord : le bloc « À faire » ne contient que les tâches écrites par le garage ou par vous — rien d'automatique. La fiche de chaque dossier propose une prochaine action à programmer ou à ignorer.</w:t>
      </w:r>
    </w:p>
    <w:p>
      <w:pPr>
        <w:pStyle w:val="ListBullet"/>
        <w:spacing w:after="40"/>
      </w:pPr>
      <w:r>
        <w:rPr>
          <w:rFonts w:ascii="Arial" w:hAnsi="Arial"/>
          <w:sz w:val="20"/>
        </w:rPr>
        <w:t xml:space="preserve">Suivre dans la boîte mail du garage les échanges utiles aux dossiers (accords d'experts, réponses d'assureurs, relances clients) et les rattacher au bon dossier.</w:t>
      </w:r>
    </w:p>
    <w:p>
      <w:pPr>
        <w:pStyle w:val="ListBullet"/>
        <w:spacing w:after="40"/>
      </w:pPr>
      <w:r>
        <w:rPr>
          <w:rFonts w:ascii="Arial" w:hAnsi="Arial"/>
          <w:sz w:val="20"/>
        </w:rPr>
        <w:t>Relancer ce qui doit l'être : relances graduées (assurances, experts, clients) ; la mise en demeure ne part qu'avec la validation expresse du garage.</w:t>
      </w:r>
    </w:p>
    <w:p>
      <w:pPr>
        <w:pStyle w:val="ListBullet"/>
        <w:spacing w:after="40"/>
      </w:pPr>
      <w:r>
        <w:rPr>
          <w:rFonts w:ascii="Arial" w:hAnsi="Arial"/>
          <w:sz w:val="20"/>
        </w:rPr>
        <w:t>Écrire : un appel, une promesse d'assureur, un accord verbal → note ou événement dans le dossier. Ce qui n'est pas écrit n'existe pas.</w:t>
      </w:r>
    </w:p>
    <w:p>
      <w:pPr>
        <w:pStyle w:val="ListBullet"/>
        <w:spacing w:after="40"/>
      </w:pPr>
      <w:r>
        <w:rPr>
          <w:rFonts w:ascii="Arial" w:hAnsi="Arial"/>
          <w:sz w:val="20"/>
        </w:rPr>
        <w:t>Utiliser la Conversation avec le garage (messagerie interne) plutôt que le téléphone pour tout ce qui doit laisser une trace.</w:t>
      </w:r>
    </w:p>
    <w:p>
      <w:pPr>
        <w:keepNext/>
        <w:spacing w:before="120" w:after="40"/>
      </w:pPr>
      <w:r>
        <w:rPr>
          <w:rFonts w:ascii="Arial" w:hAnsi="Arial"/>
          <w:b/>
          <w:color w:val="DB2777"/>
          <w:sz w:val="22"/>
        </w:rPr>
        <w:t>Chaque semaine et chaque fin de mois</w:t>
      </w:r>
    </w:p>
    <w:p>
      <w:pPr>
        <w:pStyle w:val="ListBullet"/>
        <w:spacing w:after="40"/>
      </w:pPr>
      <w:r>
        <w:rPr>
          <w:rFonts w:ascii="Arial" w:hAnsi="Arial"/>
          <w:sz w:val="20"/>
        </w:rPr>
        <w:t>Importer le CSV bancaire et rapprocher les paiements ; signaler les écarts au garage.</w:t>
      </w:r>
    </w:p>
    <w:p>
      <w:pPr>
        <w:pStyle w:val="ListBullet"/>
        <w:spacing w:after="40"/>
      </w:pPr>
      <w:r>
        <w:rPr>
          <w:rFonts w:ascii="Arial" w:hAnsi="Arial"/>
          <w:sz w:val="20"/>
        </w:rPr>
        <w:t>Revoir les dossiers sans mouvement depuis 7 jours et les dossiers en mode litige.</w:t>
      </w:r>
    </w:p>
    <w:p>
      <w:pPr>
        <w:pStyle w:val="ListBullet"/>
        <w:spacing w:after="40"/>
      </w:pPr>
      <w:r>
        <w:rPr>
          <w:rFonts w:ascii="Arial" w:hAnsi="Arial"/>
          <w:sz w:val="20"/>
        </w:rPr>
        <w:t xml:space="preserve">Vérifier votre compteur d'heures (voir § 6), puis adresser facture + relevé à MY EASY AUTO avant le 5.</w:t>
      </w:r>
    </w:p>
    <w:p>
      <w:pPr>
        <w:pStyle w:val="ListBullet"/>
        <w:spacing w:after="40"/>
      </w:pPr>
      <w:r>
        <w:rPr>
          <w:rFonts w:ascii="Arial" w:hAnsi="Arial"/>
          <w:sz w:val="20"/>
        </w:rPr>
        <w:t xml:space="preserve">Signaler à MY EASY AUTO — pas au garage — un forfait régulièrement dépassé ou sous-consommé.</w:t>
      </w:r>
    </w:p>
    <w:p>
      <w:pPr>
        <w:keepNext/>
        <w:spacing w:before="240" w:after="80"/>
      </w:pPr>
      <w:r>
        <w:rPr>
          <w:rFonts w:ascii="Arial" w:hAnsi="Arial"/>
          <w:b/>
          <w:color w:val="7C3AED"/>
          <w:sz w:val="26"/>
        </w:rPr>
        <w:t>6. Le compteur d'heures : votre relevé, votre preuve</w:t>
      </w:r>
    </w:p>
    <w:p>
      <w:r>
        <w:rPr>
          <w:rFonts w:ascii="Arial" w:hAnsi="Arial"/>
          <w:sz w:val="20"/>
        </w:rPr>
        <w:t>En bas de la page Conversation, vous déclarez votre temps au fil de l'eau : le jour, la durée, ce que vous avez fait (obligatoire) et le ou les dossiers concernés — plusieurs dossiers sur une même ligne si l'appel couvrait plusieurs sinistres. Le total du mois s'affiche face au forfait du garage.</w:t>
      </w:r>
    </w:p>
    <w:p>
      <w:pPr>
        <w:pStyle w:val="ListBullet"/>
        <w:spacing w:after="40"/>
      </w:pPr>
      <w:r>
        <w:rPr>
          <w:rFonts w:ascii="Arial" w:hAnsi="Arial"/>
          <w:sz w:val="20"/>
        </w:rPr>
        <w:t>La description est votre protection : « appelé AXA pour débloquer le règlement du dossier AB-123-CD » vaut mieux que « relances ».</w:t>
      </w:r>
    </w:p>
    <w:p>
      <w:pPr>
        <w:pStyle w:val="ListBullet"/>
        <w:spacing w:after="40"/>
      </w:pPr>
      <w:r>
        <w:rPr>
          <w:rFonts w:ascii="Arial" w:hAnsi="Arial"/>
          <w:sz w:val="20"/>
        </w:rPr>
        <w:t>Le relevé de la plateforme fait foi pour votre facture et pour toute heure supplémentaire (art. 7 et 8).</w:t>
      </w:r>
    </w:p>
    <w:p>
      <w:pPr>
        <w:pStyle w:val="ListBullet"/>
        <w:spacing w:after="40"/>
      </w:pPr>
      <w:r>
        <w:rPr>
          <w:rFonts w:ascii="Arial" w:hAnsi="Arial"/>
          <w:sz w:val="20"/>
        </w:rPr>
        <w:t xml:space="preserve">Un dépassement du forfait s'anticipe : prévenez MY EASY AUTO avant, jamais le garage en direct.</w:t>
      </w:r>
    </w:p>
    <w:p>
      <w:pPr>
        <w:keepNext/>
        <w:spacing w:before="240" w:after="80"/>
      </w:pPr>
      <w:r>
        <w:rPr>
          <w:rFonts w:ascii="Arial" w:hAnsi="Arial"/>
          <w:b/>
          <w:color w:val="7C3AED"/>
          <w:sz w:val="26"/>
        </w:rPr>
        <w:t>7. Facturation et revenus</w:t>
      </w:r>
    </w:p>
    <w:p>
      <w:r>
        <w:rPr>
          <w:rFonts w:ascii="Arial" w:hAnsi="Arial"/>
          <w:b/>
          <w:sz w:val="20"/>
        </w:rPr>
        <w:t xml:space="preserve">Vous facturez MY EASY AUTO, jamais les garages : </w:t>
      </w:r>
      <w:r>
        <w:rPr>
          <w:rFonts w:ascii="Arial" w:hAnsi="Arial"/>
          <w:sz w:val="20"/>
        </w:rPr>
        <w:t xml:space="preserve">heures de forfait de chaque garage affecté × votre taux horaire (17 € HT de l'heure au démarrage, négociable — annexe 1), pour chaque mois encaissé par MY EASY AUTO. Une remise accordée au garage par un commercial ne change rien à votre rémunération.</w:t>
      </w:r>
    </w:p>
    <w:tbl>
      <w:tblPr>
        <w:tblStyle w:val="TableGrid"/>
        <w:tblW w:type="auto" w:w="0"/>
        <w:jc w:val="center"/>
        <w:tblLayout w:type="fixed"/>
        <w:tblLook w:firstColumn="1" w:firstRow="1" w:lastColumn="0" w:lastRow="0" w:noHBand="0" w:noVBand="1" w:val="04A0"/>
        <w:tblLayout w:type="fixed"/>
      </w:tblPr>
      <w:tblGrid>
        <w:gridCol w:w="3402"/>
        <w:gridCol w:w="1928"/>
        <w:gridCol w:w="3969"/>
      </w:tblGrid>
      <w:tr>
        <w:tc>
          <w:tcPr>
            <w:tcW w:type="dxa" w:w="3402"/>
            <w:shd w:val="clear" w:color="auto" w:fill="7C3AED"/>
          </w:tcPr>
          <w:p>
            <w:r/>
            <w:r>
              <w:rPr>
                <w:rFonts w:ascii="Arial" w:hAnsi="Arial"/>
                <w:b/>
                <w:color w:val="FFFFFF"/>
                <w:sz w:val="18"/>
              </w:rPr>
              <w:t>Formule du garage</w:t>
            </w:r>
          </w:p>
        </w:tc>
        <w:tc>
          <w:tcPr>
            <w:tcW w:type="dxa" w:w="1928"/>
            <w:shd w:val="clear" w:color="auto" w:fill="7C3AED"/>
          </w:tcPr>
          <w:p>
            <w:r/>
            <w:r>
              <w:rPr>
                <w:rFonts w:ascii="Arial" w:hAnsi="Arial"/>
                <w:b/>
                <w:color w:val="FFFFFF"/>
                <w:sz w:val="18"/>
              </w:rPr>
              <w:t>Heures de forfait</w:t>
            </w:r>
          </w:p>
        </w:tc>
        <w:tc>
          <w:tcPr>
            <w:tcW w:type="dxa" w:w="3969"/>
            <w:shd w:val="clear" w:color="auto" w:fill="7C3AED"/>
          </w:tcPr>
          <w:p>
            <w:r/>
            <w:r>
              <w:rPr>
                <w:rFonts w:ascii="Arial" w:hAnsi="Arial"/>
                <w:b/>
                <w:color w:val="FFFFFF"/>
                <w:sz w:val="18"/>
              </w:rPr>
              <w:t>À 17 € HT / h — votre chiffre d'affaires (BRUT)</w:t>
            </w:r>
          </w:p>
        </w:tc>
      </w:tr>
      <w:tr>
        <w:tc>
          <w:tcPr>
            <w:tcW w:type="dxa" w:w="3402"/>
          </w:tcPr>
          <w:p>
            <w:r/>
            <w:r>
              <w:rPr>
                <w:rFonts w:ascii="Arial" w:hAnsi="Arial"/>
                <w:sz w:val="18"/>
              </w:rPr>
              <w:t>ADHÉSION SERVICE PLUS</w:t>
            </w:r>
          </w:p>
        </w:tc>
        <w:tc>
          <w:tcPr>
            <w:tcW w:type="dxa" w:w="1928"/>
          </w:tcPr>
          <w:p>
            <w:r/>
            <w:r>
              <w:rPr>
                <w:rFonts w:ascii="Arial" w:hAnsi="Arial"/>
                <w:sz w:val="18"/>
              </w:rPr>
              <w:t>10 h / mois</w:t>
            </w:r>
          </w:p>
        </w:tc>
        <w:tc>
          <w:tcPr>
            <w:tcW w:type="dxa" w:w="3969"/>
          </w:tcPr>
          <w:p>
            <w:r/>
            <w:r>
              <w:rPr>
                <w:rFonts w:ascii="Arial" w:hAnsi="Arial"/>
                <w:sz w:val="18"/>
              </w:rPr>
              <w:t>170 € par garage et par mois</w:t>
            </w:r>
          </w:p>
        </w:tc>
      </w:tr>
      <w:tr>
        <w:tc>
          <w:tcPr>
            <w:tcW w:type="dxa" w:w="3402"/>
            <w:shd w:val="clear" w:color="auto" w:fill="F6F7FB"/>
          </w:tcPr>
          <w:p>
            <w:r/>
            <w:r>
              <w:rPr>
                <w:rFonts w:ascii="Arial" w:hAnsi="Arial"/>
                <w:sz w:val="18"/>
              </w:rPr>
              <w:t>ADHÉSION SERVICE PREMIUM</w:t>
            </w:r>
          </w:p>
        </w:tc>
        <w:tc>
          <w:tcPr>
            <w:tcW w:type="dxa" w:w="1928"/>
            <w:shd w:val="clear" w:color="auto" w:fill="F6F7FB"/>
          </w:tcPr>
          <w:p>
            <w:r/>
            <w:r>
              <w:rPr>
                <w:rFonts w:ascii="Arial" w:hAnsi="Arial"/>
                <w:sz w:val="18"/>
              </w:rPr>
              <w:t>20 h / mois</w:t>
            </w:r>
          </w:p>
        </w:tc>
        <w:tc>
          <w:tcPr>
            <w:tcW w:type="dxa" w:w="3969"/>
            <w:shd w:val="clear" w:color="auto" w:fill="F6F7FB"/>
          </w:tcPr>
          <w:p>
            <w:r/>
            <w:r>
              <w:rPr>
                <w:rFonts w:ascii="Arial" w:hAnsi="Arial"/>
                <w:sz w:val="18"/>
              </w:rPr>
              <w:t>340 €</w:t>
            </w:r>
          </w:p>
        </w:tc>
      </w:tr>
      <w:tr>
        <w:tc>
          <w:tcPr>
            <w:tcW w:type="dxa" w:w="3402"/>
          </w:tcPr>
          <w:p>
            <w:r/>
            <w:r>
              <w:rPr>
                <w:rFonts w:ascii="Arial" w:hAnsi="Arial"/>
                <w:sz w:val="18"/>
              </w:rPr>
              <w:t>ADHÉSION SERVICE ULTIMATE</w:t>
            </w:r>
          </w:p>
        </w:tc>
        <w:tc>
          <w:tcPr>
            <w:tcW w:type="dxa" w:w="1928"/>
          </w:tcPr>
          <w:p>
            <w:r/>
            <w:r>
              <w:rPr>
                <w:rFonts w:ascii="Arial" w:hAnsi="Arial"/>
                <w:sz w:val="18"/>
              </w:rPr>
              <w:t>40 h / mois</w:t>
            </w:r>
          </w:p>
        </w:tc>
        <w:tc>
          <w:tcPr>
            <w:tcW w:type="dxa" w:w="3969"/>
          </w:tcPr>
          <w:p>
            <w:r/>
            <w:r>
              <w:rPr>
                <w:rFonts w:ascii="Arial" w:hAnsi="Arial"/>
                <w:sz w:val="18"/>
              </w:rPr>
              <w:t>680 €</w:t>
            </w:r>
          </w:p>
        </w:tc>
      </w:tr>
      <w:tr>
        <w:tc>
          <w:tcPr>
            <w:tcW w:type="dxa" w:w="3402"/>
            <w:shd w:val="clear" w:color="auto" w:fill="F6F7FB"/>
          </w:tcPr>
          <w:p>
            <w:r/>
            <w:r>
              <w:rPr>
                <w:rFonts w:ascii="Arial" w:hAnsi="Arial"/>
                <w:sz w:val="18"/>
              </w:rPr>
              <w:t>Heure supplémentaire (accord écrit des 3 parties)</w:t>
            </w:r>
          </w:p>
        </w:tc>
        <w:tc>
          <w:tcPr>
            <w:tcW w:type="dxa" w:w="1928"/>
            <w:shd w:val="clear" w:color="auto" w:fill="F6F7FB"/>
          </w:tcPr>
          <w:p>
            <w:r/>
            <w:r>
              <w:rPr>
                <w:rFonts w:ascii="Arial" w:hAnsi="Arial"/>
                <w:sz w:val="18"/>
              </w:rPr>
              <w:t>—</w:t>
            </w:r>
          </w:p>
        </w:tc>
        <w:tc>
          <w:tcPr>
            <w:tcW w:type="dxa" w:w="3969"/>
            <w:shd w:val="clear" w:color="auto" w:fill="F6F7FB"/>
          </w:tcPr>
          <w:p>
            <w:r/>
            <w:r>
              <w:rPr>
                <w:rFonts w:ascii="Arial" w:hAnsi="Arial"/>
                <w:sz w:val="18"/>
              </w:rPr>
              <w:t>17 € (même taux)</w:t>
            </w:r>
          </w:p>
        </w:tc>
      </w:tr>
    </w:tbl>
    <w:p>
      <w:pPr>
        <w:spacing w:after="40"/>
      </w:pPr>
    </w:p>
    <w:tbl>
      <w:tblPr>
        <w:tblW w:type="auto" w:w="0"/>
        <w:tblLook w:firstColumn="1" w:firstRow="1" w:lastColumn="0" w:lastRow="0" w:noHBand="0" w:noVBand="1" w:val="04A0"/>
      </w:tblPr>
      <w:tblGrid>
        <w:gridCol w:w="9866"/>
      </w:tblGrid>
      <w:tr>
        <w:tc>
          <w:tcPr>
            <w:tcW w:type="dxa" w:w="9866"/>
            <w:shd w:val="clear" w:color="auto" w:fill="FDF2F8"/>
            <w:tcBorders>
              <w:top w:val="nil"/>
              <w:bottom w:val="nil"/>
              <w:right w:val="nil"/>
              <w:left w:val="single" w:sz="24" w:color="DB2777"/>
            </w:tcBorders>
          </w:tcPr>
          <w:p>
            <w:r>
              <w:rPr>
                <w:rFonts w:ascii="Arial" w:hAnsi="Arial"/>
                <w:b/>
                <w:color w:val="DB2777"/>
                <w:sz w:val="20"/>
              </w:rPr>
              <w:t>BRUT, pas NET</w:t>
            </w:r>
          </w:p>
          <w:p>
            <w:r>
              <w:rPr>
                <w:rFonts w:ascii="Arial" w:hAnsi="Arial"/>
                <w:sz w:val="19"/>
              </w:rPr>
              <w:t>17 € HT de l'heure est votre chiffre d'affaires : personne ne prélève rien pour vous. Vous payez ensuite vos cotisations à l'URSSAF (21,2 % en prestations de services BIC, 25,6 % en libéral BNC — taux constatés en septembre 2026), puis votre impôt. Le guide « Déclarer mes revenus », remis avec ce document, explique tout, y compris le cumul avec le RSA, la prime d'activité ou une allocation chômage.</w:t>
            </w:r>
          </w:p>
        </w:tc>
      </w:tr>
    </w:tbl>
    <w:p>
      <w:pPr>
        <w:spacing w:after="40"/>
      </w:pPr>
    </w:p>
    <w:p>
      <w:pPr>
        <w:pStyle w:val="ListBullet"/>
        <w:spacing w:after="40"/>
      </w:pPr>
      <w:r>
        <w:rPr>
          <w:rFonts w:ascii="Arial" w:hAnsi="Arial"/>
          <w:sz w:val="20"/>
        </w:rPr>
        <w:t>Facture + relevé d'heures avant le 5 du mois ; virement sous 10 jours. Mention « TVA non applicable, art. 293 B du CGI » tant que vous êtes en franchise.</w:t>
      </w:r>
    </w:p>
    <w:p>
      <w:pPr>
        <w:pStyle w:val="ListBullet"/>
        <w:spacing w:after="40"/>
      </w:pPr>
      <w:r>
        <w:rPr>
          <w:rFonts w:ascii="Arial" w:hAnsi="Arial"/>
          <w:sz w:val="20"/>
        </w:rPr>
        <w:t xml:space="preserve">Attestation de vigilance URSSAF à transmettre tous les six mois, et avant votre première facture. Sans elle, MY EASY AUTO ne peut pas vous régler (art. 16).</w:t>
      </w:r>
    </w:p>
    <w:p>
      <w:pPr>
        <w:pStyle w:val="ListBullet"/>
        <w:spacing w:after="40"/>
      </w:pPr>
      <w:r>
        <w:rPr>
          <w:rFonts w:ascii="Arial" w:hAnsi="Arial"/>
          <w:sz w:val="20"/>
        </w:rPr>
        <w:t>Assurance responsabilité civile professionnelle à jour, attestation transmise chaque année (art. 15).</w:t>
      </w:r>
    </w:p>
    <w:p>
      <w:pPr>
        <w:keepNext/>
        <w:spacing w:before="240" w:after="80"/>
      </w:pPr>
      <w:r>
        <w:rPr>
          <w:rFonts w:ascii="Arial" w:hAnsi="Arial"/>
          <w:b/>
          <w:color w:val="7C3AED"/>
          <w:sz w:val="26"/>
        </w:rPr>
        <w:t>8. Démarrage d'un nouveau garage — check-list</w:t>
      </w:r>
    </w:p>
    <w:p>
      <w:pPr>
        <w:pStyle w:val="ListBullet"/>
        <w:spacing w:after="40"/>
      </w:pPr>
      <w:r>
        <w:rPr>
          <w:rFonts w:ascii="Arial" w:hAnsi="Arial"/>
          <w:sz w:val="20"/>
        </w:rPr>
        <w:t xml:space="preserve">Compte plateforme créé par MY EASY AUTO et profil du garage complété (SIRET, TVA, IBAN, logo, mentions, modèle de PDF).</w:t>
      </w:r>
    </w:p>
    <w:p>
      <w:pPr>
        <w:pStyle w:val="ListBullet"/>
        <w:spacing w:after="40"/>
      </w:pPr>
      <w:r>
        <w:rPr>
          <w:rFonts w:ascii="Arial" w:hAnsi="Arial"/>
          <w:sz w:val="20"/>
        </w:rPr>
        <w:t>Reprise des dossiers en cours : créer les dossiers actifs avec leur statut réel.</w:t>
      </w:r>
    </w:p>
    <w:p>
      <w:pPr>
        <w:pStyle w:val="ListBullet"/>
        <w:spacing w:after="40"/>
      </w:pPr>
      <w:r>
        <w:rPr>
          <w:rFonts w:ascii="Arial" w:hAnsi="Arial"/>
          <w:sz w:val="20"/>
        </w:rPr>
        <w:t>Boîte mail du garage configurée (envoi des devis / factures depuis son adresse) et signature d'email renseignée.</w:t>
      </w:r>
    </w:p>
    <w:p>
      <w:pPr>
        <w:pStyle w:val="ListBullet"/>
        <w:spacing w:after="40"/>
      </w:pPr>
      <w:r>
        <w:rPr>
          <w:rFonts w:ascii="Arial" w:hAnsi="Arial"/>
          <w:sz w:val="20"/>
        </w:rPr>
        <w:t>Annuaire initialisé : assureurs, cabinets d'experts, plateformes habituelles ; agréments à tarif particulier notés.</w:t>
      </w:r>
    </w:p>
    <w:p>
      <w:pPr>
        <w:pStyle w:val="ListBullet"/>
        <w:spacing w:after="40"/>
      </w:pPr>
      <w:r>
        <w:rPr>
          <w:rFonts w:ascii="Arial" w:hAnsi="Arial"/>
          <w:sz w:val="20"/>
        </w:rPr>
        <w:t>Circuit de signature testé avec le responsable (tablette + lien).</w:t>
      </w:r>
    </w:p>
    <w:p>
      <w:pPr>
        <w:pStyle w:val="ListBullet"/>
        <w:spacing w:after="40"/>
      </w:pPr>
      <w:r>
        <w:rPr>
          <w:rFonts w:ascii="Arial" w:hAnsi="Arial"/>
          <w:sz w:val="20"/>
        </w:rPr>
        <w:t>Rôle « Chargé de mission » choisi dans la Conversation sur votre appareil ; premier échange écrit avec le garage sur ses priorités.</w:t>
      </w:r>
    </w:p>
    <w:p>
      <w:pPr>
        <w:keepNext/>
        <w:spacing w:before="240" w:after="80"/>
      </w:pPr>
      <w:r>
        <w:rPr>
          <w:rFonts w:ascii="Arial" w:hAnsi="Arial"/>
          <w:b/>
          <w:color w:val="7C3AED"/>
          <w:sz w:val="26"/>
        </w:rPr>
        <w:t>9. Si quelque chose se passe mal</w:t>
      </w:r>
    </w:p>
    <w:tbl>
      <w:tblPr>
        <w:tblStyle w:val="TableGrid"/>
        <w:tblW w:type="auto" w:w="0"/>
        <w:jc w:val="center"/>
        <w:tblLayout w:type="fixed"/>
        <w:tblLook w:firstColumn="1" w:firstRow="1" w:lastColumn="0" w:lastRow="0" w:noHBand="0" w:noVBand="1" w:val="04A0"/>
        <w:tblLayout w:type="fixed"/>
      </w:tblPr>
      <w:tblGrid>
        <w:gridCol w:w="3061"/>
        <w:gridCol w:w="6236"/>
      </w:tblGrid>
      <w:tr>
        <w:tc>
          <w:tcPr>
            <w:tcW w:type="dxa" w:w="3061"/>
            <w:shd w:val="clear" w:color="auto" w:fill="7C3AED"/>
          </w:tcPr>
          <w:p>
            <w:r/>
            <w:r>
              <w:rPr>
                <w:rFonts w:ascii="Arial" w:hAnsi="Arial"/>
                <w:b/>
                <w:color w:val="FFFFFF"/>
                <w:sz w:val="18"/>
              </w:rPr>
              <w:t>Situation</w:t>
            </w:r>
          </w:p>
        </w:tc>
        <w:tc>
          <w:tcPr>
            <w:tcW w:type="dxa" w:w="6236"/>
            <w:shd w:val="clear" w:color="auto" w:fill="7C3AED"/>
          </w:tcPr>
          <w:p>
            <w:r/>
            <w:r>
              <w:rPr>
                <w:rFonts w:ascii="Arial" w:hAnsi="Arial"/>
                <w:b/>
                <w:color w:val="FFFFFF"/>
                <w:sz w:val="18"/>
              </w:rPr>
              <w:t>Ce qui est prévu</w:t>
            </w:r>
          </w:p>
        </w:tc>
      </w:tr>
      <w:tr>
        <w:tc>
          <w:tcPr>
            <w:tcW w:type="dxa" w:w="3061"/>
          </w:tcPr>
          <w:p>
            <w:r/>
            <w:r>
              <w:rPr>
                <w:rFonts w:ascii="Arial" w:hAnsi="Arial"/>
                <w:sz w:val="18"/>
              </w:rPr>
              <w:t>Un garage vous sollicite en direct (heures, mission, embauche)</w:t>
            </w:r>
          </w:p>
        </w:tc>
        <w:tc>
          <w:tcPr>
            <w:tcW w:type="dxa" w:w="6236"/>
          </w:tcPr>
          <w:p>
            <w:r/>
            <w:r>
              <w:rPr>
                <w:rFonts w:ascii="Arial" w:hAnsi="Arial"/>
                <w:sz w:val="18"/>
              </w:rPr>
              <w:t xml:space="preserve">Vous refusez poliment et vous prévenez MY EASY AUTO : toute mise en relation passe par le donneur d'ordre (art. 17).</w:t>
            </w:r>
          </w:p>
        </w:tc>
      </w:tr>
      <w:tr>
        <w:tc>
          <w:tcPr>
            <w:tcW w:type="dxa" w:w="3061"/>
            <w:shd w:val="clear" w:color="auto" w:fill="F6F7FB"/>
          </w:tcPr>
          <w:p>
            <w:r/>
            <w:r>
              <w:rPr>
                <w:rFonts w:ascii="Arial" w:hAnsi="Arial"/>
                <w:sz w:val="18"/>
              </w:rPr>
              <w:t>Un garage se plaint de votre travail</w:t>
            </w:r>
          </w:p>
        </w:tc>
        <w:tc>
          <w:tcPr>
            <w:tcW w:type="dxa" w:w="6236"/>
            <w:shd w:val="clear" w:color="auto" w:fill="F6F7FB"/>
          </w:tcPr>
          <w:p>
            <w:r/>
            <w:r>
              <w:rPr>
                <w:rFonts w:ascii="Arial" w:hAnsi="Arial"/>
                <w:sz w:val="18"/>
              </w:rPr>
              <w:t xml:space="preserve">Réclamation écrite → transmise par MY EASY AUTO → vos observations sous 8 jours → constat contradictoire (art. 10).</w:t>
            </w:r>
          </w:p>
        </w:tc>
      </w:tr>
      <w:tr>
        <w:tc>
          <w:tcPr>
            <w:tcW w:type="dxa" w:w="3061"/>
          </w:tcPr>
          <w:p>
            <w:r/>
            <w:r>
              <w:rPr>
                <w:rFonts w:ascii="Arial" w:hAnsi="Arial"/>
                <w:sz w:val="18"/>
              </w:rPr>
              <w:t>Le garage veut changer de chargé de mission</w:t>
            </w:r>
          </w:p>
        </w:tc>
        <w:tc>
          <w:tcPr>
            <w:tcW w:type="dxa" w:w="6236"/>
          </w:tcPr>
          <w:p>
            <w:r/>
            <w:r>
              <w:rPr>
                <w:rFonts w:ascii="Arial" w:hAnsi="Arial"/>
                <w:sz w:val="18"/>
              </w:rPr>
              <w:t>Fin d'affectation par avenant, préavis 15 jours, sans faute de votre part ; le contrat continue et d'autres garages peuvent vous être affectés (art. 11).</w:t>
            </w:r>
          </w:p>
        </w:tc>
      </w:tr>
      <w:tr>
        <w:tc>
          <w:tcPr>
            <w:tcW w:type="dxa" w:w="3061"/>
            <w:shd w:val="clear" w:color="auto" w:fill="F6F7FB"/>
          </w:tcPr>
          <w:p>
            <w:r/>
            <w:r>
              <w:rPr>
                <w:rFonts w:ascii="Arial" w:hAnsi="Arial"/>
                <w:sz w:val="18"/>
              </w:rPr>
              <w:t>Un litige s'envenime avec un assureur ou un client</w:t>
            </w:r>
          </w:p>
        </w:tc>
        <w:tc>
          <w:tcPr>
            <w:tcW w:type="dxa" w:w="6236"/>
            <w:shd w:val="clear" w:color="auto" w:fill="F6F7FB"/>
          </w:tcPr>
          <w:p>
            <w:r/>
            <w:r>
              <w:rPr>
                <w:rFonts w:ascii="Arial" w:hAnsi="Arial"/>
                <w:sz w:val="18"/>
              </w:rPr>
              <w:t xml:space="preserve">Vous passez le dossier en mode litige dans l'application et vous transmettez à MY EASY AUTO. Vous n'improvisez pas et ne prenez aucun engagement au nom du garage.</w:t>
            </w:r>
          </w:p>
        </w:tc>
      </w:tr>
      <w:tr>
        <w:tc>
          <w:tcPr>
            <w:tcW w:type="dxa" w:w="3061"/>
          </w:tcPr>
          <w:p>
            <w:r/>
            <w:r>
              <w:rPr>
                <w:rFonts w:ascii="Arial" w:hAnsi="Arial"/>
                <w:sz w:val="18"/>
              </w:rPr>
              <w:t>Votre matériel ou votre connexion tombe en panne</w:t>
            </w:r>
          </w:p>
        </w:tc>
        <w:tc>
          <w:tcPr>
            <w:tcW w:type="dxa" w:w="6236"/>
          </w:tcPr>
          <w:p>
            <w:r/>
            <w:r>
              <w:rPr>
                <w:rFonts w:ascii="Arial" w:hAnsi="Arial"/>
                <w:sz w:val="18"/>
              </w:rPr>
              <w:t xml:space="preserve">Vous restez responsable de vos moyens (art. 14) ; prévenez MY EASY AUTO pour organiser la continuité. Ce n'est pas un cas de force majeure (art. 22).</w:t>
            </w:r>
          </w:p>
        </w:tc>
      </w:tr>
      <w:tr>
        <w:tc>
          <w:tcPr>
            <w:tcW w:type="dxa" w:w="3061"/>
            <w:shd w:val="clear" w:color="auto" w:fill="F6F7FB"/>
          </w:tcPr>
          <w:p>
            <w:r/>
            <w:r>
              <w:rPr>
                <w:rFonts w:ascii="Arial" w:hAnsi="Arial"/>
                <w:sz w:val="18"/>
              </w:rPr>
              <w:t>Vous devez vous absenter longtemps</w:t>
            </w:r>
          </w:p>
        </w:tc>
        <w:tc>
          <w:tcPr>
            <w:tcW w:type="dxa" w:w="6236"/>
            <w:shd w:val="clear" w:color="auto" w:fill="F6F7FB"/>
          </w:tcPr>
          <w:p>
            <w:r/>
            <w:r>
              <w:rPr>
                <w:rFonts w:ascii="Arial" w:hAnsi="Arial"/>
                <w:sz w:val="18"/>
              </w:rPr>
              <w:t xml:space="preserve">Prévenez MY EASY AUTO dès que possible ; l'absence prolongée est traitée par l'article 5 (faculté de remplacement, réaffectation temporaire).</w:t>
            </w:r>
          </w:p>
        </w:tc>
      </w:tr>
    </w:tbl>
    <w:p>
      <w:pPr>
        <w:spacing w:after="40"/>
      </w:pPr>
    </w:p>
    <w:p>
      <w:pPr>
        <w:keepNext/>
        <w:spacing w:before="240" w:after="80"/>
      </w:pPr>
      <w:r>
        <w:rPr>
          <w:rFonts w:ascii="Arial" w:hAnsi="Arial"/>
          <w:b/>
          <w:color w:val="7C3AED"/>
          <w:sz w:val="26"/>
        </w:rPr>
        <w:t>10. Contacts</w:t>
      </w:r>
    </w:p>
    <w:tbl>
      <w:tblPr>
        <w:tblStyle w:val="TableGrid"/>
        <w:tblW w:type="auto" w:w="0"/>
        <w:jc w:val="center"/>
        <w:tblLayout w:type="fixed"/>
        <w:tblLook w:firstColumn="1" w:firstRow="1" w:lastColumn="0" w:lastRow="0" w:noHBand="0" w:noVBand="1" w:val="04A0"/>
        <w:tblLayout w:type="fixed"/>
      </w:tblPr>
      <w:tblGrid>
        <w:gridCol w:w="3969"/>
        <w:gridCol w:w="5329"/>
      </w:tblGrid>
      <w:tr>
        <w:tc>
          <w:tcPr>
            <w:tcW w:type="dxa" w:w="3969"/>
            <w:shd w:val="clear" w:color="auto" w:fill="7C3AED"/>
          </w:tcPr>
          <w:p>
            <w:r/>
            <w:r>
              <w:rPr>
                <w:rFonts w:ascii="Arial" w:hAnsi="Arial"/>
                <w:b/>
                <w:color w:val="FFFFFF"/>
                <w:sz w:val="18"/>
              </w:rPr>
              <w:t>Besoin</w:t>
            </w:r>
          </w:p>
        </w:tc>
        <w:tc>
          <w:tcPr>
            <w:tcW w:type="dxa" w:w="5329"/>
            <w:shd w:val="clear" w:color="auto" w:fill="7C3AED"/>
          </w:tcPr>
          <w:p>
            <w:r/>
            <w:r>
              <w:rPr>
                <w:rFonts w:ascii="Arial" w:hAnsi="Arial"/>
                <w:b/>
                <w:color w:val="FFFFFF"/>
                <w:sz w:val="18"/>
              </w:rPr>
              <w:t>Où</w:t>
            </w:r>
          </w:p>
        </w:tc>
      </w:tr>
      <w:tr>
        <w:tc>
          <w:tcPr>
            <w:tcW w:type="dxa" w:w="3969"/>
          </w:tcPr>
          <w:p>
            <w:r/>
            <w:r>
              <w:rPr>
                <w:rFonts w:ascii="Arial" w:hAnsi="Arial"/>
                <w:sz w:val="18"/>
              </w:rPr>
              <w:t>Coordination, affectations, heures supplémentaires, facturation</w:t>
            </w:r>
          </w:p>
        </w:tc>
        <w:tc>
          <w:tcPr>
            <w:tcW w:type="dxa" w:w="5329"/>
          </w:tcPr>
          <w:p>
            <w:r/>
            <w:r>
              <w:rPr>
                <w:rFonts w:ascii="Arial" w:hAnsi="Arial"/>
                <w:sz w:val="18"/>
              </w:rPr>
              <w:t>contact@myeasyauto.fr</w:t>
            </w:r>
          </w:p>
        </w:tc>
      </w:tr>
      <w:tr>
        <w:tc>
          <w:tcPr>
            <w:tcW w:type="dxa" w:w="3969"/>
            <w:shd w:val="clear" w:color="auto" w:fill="F6F7FB"/>
          </w:tcPr>
          <w:p>
            <w:r/>
            <w:r>
              <w:rPr>
                <w:rFonts w:ascii="Arial" w:hAnsi="Arial"/>
                <w:sz w:val="18"/>
              </w:rPr>
              <w:t>Support de la plateforme (bug, blocage)</w:t>
            </w:r>
          </w:p>
        </w:tc>
        <w:tc>
          <w:tcPr>
            <w:tcW w:type="dxa" w:w="5329"/>
            <w:shd w:val="clear" w:color="auto" w:fill="F6F7FB"/>
          </w:tcPr>
          <w:p>
            <w:r/>
            <w:r>
              <w:rPr>
                <w:rFonts w:ascii="Arial" w:hAnsi="Arial"/>
                <w:sz w:val="18"/>
              </w:rPr>
              <w:t>Aide &amp; incidents dans l'application, ou le même email — objet « Support My Easy Auto »</w:t>
            </w:r>
          </w:p>
        </w:tc>
      </w:tr>
      <w:tr>
        <w:tc>
          <w:tcPr>
            <w:tcW w:type="dxa" w:w="3969"/>
          </w:tcPr>
          <w:p>
            <w:r/>
            <w:r>
              <w:rPr>
                <w:rFonts w:ascii="Arial" w:hAnsi="Arial"/>
                <w:sz w:val="18"/>
              </w:rPr>
              <w:t>Urgence bloquante</w:t>
            </w:r>
          </w:p>
        </w:tc>
        <w:tc>
          <w:tcPr>
            <w:tcW w:type="dxa" w:w="5329"/>
          </w:tcPr>
          <w:p>
            <w:r/>
            <w:r>
              <w:rPr>
                <w:rFonts w:ascii="Arial" w:hAnsi="Arial"/>
                <w:sz w:val="18"/>
              </w:rPr>
              <w:t xml:space="preserve">[numéro à renseigner avant diffusion]</w:t>
            </w:r>
          </w:p>
        </w:tc>
      </w:tr>
    </w:tbl>
    <w:p>
      <w:pPr>
        <w:spacing w:after="40"/>
      </w:pPr>
    </w:p>
    <w:p>
      <w:r>
        <w:rPr>
          <w:rFonts w:ascii="Arial" w:hAnsi="Arial"/>
          <w:i/>
          <w:color w:val="64748B"/>
          <w:sz w:val="17"/>
        </w:rPr>
        <w:t>Ce guide est une aide à la compréhension du contrat de prestation v2.1 ; en cas de divergence, le contrat signé et ses annexes prévalent. Il ne constitue ni un conseil juridique, ni un conseil fiscal.</w:t>
      </w:r>
    </w:p>
    <w:sectPr w:rsidR="00FC693F" w:rsidRPr="0006063C" w:rsidSect="00034616">
      <w:footerReference w:type="default" r:id="rId9"/>
      <w:headerReference w:type="default" r:id="rId10"/>
      <w:headerReference w:type="first" r:id="rId11"/>
      <w:footerReference w:type="first" r:id="rId12"/>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4748B"/>
        <w:sz w:val="15"/>
      </w:rPr>
      <w:t xml:space="preserve">MY EASY AUTO — 144 avenue Charles-de-Gaulle, 92200 Neuilly-sur-Seine — SIRET 993 125 335 00014 — contact@myeasyauto.fr — Guide du collaborateur v2.1, septembre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rial" w:hAnsi="Arial" w:eastAsia="Arial"/>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