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
      </w:pPr>
      <w:r>
        <w:rPr>
          <w:rFonts w:ascii="Arial" w:cs="Arial" w:eastAsia="Arial" w:hAnsi="Arial"/>
          <w:b/>
          <w:bCs/>
          <w:color w:val="7C3AED"/>
          <w:spacing w:val="30"/>
          <w:sz w:val="15"/>
          <w:szCs w:val="15"/>
        </w:rPr>
        <w:t xml:space="preserve">MODÈLE — À FAIRE VALIDER PAR UN CONSEIL AVANT SIGNATURE</w:t>
      </w:r>
    </w:p>
    <w:p>
      <w:pPr>
        <w:pStyle w:val="Heading1"/>
        <w:spacing w:after="160" w:before="60"/>
      </w:pPr>
      <w:r>
        <w:rPr>
          <w:rFonts w:ascii="Arial" w:cs="Arial" w:eastAsia="Arial" w:hAnsi="Arial"/>
          <w:b/>
          <w:bCs/>
          <w:color w:val="1E2233"/>
          <w:sz w:val="40"/>
          <w:szCs w:val="40"/>
        </w:rPr>
        <w:t xml:space="preserve">Contrat de prestation de services</w:t>
      </w:r>
    </w:p>
    <w:p>
      <w:pPr>
        <w:spacing w:after="120"/>
      </w:pPr>
      <w:r>
        <w:rPr>
          <w:rFonts w:ascii="Arial" w:cs="Arial" w:eastAsia="Arial" w:hAnsi="Arial"/>
          <w:color w:val="64748B"/>
          <w:sz w:val="22"/>
          <w:szCs w:val="22"/>
        </w:rPr>
        <w:t xml:space="preserve">Adhésion Service externalisée — gestion de dossiers de sinistres automobiles</w:t>
      </w:r>
    </w:p>
    <w:p>
      <w:pPr>
        <w:pStyle w:val="Heading2"/>
        <w:pBdr>
          <w:bottom w:val="single" w:color="7C3AED" w:sz="6" w:space="3"/>
        </w:pBdr>
        <w:spacing w:after="120" w:before="280"/>
      </w:pPr>
      <w:r>
        <w:rPr>
          <w:rFonts w:ascii="Arial" w:cs="Arial" w:eastAsia="Arial" w:hAnsi="Arial"/>
          <w:b/>
          <w:bCs/>
          <w:color w:val="7C3AED"/>
          <w:sz w:val="26"/>
          <w:szCs w:val="26"/>
        </w:rPr>
        <w:t xml:space="preserve">Entre les soussignés</w:t>
      </w:r>
    </w:p>
    <w:p>
      <w:pPr>
        <w:spacing w:after="120"/>
      </w:pPr>
      <w:r>
        <w:rPr>
          <w:rFonts w:ascii="Arial" w:cs="Arial" w:eastAsia="Arial" w:hAnsi="Arial"/>
          <w:color w:val="1E2233"/>
          <w:sz w:val="20"/>
          <w:szCs w:val="20"/>
        </w:rPr>
        <w:t xml:space="preserve">MY EASY AUTO, dont le siège est situé 144 Avenue Charles de Gaulle, 92200 Neuilly-sur-Seine, immatriculée sous le SIRET 993 125 335 00014, représentée par [Nom, qualité], ci-après « le Donneur d'ordre »,</w:t>
      </w:r>
    </w:p>
    <w:p>
      <w:pPr>
        <w:spacing w:after="120"/>
      </w:pPr>
      <w:r>
        <w:rPr>
          <w:rFonts w:ascii="Arial" w:cs="Arial" w:eastAsia="Arial" w:hAnsi="Arial"/>
          <w:color w:val="1E2233"/>
          <w:sz w:val="20"/>
          <w:szCs w:val="20"/>
        </w:rPr>
        <w:t xml:space="preserve">et</w:t>
      </w:r>
    </w:p>
    <w:p>
      <w:pPr>
        <w:spacing w:after="120"/>
      </w:pPr>
      <w:r>
        <w:rPr>
          <w:rFonts w:ascii="Arial" w:cs="Arial" w:eastAsia="Arial" w:hAnsi="Arial"/>
          <w:color w:val="1E2233"/>
          <w:sz w:val="20"/>
          <w:szCs w:val="20"/>
        </w:rPr>
        <w:t xml:space="preserve">[Nom / prénom], entrepreneur individuel (micro-entrepreneur), dont le siège est situé [adresse], immatriculé(e) sous le SIRET [SIRET], ci-après « le Prestataire »,</w:t>
      </w:r>
    </w:p>
    <w:p>
      <w:pPr>
        <w:spacing w:after="120"/>
      </w:pPr>
      <w:r>
        <w:rPr>
          <w:rFonts w:ascii="Arial" w:cs="Arial" w:eastAsia="Arial" w:hAnsi="Arial"/>
          <w:color w:val="1E2233"/>
          <w:sz w:val="20"/>
          <w:szCs w:val="20"/>
        </w:rPr>
        <w:t xml:space="preserve">il est convenu ce qui suit :</w:t>
      </w:r>
    </w:p>
    <w:p>
      <w:pPr>
        <w:pStyle w:val="Heading3"/>
        <w:spacing w:after="80" w:before="180"/>
      </w:pPr>
      <w:r>
        <w:rPr>
          <w:rFonts w:ascii="Arial" w:cs="Arial" w:eastAsia="Arial" w:hAnsi="Arial"/>
          <w:b/>
          <w:bCs/>
          <w:color w:val="DB2777"/>
          <w:sz w:val="22"/>
          <w:szCs w:val="22"/>
        </w:rPr>
        <w:t xml:space="preserve">Article 1 — Objet</w:t>
      </w:r>
    </w:p>
    <w:p>
      <w:pPr>
        <w:spacing w:after="120"/>
        <w:jc w:val="both"/>
      </w:pPr>
      <w:r>
        <w:rPr>
          <w:rFonts w:ascii="Arial" w:cs="Arial" w:eastAsia="Arial" w:hAnsi="Arial"/>
          <w:color w:val="1E2233"/>
          <w:sz w:val="20"/>
          <w:szCs w:val="20"/>
        </w:rPr>
        <w:t xml:space="preserve">Le Donneur d'ordre confie au Prestataire des missions d'Adhésion Service et de gestion administrative de dossiers de sinistres automobiles pour le compte des garages clients du Donneur d'ordre, réalisées au moyen de la plateforme My Easy Auto éditée par le Donneur d'ordre.</w:t>
      </w:r>
    </w:p>
    <w:p>
      <w:pPr>
        <w:spacing w:after="120"/>
        <w:jc w:val="both"/>
      </w:pPr>
      <w:r>
        <w:rPr>
          <w:rFonts w:ascii="Arial" w:cs="Arial" w:eastAsia="Arial" w:hAnsi="Arial"/>
          <w:color w:val="1E2233"/>
          <w:sz w:val="20"/>
          <w:szCs w:val="20"/>
        </w:rPr>
        <w:t xml:space="preserve">Les missions comprennent notamment : création et suivi des dossiers, édition de devis et factures, envoi de documents en signature, relances des assurances, experts et clients, suivi des encaissements, gestion d'agenda et de planning, traitement du courrier électronique des garages affectés.</w:t>
      </w:r>
    </w:p>
    <w:p>
      <w:pPr>
        <w:pStyle w:val="Heading3"/>
        <w:spacing w:after="80" w:before="180"/>
      </w:pPr>
      <w:r>
        <w:rPr>
          <w:rFonts w:ascii="Arial" w:cs="Arial" w:eastAsia="Arial" w:hAnsi="Arial"/>
          <w:b/>
          <w:bCs/>
          <w:color w:val="DB2777"/>
          <w:sz w:val="22"/>
          <w:szCs w:val="22"/>
        </w:rPr>
        <w:t xml:space="preserve">Article 2 — Indépendance du Prestataire</w:t>
      </w:r>
    </w:p>
    <w:p>
      <w:pPr>
        <w:spacing w:after="120"/>
        <w:jc w:val="both"/>
      </w:pPr>
      <w:r>
        <w:rPr>
          <w:rFonts w:ascii="Arial" w:cs="Arial" w:eastAsia="Arial" w:hAnsi="Arial"/>
          <w:color w:val="1E2233"/>
          <w:sz w:val="20"/>
          <w:szCs w:val="20"/>
        </w:rPr>
        <w:t xml:space="preserve">Le Prestataire exécute les missions en toute indépendance, sans lien de subordination. Il organise librement son temps de travail et ses méthodes, sous réserve des délais de traitement convenus avec chaque garage (annexe 1) et des règles de qualité du guide du collaborateur.</w:t>
      </w:r>
    </w:p>
    <w:p>
      <w:pPr>
        <w:spacing w:after="120"/>
        <w:jc w:val="both"/>
      </w:pPr>
      <w:r>
        <w:rPr>
          <w:rFonts w:ascii="Arial" w:cs="Arial" w:eastAsia="Arial" w:hAnsi="Arial"/>
          <w:color w:val="1E2233"/>
          <w:sz w:val="20"/>
          <w:szCs w:val="20"/>
        </w:rPr>
        <w:t xml:space="preserve">Le Prestataire demeure libre de développer sa propre clientèle et n'est tenu à aucune exclusivité. Il déclare être régulièrement immatriculé et assumer l'ensemble de ses obligations sociales et fiscales. Il s'engage à fournir tous les six mois une attestation de vigilance URSSAF.</w:t>
      </w:r>
    </w:p>
    <w:p>
      <w:pPr>
        <w:pStyle w:val="Heading3"/>
        <w:spacing w:after="80" w:before="180"/>
      </w:pPr>
      <w:r>
        <w:rPr>
          <w:rFonts w:ascii="Arial" w:cs="Arial" w:eastAsia="Arial" w:hAnsi="Arial"/>
          <w:b/>
          <w:bCs/>
          <w:color w:val="DB2777"/>
          <w:sz w:val="22"/>
          <w:szCs w:val="22"/>
        </w:rPr>
        <w:t xml:space="preserve">Article 3 — Affectation des garages</w:t>
      </w:r>
    </w:p>
    <w:p>
      <w:pPr>
        <w:spacing w:after="120"/>
        <w:jc w:val="both"/>
      </w:pPr>
      <w:r>
        <w:rPr>
          <w:rFonts w:ascii="Arial" w:cs="Arial" w:eastAsia="Arial" w:hAnsi="Arial"/>
          <w:color w:val="1E2233"/>
          <w:sz w:val="20"/>
          <w:szCs w:val="20"/>
        </w:rPr>
        <w:t>Le Donneur d'ordre affecte au Prestataire un ou plusieurs garages clients, d'un commun accord et par écrit (annexe 1 mise à jour). Le Prestataire peut refuser une affectation. Le volume horaire indicatif correspond au forfait souscrit par chaque garage (10 h, 20 h ou 40 h de déblocage de dossiers PAR MOIS). Lorsqu'un garage résilie son abonnement, change de formule, ferme ou cesse son activité, le Donneur d'ordre en informe le Prestataire dès qu'il en a connaissance et respecte un PRÉAVIS d'au moins quinze jours avant la fin effective de l'affectation, sauf cessation immédiate imposée par le garage, impayé ou rétractation. La rémunération reste due pour chaque mensualité effectivement encaissée jusqu'à la fin de l'affectation, préavis compris. La perte d'une ou plusieurs affectations ne constitue pas une rupture du présent contrat.</w:t>
      </w:r>
    </w:p>
    <w:p>
      <w:pPr>
        <w:pStyle w:val="Heading3"/>
        <w:spacing w:after="80" w:before="180"/>
      </w:pPr>
      <w:r>
        <w:rPr>
          <w:rFonts w:ascii="Arial" w:cs="Arial" w:eastAsia="Arial" w:hAnsi="Arial"/>
          <w:b/>
          <w:bCs/>
          <w:color w:val="DB2777"/>
          <w:sz w:val="22"/>
          <w:szCs w:val="22"/>
        </w:rPr>
        <w:t xml:space="preserve">Article 4 — Rémunération</w:t>
      </w:r>
    </w:p>
    <w:p>
      <w:pPr>
        <w:spacing w:after="120"/>
        <w:jc w:val="both"/>
      </w:pPr>
      <w:r>
        <w:rPr>
          <w:rFonts w:ascii="Arial" w:cs="Arial" w:eastAsia="Arial" w:hAnsi="Arial"/>
          <w:color w:val="1E2233"/>
          <w:sz w:val="20"/>
          <w:szCs w:val="20"/>
        </w:rPr>
        <w:t>Le Prestataire perçoit une rémunération forfaitaire par garage affecté, égale au nombre d'heures du forfait souscrit par ce garage (10, 20 ou 40 heures par mois) multiplié par le taux horaire hors taxes fixé à l'annexe 1 (dix-sept euros à la signature, révisable d'un commun accord par avenant). Elle est due pour chaque mensualité effectivement encaissée par le Donneur d'ordre auprès du garage ; les heures hors forfait validées par le garage sont rémunérées au même taux horaire. Le prix de vente pratiqué par le Donneur d'ordre, et les remises qu'il consent, sont sans incidence sur cette rémunération.</w:t>
      </w:r>
    </w:p>
    <w:p>
      <w:pPr>
        <w:spacing w:after="120"/>
        <w:jc w:val="both"/>
      </w:pPr>
      <w:r>
        <w:rPr>
          <w:rFonts w:ascii="Arial" w:cs="Arial" w:eastAsia="Arial" w:hAnsi="Arial"/>
          <w:color w:val="1E2233"/>
          <w:sz w:val="20"/>
          <w:szCs w:val="20"/>
        </w:rPr>
        <w:t>À titre indicatif à la date de signature : forfait Adhésion Service Premium (20 h / mois) → 340 € HT par garage et par mois ; forfait Adhésion Service Plus (10 h / mois) → 170 € ; forfait Adhésion Service Ultimate (40 h / mois) → 680 €.</w:t>
      </w:r>
    </w:p>
    <w:p>
      <w:pPr>
        <w:spacing w:after="120"/>
        <w:jc w:val="both"/>
      </w:pPr>
      <w:r>
        <w:rPr>
          <w:rFonts w:ascii="Arial" w:cs="Arial" w:eastAsia="Arial" w:hAnsi="Arial"/>
          <w:color w:val="1E2233"/>
          <w:sz w:val="20"/>
          <w:szCs w:val="20"/>
        </w:rPr>
        <w:t xml:space="preserve">Le Prestataire adresse au Donneur d'ordre, au plus tard le 5 de chaque mois, une facture accompagnée du relevé d'heures par garage tenu dans la plateforme. Règlement par virement à 10 jours.</w:t>
      </w:r>
    </w:p>
    <w:p>
      <w:pPr>
        <w:pStyle w:val="Heading3"/>
        <w:spacing w:after="80" w:before="180"/>
      </w:pPr>
      <w:r>
        <w:rPr>
          <w:rFonts w:ascii="Arial" w:cs="Arial" w:eastAsia="Arial" w:hAnsi="Arial"/>
          <w:b/>
          <w:bCs/>
          <w:color w:val="DB2777"/>
          <w:sz w:val="22"/>
          <w:szCs w:val="22"/>
        </w:rPr>
        <w:t xml:space="preserve">Article 5 — Qualité de service</w:t>
      </w:r>
    </w:p>
    <w:p>
      <w:pPr>
        <w:spacing w:after="120"/>
        <w:jc w:val="both"/>
      </w:pPr>
      <w:r>
        <w:rPr>
          <w:rFonts w:ascii="Arial" w:cs="Arial" w:eastAsia="Arial" w:hAnsi="Arial"/>
          <w:color w:val="1E2233"/>
          <w:sz w:val="20"/>
          <w:szCs w:val="20"/>
        </w:rPr>
        <w:t xml:space="preserve">Le Prestataire s'engage à : traiter les demandes des garages affectés dans un délai d'un jour ouvré ; tenir à jour les dossiers dans la plateforme au fil de l'eau ; respecter le guide du collaborateur remis à la signature ; signaler sans délai toute difficulté (surcharge, absence, litige).</w:t>
      </w:r>
    </w:p>
    <w:p>
      <w:pPr>
        <w:spacing w:after="120"/>
        <w:jc w:val="both"/>
      </w:pPr>
      <w:r>
        <w:rPr>
          <w:rFonts w:ascii="Arial" w:cs="Arial" w:eastAsia="Arial" w:hAnsi="Arial"/>
          <w:color w:val="1E2233"/>
          <w:sz w:val="20"/>
          <w:szCs w:val="20"/>
        </w:rPr>
        <w:t xml:space="preserve">En cas d'absence planifiée, le Prestataire prévient le Donneur d'ordre au moins 7 jours à l'avance afin d'organiser la continuité de service.</w:t>
      </w:r>
    </w:p>
    <w:p>
      <w:pPr>
        <w:pStyle w:val="Heading3"/>
        <w:spacing w:after="80" w:before="180"/>
      </w:pPr>
      <w:r>
        <w:rPr>
          <w:rFonts w:ascii="Arial" w:cs="Arial" w:eastAsia="Arial" w:hAnsi="Arial"/>
          <w:b/>
          <w:bCs/>
          <w:color w:val="DB2777"/>
          <w:sz w:val="22"/>
          <w:szCs w:val="22"/>
        </w:rPr>
        <w:t xml:space="preserve">Article 6 — Confidentialité</w:t>
      </w:r>
    </w:p>
    <w:p>
      <w:pPr>
        <w:spacing w:after="120"/>
        <w:jc w:val="both"/>
      </w:pPr>
      <w:r>
        <w:rPr>
          <w:rFonts w:ascii="Arial" w:cs="Arial" w:eastAsia="Arial" w:hAnsi="Arial"/>
          <w:color w:val="1E2233"/>
          <w:sz w:val="20"/>
          <w:szCs w:val="20"/>
        </w:rPr>
        <w:t xml:space="preserve">Le Prestataire s'engage à une stricte confidentialité sur l'ensemble des informations des garages clients et de leurs propres clients (données personnelles, données financières, documents d'assurance), pendant toute la durée du contrat et 5 ans après son terme.</w:t>
      </w:r>
    </w:p>
    <w:p>
      <w:pPr>
        <w:pStyle w:val="Heading3"/>
        <w:spacing w:after="80" w:before="180"/>
      </w:pPr>
      <w:r>
        <w:rPr>
          <w:rFonts w:ascii="Arial" w:cs="Arial" w:eastAsia="Arial" w:hAnsi="Arial"/>
          <w:b/>
          <w:bCs/>
          <w:color w:val="DB2777"/>
          <w:sz w:val="22"/>
          <w:szCs w:val="22"/>
        </w:rPr>
        <w:t xml:space="preserve">Article 7 — Protection des données (RGPD)</w:t>
      </w:r>
    </w:p>
    <w:p>
      <w:pPr>
        <w:spacing w:after="120"/>
        <w:jc w:val="both"/>
      </w:pPr>
      <w:r>
        <w:rPr>
          <w:rFonts w:ascii="Arial" w:cs="Arial" w:eastAsia="Arial" w:hAnsi="Arial"/>
          <w:color w:val="1E2233"/>
          <w:sz w:val="20"/>
          <w:szCs w:val="20"/>
        </w:rPr>
        <w:t xml:space="preserve">Pour les traitements réalisés pour le compte des garages via la plateforme, le Prestataire agit sur instruction du Donneur d'ordre au sens de l'article 28 du RGPD : il ne traite les données que pour l'exécution des missions, n'en fait aucune copie hors plateforme, utilise exclusivement son compte nominatif et informe sans délai le Donneur d'ordre de toute violation de données.</w:t>
      </w:r>
    </w:p>
    <w:p>
      <w:pPr>
        <w:pStyle w:val="Heading3"/>
        <w:spacing w:after="80" w:before="180"/>
      </w:pPr>
      <w:r>
        <w:rPr>
          <w:rFonts w:ascii="Arial" w:cs="Arial" w:eastAsia="Arial" w:hAnsi="Arial"/>
          <w:b/>
          <w:bCs/>
          <w:color w:val="DB2777"/>
          <w:sz w:val="22"/>
          <w:szCs w:val="22"/>
        </w:rPr>
        <w:t xml:space="preserve">Article 8 — Moyens et outils</w:t>
      </w:r>
    </w:p>
    <w:p>
      <w:pPr>
        <w:spacing w:after="120"/>
        <w:jc w:val="both"/>
      </w:pPr>
      <w:r>
        <w:rPr>
          <w:rFonts w:ascii="Arial" w:cs="Arial" w:eastAsia="Arial" w:hAnsi="Arial"/>
          <w:color w:val="1E2233"/>
          <w:sz w:val="20"/>
          <w:szCs w:val="20"/>
        </w:rPr>
        <w:t xml:space="preserve">Le Donneur d'ordre fournit l'accès nominatif à la plateforme My Easy Auto, la formation initiale et les modèles de documents. Le Prestataire utilise son propre matériel informatique et sa propre connexion, et souscrit une assurance responsabilité civile professionnelle dont il justifie à la signature puis à chaque renouvellement.</w:t>
      </w:r>
    </w:p>
    <w:p>
      <w:pPr>
        <w:pStyle w:val="Heading3"/>
        <w:spacing w:after="80" w:before="180"/>
      </w:pPr>
      <w:r>
        <w:rPr>
          <w:rFonts w:ascii="Arial" w:cs="Arial" w:eastAsia="Arial" w:hAnsi="Arial"/>
          <w:b/>
          <w:bCs/>
          <w:color w:val="DB2777"/>
          <w:sz w:val="22"/>
          <w:szCs w:val="22"/>
        </w:rPr>
        <w:t xml:space="preserve">Article 9 — Non-sollicitation</w:t>
      </w:r>
    </w:p>
    <w:p>
      <w:pPr>
        <w:spacing w:after="120"/>
        <w:jc w:val="both"/>
      </w:pPr>
      <w:r>
        <w:rPr>
          <w:rFonts w:ascii="Arial" w:cs="Arial" w:eastAsia="Arial" w:hAnsi="Arial"/>
          <w:color w:val="1E2233"/>
          <w:sz w:val="20"/>
          <w:szCs w:val="20"/>
        </w:rPr>
        <w:t xml:space="preserve">Pendant la durée du contrat et 12 mois après son terme, le Prestataire s'interdit de proposer directement ou indirectement, pour son compte ou celui d'un tiers, des services identiques ou similaires aux garages clients du Donneur d'ordre qui lui ont été affectés, sauf accord écrit préalable. Réciproquement, le Donneur d'ordre s'interdit de solliciter les clients propres du Prestataire.</w:t>
      </w:r>
    </w:p>
    <w:p>
      <w:pPr>
        <w:pStyle w:val="Heading3"/>
        <w:spacing w:after="80" w:before="180"/>
      </w:pPr>
      <w:r>
        <w:rPr>
          <w:rFonts w:ascii="Arial" w:cs="Arial" w:eastAsia="Arial" w:hAnsi="Arial"/>
          <w:b/>
          <w:bCs/>
          <w:color w:val="DB2777"/>
          <w:sz w:val="22"/>
          <w:szCs w:val="22"/>
        </w:rPr>
        <w:t xml:space="preserve">Article 10 — Durée et résiliation</w:t>
      </w:r>
    </w:p>
    <w:p>
      <w:pPr>
        <w:spacing w:after="120"/>
        <w:jc w:val="both"/>
      </w:pPr>
      <w:r>
        <w:rPr>
          <w:rFonts w:ascii="Arial" w:cs="Arial" w:eastAsia="Arial" w:hAnsi="Arial"/>
          <w:color w:val="1E2233"/>
          <w:sz w:val="20"/>
          <w:szCs w:val="20"/>
        </w:rPr>
        <w:t xml:space="preserve">Le contrat est conclu pour une durée indéterminée à compter du [date]. Chaque partie peut y mettre fin par lettre recommandée ou e-mail avec accusé de réception, moyennant un préavis d'un mois. En cas de manquement grave (violation de confidentialité, abandon de mission…), la résiliation est immédiate après mise en demeure restée sans effet pendant 8 jours.</w:t>
      </w:r>
    </w:p>
    <w:p>
      <w:pPr>
        <w:spacing w:after="120"/>
        <w:jc w:val="both"/>
      </w:pPr>
      <w:r>
        <w:rPr>
          <w:rFonts w:ascii="Arial" w:cs="Arial" w:eastAsia="Arial" w:hAnsi="Arial"/>
          <w:color w:val="1E2233"/>
          <w:sz w:val="20"/>
          <w:szCs w:val="20"/>
        </w:rPr>
        <w:t xml:space="preserve">Une période d'essai de 2 mois est convenue, pendant laquelle chaque partie peut rompre le contrat avec un préavis de 7 jours.</w:t>
      </w:r>
    </w:p>
    <w:p>
      <w:pPr>
        <w:pStyle w:val="Heading3"/>
        <w:spacing w:after="80" w:before="180"/>
      </w:pPr>
      <w:r>
        <w:rPr>
          <w:rFonts w:ascii="Arial" w:cs="Arial" w:eastAsia="Arial" w:hAnsi="Arial"/>
          <w:b/>
          <w:bCs/>
          <w:color w:val="DB2777"/>
          <w:sz w:val="22"/>
          <w:szCs w:val="22"/>
        </w:rPr>
        <w:t xml:space="preserve">Article 11 — Responsabilité</w:t>
      </w:r>
    </w:p>
    <w:p>
      <w:pPr>
        <w:spacing w:after="120"/>
        <w:jc w:val="both"/>
      </w:pPr>
      <w:r>
        <w:rPr>
          <w:rFonts w:ascii="Arial" w:cs="Arial" w:eastAsia="Arial" w:hAnsi="Arial"/>
          <w:color w:val="1E2233"/>
          <w:sz w:val="20"/>
          <w:szCs w:val="20"/>
        </w:rPr>
        <w:t>Le Prestataire est responsable de la bonne exécution de ses missions. Sa responsabilité est limitée, toutes causes confondues, au montant des rémunérations perçues au cours des 6 derniers mois. Le Donneur d'ordre reste seul responsable de la plateforme et de la relation contractuelle avec les garages.</w:t>
      </w:r>
    </w:p>
    <w:p>
      <w:pPr>
        <w:pStyle w:val="Heading3"/>
        <w:spacing w:after="80" w:before="180"/>
      </w:pPr>
      <w:r>
        <w:rPr>
          <w:rFonts w:ascii="Arial" w:cs="Arial" w:eastAsia="Arial" w:hAnsi="Arial"/>
          <w:b/>
          <w:bCs/>
          <w:color w:val="DB2777"/>
          <w:sz w:val="22"/>
          <w:szCs w:val="22"/>
        </w:rPr>
        <w:t xml:space="preserve">Article 12 — Litiges</w:t>
      </w:r>
    </w:p>
    <w:p>
      <w:pPr>
        <w:spacing w:after="120"/>
        <w:jc w:val="both"/>
      </w:pPr>
      <w:r>
        <w:rPr>
          <w:rFonts w:ascii="Arial" w:cs="Arial" w:eastAsia="Arial" w:hAnsi="Arial"/>
          <w:color w:val="1E2233"/>
          <w:sz w:val="20"/>
          <w:szCs w:val="20"/>
        </w:rPr>
        <w:t xml:space="preserve">Le présent contrat est soumis au droit français. Les parties rechercheront une solution amiable avant toute action ; à défaut, compétence est attribuée aux tribunaux de Nanterre.</w:t>
      </w:r>
    </w:p>
    <w:p>
      <w:pPr>
        <w:pStyle w:val="Heading2"/>
        <w:pBdr>
          <w:bottom w:val="single" w:color="7C3AED" w:sz="6" w:space="3"/>
        </w:pBdr>
        <w:spacing w:after="120" w:before="280"/>
      </w:pPr>
      <w:r>
        <w:rPr>
          <w:rFonts w:ascii="Arial" w:cs="Arial" w:eastAsia="Arial" w:hAnsi="Arial"/>
          <w:b/>
          <w:bCs/>
          <w:color w:val="7C3AED"/>
          <w:sz w:val="26"/>
          <w:szCs w:val="26"/>
        </w:rPr>
        <w:t xml:space="preserve">Signatures</w:t>
      </w:r>
    </w:p>
    <w:p>
      <w:pPr>
        <w:spacing w:after="120"/>
      </w:pPr>
      <w:r>
        <w:rPr>
          <w:rFonts w:ascii="Arial" w:cs="Arial" w:eastAsia="Arial" w:hAnsi="Arial"/>
          <w:color w:val="1E2233"/>
          <w:sz w:val="20"/>
          <w:szCs w:val="20"/>
        </w:rPr>
        <w:t xml:space="preserve">Fait à Neuilly-sur-Seine, le [date], en deux exemplaires originaux.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30"/>
            </w:pPr>
            <w:r>
              <w:rPr>
                <w:rFonts w:ascii="Arial" w:cs="Arial" w:eastAsia="Arial" w:hAnsi="Arial"/>
                <w:b/>
                <w:bCs/>
                <w:color w:val="1E2233"/>
                <w:sz w:val="18"/>
                <w:szCs w:val="18"/>
              </w:rPr>
              <w:t xml:space="preserve">Pour MY EASY AUTO</w:t>
            </w:r>
          </w:p>
          <w:p>
            <w:pPr>
              <w:spacing w:after="240"/>
            </w:pPr>
            <w:r>
              <w:rPr>
                <w:rFonts w:ascii="Arial" w:cs="Arial" w:eastAsia="Arial" w:hAnsi="Arial"/>
                <w:color w:val="1E2233"/>
                <w:sz w:val="18"/>
                <w:szCs w:val="18"/>
              </w:rPr>
              <w:t xml:space="preserve">Signature, précédée de « lu et approuvé » :</w:t>
            </w:r>
          </w:p>
          <w:p>
            <w:pPr>
              <w:spacing w:after="0"/>
            </w:pPr>
            <w:r>
              <w:rPr>
                <w:rFonts w:ascii="Arial" w:cs="Arial" w:eastAsia="Arial" w:hAnsi="Arial"/>
                <w:color w:val="1E2233"/>
                <w:sz w:val="20"/>
                <w:szCs w:val="20"/>
              </w:rPr>
              <w:t xml:space="preserve"> </w:t>
            </w:r>
          </w:p>
        </w:tc>
        <w:tc>
          <w:tcPr>
            <w:tcW w:type="dxa" w:w="485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30"/>
            </w:pPr>
            <w:r>
              <w:rPr>
                <w:rFonts w:ascii="Arial" w:cs="Arial" w:eastAsia="Arial" w:hAnsi="Arial"/>
                <w:b/>
                <w:bCs/>
                <w:color w:val="1E2233"/>
                <w:sz w:val="18"/>
                <w:szCs w:val="18"/>
              </w:rPr>
              <w:t xml:space="preserve">Le Prestataire</w:t>
            </w:r>
          </w:p>
          <w:p>
            <w:pPr>
              <w:spacing w:after="240"/>
            </w:pPr>
            <w:r>
              <w:rPr>
                <w:rFonts w:ascii="Arial" w:cs="Arial" w:eastAsia="Arial" w:hAnsi="Arial"/>
                <w:color w:val="1E2233"/>
                <w:sz w:val="18"/>
                <w:szCs w:val="18"/>
              </w:rPr>
              <w:t xml:space="preserve">Signature, précédée de « lu et approuvé » :</w:t>
            </w:r>
          </w:p>
          <w:p>
            <w:pPr>
              <w:spacing w:after="0"/>
            </w:pPr>
            <w:r>
              <w:rPr>
                <w:rFonts w:ascii="Arial" w:cs="Arial" w:eastAsia="Arial" w:hAnsi="Arial"/>
                <w:color w:val="1E2233"/>
                <w:sz w:val="20"/>
                <w:szCs w:val="20"/>
              </w:rPr>
              <w:t xml:space="preserve"> </w:t>
            </w:r>
          </w:p>
        </w:tc>
      </w:tr>
    </w:tbl>
    <w:p>
      <w:r>
        <w:br w:type="page"/>
      </w:r>
    </w:p>
    <w:p>
      <w:pPr>
        <w:pStyle w:val="Heading2"/>
        <w:pBdr>
          <w:bottom w:val="single" w:color="7C3AED" w:sz="6" w:space="3"/>
        </w:pBdr>
        <w:spacing w:after="120" w:before="280"/>
      </w:pPr>
      <w:r>
        <w:rPr>
          <w:rFonts w:ascii="Arial" w:cs="Arial" w:eastAsia="Arial" w:hAnsi="Arial"/>
          <w:b/>
          <w:bCs/>
          <w:color w:val="7C3AED"/>
          <w:sz w:val="26"/>
          <w:szCs w:val="26"/>
        </w:rPr>
        <w:t xml:space="preserve">Annexe 1 — Garages affectés et volumes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2100"/>
      </w:tblGrid>
      <w:tr>
        <w:trPr>
          <w:tblHeader/>
        </w:trPr>
        <w:tc>
          <w:tcPr>
            <w:tcW w:type="dxa" w:w="32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Garage (raison sociale)</w:t>
            </w:r>
          </w:p>
        </w:tc>
        <w:tc>
          <w:tcPr>
            <w:tcW w:type="dxa" w:w="24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Formule / heures</w:t>
            </w:r>
          </w:p>
        </w:tc>
        <w:tc>
          <w:tcPr>
            <w:tcW w:type="dxa" w:w="20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Date d'affectation</w:t>
            </w:r>
          </w:p>
        </w:tc>
        <w:tc>
          <w:tcPr>
            <w:tcW w:type="dxa" w:w="21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Observations</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bl>
    <w:p>
      <w:pPr>
        <w:spacing w:after="160" w:before="60"/>
      </w:pPr>
      <w:r>
        <w:rPr>
          <w:rFonts w:ascii="Arial" w:cs="Arial" w:eastAsia="Arial" w:hAnsi="Arial"/>
          <w:i/>
          <w:iCs/>
          <w:color w:val="64748B"/>
          <w:sz w:val="16"/>
          <w:szCs w:val="16"/>
        </w:rPr>
        <w:t xml:space="preserve">Modèle fourni à titre indicatif : ce document ne constitue pas un conseil juridique. Faites-le relire par un avocat avant utilisation, notamment sur la non-sollicitation et le RGPD.</w:t>
      </w:r>
    </w:p>
    <w:sectPr>
      <w:headerReference w:type="default" r:id="rId7"/>
      <w:footerReference w:type="default" r:id="rId8"/>
      <w:headerReference w:type="first" r:id="rId10"/>
      <w:footerReference w:type="first" r:id="rId11"/>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F0" w:sz="4" w:space="3"/>
      </w:pBdr>
      <w:jc w:val="center"/>
    </w:pPr>
    <w:r>
      <w:rPr>
        <w:rFonts w:ascii="Arial" w:cs="Arial" w:eastAsia="Arial" w:hAnsi="Arial"/>
        <w:color w:val="64748B"/>
        <w:sz w:val="14"/>
        <w:szCs w:val="14"/>
      </w:rPr>
      <w:t xml:space="preserve">MY EASY AUTO — 144 Avenue Charles de Gaulle, 92200 Neuilly-sur-Seine — SIRET 993 125 335 00014 — NAF 8559A — contact@myeasyauto.fr   ·   Page </w:t>
    </w:r>
    <w:r>
      <w:rPr>
        <w:rFonts w:ascii="Arial" w:cs="Arial" w:eastAsia="Arial" w:hAnsi="Arial"/>
        <w:color w:val="64748B"/>
        <w:sz w:val="14"/>
        <w:szCs w:val="14"/>
      </w:rPr>
      <w:fldChar w:fldCharType="begin"/>
      <w:instrText xml:space="preserve">PAGE</w:instrText>
      <w:fldChar w:fldCharType="separate"/>
      <w:fldChar w:fldCharType="end"/>
    </w:r>
    <w:r>
      <w:rPr>
        <w:rFonts w:ascii="Arial" w:cs="Arial" w:eastAsia="Arial" w:hAnsi="Arial"/>
        <w:color w:val="64748B"/>
        <w:sz w:val="14"/>
        <w:szCs w:val="14"/>
      </w:rPr>
      <w:t xml:space="preserve"> / </w:t>
    </w:r>
    <w:r>
      <w:rPr>
        <w:rFonts w:ascii="Arial" w:cs="Arial" w:eastAsia="Arial" w:hAnsi="Arial"/>
        <w:color w:val="64748B"/>
        <w:sz w:val="14"/>
        <w:szCs w:val="14"/>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3100"/>
    </w:tblGrid>
    <w:tr>
      <w:tc>
        <w:tcPr>
          <w:tcW w:type="dxa" w:w="1100"/>
          <w:tcBorders>
            <w:top w:val="none" w:color="FFFFFF" w:sz="0"/>
            <w:left w:val="none" w:color="FFFFFF" w:sz="0"/>
            <w:bottom w:val="none" w:color="FFFFFF" w:sz="0"/>
            <w:right w:val="none" w:color="FFFFFF" w:sz="0"/>
          </w:tcBorders>
        </w:tcPr>
        <w:p>
          <w:r>
            <w:drawing>
              <wp:inline distT="0" distB="0" distL="0" distR="0">
                <wp:extent cx="4953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381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Pr>
        <w:p>
          <w:pPr>
            <w:spacing w:after="0"/>
          </w:pPr>
          <w:r>
            <w:rPr>
              <w:rFonts w:ascii="Arial" w:cs="Arial" w:eastAsia="Arial" w:hAnsi="Arial"/>
              <w:b/>
              <w:bCs/>
              <w:color w:val="1E2233"/>
              <w:sz w:val="24"/>
              <w:szCs w:val="24"/>
            </w:rPr>
            <w:t xml:space="preserve">My Easy Auto</w:t>
          </w:r>
        </w:p>
        <w:p>
          <w:pPr>
            <w:spacing w:after="0"/>
          </w:pPr>
          <w:r>
            <w:rPr>
              <w:rFonts w:ascii="Arial" w:cs="Arial" w:eastAsia="Arial" w:hAnsi="Arial"/>
              <w:color w:val="64748B"/>
              <w:sz w:val="16"/>
              <w:szCs w:val="16"/>
            </w:rPr>
            <w:t xml:space="preserve">Contrat de collaboration — prestataire indépendant</w:t>
          </w:r>
        </w:p>
      </w:tc>
      <w:tc>
        <w:tcPr>
          <w:tcW w:type="dxa" w:w="3100"/>
          <w:tcBorders>
            <w:top w:val="none" w:color="FFFFFF" w:sz="0"/>
            <w:left w:val="none" w:color="FFFFFF" w:sz="0"/>
            <w:bottom w:val="none" w:color="FFFFFF" w:sz="0"/>
            <w:right w:val="none" w:color="FFFFFF" w:sz="0"/>
          </w:tcBorders>
        </w:tcPr>
        <w:p>
          <w:pPr>
            <w:spacing w:after="0"/>
            <w:jc w:val="right"/>
          </w:pPr>
          <w:r>
            <w:rPr>
              <w:rFonts w:ascii="Arial" w:cs="Arial" w:eastAsia="Arial" w:hAnsi="Arial"/>
              <w:b/>
              <w:bCs/>
              <w:color w:val="7C3AED"/>
              <w:sz w:val="18"/>
              <w:szCs w:val="18"/>
            </w:rPr>
            <w:t xml:space="preserve">MY EASY AUTO</w:t>
          </w:r>
        </w:p>
        <w:p>
          <w:pPr>
            <w:spacing w:after="0"/>
            <w:jc w:val="right"/>
          </w:pPr>
          <w:r>
            <w:rPr>
              <w:rFonts w:ascii="Arial" w:cs="Arial" w:eastAsia="Arial" w:hAnsi="Arial"/>
              <w:color w:val="64748B"/>
              <w:sz w:val="14"/>
              <w:szCs w:val="14"/>
            </w:rPr>
            <w:t xml:space="preserve">contact@myeasyauto.fr</w:t>
          </w:r>
        </w:p>
      </w:tc>
    </w:tr>
  </w:tbl>
  <w:p>
    <w:pPr>
      <w:pBdr>
        <w:bottom w:val="single" w:color="7C3AED" w:sz="8" w:space="1"/>
      </w:pBdr>
      <w:spacing w:after="0" w:before="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DB2777"/>
      </w:r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f66ef9b9b07e7a87e11ee03d0ddb2c0ae966ed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2026-08-12T14:49:02.728Z</dcterms:created>
  <dcterms:modified xsi:type="dcterms:W3CDTF">2026-08-12T14:49:02.741Z</dcterms:modified>
</cp:coreProperties>
</file>

<file path=docProps/custom.xml><?xml version="1.0" encoding="utf-8"?>
<Properties xmlns="http://schemas.openxmlformats.org/officeDocument/2006/custom-properties" xmlns:vt="http://schemas.openxmlformats.org/officeDocument/2006/docPropsVTypes"/>
</file>