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7C3AED"/>
          <w:spacing w:val="40"/>
          <w:sz w:val="15"/>
          <w:szCs w:val="15"/>
        </w:rPr>
        <w:t xml:space="preserve">MODÈLE — À FAIRE VALIDER PAR UN CONSEIL AVANT SIGNATURE</w:t>
      </w:r>
    </w:p>
    <w:p>
      <w:pPr>
        <w:pStyle w:val="Heading1"/>
        <w:spacing w:after="200" w:before="60"/>
      </w:pPr>
      <w:r>
        <w:rPr>
          <w:rFonts w:ascii="Arial" w:cs="Arial" w:eastAsia="Arial" w:hAnsi="Arial"/>
          <w:b/>
          <w:bCs/>
          <w:color w:val="1E2233"/>
          <w:sz w:val="40"/>
          <w:szCs w:val="40"/>
        </w:rPr>
        <w:t>Contrat d'apporteur d'affaires — v1.4 (août 2026)</w:t>
      </w:r>
    </w:p>
    <w:p>
      <w:pPr>
        <w:spacing w:after="80" w:before="0" w:line="300"/>
      </w:pPr>
      <w:r>
        <w:rPr>
          <w:rFonts w:ascii="Arial" w:cs="Arial" w:eastAsia="Arial" w:hAnsi="Arial"/>
          <w:color w:val="1E2233"/>
          <w:sz w:val="20"/>
          <w:szCs w:val="20"/>
        </w:rPr>
        <w:t xml:space="preserve">Entre les soussignés :</w:t>
      </w:r>
    </w:p>
    <w:p>
      <w:pPr>
        <w:spacing w:after="120" w:before="0" w:line="300"/>
      </w:pPr>
      <w:r>
        <w:rPr>
          <w:rFonts w:ascii="Arial" w:cs="Arial" w:eastAsia="Arial" w:hAnsi="Arial"/>
          <w:b/>
          <w:bCs/>
          <w:color w:val="1E2233"/>
          <w:sz w:val="20"/>
          <w:szCs w:val="20"/>
        </w:rPr>
        <w:t xml:space="preserve">MY EASY AUTO</w:t>
      </w:r>
      <w:r>
        <w:rPr>
          <w:rFonts w:ascii="Arial" w:cs="Arial" w:eastAsia="Arial" w:hAnsi="Arial"/>
          <w:color w:val="1E2233"/>
          <w:sz w:val="20"/>
          <w:szCs w:val="20"/>
        </w:rPr>
        <w:t xml:space="preserve">, 144 Avenue Charles de Gaulle, 92200 Neuilly-sur-Seine, SIRET 993 125 335 00014, représentée par son représentant légal, ci-après « MY EASY AUTO » ou « le Mandant »,</w:t>
      </w:r>
    </w:p>
    <w:p>
      <w:pPr>
        <w:spacing w:after="80" w:before="0" w:line="300"/>
      </w:pPr>
      <w:r>
        <w:rPr>
          <w:rFonts w:ascii="Arial" w:cs="Arial" w:eastAsia="Arial" w:hAnsi="Arial"/>
          <w:color w:val="1E2233"/>
          <w:sz w:val="20"/>
          <w:szCs w:val="20"/>
        </w:rPr>
        <w:t xml:space="preserve">et</w:t>
      </w:r>
    </w:p>
    <w:p>
      <w:pPr>
        <w:spacing w:after="120" w:before="0" w:line="300"/>
      </w:pPr>
      <w:r>
        <w:rPr>
          <w:rFonts w:ascii="Arial" w:cs="Arial" w:eastAsia="Arial" w:hAnsi="Arial"/>
          <w:b/>
          <w:bCs/>
          <w:color w:val="1E2233"/>
          <w:sz w:val="20"/>
          <w:szCs w:val="20"/>
        </w:rPr>
        <w:t xml:space="preserve">[Nom / raison sociale de l'apporteur]</w:t>
      </w:r>
      <w:r>
        <w:rPr>
          <w:rFonts w:ascii="Arial" w:cs="Arial" w:eastAsia="Arial" w:hAnsi="Arial"/>
          <w:color w:val="1E2233"/>
          <w:sz w:val="20"/>
          <w:szCs w:val="20"/>
        </w:rPr>
        <w:t xml:space="preserve">, [forme juridique — auto-entrepreneur / société], [adresse], SIRET [__________], ci-après « l'Apporteur »,</w:t>
      </w:r>
    </w:p>
    <w:p>
      <w:pPr>
        <w:spacing w:after="200" w:before="0" w:line="300"/>
      </w:pPr>
      <w:r>
        <w:rPr>
          <w:rFonts w:ascii="Arial" w:cs="Arial" w:eastAsia="Arial" w:hAnsi="Arial"/>
          <w:color w:val="1E2233"/>
          <w:sz w:val="20"/>
          <w:szCs w:val="20"/>
        </w:rPr>
        <w:t xml:space="preserve">il a été convenu ce qui suit.</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1 — Objet</w:t>
      </w:r>
    </w:p>
    <w:p>
      <w:pPr>
        <w:spacing w:after="120" w:before="0" w:line="300"/>
      </w:pPr>
      <w:r>
        <w:rPr>
          <w:rFonts w:ascii="Arial" w:cs="Arial" w:eastAsia="Arial" w:hAnsi="Arial"/>
          <w:color w:val="1E2233"/>
          <w:sz w:val="20"/>
          <w:szCs w:val="20"/>
        </w:rPr>
        <w:t xml:space="preserve">MY EASY AUTO édite l'application du même nom et propose aux professionnels de la réparation automobile un service de déblocage de dossiers (Adhésion Service) à distance (ensemble, « les Services »). L'Apporteur s'engage, de manière indépendante, à rechercher et présenter à MY EASY AUTO des garages susceptibles de souscrire aux Services, à les qualifier et à les accompagner jusqu'à la signature du contrat. L'Apporteur n'a aucun pouvoir de conclure un contrat, de consentir une remise ou d'encaisser un paiement au nom de MY EASY AUTO.</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2 — Indépendance</w:t>
      </w:r>
    </w:p>
    <w:p>
      <w:pPr>
        <w:spacing w:after="120" w:before="0" w:line="300"/>
      </w:pPr>
      <w:r>
        <w:rPr>
          <w:rFonts w:ascii="Arial" w:cs="Arial" w:eastAsia="Arial" w:hAnsi="Arial"/>
          <w:color w:val="1E2233"/>
          <w:sz w:val="20"/>
          <w:szCs w:val="20"/>
        </w:rPr>
        <w:t xml:space="preserve">L'Apporteur exerce en toute indépendance, sous son propre statut, avec ses propres moyens et son assurance responsabilité civile professionnelle, dont il remet l'attestation à la signature. Il organise librement son activité, ses horaires et ses déplacements et n'est soumis à aucun lien de subordination. Il peut exercer toute autre activité, sous réserve de l'article 8. Il déclare être à jour de ses obligations sociales et fiscales et le justifie sur demande (attestation de vigilance URSSAF tous les six mois).</w:t>
      </w:r>
    </w:p>
    <w:p>
      <w:pPr>
        <w:pStyle w:val="Heading2"/>
        <w:keepNext/>
        <w:pBdr>
          <w:bottom w:val="single" w:color="E4E6F0" w:sz="6" w:space="4"/>
        </w:pBdr>
        <w:spacing w:after="120" w:before="320"/>
      </w:pPr>
      <w:r>
        <w:rPr>
          <w:rFonts w:ascii="Arial" w:cs="Arial" w:eastAsia="Arial" w:hAnsi="Arial"/>
          <w:b/>
          <w:bCs/>
          <w:color w:val="7C3AED"/>
          <w:sz w:val="26"/>
          <w:szCs w:val="26"/>
        </w:rPr>
        <w:t>Article 3 — Zone, portefeuille et déclaration des prospects</w:t>
      </w:r>
    </w:p>
    <w:p>
      <w:pPr>
        <w:spacing w:after="120" w:before="0" w:line="300"/>
      </w:pPr>
      <w:r>
        <w:rPr>
          <w:rFonts w:ascii="Arial" w:cs="Arial" w:eastAsia="Arial" w:hAnsi="Arial"/>
          <w:color w:val="1E2233"/>
          <w:sz w:val="20"/>
          <w:szCs w:val="20"/>
        </w:rPr>
        <w:t xml:space="preserve">3.1 Zone et portefeuille attribués. MY EASY AUTO attribue à l'Apporteur une zone géographique et, le cas échéant, une liste de prospects (le « Portefeuille »), décrits en Annexe 1 et reproduits sur sa fiche dans l'espace éditeur. L'Apporteur prospecte exclusivement dans cette zone et ce Portefeuille ; un même garage ne peut être attribué qu'à un seul Apporteur. MY EASY AUTO peut modifier la zone ou le Portefeuille avec un préavis d'un mois, sans effet sur les prospects déjà déclarés. 3.2 Déclaration. Un prospect est réputé apporté par l'Apporteur lorsqu'il a été déclaré dans son espace clients (fiche créée sur l'application, avec le SIREN du garage) ou sur la page myeasyauto.fr/vente avec son code apporteur, ou à défaut par email à contact@myeasyauto.fr. La date de création de la fiche fait foi. Le prospect déclaré est réservé à l'Apporteur pendant soixante (60) jours, renouvelables une fois sur justification d'un rendez-vous ; passé ce délai sans signature, il redevient libre. 3.3 Exceptions au Portefeuille. Par exception à l'exclusivité de zone, l'Apporteur peut apporter un garage situé hors de sa zone ou dans le Portefeuille d'un autre Apporteur dans deux cas seulement : (a) il s'agit d'une CONNAISSANCE PERSONNELLE, c'est-à-dire un garage avec lequel il entretenait une relation antérieure à la signature du présent contrat ; (b) il a été RECOMMANDÉ DIRECTEMENT à ce garage par un client qu'il a lui-même apporté. Dans les deux cas, l'Apporteur mentionne l'exception et sa justification (nature du lien, nom du client recommandant) dans la fiche du prospect au moment de sa création ; à défaut de justification à la création, l'exception ne peut être invoquée. Tout autre apport hors zone requiert l'accord écrit préalable de MY EASY AUTO. 3.4 Conflits. En cas de déclaration du même garage par deux Apporteurs, le prospect revient à celui qui l'a déclaré en premier ; si le second invoque une exception dûment justifiée à la création de sa fiche, MY EASY AUTO tranche dans les dix jours, au vu des justifications, et sa décision s'impose aux deux Apporteurs. Un Apporteur qui démarche sciemment un garage attribué à un autre, ou qui invoque une exception inexacte, perd toute commission sur ce garage et s'expose à la résiliation du présent contrat pour faute. 3.5 Validation. Le contrat conclu avec le garage n'est définitif qu'après validation par MY EASY AUTO (création du compte), au plus tard sous cinq jours ouvrés ; MY EASY AUTO peut refuser une vente non conforme à la grille, aux conditions de vente ou au présent article.</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4 — Rémunération</w:t>
      </w:r>
    </w:p>
    <w:p>
      <w:pPr>
        <w:spacing w:after="120" w:before="0" w:line="300"/>
      </w:pPr>
      <w:r>
        <w:rPr>
          <w:rFonts w:ascii="Arial" w:cs="Arial" w:eastAsia="Arial" w:hAnsi="Arial"/>
          <w:color w:val="1E2233"/>
          <w:sz w:val="20"/>
          <w:szCs w:val="20"/>
        </w:rPr>
        <w:t xml:space="preserve">L'Apporteur perçoit, pour chaque contrat signé par un prospect qu'il a apporté, la prime suivante, fixée forfaitairement par formule souscrite (environ 85 % de la mensualité hors taxes sans engagement de la grille en vigueur, arrondi ; forfait minimum de 130 € pour ESSENTIEL)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val="false"/>
        </w:trPr>
        <w:tc>
          <w:tcPr>
            <w:tcW w:type="dxa" w:w="37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Formule</w:t>
            </w:r>
          </w:p>
        </w:tc>
        <w:tc>
          <w:tcPr>
            <w:tcW w:type="dxa" w:w="28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Prime (par garage signé)</w:t>
            </w:r>
          </w:p>
        </w:tc>
        <w:tc>
          <w:tcPr>
            <w:tcW w:type="dxa" w:w="28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Bonus engagement 12 mois</w:t>
            </w:r>
          </w:p>
        </w:tc>
      </w:tr>
      <w:tr>
        <w:trPr>
          <w:cantSplit/>
        </w:trPr>
        <w:tc>
          <w:tcPr>
            <w:tcW w:type="dxa" w:w="37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ESSENTIEL (79 € HT / mois)</w:t>
            </w:r>
          </w:p>
        </w:tc>
        <w:tc>
          <w:tcPr>
            <w:tcW w:type="dxa" w:w="28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130 €</w:t>
            </w:r>
          </w:p>
        </w:tc>
        <w:tc>
          <w:tcPr>
            <w:tcW w:type="dxa" w:w="28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40 €</w:t>
            </w:r>
          </w:p>
        </w:tc>
      </w:tr>
      <w:tr>
        <w:trPr>
          <w:cantSplit/>
        </w:trPr>
        <w:tc>
          <w:tcPr>
            <w:tcW w:type="dxa" w:w="37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PLUS (490 € HT / mois)</w:t>
            </w:r>
          </w:p>
        </w:tc>
        <w:tc>
          <w:tcPr>
            <w:tcW w:type="dxa" w:w="28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415 €</w:t>
            </w:r>
          </w:p>
        </w:tc>
        <w:tc>
          <w:tcPr>
            <w:tcW w:type="dxa" w:w="28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85 €</w:t>
            </w:r>
          </w:p>
        </w:tc>
      </w:tr>
      <w:tr>
        <w:trPr>
          <w:cantSplit/>
        </w:trPr>
        <w:tc>
          <w:tcPr>
            <w:tcW w:type="dxa" w:w="37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PREMIUM (860 € HT / mois)</w:t>
            </w:r>
          </w:p>
        </w:tc>
        <w:tc>
          <w:tcPr>
            <w:tcW w:type="dxa" w:w="28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730 €</w:t>
            </w:r>
          </w:p>
        </w:tc>
        <w:tc>
          <w:tcPr>
            <w:tcW w:type="dxa" w:w="28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85 €</w:t>
            </w:r>
          </w:p>
        </w:tc>
      </w:tr>
      <w:tr>
        <w:trPr>
          <w:cantSplit/>
        </w:trPr>
        <w:tc>
          <w:tcPr>
            <w:tcW w:type="dxa" w:w="37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ULTIMATE (1 570 € HT / mois)</w:t>
            </w:r>
          </w:p>
        </w:tc>
        <w:tc>
          <w:tcPr>
            <w:tcW w:type="dxa" w:w="28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1 335 €</w:t>
            </w:r>
          </w:p>
        </w:tc>
        <w:tc>
          <w:tcPr>
            <w:tcW w:type="dxa" w:w="28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85 €</w:t>
            </w:r>
          </w:p>
        </w:tc>
      </w:tr>
    </w:tbl>
    <w:p>
      <w:pPr>
        <w:spacing w:after="40" w:before="0" w:line="300"/>
      </w:pPr>
      <w:r>
        <w:rPr>
          <w:rFonts w:ascii="Arial" w:cs="Arial" w:eastAsia="Arial" w:hAnsi="Arial"/>
          <w:color w:val="1E2233"/>
          <w:sz w:val="20"/>
          <w:szCs w:val="20"/>
        </w:rPr>
        <w:t xml:space="preserve"/>
      </w:r>
    </w:p>
    <w:p>
      <w:pPr>
        <w:pStyle w:val="ListParagraph"/>
        <w:numPr>
          <w:ilvl w:val="0"/>
          <w:numId w:val="2"/>
        </w:numPr>
        <w:spacing w:after="80" w:line="290"/>
      </w:pPr>
      <w:r>
        <w:rPr>
          <w:rFonts w:ascii="Arial" w:cs="Arial" w:eastAsia="Arial" w:hAnsi="Arial"/>
          <w:b/>
          <w:bCs/>
          <w:color w:val="1E2233"/>
          <w:sz w:val="20"/>
          <w:szCs w:val="20"/>
        </w:rPr>
        <w:t xml:space="preserve">Prime : versée UNE seule fois par contrat. Elle est ACQUISE, lorsque le garage a souscrit un engagement de douze mois (ou payé l'année en une fois), dès l'encaissement par MY EASY AUTO de la première mensualité (ou du forfait annuel) ; en l'absence d'engagement, elle est acquise à l'encaissement de la troisième mensualité, soit un différé de deux mois. Les remises prévues à la grille (engagement de douze mois, paiement annuel) ne réduisent pas la prime. Une remise exceptionnelle hors grille, qui ne peut être consentie qu'avec l'accord écrit de MY EASY AUTO, réduit la prime dans la même proportion, sans pouvoir être inférieure à 130 € (montant de la prime ESSENTIEL), quelle que soit la formule ; le bonus engagement reste inchangé. Lorsque le contrat du garage est conclu hors établissement avec un professionnel de cinq salariés au plus, la prime n'est en tout état de cause acquise qu'après l'expiration du délai légal de rétractation de quatorze jours — y compris lorsque l'année est payée en une fois et encaissée immédiatement ; une vente rétractée n'ouvre droit à aucune commission, et toute prime déjà réglée sur une vente rétractée est reprise (article 5).</w:t>
      </w:r>
      <w:r>
        <w:rPr>
          <w:rFonts w:ascii="Arial" w:cs="Arial" w:eastAsia="Arial" w:hAnsi="Arial"/>
          <w:color w:val="1E2233"/>
          <w:sz w:val="20"/>
          <w:szCs w:val="20"/>
        </w:rPr>
      </w:r>
    </w:p>
    <w:p>
      <w:pPr>
        <w:pStyle w:val="ListParagraph"/>
        <w:numPr>
          <w:ilvl w:val="0"/>
          <w:numId w:val="2"/>
        </w:numPr>
        <w:spacing w:after="80" w:line="290"/>
      </w:pPr>
      <w:r>
        <w:rPr>
          <w:rFonts w:ascii="Arial" w:cs="Arial" w:eastAsia="Arial" w:hAnsi="Arial"/>
          <w:b/>
          <w:bCs/>
          <w:color w:val="1E2233"/>
          <w:sz w:val="20"/>
          <w:szCs w:val="20"/>
        </w:rPr>
        <w:t xml:space="preserve">Bonus engagement : acquis avec la prime lorsque le contrat signé comporte un engagement de douze mois ou que l'année est payée en une fois.</w:t>
      </w:r>
      <w:r>
        <w:rPr>
          <w:rFonts w:ascii="Arial" w:cs="Arial" w:eastAsia="Arial" w:hAnsi="Arial"/>
          <w:color w:val="1E2233"/>
          <w:sz w:val="20"/>
          <w:szCs w:val="20"/>
        </w:rPr>
        <w:t xml:space="preserve"/>
      </w:r>
    </w:p>
    <w:p>
      <w:pPr>
        <w:pStyle w:val="ListParagraph"/>
        <w:numPr>
          <w:ilvl w:val="0"/>
          <w:numId w:val="2"/>
        </w:numPr>
        <w:spacing w:after="80" w:line="290"/>
      </w:pPr>
      <w:r>
        <w:rPr>
          <w:rFonts w:ascii="Arial" w:cs="Arial" w:eastAsia="Arial" w:hAnsi="Arial"/>
          <w:b/>
          <w:bCs/>
          <w:color w:val="1E2233"/>
          <w:sz w:val="20"/>
          <w:szCs w:val="20"/>
        </w:rPr>
        <w:t xml:space="preserve">Montée en formule : </w:t>
      </w:r>
      <w:r>
        <w:rPr>
          <w:rFonts w:ascii="Arial" w:cs="Arial" w:eastAsia="Arial" w:hAnsi="Arial"/>
          <w:color w:val="1E2233"/>
          <w:sz w:val="20"/>
          <w:szCs w:val="20"/>
        </w:rPr>
        <w:t xml:space="preserve">lorsqu'un garage apporté souscrit une formule supérieure dans les douze mois suivant sa signature, l'Apporteur perçoit 85 % de la différence entre les deux mensualités hors taxes, aux conditions de la prime.</w:t>
      </w:r>
    </w:p>
    <w:p>
      <w:pPr>
        <w:pStyle w:val="ListParagraph"/>
        <w:numPr>
          <w:ilvl w:val="0"/>
          <w:numId w:val="2"/>
        </w:numPr>
        <w:spacing w:after="80" w:line="290"/>
      </w:pPr>
      <w:r>
        <w:rPr>
          <w:rFonts w:ascii="Arial" w:cs="Arial" w:eastAsia="Arial" w:hAnsi="Arial"/>
          <w:b/>
          <w:bCs/>
          <w:color w:val="1E2233"/>
          <w:sz w:val="20"/>
          <w:szCs w:val="20"/>
        </w:rPr>
        <w:t xml:space="preserve">Bonus de volume : </w:t>
      </w:r>
      <w:r>
        <w:rPr>
          <w:rFonts w:ascii="Arial" w:cs="Arial" w:eastAsia="Arial" w:hAnsi="Arial"/>
          <w:color w:val="1E2233"/>
          <w:sz w:val="20"/>
          <w:szCs w:val="20"/>
        </w:rPr>
        <w:t xml:space="preserve">255 € lorsque cinq contrats hors ESSENTIEL apportés par l'Apporteur ont été signés et ont donné lieu à un premier règlement au cours d'un même trimestre civil ; 680 € pour dix contrats. Ces deux bonus ne se cumulent pas.</w:t>
      </w:r>
    </w:p>
    <w:p>
      <w:pPr>
        <w:spacing w:after="120" w:before="0" w:line="300"/>
      </w:pPr>
      <w:r>
        <w:rPr>
          <w:rFonts w:ascii="Arial" w:cs="Arial" w:eastAsia="Arial" w:hAnsi="Arial"/>
          <w:color w:val="1E2233"/>
          <w:sz w:val="20"/>
          <w:szCs w:val="20"/>
        </w:rPr>
        <w:t xml:space="preserve">Les commissions sont exprimées hors taxes ; l'Apporteur y ajoute la TVA selon son régime. Aucune commission n'est due sur les heures hors forfait, les frais de mise en service ni les prestations ponctuelles.</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5 — Reprise et absence de commission</w:t>
      </w:r>
    </w:p>
    <w:p>
      <w:pPr>
        <w:spacing w:after="120" w:before="0" w:line="300"/>
      </w:pPr>
      <w:r>
        <w:rPr>
          <w:rFonts w:ascii="Arial" w:cs="Arial" w:eastAsia="Arial" w:hAnsi="Arial"/>
          <w:color w:val="1E2233"/>
          <w:sz w:val="20"/>
          <w:szCs w:val="20"/>
        </w:rPr>
        <w:t xml:space="preserve">Si le garage résilie, cesse de payer, exerce un droit de rétractation ou obtient l'annulation de son contrat avant d'avoir réglé sa troisième mensualité, la prime et le bonus engagement correspondants sont repris : MY EASY AUTO les compense sur les commissions dues à l'Apporteur au titre des relevés suivants et, à défaut de compensation possible, l'Apporteur les rembourse sous trente jours de la demande. La reprise s'applique que le garage ait ou non réglé l'indemnité de résiliation anticipée prévue à son propre contrat. Aucune commission n'est due sur une vente refusée par MY EASY AUTO, sur une vente obtenue au moyen d'une promesse non prévue par les documents commerciaux, ni lorsque l'Apporteur a encaissé un paiement en son nom ou omis de déclarer sous quarante-huit heures un règlement remis par le garage.</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6 — Relevé et paiement</w:t>
      </w:r>
    </w:p>
    <w:p>
      <w:pPr>
        <w:spacing w:after="120" w:before="0" w:line="300"/>
      </w:pPr>
      <w:r>
        <w:rPr>
          <w:rFonts w:ascii="Arial" w:cs="Arial" w:eastAsia="Arial" w:hAnsi="Arial"/>
          <w:color w:val="1E2233"/>
          <w:sz w:val="20"/>
          <w:szCs w:val="20"/>
        </w:rPr>
        <w:t xml:space="preserve">Avant le 5 de chaque mois, MY EASY AUTO adresse à l'Apporteur un relevé des commissions acquises au cours du mois précédent, contrat par contrat. L'Apporteur émet sa facture sur la base de ce relevé ; MY EASY AUTO la règle par virement à trente (30) jours date de facture. Toute contestation du relevé est formulée par écrit dans les quinze jours de sa réception.</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7 — Conduite commerciale</w:t>
      </w:r>
    </w:p>
    <w:p>
      <w:pPr>
        <w:spacing w:after="120" w:before="0" w:line="300"/>
      </w:pPr>
      <w:r>
        <w:rPr>
          <w:rFonts w:ascii="Arial" w:cs="Arial" w:eastAsia="Arial" w:hAnsi="Arial"/>
          <w:color w:val="1E2233"/>
          <w:sz w:val="20"/>
          <w:szCs w:val="20"/>
        </w:rPr>
        <w:t xml:space="preserve">L'Apporteur présente les Services conformément aux documents commerciaux remis par MY EASY AUTO (plaquette, plaquette tarifaire, kit de vente, contrat d'abonnement et conditions générales de vente, grille de commissions en vigueur). Il fait lire au garage les conditions particulières et les conditions générales avant signature, notamment le caractère ferme de l'engagement de douze mois. Il s'interdit toute promesse non prévue par ces documents, toute remise hors grille sans accord écrit de MY EASY AUTO, et tout encaissement en son nom : les paiements sont libellés à l'ordre de MY EASY AUTO ou versés sur son compte, et déclarés dans la vente. Il utilise exclusivement le compte de démonstration fourni par MY EASY AUTO pour ses présentations et n'y saisit aucune donnée réelle d'un garage. Il n'a pas qualité pour engager MY EASY AUTO ni pour signer en son nom.</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8 — Non-concurrence limitée et non-sollicitation</w:t>
      </w:r>
    </w:p>
    <w:p>
      <w:pPr>
        <w:spacing w:after="120" w:before="0" w:line="300"/>
      </w:pPr>
      <w:r>
        <w:rPr>
          <w:rFonts w:ascii="Arial" w:cs="Arial" w:eastAsia="Arial" w:hAnsi="Arial"/>
          <w:color w:val="1E2233"/>
          <w:sz w:val="20"/>
          <w:szCs w:val="20"/>
        </w:rPr>
        <w:t xml:space="preserve">Pendant la durée du contrat et douze (12) mois après sa fin, l'Apporteur s'interdit de proposer aux garages qu'il a rencontrés ou déclarés dans le cadre du présent contrat un logiciel de gestion de sinistres ou un service de déblocage de dossiers (Adhésion Service) concurrent des Services, et de solliciter les collaborateurs de MY EASY AUTO. Cette clause est limitée aux prospects et clients identifiés dans le cadre du contrat ; elle n'interdit pas à l'Apporteur d'exercer toute autre activité commerciale.</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9 — Confidentialité</w:t>
      </w:r>
    </w:p>
    <w:p>
      <w:pPr>
        <w:spacing w:after="120" w:before="0" w:line="300"/>
      </w:pPr>
      <w:r>
        <w:rPr>
          <w:rFonts w:ascii="Arial" w:cs="Arial" w:eastAsia="Arial" w:hAnsi="Arial"/>
          <w:color w:val="1E2233"/>
          <w:sz w:val="20"/>
          <w:szCs w:val="20"/>
        </w:rPr>
        <w:t xml:space="preserve">Les informations relatives à MY EASY AUTO (tarifs internes, marges, contrats collaborateurs, feuille de route de l'application, données des garages) sont confidentielles pendant la durée du contrat et trois ans après son terme. Le présent contrat et ses annexes ne sont pas remis aux garages.</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10 — Durée et fin du contrat</w:t>
      </w:r>
    </w:p>
    <w:p>
      <w:pPr>
        <w:spacing w:after="120" w:before="0" w:line="300"/>
      </w:pPr>
      <w:r>
        <w:rPr>
          <w:rFonts w:ascii="Arial" w:cs="Arial" w:eastAsia="Arial" w:hAnsi="Arial"/>
          <w:color w:val="1E2233"/>
          <w:sz w:val="20"/>
          <w:szCs w:val="20"/>
        </w:rPr>
        <w:t xml:space="preserve">Le contrat est conclu pour une durée indéterminée à compter de sa signature. Chaque partie peut y mettre fin à tout moment par email ou lettre recommandée, moyennant un préavis d'un mois. Les commissions acquises avant la fin du contrat restent dues ; les primes des contrats signés avant la fin du contrat restent dues si leur condition d'acquisition se réalise dans les trois mois suivant celle-ci. En cas de manquement grave (article 7 ou 8), MY EASY AUTO peut résilier sans préavis par écrit motivé.</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11 — Droit applicable</w:t>
      </w:r>
    </w:p>
    <w:p>
      <w:pPr>
        <w:spacing w:after="120" w:before="0" w:line="300"/>
      </w:pPr>
      <w:r>
        <w:rPr>
          <w:rFonts w:ascii="Arial" w:cs="Arial" w:eastAsia="Arial" w:hAnsi="Arial"/>
          <w:color w:val="1E2233"/>
          <w:sz w:val="20"/>
          <w:szCs w:val="20"/>
        </w:rPr>
        <w:t xml:space="preserve">Le présent contrat est soumis au droit français. Les parties rechercheront une solution amiable à tout différend ; à défaut, les tribunaux du ressort du siège de MY EASY AUTO sont compétents.</w:t>
      </w:r>
    </w:p>
    <w:p>
      <w:pPr>
        <w:spacing w:after="240" w:before="240" w:line="300"/>
      </w:pPr>
      <w:r>
        <w:rPr>
          <w:rFonts w:ascii="Arial" w:cs="Arial" w:eastAsia="Arial" w:hAnsi="Arial"/>
          <w:color w:val="1E2233"/>
          <w:sz w:val="20"/>
          <w:szCs w:val="20"/>
        </w:rPr>
        <w:t xml:space="preserve">Fait en deux exemplaires à [__________], le [__________].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20"/>
                <w:szCs w:val="20"/>
              </w:rPr>
              <w:t xml:space="preserve">Pour MY EASY AUTO</w:t>
            </w:r>
          </w:p>
        </w:tc>
        <w:tc>
          <w:tcPr>
            <w:tcW w:type="dxa" w:w="468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20"/>
                <w:szCs w:val="20"/>
              </w:rPr>
              <w:t xml:space="preserve">L'Apporteur</w:t>
            </w:r>
          </w:p>
        </w:tc>
      </w:tr>
      <w:tr>
        <w:trPr>
          <w:cantSplit/>
        </w:trPr>
        <w:tc>
          <w:tcPr>
            <w:tcW w:type="dxa" w:w="468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Nom, qualité, signature :</w:t>
            </w:r>
          </w:p>
        </w:tc>
        <w:tc>
          <w:tcPr>
            <w:tcW w:type="dxa" w:w="468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Nom, signature (précédée de « lu et approuvé ») :</w:t>
            </w:r>
          </w:p>
        </w:tc>
      </w:tr>
      <w:tr>
        <w:trPr>
          <w:cantSplit/>
        </w:trPr>
        <w:tc>
          <w:tcPr>
            <w:tcW w:type="dxa" w:w="468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
            </w:r>
          </w:p>
        </w:tc>
        <w:tc>
          <w:tcPr>
            <w:tcW w:type="dxa" w:w="468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
            </w:r>
          </w:p>
        </w:tc>
      </w:tr>
      <w:tr>
        <w:trPr>
          <w:cantSplit/>
        </w:trPr>
        <w:tc>
          <w:tcPr>
            <w:tcW w:type="dxa" w:w="468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
            </w:r>
          </w:p>
        </w:tc>
        <w:tc>
          <w:tcPr>
            <w:tcW w:type="dxa" w:w="468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
            </w:r>
          </w:p>
        </w:tc>
      </w:tr>
    </w:tbl>
    <w:p>
      <w:pPr>
        <w:spacing w:after="140" w:before="60"/>
      </w:pPr>
      <w:r>
        <w:rPr>
          <w:rFonts w:ascii="Arial" w:cs="Arial" w:eastAsia="Arial" w:hAnsi="Arial"/>
          <w:b/>
          <w:i w:val="0"/>
          <w:iCs/>
          <w:sz w:val="24"/>
          <w:szCs w:val="17"/>
        </w:rPr>
        <w:t>Annexe 1 — Zone et Portefeuille attribués à l'Apporteur</w:t>
      </w:r>
    </w:p>
    <w:p>
      <w:pPr>
        <w:spacing w:after="140" w:before="60"/>
      </w:pPr>
      <w:r>
        <w:rPr>
          <w:rFonts w:ascii="Arial" w:cs="Arial" w:eastAsia="Arial" w:hAnsi="Arial"/>
          <w:b w:val="0"/>
          <w:i w:val="0"/>
          <w:iCs/>
          <w:sz w:val="20"/>
          <w:szCs w:val="17"/>
        </w:rPr>
        <w:t>Zone géographique : ______________________________________________ (départements, communes ou périmètre décrit).</w:t>
      </w:r>
    </w:p>
    <w:p>
      <w:pPr>
        <w:spacing w:after="140" w:before="60"/>
      </w:pPr>
      <w:r>
        <w:rPr>
          <w:rFonts w:ascii="Arial" w:cs="Arial" w:eastAsia="Arial" w:hAnsi="Arial"/>
          <w:b w:val="0"/>
          <w:i w:val="0"/>
          <w:iCs/>
          <w:sz w:val="20"/>
          <w:szCs w:val="17"/>
        </w:rPr>
        <w:t>Portefeuille : ☐ tous les garages de la zone   ☐ liste jointe   ☐ description : ______________________________________________</w:t>
      </w:r>
    </w:p>
    <w:p>
      <w:pPr>
        <w:spacing w:after="140" w:before="60"/>
      </w:pPr>
      <w:r>
        <w:rPr>
          <w:rFonts w:ascii="Arial" w:cs="Arial" w:eastAsia="Arial" w:hAnsi="Arial"/>
          <w:b w:val="0"/>
          <w:i w:val="0"/>
          <w:iCs/>
          <w:sz w:val="20"/>
          <w:szCs w:val="17"/>
        </w:rPr>
        <w:t>Exclusions (garages déjà clients ou attribués à un autre Apporteur) : ______________________________________________</w:t>
      </w:r>
    </w:p>
    <w:p>
      <w:pPr>
        <w:spacing w:after="140" w:before="60"/>
      </w:pPr>
      <w:r>
        <w:rPr>
          <w:rFonts w:ascii="Arial" w:cs="Arial" w:eastAsia="Arial" w:hAnsi="Arial"/>
          <w:b w:val="0"/>
          <w:i w:val="0"/>
          <w:iCs/>
          <w:sz w:val="18"/>
          <w:szCs w:val="17"/>
        </w:rPr>
        <w:t xml:space="preserve">Cette annexe est reproduite sur la fiche du commercial dans l'espace éditeur (champs « Zone » et « Portefeuille »). Toute modification fait l'objet d'un email de MY EASY AUTO avec un mois de préavis (art. 3.1). Paraphes : MY EASY AUTO ______   l'Apporteur ______</w:t>
      </w:r>
    </w:p>
    <w:p>
      <w:pPr>
        <w:spacing w:after="140" w:before="60"/>
      </w:pPr>
      <w:r>
        <w:rPr>
          <w:rFonts w:ascii="Arial" w:cs="Arial" w:eastAsia="Arial" w:hAnsi="Arial"/>
          <w:i/>
          <w:iCs/>
          <w:color w:val="5B6078"/>
          <w:sz w:val="17"/>
          <w:szCs w:val="17"/>
        </w:rPr>
        <w:t xml:space="preserve">Ce modèle est fourni à titre indicatif et ne constitue pas un conseil juridique. Faites-le relire par un avocat ou un expert-comptable, notamment sur l'indépendance de l'Apporteur (absence de subordination), la clause de non-sollicitation et le régime de TVA applicable aux commissions.</w:t>
      </w:r>
    </w:p>
    <w:sectPr>
      <w:headerReference w:type="default" r:id="rId7"/>
      <w:footerReference w:type="default" r:id="rId8"/>
      <w:headerReference w:type="first" r:id="rId10"/>
      <w:footerReference w:type="first" r:id="rId11"/>
      <w:pgSz w:w="11906" w:h="16838" w:orient="portrait"/>
      <w:pgMar w:top="13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6F0" w:sz="6" w:space="6"/>
      </w:pBdr>
      <w:tabs>
        <w:tab w:val="right" w:pos="9360"/>
      </w:tabs>
      <w:spacing w:after="0" w:before="0"/>
    </w:pPr>
    <w:r>
      <w:rPr>
        <w:rFonts w:ascii="Arial" w:cs="Arial" w:eastAsia="Arial" w:hAnsi="Arial"/>
        <w:color w:val="9AA0B8"/>
        <w:sz w:val="14"/>
        <w:szCs w:val="14"/>
      </w:rPr>
      <w:t xml:space="preserve">MY EASY AUTO — 144 Avenue Charles de Gaulle, 92200 Neuilly-sur-Seine — SIRET 993 125 335 00014 — contact@myeasyauto.fr</w:t>
    </w:r>
    <w:r>
      <w:rPr>
        <w:rFonts w:ascii="Arial" w:cs="Arial" w:eastAsia="Arial" w:hAnsi="Arial"/>
        <w:color w:val="9AA0B8"/>
        <w:sz w:val="14"/>
        <w:szCs w:val="14"/>
      </w:rPr>
      <w:t xml:space="preserve">	Page </w:t>
    </w:r>
    <w:r>
      <w:rPr>
        <w:rFonts w:ascii="Arial" w:cs="Arial" w:eastAsia="Arial" w:hAnsi="Arial"/>
        <w:color w:val="9AA0B8"/>
        <w:sz w:val="14"/>
        <w:szCs w:val="14"/>
      </w:rPr>
      <w:fldChar w:fldCharType="begin"/>
      <w:instrText xml:space="preserve">PAGE</w:instrText>
      <w:fldChar w:fldCharType="separate"/>
      <w:fldChar w:fldCharType="end"/>
    </w:r>
    <w:r>
      <w:rPr>
        <w:rFonts w:ascii="Arial" w:cs="Arial" w:eastAsia="Arial" w:hAnsi="Arial"/>
        <w:color w:val="9AA0B8"/>
        <w:sz w:val="14"/>
        <w:szCs w:val="14"/>
      </w:rPr>
      <w:t xml:space="preserve"> / </w:t>
    </w:r>
    <w:r>
      <w:rPr>
        <w:rFonts w:ascii="Arial" w:cs="Arial" w:eastAsia="Arial" w:hAnsi="Arial"/>
        <w:color w:val="9AA0B8"/>
        <w:sz w:val="14"/>
        <w:szCs w:val="14"/>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4660"/>
      <w:gridCol w:w="4000"/>
    </w:tblGrid>
    <w:tr>
      <w:tc>
        <w:tcPr>
          <w:tcW w:type="dxa" w:w="700"/>
          <w:tcBorders>
            <w:top w:val="none" w:color="FFFFFF" w:sz="0"/>
            <w:left w:val="none" w:color="FFFFFF" w:sz="0"/>
            <w:bottom w:val="none" w:color="FFFFFF" w:sz="0"/>
            <w:right w:val="none" w:color="FFFFFF" w:sz="0"/>
          </w:tcBorders>
        </w:tcPr>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p>
      </w:tc>
      <w:tc>
        <w:tcPr>
          <w:tcW w:type="dxa" w:w="4660"/>
          <w:tcBorders>
            <w:top w:val="none" w:color="FFFFFF" w:sz="0"/>
            <w:left w:val="none" w:color="FFFFFF" w:sz="0"/>
            <w:bottom w:val="none" w:color="FFFFFF" w:sz="0"/>
            <w:right w:val="none" w:color="FFFFFF" w:sz="0"/>
          </w:tcBorders>
          <w:vAlign w:val="center"/>
        </w:tcPr>
        <w:p>
          <w:pPr>
            <w:spacing w:after="0"/>
          </w:pPr>
          <w:r>
            <w:rPr>
              <w:rFonts w:ascii="Arial" w:cs="Arial" w:eastAsia="Arial" w:hAnsi="Arial"/>
              <w:b/>
              <w:bCs/>
              <w:color w:val="1E2233"/>
              <w:sz w:val="22"/>
              <w:szCs w:val="22"/>
            </w:rPr>
            <w:t xml:space="preserve">My Easy Auto</w:t>
          </w:r>
        </w:p>
        <w:p>
          <w:pPr>
            <w:spacing w:after="0"/>
          </w:pPr>
          <w:r>
            <w:rPr>
              <w:rFonts w:ascii="Arial" w:cs="Arial" w:eastAsia="Arial" w:hAnsi="Arial"/>
              <w:color w:val="5B6078"/>
              <w:sz w:val="16"/>
              <w:szCs w:val="16"/>
            </w:rPr>
            <w:t xml:space="preserve">Contrat d'apporteur d'affaires</w:t>
          </w:r>
        </w:p>
      </w:tc>
      <w:tc>
        <w:tcPr>
          <w:tcW w:type="dxa" w:w="4000"/>
          <w:tcBorders>
            <w:top w:val="none" w:color="FFFFFF" w:sz="0"/>
            <w:left w:val="none" w:color="FFFFFF" w:sz="0"/>
            <w:bottom w:val="none" w:color="FFFFFF" w:sz="0"/>
            <w:right w:val="none" w:color="FFFFFF" w:sz="0"/>
          </w:tcBorders>
          <w:vAlign w:val="center"/>
        </w:tcPr>
        <w:p>
          <w:pPr>
            <w:spacing w:after="0"/>
            <w:jc w:val="right"/>
          </w:pPr>
          <w:r>
            <w:rPr>
              <w:rFonts w:ascii="Arial" w:cs="Arial" w:eastAsia="Arial" w:hAnsi="Arial"/>
              <w:b/>
              <w:bCs/>
              <w:color w:val="7C3AED"/>
              <w:sz w:val="16"/>
              <w:szCs w:val="16"/>
            </w:rPr>
            <w:t xml:space="preserve">MY EASY AUTO</w:t>
          </w:r>
        </w:p>
        <w:p>
          <w:pPr>
            <w:spacing w:after="0"/>
            <w:jc w:val="right"/>
          </w:pPr>
          <w:r>
            <w:rPr>
              <w:rFonts w:ascii="Arial" w:cs="Arial" w:eastAsia="Arial" w:hAnsi="Arial"/>
              <w:color w:val="5B6078"/>
              <w:sz w:val="16"/>
              <w:szCs w:val="16"/>
            </w:rPr>
            <w:t xml:space="preserve">contact@myeasyauto.fr</w:t>
          </w:r>
        </w:p>
      </w:tc>
    </w:tr>
  </w:tbl>
  <w:p>
    <w:pPr>
      <w:pBdr>
        <w:bottom w:val="single" w:color="E4E6F0" w:sz="6" w:space="6"/>
      </w:pBdr>
      <w:spacing w:after="20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b/>
        <w:bCs/>
        <w:color w:val="DB2777"/>
      </w:rPr>
    </w:lvl>
  </w:abstractNum>
  <w:abstractNum w:abstractNumId="3" w15:restartNumberingAfterBreak="0">
    <w:multiLevelType w:val="hybridMultilevel"/>
    <w:lvl w:ilvl="0" w15:tentative="1">
      <w:start w:val="1"/>
      <w:numFmt w:val="decimal"/>
      <w:lvlText w:val="%1."/>
      <w:lvlJc w:val="left"/>
      <w:pPr>
        <w:ind w:left="440" w:hanging="300"/>
      </w:pPr>
      <w:rPr>
        <w:b/>
        <w:bCs/>
        <w:color w:val="7C3AED"/>
      </w:rPr>
    </w:lvl>
  </w:abstractNum>
  <w:abstractNum w:abstractNumId="4" w15:restartNumberingAfterBreak="0">
    <w:multiLevelType w:val="hybridMultilevel"/>
    <w:lvl w:ilvl="0" w15:tentative="1">
      <w:start w:val="1"/>
      <w:numFmt w:val="decimal"/>
      <w:lvlText w:val="%1."/>
      <w:lvlJc w:val="left"/>
      <w:pPr>
        <w:ind w:left="440" w:hanging="300"/>
      </w:pPr>
      <w:rPr>
        <w:b/>
        <w:bCs/>
        <w:color w:val="7C3AED"/>
      </w:rPr>
    </w:lvl>
  </w:abstractNum>
  <w:abstractNum w:abstractNumId="5" w15:restartNumberingAfterBreak="0">
    <w:multiLevelType w:val="hybridMultilevel"/>
    <w:lvl w:ilvl="0" w15:tentative="1">
      <w:start w:val="1"/>
      <w:numFmt w:val="decimal"/>
      <w:lvlText w:val="%1."/>
      <w:lvlJc w:val="left"/>
      <w:pPr>
        <w:ind w:left="440" w:hanging="300"/>
      </w:pPr>
      <w:rPr>
        <w:b/>
        <w:bCs/>
        <w:color w:val="7C3AED"/>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f66ef9b9b07e7a87e11ee03d0ddb2c0ae966ed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2026-08-25T21:30:36.295Z</dcterms:created>
  <dcterms:modified xsi:type="dcterms:W3CDTF">2026-08-25T21:30:36.296Z</dcterms:modified>
</cp:coreProperties>
</file>

<file path=docProps/custom.xml><?xml version="1.0" encoding="utf-8"?>
<Properties xmlns="http://schemas.openxmlformats.org/officeDocument/2006/custom-properties" xmlns:vt="http://schemas.openxmlformats.org/officeDocument/2006/docPropsVTypes"/>
</file>