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8"/>
        </w:rPr>
        <w:t>MY EASY AUTO</w:t>
      </w:r>
    </w:p>
    <w:p>
      <w:pPr>
        <w:spacing w:after="40"/>
      </w:pPr>
      <w:r>
        <w:rPr>
          <w:b/>
          <w:color w:val="7C3AED"/>
          <w:sz w:val="44"/>
        </w:rPr>
        <w:t>Périmètre des missions</w:t>
      </w:r>
    </w:p>
    <w:p>
      <w:pPr>
        <w:spacing w:after="280"/>
      </w:pPr>
      <w:r>
        <w:rPr>
          <w:color w:val="6B7280"/>
          <w:sz w:val="22"/>
        </w:rPr>
        <w:t>Ce que le chargé de mission fait — et ce qu'il ne fait pas — My Easy Auto</w:t>
      </w:r>
    </w:p>
    <w:p>
      <w:pPr>
        <w:spacing w:after="80"/>
        <w:jc w:val="both"/>
      </w:pPr>
      <w:r>
        <w:rPr>
          <w:b w:val="0"/>
          <w:color w:val="6B7280"/>
          <w:sz w:val="21"/>
        </w:rPr>
        <w:t>Ce document accompagne le contrat de prestation. Il sert de référence commune au garage, à la collaboratrice et à l'éditeur. Il évite la question la plus fréquente et la plus source de tension : « est-ce que ça rentre dans le forfait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3E8FF"/>
          </w:tcPr>
          <w:p>
            <w:r/>
            <w:r>
              <w:rPr>
                <w:b/>
                <w:color w:val="7C3AED"/>
                <w:sz w:val="22"/>
              </w:rPr>
              <w:t>Le principe</w:t>
            </w:r>
          </w:p>
          <w:p>
            <w:pPr>
              <w:spacing w:after="40"/>
            </w:pPr>
            <w:r>
              <w:rPr>
                <w:sz w:val="20"/>
              </w:rPr>
              <w:t>Le périmètre exact de chaque collaboratrice est fixé à l'annexe 2 de SON contrat, remplie avec elle lors de l'entretien préalable.</w:t>
            </w:r>
          </w:p>
          <w:p>
            <w:pPr>
              <w:spacing w:after="40"/>
            </w:pPr>
            <w:r>
              <w:rPr>
                <w:sz w:val="20"/>
              </w:rPr>
              <w:t>Ce qui n'y figure pas n'entre pas dans la mission. Elle peut le refuser, et ce refus n'est pas une faute.</w:t>
            </w:r>
          </w:p>
          <w:p>
            <w:pPr>
              <w:spacing w:after="40"/>
            </w:pPr>
            <w:r>
              <w:rPr>
                <w:sz w:val="20"/>
              </w:rPr>
              <w:t>Toutes les tâches sont liées à la plateforme My Easy Auto et au métier de la carrosserie. Rien d'autre.</w:t>
            </w:r>
          </w:p>
          <w:p>
            <w:pPr>
              <w:spacing w:after="40"/>
            </w:pPr>
            <w:r>
              <w:rPr>
                <w:sz w:val="20"/>
              </w:rPr>
              <w:t>Une demande hors périmètre ne se négocie pas directement avec la collaboratrice : elle est adressée à l'éditeur, qui décide.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7C3AED"/>
          <w:sz w:val="28"/>
        </w:rPr>
        <w:t>1. Ce qui peut lui être confié</w:t>
      </w:r>
    </w:p>
    <w:p>
      <w:pPr>
        <w:spacing w:after="80"/>
        <w:jc w:val="both"/>
      </w:pPr>
      <w:r>
        <w:rPr>
          <w:b w:val="0"/>
          <w:sz w:val="21"/>
        </w:rPr>
        <w:t>Selon ce qui a été convenu avec elle, tâche par tâche :</w:t>
      </w:r>
    </w:p>
    <w:p>
      <w:pPr>
        <w:spacing w:before="180" w:after="40"/>
      </w:pPr>
      <w:r>
        <w:rPr>
          <w:b/>
          <w:color w:val="DB2777"/>
          <w:sz w:val="23"/>
        </w:rPr>
        <w:t>Dossiers de sinistres</w:t>
      </w:r>
    </w:p>
    <w:p>
      <w:pPr>
        <w:pStyle w:val="ListBullet"/>
        <w:spacing w:after="40"/>
      </w:pPr>
      <w:r>
        <w:rPr>
          <w:sz w:val="20"/>
        </w:rPr>
        <w:t xml:space="preserve">Créer ou reprendre le dossier à partir du rapport d'expertise (import du PDF, contrôle de l'analyse)</w:t>
      </w:r>
    </w:p>
    <w:p>
      <w:pPr>
        <w:pStyle w:val="ListBullet"/>
        <w:spacing w:after="40"/>
      </w:pPr>
      <w:r>
        <w:rPr>
          <w:sz w:val="20"/>
        </w:rPr>
        <w:t>Contrôler le chiffrage lu dans le rapport et signaler les écarts, sans jamais les corriger d'autorité</w:t>
      </w:r>
    </w:p>
    <w:p>
      <w:pPr>
        <w:pStyle w:val="ListBullet"/>
        <w:spacing w:after="40"/>
      </w:pPr>
      <w:r>
        <w:rPr>
          <w:sz w:val="20"/>
        </w:rPr>
        <w:t>Signaler les mentions particulières du rapport : expertise conservatoire, sursis à travaux, VGE, absence de règlement direct</w:t>
      </w:r>
    </w:p>
    <w:p>
      <w:pPr>
        <w:pStyle w:val="ListBullet"/>
        <w:spacing w:after="40"/>
      </w:pPr>
      <w:r>
        <w:rPr>
          <w:sz w:val="20"/>
        </w:rPr>
        <w:t>Faire avancer le dossier dans le pipeline et tenir la fiche à jour</w:t>
      </w:r>
    </w:p>
    <w:p>
      <w:pPr>
        <w:pStyle w:val="ListBullet"/>
        <w:spacing w:after="40"/>
      </w:pPr>
      <w:r>
        <w:rPr>
          <w:sz w:val="20"/>
        </w:rPr>
        <w:t>Enregistrer les photos d'état à l'entrée et à la sortie</w:t>
      </w:r>
    </w:p>
    <w:p>
      <w:pPr>
        <w:pStyle w:val="ListBullet"/>
        <w:spacing w:after="40"/>
      </w:pPr>
      <w:r>
        <w:rPr>
          <w:sz w:val="20"/>
        </w:rPr>
        <w:t>Tenir la note et l'historique du dossier</w:t>
      </w:r>
    </w:p>
    <w:p>
      <w:pPr>
        <w:spacing w:before="180" w:after="40"/>
      </w:pPr>
      <w:r>
        <w:rPr>
          <w:b/>
          <w:color w:val="DB2777"/>
          <w:sz w:val="23"/>
        </w:rPr>
        <w:t>Devis, factures et documents</w:t>
      </w:r>
    </w:p>
    <w:p>
      <w:pPr>
        <w:pStyle w:val="ListBullet"/>
        <w:spacing w:after="40"/>
      </w:pPr>
      <w:r>
        <w:rPr>
          <w:sz w:val="20"/>
        </w:rPr>
        <w:t xml:space="preserve">Contrôler la conformité des devis et factures au rapport avant envoi</w:t>
      </w:r>
    </w:p>
    <w:p>
      <w:pPr>
        <w:pStyle w:val="ListBullet"/>
        <w:spacing w:after="40"/>
      </w:pPr>
      <w:r>
        <w:rPr>
          <w:sz w:val="20"/>
        </w:rPr>
        <w:t>Établir les factures conformes au rapport</w:t>
      </w:r>
    </w:p>
    <w:p>
      <w:pPr>
        <w:pStyle w:val="ListBullet"/>
        <w:spacing w:after="40"/>
      </w:pPr>
      <w:r>
        <w:rPr>
          <w:sz w:val="20"/>
        </w:rPr>
        <w:t xml:space="preserve">Réunir les pièces nécessaires au règlement (OR signé, cession de créance, accord de prise en charge)</w:t>
      </w:r>
    </w:p>
    <w:p>
      <w:pPr>
        <w:pStyle w:val="ListBullet"/>
        <w:spacing w:after="40"/>
      </w:pPr>
      <w:r>
        <w:rPr>
          <w:sz w:val="20"/>
        </w:rPr>
        <w:t>Envoyer les documents en signature électronique et en assurer le suivi</w:t>
      </w:r>
    </w:p>
    <w:p>
      <w:pPr>
        <w:pStyle w:val="ListBullet"/>
        <w:spacing w:after="40"/>
      </w:pPr>
      <w:r>
        <w:rPr>
          <w:sz w:val="20"/>
        </w:rPr>
        <w:t>Préparer les cessions de créance</w:t>
      </w:r>
    </w:p>
    <w:p>
      <w:pPr>
        <w:pStyle w:val="ListBullet"/>
        <w:spacing w:after="40"/>
      </w:pPr>
      <w:r>
        <w:rPr>
          <w:sz w:val="20"/>
        </w:rPr>
        <w:t>Préparer les contrats de prêt et les factures de gardiennage</w:t>
      </w:r>
    </w:p>
    <w:p>
      <w:pPr>
        <w:pStyle w:val="ListBullet"/>
        <w:spacing w:after="40"/>
      </w:pPr>
      <w:r>
        <w:rPr>
          <w:sz w:val="20"/>
        </w:rPr>
        <w:t>Préparer les PV de restitution</w:t>
      </w:r>
    </w:p>
    <w:p>
      <w:pPr>
        <w:spacing w:before="180" w:after="40"/>
      </w:pPr>
      <w:r>
        <w:rPr>
          <w:b/>
          <w:color w:val="DB2777"/>
          <w:sz w:val="23"/>
        </w:rPr>
        <w:t>Relations experts, assurances et clients</w:t>
      </w:r>
    </w:p>
    <w:p>
      <w:pPr>
        <w:pStyle w:val="ListBullet"/>
        <w:spacing w:after="40"/>
      </w:pPr>
      <w:r>
        <w:rPr>
          <w:sz w:val="20"/>
        </w:rPr>
        <w:t>Relancer les experts et cabinets d'expertise</w:t>
      </w:r>
    </w:p>
    <w:p>
      <w:pPr>
        <w:pStyle w:val="ListBullet"/>
        <w:spacing w:after="40"/>
      </w:pPr>
      <w:r>
        <w:rPr>
          <w:sz w:val="20"/>
        </w:rPr>
        <w:t>Relancer les compagnies d'assurance (accords, règlements directs, prises en charge)</w:t>
      </w:r>
    </w:p>
    <w:p>
      <w:pPr>
        <w:pStyle w:val="ListBullet"/>
        <w:spacing w:after="40"/>
      </w:pPr>
      <w:r>
        <w:rPr>
          <w:sz w:val="20"/>
        </w:rPr>
        <w:t>Relancer les clients du garage</w:t>
      </w:r>
    </w:p>
    <w:p>
      <w:pPr>
        <w:pStyle w:val="ListBullet"/>
        <w:spacing w:after="40"/>
      </w:pPr>
      <w:r>
        <w:rPr>
          <w:sz w:val="20"/>
        </w:rPr>
        <w:t>Assurer l'accueil téléphonique, aux plages convenues</w:t>
      </w:r>
    </w:p>
    <w:p>
      <w:pPr>
        <w:pStyle w:val="ListBullet"/>
        <w:spacing w:after="40"/>
      </w:pPr>
      <w:r>
        <w:rPr>
          <w:sz w:val="20"/>
        </w:rPr>
        <w:t>Prendre et confirmer les rendez-vous (agenda, planning)</w:t>
      </w:r>
    </w:p>
    <w:p>
      <w:pPr>
        <w:pStyle w:val="ListBullet"/>
        <w:spacing w:after="40"/>
      </w:pPr>
      <w:r>
        <w:rPr>
          <w:sz w:val="20"/>
        </w:rPr>
        <w:t>Partager le suivi au client via le portail</w:t>
      </w:r>
    </w:p>
    <w:p>
      <w:pPr>
        <w:spacing w:before="180" w:after="40"/>
      </w:pPr>
      <w:r>
        <w:rPr>
          <w:b/>
          <w:color w:val="DB2777"/>
          <w:sz w:val="23"/>
        </w:rPr>
        <w:t>Encaissement et suivi financier</w:t>
      </w:r>
    </w:p>
    <w:p>
      <w:pPr>
        <w:pStyle w:val="ListBullet"/>
        <w:spacing w:after="40"/>
      </w:pPr>
      <w:r>
        <w:rPr>
          <w:sz w:val="20"/>
        </w:rPr>
        <w:t>Suivre les paiements et pointer les factures réglées</w:t>
      </w:r>
    </w:p>
    <w:p>
      <w:pPr>
        <w:pStyle w:val="ListBullet"/>
        <w:spacing w:after="40"/>
      </w:pPr>
      <w:r>
        <w:rPr>
          <w:sz w:val="20"/>
        </w:rPr>
        <w:t>Relancer les impayés selon la procédure du garage</w:t>
      </w:r>
    </w:p>
    <w:p>
      <w:pPr>
        <w:pStyle w:val="ListBullet"/>
        <w:spacing w:after="40"/>
      </w:pPr>
      <w:r>
        <w:rPr>
          <w:sz w:val="20"/>
        </w:rPr>
        <w:t>Mettre en place et suivre les échéanciers</w:t>
      </w:r>
    </w:p>
    <w:p>
      <w:pPr>
        <w:pStyle w:val="ListBullet"/>
        <w:spacing w:after="40"/>
      </w:pPr>
      <w:r>
        <w:rPr>
          <w:sz w:val="20"/>
        </w:rPr>
        <w:t>Rapprocher les relevés bancaires importés</w:t>
      </w:r>
    </w:p>
    <w:p>
      <w:pPr>
        <w:pStyle w:val="ListBullet"/>
        <w:spacing w:after="40"/>
      </w:pPr>
      <w:r>
        <w:rPr>
          <w:sz w:val="20"/>
        </w:rPr>
        <w:t>Produire le point mensuel d'activité</w:t>
      </w:r>
    </w:p>
    <w:p>
      <w:pPr>
        <w:spacing w:before="180" w:after="40"/>
      </w:pPr>
      <w:r>
        <w:rPr>
          <w:b/>
          <w:color w:val="DB2777"/>
          <w:sz w:val="23"/>
        </w:rPr>
        <w:t>Atelier et logistique</w:t>
      </w:r>
    </w:p>
    <w:p>
      <w:pPr>
        <w:pStyle w:val="ListBullet"/>
        <w:spacing w:after="40"/>
      </w:pPr>
      <w:r>
        <w:rPr>
          <w:sz w:val="20"/>
        </w:rPr>
        <w:t>Tenir le planning de l'atelier</w:t>
      </w:r>
    </w:p>
    <w:p>
      <w:pPr>
        <w:pStyle w:val="ListBullet"/>
        <w:spacing w:after="40"/>
      </w:pPr>
      <w:r>
        <w:rPr>
          <w:sz w:val="20"/>
        </w:rPr>
        <w:t>Passer et suivre les commandes de pièces</w:t>
      </w:r>
    </w:p>
    <w:p>
      <w:pPr>
        <w:pStyle w:val="ListBullet"/>
        <w:spacing w:after="40"/>
      </w:pPr>
      <w:r>
        <w:rPr>
          <w:sz w:val="20"/>
        </w:rPr>
        <w:t>Tenir à jour les véhicules présents au garage</w:t>
      </w:r>
    </w:p>
    <w:p>
      <w:pPr>
        <w:spacing w:before="180" w:after="40"/>
      </w:pPr>
      <w:r>
        <w:rPr>
          <w:b/>
          <w:color w:val="DB2777"/>
          <w:sz w:val="23"/>
        </w:rPr>
        <w:t>Administratif</w:t>
      </w:r>
    </w:p>
    <w:p>
      <w:pPr>
        <w:pStyle w:val="ListBullet"/>
        <w:spacing w:after="40"/>
      </w:pPr>
      <w:r>
        <w:rPr>
          <w:sz w:val="20"/>
        </w:rPr>
        <w:t xml:space="preserve">Suivre dans la boîte email du garage les échanges liés aux dossiers (experts, assureurs, clients)</w:t>
      </w:r>
    </w:p>
    <w:p>
      <w:pPr>
        <w:pStyle w:val="ListBullet"/>
        <w:spacing w:after="40"/>
      </w:pPr>
      <w:r>
        <w:rPr>
          <w:sz w:val="20"/>
        </w:rPr>
        <w:t>Tenir à jour l'annuaire (clients, experts, assureurs)</w:t>
      </w:r>
    </w:p>
    <w:p>
      <w:pPr>
        <w:pStyle w:val="ListBullet"/>
        <w:spacing w:after="40"/>
      </w:pPr>
      <w:r>
        <w:rPr>
          <w:sz w:val="20"/>
        </w:rPr>
        <w:t>Classer et archiver les pièces des dossiers</w:t>
      </w:r>
    </w:p>
    <w:p>
      <w:pPr>
        <w:spacing w:before="280" w:after="80"/>
      </w:pPr>
      <w:r>
        <w:rPr>
          <w:b/>
          <w:color w:val="7C3AED"/>
          <w:sz w:val="28"/>
        </w:rPr>
        <w:t>2. Ce qui ne lui est jamais confié</w:t>
      </w:r>
    </w:p>
    <w:p>
      <w:pPr>
        <w:spacing w:after="80"/>
        <w:jc w:val="both"/>
      </w:pPr>
      <w:r>
        <w:rPr>
          <w:b w:val="0"/>
          <w:sz w:val="21"/>
        </w:rPr>
        <w:t>Ces tâches sortent du cadre, quel que soit le forfait et même contre rémunération supplémentaire. La collaboratrice est fondée à les refuser, et le garage ne peut pas le lui reprocher.</w:t>
      </w:r>
    </w:p>
    <w:p>
      <w:pPr>
        <w:pStyle w:val="ListBullet"/>
        <w:spacing w:after="40"/>
      </w:pPr>
      <w:r>
        <w:rPr>
          <w:sz w:val="20"/>
        </w:rPr>
        <w:t>Tenue de la comptabilité du garage, établissement du bilan, des déclarations fiscales ou de TVA.</w:t>
      </w:r>
    </w:p>
    <w:p>
      <w:pPr>
        <w:pStyle w:val="ListBullet"/>
        <w:spacing w:after="40"/>
      </w:pPr>
      <w:r>
        <w:rPr>
          <w:sz w:val="20"/>
        </w:rPr>
        <w:t>Paie, déclarations sociales et gestion du personnel du garage.</w:t>
      </w:r>
    </w:p>
    <w:p>
      <w:pPr>
        <w:pStyle w:val="ListBullet"/>
        <w:spacing w:after="40"/>
      </w:pPr>
      <w:r>
        <w:rPr>
          <w:sz w:val="20"/>
        </w:rPr>
        <w:t>Signature ou engagement juridique au nom du garage : contrats, reconnaissance de responsabilité, transaction, désistement.</w:t>
      </w:r>
    </w:p>
    <w:p>
      <w:pPr>
        <w:pStyle w:val="ListBullet"/>
        <w:spacing w:after="40"/>
      </w:pPr>
      <w:r>
        <w:rPr>
          <w:sz w:val="20"/>
        </w:rPr>
        <w:t>Négociation d'une responsabilité, d'une garantie ou d'une indemnité avec un assureur ou un tiers.</w:t>
      </w:r>
    </w:p>
    <w:p>
      <w:pPr>
        <w:pStyle w:val="ListBullet"/>
        <w:spacing w:after="40"/>
      </w:pPr>
      <w:r>
        <w:rPr>
          <w:sz w:val="20"/>
        </w:rPr>
        <w:t>Manipulation de fonds, encaissement d'espèces, détention des moyens de paiement du garage.</w:t>
      </w:r>
    </w:p>
    <w:p>
      <w:pPr>
        <w:pStyle w:val="ListBullet"/>
        <w:spacing w:after="40"/>
      </w:pPr>
      <w:r>
        <w:rPr>
          <w:sz w:val="20"/>
        </w:rPr>
        <w:t>Démarchage commercial ou prospection pour le compte du garage.</w:t>
      </w:r>
    </w:p>
    <w:p>
      <w:pPr>
        <w:pStyle w:val="ListBullet"/>
        <w:spacing w:after="40"/>
      </w:pPr>
      <w:r>
        <w:rPr>
          <w:sz w:val="20"/>
        </w:rPr>
        <w:t>Toute tâche relevant d'une profession réglementée (juridique, comptable, médicale, expertise).</w:t>
      </w:r>
    </w:p>
    <w:p>
      <w:pPr>
        <w:pStyle w:val="ListBullet"/>
        <w:spacing w:after="40"/>
      </w:pPr>
      <w:r>
        <w:rPr>
          <w:sz w:val="20"/>
        </w:rPr>
        <w:t>Tâches personnelles du dirigeant ou sans lien avec l'activité de carrosserie.</w:t>
      </w:r>
    </w:p>
    <w:p>
      <w:pPr>
        <w:pStyle w:val="ListBullet"/>
        <w:spacing w:after="40"/>
      </w:pPr>
      <w:r>
        <w:rPr>
          <w:sz w:val="20"/>
        </w:rPr>
        <w:t>Toute tâche réalisée hors de la plateforme My Easy Auto et non prévue à l'annexe 2 du contrat.</w:t>
      </w:r>
    </w:p>
    <w:p>
      <w:pPr>
        <w:spacing w:before="280" w:after="80"/>
      </w:pPr>
      <w:r>
        <w:rPr>
          <w:b/>
          <w:color w:val="7C3AED"/>
          <w:sz w:val="28"/>
        </w:rPr>
        <w:t>3. Comment ça se passe en pratique</w:t>
      </w:r>
    </w:p>
    <w:p>
      <w:pPr>
        <w:spacing w:before="180" w:after="40"/>
      </w:pPr>
      <w:r>
        <w:rPr>
          <w:b/>
          <w:color w:val="DB2777"/>
          <w:sz w:val="23"/>
        </w:rPr>
        <w:t>Pour le garage</w:t>
      </w:r>
    </w:p>
    <w:p>
      <w:pPr>
        <w:pStyle w:val="ListBullet"/>
        <w:spacing w:after="40"/>
      </w:pPr>
      <w:r>
        <w:rPr>
          <w:sz w:val="21"/>
        </w:rPr>
        <w:t>Vos demandes passent par la plateforme ou par email : elles sont ainsi tracées et rien ne se perd.</w:t>
      </w:r>
    </w:p>
    <w:p>
      <w:pPr>
        <w:pStyle w:val="ListBullet"/>
        <w:spacing w:after="40"/>
      </w:pPr>
      <w:r>
        <w:rPr>
          <w:sz w:val="21"/>
        </w:rPr>
        <w:t xml:space="preserve">Délai de réponse aux demandes courantes : un jour ouvré (accusé de réception ; le traitement suit selon le dossier).</w:t>
      </w:r>
    </w:p>
    <w:p>
      <w:pPr>
        <w:pStyle w:val="ListBullet"/>
        <w:spacing w:after="40"/>
      </w:pPr>
      <w:r>
        <w:rPr>
          <w:sz w:val="21"/>
        </w:rPr>
        <w:t>Une demande hors périmètre ? Adressez-la à l'éditeur (contact@myeasyauto.fr), pas à la collaboratrice : nous vous dirons si c'est possible, et à quelles conditions.</w:t>
      </w:r>
    </w:p>
    <w:p>
      <w:pPr>
        <w:pStyle w:val="ListBullet"/>
        <w:spacing w:after="40"/>
      </w:pPr>
      <w:r>
        <w:rPr>
          <w:sz w:val="21"/>
        </w:rPr>
        <w:t>La collaboratrice est une prestataire indépendante. Elle n'est ni votre salariée, ni à votre disposition permanente : elle organise librement son temps.</w:t>
      </w:r>
    </w:p>
    <w:p>
      <w:pPr>
        <w:spacing w:before="180" w:after="40"/>
      </w:pPr>
      <w:r>
        <w:rPr>
          <w:b/>
          <w:color w:val="DB2777"/>
          <w:sz w:val="23"/>
        </w:rPr>
        <w:t>Pour la collaboratrice</w:t>
      </w:r>
    </w:p>
    <w:p>
      <w:pPr>
        <w:pStyle w:val="ListBullet"/>
        <w:spacing w:after="40"/>
      </w:pPr>
      <w:r>
        <w:rPr>
          <w:sz w:val="21"/>
        </w:rPr>
        <w:t>Vous n'acceptez jamais directement d'un garage une mission hors périmètre : vous la renvoyez à l'éditeur.</w:t>
      </w:r>
    </w:p>
    <w:p>
      <w:pPr>
        <w:pStyle w:val="ListBullet"/>
        <w:spacing w:after="40"/>
      </w:pPr>
      <w:r>
        <w:rPr>
          <w:sz w:val="21"/>
        </w:rPr>
        <w:t>Un refus fondé sur le périmètre n'est pas une faute et ne peut pas vous être opposé. Indiquez simplement le motif.</w:t>
      </w:r>
    </w:p>
    <w:p>
      <w:pPr>
        <w:pStyle w:val="ListBullet"/>
        <w:spacing w:after="40"/>
      </w:pPr>
      <w:r>
        <w:rPr>
          <w:sz w:val="21"/>
        </w:rPr>
        <w:t>Vous signalez sans délai toute surcharge, toute absence et tout litige.</w:t>
      </w:r>
    </w:p>
    <w:p>
      <w:pPr>
        <w:pStyle w:val="ListBullet"/>
        <w:spacing w:after="40"/>
      </w:pPr>
      <w:r>
        <w:rPr>
          <w:sz w:val="21"/>
        </w:rPr>
        <w:t>Vous ne vous présentez jamais comme salariée du garage.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0E7FF"/>
          </w:tcPr>
          <w:p>
            <w:r/>
            <w:r>
              <w:rPr>
                <w:b/>
                <w:color w:val="7C3AED"/>
                <w:sz w:val="22"/>
              </w:rPr>
              <w:t>En cas de désaccord</w:t>
            </w:r>
          </w:p>
          <w:p>
            <w:pPr>
              <w:spacing w:after="40"/>
            </w:pPr>
            <w:r>
              <w:rPr>
                <w:sz w:val="20"/>
              </w:rPr>
              <w:t>Le périmètre écrit à l'annexe 2 du contrat fait foi. En cas de doute, c'est l'éditeur qui tranche, après avoir entendu les deux parties.</w:t>
            </w:r>
          </w:p>
          <w:p>
            <w:pPr>
              <w:spacing w:after="40"/>
            </w:pPr>
            <w:r>
              <w:rPr>
                <w:sz w:val="20"/>
              </w:rPr>
              <w:t>Un élargissement durable du périmètre est possible : il fait l'objet d'un avenant signé, et le cas échéant d'un ajustement du forfait du garage.</w:t>
            </w:r>
          </w:p>
        </w:tc>
      </w:tr>
    </w:tbl>
    <w:p>
      <w:pPr>
        <w:spacing w:after="120"/>
      </w:pPr>
    </w:p>
    <w:p>
      <w:pPr>
        <w:spacing w:before="240"/>
      </w:pPr>
      <w:r>
        <w:rPr>
          <w:i/>
          <w:color w:val="6B7280"/>
          <w:sz w:val="16"/>
        </w:rPr>
        <w:t xml:space="preserve">Document d'information annexé au contrat de prestation de services My Easy Auto. Le périmètre individuel de chaque collaboratrice figure à l'annexe 2 de son contrat et prévaut sur le présent document. Édité par MY EASY AUTO — contact@myeasyauto.fr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