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7C3AED"/>
          <w:spacing w:val="40"/>
          <w:sz w:val="15"/>
          <w:szCs w:val="15"/>
        </w:rPr>
        <w:t xml:space="preserve">MODÈLE — À FAIRE VALIDER PAR UN CONSEIL AVANT SIGNATURE</w:t>
      </w:r>
    </w:p>
    <w:p>
      <w:pPr>
        <w:pStyle w:val="Heading1"/>
        <w:spacing w:after="200" w:before="60"/>
      </w:pPr>
      <w:r>
        <w:rPr>
          <w:rFonts w:ascii="Arial" w:cs="Arial" w:eastAsia="Arial" w:hAnsi="Arial"/>
          <w:b/>
          <w:bCs/>
          <w:color w:val="1E2233"/>
          <w:sz w:val="40"/>
          <w:szCs w:val="40"/>
        </w:rPr>
        <w:t xml:space="preserve">Contrat d'apporteur d'affaires</w:t>
      </w:r>
    </w:p>
    <w:p>
      <w:pPr>
        <w:spacing w:after="80" w:before="0" w:line="300"/>
      </w:pPr>
      <w:r>
        <w:rPr>
          <w:rFonts w:ascii="Arial" w:cs="Arial" w:eastAsia="Arial" w:hAnsi="Arial"/>
          <w:color w:val="1E2233"/>
          <w:sz w:val="20"/>
          <w:szCs w:val="20"/>
        </w:rPr>
        <w:t xml:space="preserve">Entre les soussignés :</w:t>
      </w:r>
    </w:p>
    <w:p>
      <w:pPr>
        <w:spacing w:after="120" w:before="0" w:line="300"/>
      </w:pPr>
      <w:r>
        <w:rPr>
          <w:rFonts w:ascii="Arial" w:cs="Arial" w:eastAsia="Arial" w:hAnsi="Arial"/>
          <w:b/>
          <w:bCs/>
          <w:color w:val="1E2233"/>
          <w:sz w:val="20"/>
          <w:szCs w:val="20"/>
        </w:rPr>
        <w:t xml:space="preserve">IDEAFORMA</w:t>
      </w:r>
      <w:r>
        <w:rPr>
          <w:rFonts w:ascii="Arial" w:cs="Arial" w:eastAsia="Arial" w:hAnsi="Arial"/>
          <w:color w:val="1E2233"/>
          <w:sz w:val="20"/>
          <w:szCs w:val="20"/>
        </w:rPr>
        <w:t xml:space="preserve">, 144 Avenue Charles de Gaulle, 92200 Neuilly-sur-Seine, SIRET 993 125 335 00014, représentée par son représentant légal, ci-après « IDEAFORMA » ou « le Mandant »,</w:t>
      </w:r>
    </w:p>
    <w:p>
      <w:pPr>
        <w:spacing w:after="80" w:before="0" w:line="300"/>
      </w:pPr>
      <w:r>
        <w:rPr>
          <w:rFonts w:ascii="Arial" w:cs="Arial" w:eastAsia="Arial" w:hAnsi="Arial"/>
          <w:color w:val="1E2233"/>
          <w:sz w:val="20"/>
          <w:szCs w:val="20"/>
        </w:rPr>
        <w:t xml:space="preserve">et</w:t>
      </w:r>
    </w:p>
    <w:p>
      <w:pPr>
        <w:spacing w:after="120" w:before="0" w:line="300"/>
      </w:pPr>
      <w:r>
        <w:rPr>
          <w:rFonts w:ascii="Arial" w:cs="Arial" w:eastAsia="Arial" w:hAnsi="Arial"/>
          <w:b/>
          <w:bCs/>
          <w:color w:val="1E2233"/>
          <w:sz w:val="20"/>
          <w:szCs w:val="20"/>
        </w:rPr>
        <w:t xml:space="preserve">[Nom / raison sociale de l'apporteur]</w:t>
      </w:r>
      <w:r>
        <w:rPr>
          <w:rFonts w:ascii="Arial" w:cs="Arial" w:eastAsia="Arial" w:hAnsi="Arial"/>
          <w:color w:val="1E2233"/>
          <w:sz w:val="20"/>
          <w:szCs w:val="20"/>
        </w:rPr>
        <w:t xml:space="preserve">, [forme juridique — auto-entrepreneur / société], [adresse], SIRET [__________], ci-après « l'Apporteur »,</w:t>
      </w:r>
    </w:p>
    <w:p>
      <w:pPr>
        <w:spacing w:after="200" w:before="0" w:line="300"/>
      </w:pPr>
      <w:r>
        <w:rPr>
          <w:rFonts w:ascii="Arial" w:cs="Arial" w:eastAsia="Arial" w:hAnsi="Arial"/>
          <w:color w:val="1E2233"/>
          <w:sz w:val="20"/>
          <w:szCs w:val="20"/>
        </w:rPr>
        <w:t xml:space="preserve">il a été convenu ce qui suit.</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 — Objet</w:t>
      </w:r>
    </w:p>
    <w:p>
      <w:pPr>
        <w:spacing w:after="120" w:before="0" w:line="300"/>
      </w:pPr>
      <w:r>
        <w:rPr>
          <w:rFonts w:ascii="Arial" w:cs="Arial" w:eastAsia="Arial" w:hAnsi="Arial"/>
          <w:color w:val="1E2233"/>
          <w:sz w:val="20"/>
          <w:szCs w:val="20"/>
        </w:rPr>
        <w:t xml:space="preserve">IDEAFORMA édite l'application My Easy Auto et propose aux professionnels de la réparation automobile un service de secrétariat à distance (ensemble, « les Services »). L'Apporteur s'engage, de manière indépendante, à rechercher et présenter à IDEAFORMA des garages susceptibles de souscrire aux Services, à les qualifier et à les accompagner jusqu'à la signature du devis. L'Apporteur n'a aucun pouvoir de conclure un contrat, de consentir une remise ou d'encaisser un paiement au nom d'IDEAFORMA.</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2 — Indépendance</w:t>
      </w:r>
    </w:p>
    <w:p>
      <w:pPr>
        <w:spacing w:after="120" w:before="0" w:line="300"/>
      </w:pPr>
      <w:r>
        <w:rPr>
          <w:rFonts w:ascii="Arial" w:cs="Arial" w:eastAsia="Arial" w:hAnsi="Arial"/>
          <w:color w:val="1E2233"/>
          <w:sz w:val="20"/>
          <w:szCs w:val="20"/>
        </w:rPr>
        <w:t xml:space="preserve">L'Apporteur exerce en toute indépendance, sous son propre statut, avec ses propres moyens et son assurance responsabilité civile professionnelle, dont il remet l'attestation à la signature. Il organise librement son activité, ses horaires et ses déplacements et n'est soumis à aucun lien de subordination. Il peut exercer toute autre activité, sous réserve de l'article 8. Il déclare être à jour de ses obligations sociales et fiscales et le justifie sur demande (attestation de vigilance URSSAF tous les six mois).</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3 — Déclaration et protection des prospects</w:t>
      </w:r>
    </w:p>
    <w:p>
      <w:pPr>
        <w:spacing w:after="120" w:before="0" w:line="300"/>
      </w:pPr>
      <w:r>
        <w:rPr>
          <w:rFonts w:ascii="Arial" w:cs="Arial" w:eastAsia="Arial" w:hAnsi="Arial"/>
          <w:color w:val="1E2233"/>
          <w:sz w:val="20"/>
          <w:szCs w:val="20"/>
        </w:rPr>
        <w:t xml:space="preserve">Un prospect est réputé apporté par l'Apporteur lorsque celui-ci l'a déclaré par email à contact@myeasyauto.fr (dénomination, SIRET, contact, fiche besoins) et qu'IDEAFORMA en a accusé réception. Le prospect déclaré est protégé au nom de l'Apporteur pendant soixante (60) jours, renouvelables une fois sur justification d'un rendez-vous planifié. En cas de déclaration du même prospect par plusieurs apporteurs, la date du premier email fait foi. Un garage déjà client ou déjà en discussion avec IDEAFORMA à la date de déclaration n'ouvre pas droit à commission ; IDEAFORMA le signale dans son accusé de réception.</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4 — Rémunération</w:t>
      </w:r>
    </w:p>
    <w:p>
      <w:pPr>
        <w:spacing w:after="120" w:before="0" w:line="300"/>
      </w:pPr>
      <w:r>
        <w:rPr>
          <w:rFonts w:ascii="Arial" w:cs="Arial" w:eastAsia="Arial" w:hAnsi="Arial"/>
          <w:color w:val="1E2233"/>
          <w:sz w:val="20"/>
          <w:szCs w:val="20"/>
        </w:rPr>
        <w:t xml:space="preserve">L'Apporteur perçoit, pour chaque contrat signé par un prospect qu'il a apporté, les commissions suivantes, fixées forfaitairement par formule souscrite (prime de signature égale à 85 % de la mensualité hors taxes, prime de fidélité égale à la moitié de la prime de signature)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val="false"/>
        </w:trPr>
        <w:tc>
          <w:tcPr>
            <w:tcW w:type="dxa" w:w="33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Formule</w:t>
            </w:r>
          </w:p>
        </w:tc>
        <w:tc>
          <w:tcPr>
            <w:tcW w:type="dxa" w:w="20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Prime de signature</w:t>
            </w:r>
          </w:p>
        </w:tc>
        <w:tc>
          <w:tcPr>
            <w:tcW w:type="dxa" w:w="20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Prime de fidélité</w:t>
            </w:r>
          </w:p>
        </w:tc>
        <w:tc>
          <w:tcPr>
            <w:tcW w:type="dxa" w:w="20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Bonus engagement 12 mois</w:t>
            </w:r>
          </w:p>
        </w:tc>
      </w:tr>
      <w:tr>
        <w:trPr>
          <w:cantSplit/>
        </w:trPr>
        <w:tc>
          <w:tcPr>
            <w:tcW w:type="dxa" w:w="33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ESSENTIEL (79 € HT / mois)</w:t>
            </w:r>
          </w:p>
        </w:tc>
        <w:tc>
          <w:tcPr>
            <w:tcW w:type="dxa" w:w="2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130 €</w:t>
            </w:r>
          </w:p>
        </w:tc>
        <w:tc>
          <w:tcPr>
            <w:tcW w:type="dxa" w:w="2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40 €</w:t>
            </w:r>
          </w:p>
        </w:tc>
        <w:tc>
          <w:tcPr>
            <w:tcW w:type="dxa" w:w="2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40 €</w:t>
            </w:r>
          </w:p>
        </w:tc>
      </w:tr>
      <w:tr>
        <w:trPr>
          <w:cantSplit/>
        </w:trPr>
        <w:tc>
          <w:tcPr>
            <w:tcW w:type="dxa" w:w="33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STARTER (490 € HT / mois)</w:t>
            </w:r>
          </w:p>
        </w:tc>
        <w:tc>
          <w:tcPr>
            <w:tcW w:type="dxa" w:w="2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415 €</w:t>
            </w:r>
          </w:p>
        </w:tc>
        <w:tc>
          <w:tcPr>
            <w:tcW w:type="dxa" w:w="2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210 €</w:t>
            </w:r>
          </w:p>
        </w:tc>
        <w:tc>
          <w:tcPr>
            <w:tcW w:type="dxa" w:w="2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r>
        <w:trPr>
          <w:cantSplit/>
        </w:trPr>
        <w:tc>
          <w:tcPr>
            <w:tcW w:type="dxa" w:w="33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CONFORT (860 € HT / mois)</w:t>
            </w:r>
          </w:p>
        </w:tc>
        <w:tc>
          <w:tcPr>
            <w:tcW w:type="dxa" w:w="2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730 €</w:t>
            </w:r>
          </w:p>
        </w:tc>
        <w:tc>
          <w:tcPr>
            <w:tcW w:type="dxa" w:w="2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365 €</w:t>
            </w:r>
          </w:p>
        </w:tc>
        <w:tc>
          <w:tcPr>
            <w:tcW w:type="dxa" w:w="20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r>
        <w:trPr>
          <w:cantSplit/>
        </w:trPr>
        <w:tc>
          <w:tcPr>
            <w:tcW w:type="dxa" w:w="33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SÉRÉNITÉ (1 570 € HT / mois)</w:t>
            </w:r>
          </w:p>
        </w:tc>
        <w:tc>
          <w:tcPr>
            <w:tcW w:type="dxa" w:w="2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1 335 €</w:t>
            </w:r>
          </w:p>
        </w:tc>
        <w:tc>
          <w:tcPr>
            <w:tcW w:type="dxa" w:w="2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665 €</w:t>
            </w:r>
          </w:p>
        </w:tc>
        <w:tc>
          <w:tcPr>
            <w:tcW w:type="dxa" w:w="20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bl>
    <w:p>
      <w:pPr>
        <w:spacing w:after="40" w:before="0" w:line="300"/>
      </w:pPr>
      <w:r>
        <w:rPr>
          <w:rFonts w:ascii="Arial" w:cs="Arial" w:eastAsia="Arial" w:hAnsi="Arial"/>
          <w:color w:val="1E2233"/>
          <w:sz w:val="20"/>
          <w:szCs w:val="20"/>
        </w:rPr>
        <w:t xml:space="preserve"/>
      </w:r>
    </w:p>
    <w:p>
      <w:pPr>
        <w:pStyle w:val="ListParagraph"/>
        <w:numPr>
          <w:ilvl w:val="0"/>
          <w:numId w:val="2"/>
        </w:numPr>
        <w:spacing w:after="80" w:line="290"/>
      </w:pPr>
      <w:r>
        <w:rPr>
          <w:rFonts w:ascii="Arial" w:cs="Arial" w:eastAsia="Arial" w:hAnsi="Arial"/>
          <w:b/>
          <w:bCs/>
          <w:color w:val="1E2233"/>
          <w:sz w:val="20"/>
          <w:szCs w:val="20"/>
        </w:rPr>
        <w:t xml:space="preserve">Prime de signature : </w:t>
      </w:r>
      <w:r>
        <w:rPr>
          <w:rFonts w:ascii="Arial" w:cs="Arial" w:eastAsia="Arial" w:hAnsi="Arial"/>
          <w:color w:val="1E2233"/>
          <w:sz w:val="20"/>
          <w:szCs w:val="20"/>
        </w:rPr>
        <w:t xml:space="preserve">acquise lorsque le garage a réglé sa deuxième mensualité.</w:t>
      </w:r>
    </w:p>
    <w:p>
      <w:pPr>
        <w:pStyle w:val="ListParagraph"/>
        <w:numPr>
          <w:ilvl w:val="0"/>
          <w:numId w:val="2"/>
        </w:numPr>
        <w:spacing w:after="80" w:line="290"/>
      </w:pPr>
      <w:r>
        <w:rPr>
          <w:rFonts w:ascii="Arial" w:cs="Arial" w:eastAsia="Arial" w:hAnsi="Arial"/>
          <w:b/>
          <w:bCs/>
          <w:color w:val="1E2233"/>
          <w:sz w:val="20"/>
          <w:szCs w:val="20"/>
        </w:rPr>
        <w:t xml:space="preserve">Prime de fidélité : </w:t>
      </w:r>
      <w:r>
        <w:rPr>
          <w:rFonts w:ascii="Arial" w:cs="Arial" w:eastAsia="Arial" w:hAnsi="Arial"/>
          <w:color w:val="1E2233"/>
          <w:sz w:val="20"/>
          <w:szCs w:val="20"/>
        </w:rPr>
        <w:t xml:space="preserve">acquise lorsque le garage a réglé sa sixième mensualité sans avoir résilié.</w:t>
      </w:r>
    </w:p>
    <w:p>
      <w:pPr>
        <w:pStyle w:val="ListParagraph"/>
        <w:numPr>
          <w:ilvl w:val="0"/>
          <w:numId w:val="2"/>
        </w:numPr>
        <w:spacing w:after="80" w:line="290"/>
      </w:pPr>
      <w:r>
        <w:rPr>
          <w:rFonts w:ascii="Arial" w:cs="Arial" w:eastAsia="Arial" w:hAnsi="Arial"/>
          <w:b/>
          <w:bCs/>
          <w:color w:val="1E2233"/>
          <w:sz w:val="20"/>
          <w:szCs w:val="20"/>
        </w:rPr>
        <w:t xml:space="preserve">Bonus engagement : </w:t>
      </w:r>
      <w:r>
        <w:rPr>
          <w:rFonts w:ascii="Arial" w:cs="Arial" w:eastAsia="Arial" w:hAnsi="Arial"/>
          <w:color w:val="1E2233"/>
          <w:sz w:val="20"/>
          <w:szCs w:val="20"/>
        </w:rPr>
        <w:t xml:space="preserve">acquis avec la prime de signature lorsque le devis signé comporte un engagement de douze mois.</w:t>
      </w:r>
    </w:p>
    <w:p>
      <w:pPr>
        <w:pStyle w:val="ListParagraph"/>
        <w:numPr>
          <w:ilvl w:val="0"/>
          <w:numId w:val="2"/>
        </w:numPr>
        <w:spacing w:after="80" w:line="290"/>
      </w:pPr>
      <w:r>
        <w:rPr>
          <w:rFonts w:ascii="Arial" w:cs="Arial" w:eastAsia="Arial" w:hAnsi="Arial"/>
          <w:b/>
          <w:bCs/>
          <w:color w:val="1E2233"/>
          <w:sz w:val="20"/>
          <w:szCs w:val="20"/>
        </w:rPr>
        <w:t xml:space="preserve">Montée en formule : </w:t>
      </w:r>
      <w:r>
        <w:rPr>
          <w:rFonts w:ascii="Arial" w:cs="Arial" w:eastAsia="Arial" w:hAnsi="Arial"/>
          <w:color w:val="1E2233"/>
          <w:sz w:val="20"/>
          <w:szCs w:val="20"/>
        </w:rPr>
        <w:t xml:space="preserve">lorsqu'un garage apporté souscrit une formule supérieure dans les douze mois suivant sa signature, l'Apporteur perçoit 85 % de la différence entre les deux mensualités hors taxes, aux conditions de la prime de signature.</w:t>
      </w:r>
    </w:p>
    <w:p>
      <w:pPr>
        <w:pStyle w:val="ListParagraph"/>
        <w:numPr>
          <w:ilvl w:val="0"/>
          <w:numId w:val="2"/>
        </w:numPr>
        <w:spacing w:after="80" w:line="290"/>
      </w:pPr>
      <w:r>
        <w:rPr>
          <w:rFonts w:ascii="Arial" w:cs="Arial" w:eastAsia="Arial" w:hAnsi="Arial"/>
          <w:b/>
          <w:bCs/>
          <w:color w:val="1E2233"/>
          <w:sz w:val="20"/>
          <w:szCs w:val="20"/>
        </w:rPr>
        <w:t xml:space="preserve">Bonus de volume : </w:t>
      </w:r>
      <w:r>
        <w:rPr>
          <w:rFonts w:ascii="Arial" w:cs="Arial" w:eastAsia="Arial" w:hAnsi="Arial"/>
          <w:color w:val="1E2233"/>
          <w:sz w:val="20"/>
          <w:szCs w:val="20"/>
        </w:rPr>
        <w:t xml:space="preserve">255 € lorsque cinq contrats hors ESSENTIEL apportés par l'Apporteur ont été signés et ont donné lieu à un premier règlement au cours d'un même trimestre civil ; 680 € pour dix contrats. Ces deux bonus ne se cumulent pas.</w:t>
      </w:r>
    </w:p>
    <w:p>
      <w:pPr>
        <w:spacing w:after="120" w:before="0" w:line="300"/>
      </w:pPr>
      <w:r>
        <w:rPr>
          <w:rFonts w:ascii="Arial" w:cs="Arial" w:eastAsia="Arial" w:hAnsi="Arial"/>
          <w:color w:val="1E2233"/>
          <w:sz w:val="20"/>
          <w:szCs w:val="20"/>
        </w:rPr>
        <w:t xml:space="preserve">Les commissions sont exprimées hors taxes ; l'Apporteur y ajoute la TVA selon son régime. Aucune commission n'est due sur les heures hors forfait, les frais de mise en service ni les prestations ponctuelles.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5 — Reprise et absence de commission</w:t>
      </w:r>
    </w:p>
    <w:p>
      <w:pPr>
        <w:spacing w:after="120" w:before="0" w:line="300"/>
      </w:pPr>
      <w:r>
        <w:rPr>
          <w:rFonts w:ascii="Arial" w:cs="Arial" w:eastAsia="Arial" w:hAnsi="Arial"/>
          <w:color w:val="1E2233"/>
          <w:sz w:val="20"/>
          <w:szCs w:val="20"/>
        </w:rPr>
        <w:t xml:space="preserve">Si le garage résilie, cesse de payer ou obtient l'annulation de son contrat avant d'avoir réglé sa troisième mensualité, la prime de signature et le bonus engagement correspondants sont repris par compensation sur les commissions suivantes de l'Apporteur, dans la limite de ces commissions. Aucune commission n'est due sur un contrat conclu grâce à des informations inexactes fournies par l'Apporteur, ou obtenu en violation de l'article 7.</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6 — Relevé et paiement</w:t>
      </w:r>
    </w:p>
    <w:p>
      <w:pPr>
        <w:spacing w:after="120" w:before="0" w:line="300"/>
      </w:pPr>
      <w:r>
        <w:rPr>
          <w:rFonts w:ascii="Arial" w:cs="Arial" w:eastAsia="Arial" w:hAnsi="Arial"/>
          <w:color w:val="1E2233"/>
          <w:sz w:val="20"/>
          <w:szCs w:val="20"/>
        </w:rPr>
        <w:t xml:space="preserve">Avant le 5 de chaque mois, IDEAFORMA adresse à l'Apporteur un relevé des commissions acquises au cours du mois précédent, contrat par contrat. L'Apporteur émet sa facture sur la base de ce relevé ; IDEAFORMA la règle par virement à trente (30) jours date de facture. Toute contestation du relevé est formulée par écrit dans les quinze jours de sa réception.</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7 — Conduite commerciale</w:t>
      </w:r>
    </w:p>
    <w:p>
      <w:pPr>
        <w:spacing w:after="120" w:before="0" w:line="300"/>
      </w:pPr>
      <w:r>
        <w:rPr>
          <w:rFonts w:ascii="Arial" w:cs="Arial" w:eastAsia="Arial" w:hAnsi="Arial"/>
          <w:color w:val="1E2233"/>
          <w:sz w:val="20"/>
          <w:szCs w:val="20"/>
        </w:rPr>
        <w:t xml:space="preserve">L'Apporteur présente les Services conformément aux documents commerciaux remis par IDEAFORMA (plaquette, guide, devis-type, grille tarifaire en vigueur). Il s'interdit toute promesse non prévue par ces documents, toute remise ou gratuité non autorisée par écrit, toute pratique commerciale déloyale ou dénigrement d'un concurrent. Il ne collecte auprès des garages que les informations nécessaires à la qualification et à la déclaration du prospect, les transmet exclusivement à IDEAFORMA et les supprime de ses propres supports dès la fin de la collaboration (RGPD). Il n'utilise le nom, la marque et le logo My Easy Auto que sur les supports fournis par IDEAFORMA.</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8 — Non-concurrence limitée et non-sollicitation</w:t>
      </w:r>
    </w:p>
    <w:p>
      <w:pPr>
        <w:spacing w:after="120" w:before="0" w:line="300"/>
      </w:pPr>
      <w:r>
        <w:rPr>
          <w:rFonts w:ascii="Arial" w:cs="Arial" w:eastAsia="Arial" w:hAnsi="Arial"/>
          <w:color w:val="1E2233"/>
          <w:sz w:val="20"/>
          <w:szCs w:val="20"/>
        </w:rPr>
        <w:t xml:space="preserve">Pendant la durée du contrat et douze (12) mois après sa fin, l'Apporteur s'interdit de proposer aux garages qu'il a rencontrés ou déclarés dans le cadre du présent contrat un logiciel de gestion de sinistres ou un service de secrétariat concurrent des Services, et de solliciter les collaborateurs d'IDEAFORMA. Cette clause est limitée aux prospects et clients identifiés dans le cadre du contrat ; elle n'interdit pas à l'Apporteur d'exercer toute autre activité commerciale.</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9 — Confidentialité</w:t>
      </w:r>
    </w:p>
    <w:p>
      <w:pPr>
        <w:spacing w:after="120" w:before="0" w:line="300"/>
      </w:pPr>
      <w:r>
        <w:rPr>
          <w:rFonts w:ascii="Arial" w:cs="Arial" w:eastAsia="Arial" w:hAnsi="Arial"/>
          <w:color w:val="1E2233"/>
          <w:sz w:val="20"/>
          <w:szCs w:val="20"/>
        </w:rPr>
        <w:t xml:space="preserve">Les informations relatives à IDEAFORMA (tarifs internes, marges, contrats collaborateurs, feuille de route de l'application, données des garages) sont confidentielles pendant la durée du contrat et trois ans après son terme. Le présent guide et ses annexes ne sont pas remis aux garages.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10 — Durée et fin du contrat</w:t>
      </w:r>
    </w:p>
    <w:p>
      <w:pPr>
        <w:spacing w:after="120" w:before="0" w:line="300"/>
      </w:pPr>
      <w:r>
        <w:rPr>
          <w:rFonts w:ascii="Arial" w:cs="Arial" w:eastAsia="Arial" w:hAnsi="Arial"/>
          <w:color w:val="1E2233"/>
          <w:sz w:val="20"/>
          <w:szCs w:val="20"/>
        </w:rPr>
        <w:t xml:space="preserve">Le contrat est conclu pour une durée indéterminée à compter de sa signature. Chaque partie peut y mettre fin à tout moment par email ou lettre recommandée, moyennant un préavis d'un mois. Les commissions acquises avant la fin du contrat restent dues ; les primes de fidélité des contrats signés avant la fin du contrat restent dues si leurs conditions se réalisent dans les six mois suivant celle-ci. En cas de manquement grave (article 7 ou 8), IDEAFORMA peut résilier sans préavis par écrit motivé.</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11 — Droit applicable</w:t>
      </w:r>
    </w:p>
    <w:p>
      <w:pPr>
        <w:spacing w:after="120" w:before="0" w:line="300"/>
      </w:pPr>
      <w:r>
        <w:rPr>
          <w:rFonts w:ascii="Arial" w:cs="Arial" w:eastAsia="Arial" w:hAnsi="Arial"/>
          <w:color w:val="1E2233"/>
          <w:sz w:val="20"/>
          <w:szCs w:val="20"/>
        </w:rPr>
        <w:t xml:space="preserve">Le présent contrat est soumis au droit français. Les parties rechercheront une solution amiable à tout différend ; à défaut, les tribunaux du ressort du siège d'IDEAFORMA sont compétents.</w:t>
      </w:r>
    </w:p>
    <w:p>
      <w:pPr>
        <w:spacing w:after="240" w:before="240" w:line="300"/>
      </w:pPr>
      <w:r>
        <w:rPr>
          <w:rFonts w:ascii="Arial" w:cs="Arial" w:eastAsia="Arial" w:hAnsi="Arial"/>
          <w:color w:val="1E2233"/>
          <w:sz w:val="20"/>
          <w:szCs w:val="20"/>
        </w:rPr>
        <w:t xml:space="preserve">Fait en deux exemplaires à [__________], le [__________].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20"/>
                <w:szCs w:val="20"/>
              </w:rPr>
              <w:t xml:space="preserve">Pour IDEAFORMA</w:t>
            </w:r>
          </w:p>
        </w:tc>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20"/>
                <w:szCs w:val="20"/>
              </w:rPr>
              <w:t xml:space="preserve">L'Apporteur</w:t>
            </w:r>
          </w:p>
        </w:tc>
      </w:tr>
      <w:tr>
        <w:trPr>
          <w:cantSplit/>
        </w:trPr>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Nom, qualité, signature :</w:t>
            </w:r>
          </w:p>
        </w:tc>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Nom, signature (précédée de « lu et approuvé ») :</w:t>
            </w:r>
          </w:p>
        </w:tc>
      </w:tr>
      <w:tr>
        <w:trPr>
          <w:cantSplit/>
        </w:trPr>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r>
      <w:tr>
        <w:trPr>
          <w:cantSplit/>
        </w:trPr>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r>
    </w:tbl>
    <w:p>
      <w:pPr>
        <w:spacing w:after="140" w:before="60"/>
      </w:pPr>
      <w:r>
        <w:rPr>
          <w:rFonts w:ascii="Arial" w:cs="Arial" w:eastAsia="Arial" w:hAnsi="Arial"/>
          <w:i/>
          <w:iCs/>
          <w:color w:val="5B6078"/>
          <w:sz w:val="17"/>
          <w:szCs w:val="17"/>
        </w:rPr>
        <w:t xml:space="preserve">Ce modèle est fourni à titre indicatif et ne constitue pas un conseil juridique. Faites-le relire par un avocat ou un expert-comptable, notamment sur l'indépendance de l'Apporteur (absence de subordination), la clause de non-sollicitation et le régime de TVA applicable aux commissions.</w:t>
      </w:r>
    </w:p>
    <w:sectPr>
      <w:headerReference w:type="default" r:id="rId7"/>
      <w:footerReference w:type="default" r:id="rId8"/>
      <w:pgSz w:w="11906" w:h="16838" w:orient="portrait"/>
      <w:pgMar w:top="13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6F0" w:sz="6" w:space="6"/>
      </w:pBdr>
      <w:tabs>
        <w:tab w:val="right" w:pos="9360"/>
      </w:tabs>
      <w:spacing w:after="0" w:before="0"/>
    </w:pPr>
    <w:r>
      <w:rPr>
        <w:rFonts w:ascii="Arial" w:cs="Arial" w:eastAsia="Arial" w:hAnsi="Arial"/>
        <w:color w:val="9AA0B8"/>
        <w:sz w:val="14"/>
        <w:szCs w:val="14"/>
      </w:rPr>
      <w:t xml:space="preserve">IDEAFORMA — 144 Avenue Charles de Gaulle, 92200 Neuilly-sur-Seine — SIRET 993 125 335 00014 — contact@myeasyauto.fr</w:t>
    </w:r>
    <w:r>
      <w:rPr>
        <w:rFonts w:ascii="Arial" w:cs="Arial" w:eastAsia="Arial" w:hAnsi="Arial"/>
        <w:color w:val="9AA0B8"/>
        <w:sz w:val="14"/>
        <w:szCs w:val="14"/>
      </w:rPr>
      <w:t xml:space="preserve">	Page </w:t>
    </w:r>
    <w:r>
      <w:rPr>
        <w:rFonts w:ascii="Arial" w:cs="Arial" w:eastAsia="Arial" w:hAnsi="Arial"/>
        <w:color w:val="9AA0B8"/>
        <w:sz w:val="14"/>
        <w:szCs w:val="14"/>
      </w:rPr>
      <w:fldChar w:fldCharType="begin"/>
      <w:instrText xml:space="preserve">PAGE</w:instrText>
      <w:fldChar w:fldCharType="separate"/>
      <w:fldChar w:fldCharType="end"/>
    </w:r>
    <w:r>
      <w:rPr>
        <w:rFonts w:ascii="Arial" w:cs="Arial" w:eastAsia="Arial" w:hAnsi="Arial"/>
        <w:color w:val="9AA0B8"/>
        <w:sz w:val="14"/>
        <w:szCs w:val="14"/>
      </w:rPr>
      <w:t xml:space="preserve"> / </w:t>
    </w:r>
    <w:r>
      <w:rPr>
        <w:rFonts w:ascii="Arial" w:cs="Arial" w:eastAsia="Arial" w:hAnsi="Arial"/>
        <w:color w:val="9AA0B8"/>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4660"/>
      <w:gridCol w:w="4000"/>
    </w:tblGrid>
    <w:tr>
      <w:tc>
        <w:tcPr>
          <w:tcW w:type="dxa" w:w="700"/>
          <w:tcBorders>
            <w:top w:val="none" w:color="FFFFFF" w:sz="0"/>
            <w:left w:val="none" w:color="FFFFFF" w:sz="0"/>
            <w:bottom w:val="none" w:color="FFFFFF" w:sz="0"/>
            <w:right w:val="none" w:color="FFFFFF" w:sz="0"/>
          </w:tcBorders>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 cy="381000"/>
                        </a:xfrm>
                        <a:prstGeom prst="rect">
                          <a:avLst/>
                        </a:prstGeom>
                      </pic:spPr>
                    </pic:pic>
                  </a:graphicData>
                </a:graphic>
              </wp:inline>
            </w:drawing>
          </w:r>
        </w:p>
      </w:tc>
      <w:tc>
        <w:tcPr>
          <w:tcW w:type="dxa" w:w="4660"/>
          <w:tcBorders>
            <w:top w:val="none" w:color="FFFFFF" w:sz="0"/>
            <w:left w:val="none" w:color="FFFFFF" w:sz="0"/>
            <w:bottom w:val="none" w:color="FFFFFF" w:sz="0"/>
            <w:right w:val="none" w:color="FFFFFF" w:sz="0"/>
          </w:tcBorders>
          <w:vAlign w:val="center"/>
        </w:tcPr>
        <w:p>
          <w:pPr>
            <w:spacing w:after="0"/>
          </w:pPr>
          <w:r>
            <w:rPr>
              <w:rFonts w:ascii="Arial" w:cs="Arial" w:eastAsia="Arial" w:hAnsi="Arial"/>
              <w:b/>
              <w:bCs/>
              <w:color w:val="1E2233"/>
              <w:sz w:val="22"/>
              <w:szCs w:val="22"/>
            </w:rPr>
            <w:t xml:space="preserve">My Easy Auto</w:t>
          </w:r>
        </w:p>
        <w:p>
          <w:pPr>
            <w:spacing w:after="0"/>
          </w:pPr>
          <w:r>
            <w:rPr>
              <w:rFonts w:ascii="Arial" w:cs="Arial" w:eastAsia="Arial" w:hAnsi="Arial"/>
              <w:color w:val="5B6078"/>
              <w:sz w:val="16"/>
              <w:szCs w:val="16"/>
            </w:rPr>
            <w:t xml:space="preserve">Contrat d'apporteur d'affaires</w:t>
          </w:r>
        </w:p>
      </w:tc>
      <w:tc>
        <w:tcPr>
          <w:tcW w:type="dxa" w:w="4000"/>
          <w:tcBorders>
            <w:top w:val="none" w:color="FFFFFF" w:sz="0"/>
            <w:left w:val="none" w:color="FFFFFF" w:sz="0"/>
            <w:bottom w:val="none" w:color="FFFFFF" w:sz="0"/>
            <w:right w:val="none" w:color="FFFFFF" w:sz="0"/>
          </w:tcBorders>
          <w:vAlign w:val="center"/>
        </w:tcPr>
        <w:p>
          <w:pPr>
            <w:spacing w:after="0"/>
            <w:jc w:val="right"/>
          </w:pPr>
          <w:r>
            <w:rPr>
              <w:rFonts w:ascii="Arial" w:cs="Arial" w:eastAsia="Arial" w:hAnsi="Arial"/>
              <w:b/>
              <w:bCs/>
              <w:color w:val="7C3AED"/>
              <w:sz w:val="16"/>
              <w:szCs w:val="16"/>
            </w:rPr>
            <w:t xml:space="preserve">MY EASY AUTO by IDEAFORMA</w:t>
          </w:r>
        </w:p>
        <w:p>
          <w:pPr>
            <w:spacing w:after="0"/>
            <w:jc w:val="right"/>
          </w:pPr>
          <w:r>
            <w:rPr>
              <w:rFonts w:ascii="Arial" w:cs="Arial" w:eastAsia="Arial" w:hAnsi="Arial"/>
              <w:color w:val="5B6078"/>
              <w:sz w:val="16"/>
              <w:szCs w:val="16"/>
            </w:rPr>
            <w:t xml:space="preserve">contact@myeasyauto.fr</w:t>
          </w:r>
        </w:p>
      </w:tc>
    </w:tr>
  </w:tbl>
  <w:p>
    <w:pPr>
      <w:pBdr>
        <w:bottom w:val="single" w:color="E4E6F0" w:sz="6" w:space="6"/>
      </w:pBdr>
      <w:spacing w:after="2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b/>
        <w:bCs/>
        <w:color w:val="DB2777"/>
      </w:rPr>
    </w:lvl>
  </w:abstractNum>
  <w:abstractNum w:abstractNumId="3" w15:restartNumberingAfterBreak="0">
    <w:multiLevelType w:val="hybridMultilevel"/>
    <w:lvl w:ilvl="0" w15:tentative="1">
      <w:start w:val="1"/>
      <w:numFmt w:val="decimal"/>
      <w:lvlText w:val="%1."/>
      <w:lvlJc w:val="left"/>
      <w:pPr>
        <w:ind w:left="440" w:hanging="300"/>
      </w:pPr>
      <w:rPr>
        <w:b/>
        <w:bCs/>
        <w:color w:val="7C3AED"/>
      </w:rPr>
    </w:lvl>
  </w:abstractNum>
  <w:abstractNum w:abstractNumId="4" w15:restartNumberingAfterBreak="0">
    <w:multiLevelType w:val="hybridMultilevel"/>
    <w:lvl w:ilvl="0" w15:tentative="1">
      <w:start w:val="1"/>
      <w:numFmt w:val="decimal"/>
      <w:lvlText w:val="%1."/>
      <w:lvlJc w:val="left"/>
      <w:pPr>
        <w:ind w:left="440" w:hanging="300"/>
      </w:pPr>
      <w:rPr>
        <w:b/>
        <w:bCs/>
        <w:color w:val="7C3AED"/>
      </w:rPr>
    </w:lvl>
  </w:abstractNum>
  <w:abstractNum w:abstractNumId="5" w15:restartNumberingAfterBreak="0">
    <w:multiLevelType w:val="hybridMultilevel"/>
    <w:lvl w:ilvl="0" w15:tentative="1">
      <w:start w:val="1"/>
      <w:numFmt w:val="decimal"/>
      <w:lvlText w:val="%1."/>
      <w:lvlJc w:val="left"/>
      <w:pPr>
        <w:ind w:left="440" w:hanging="300"/>
      </w:pPr>
      <w:rPr>
        <w:b/>
        <w:bCs/>
        <w:color w:val="7C3AE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66ef9b9b07e7a87e11ee03d0ddb2c0ae966ed1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2026-08-25T16:24:56.583Z</dcterms:created>
  <dcterms:modified xsi:type="dcterms:W3CDTF">2026-08-25T16:24:56.583Z</dcterms:modified>
</cp:coreProperties>
</file>

<file path=docProps/custom.xml><?xml version="1.0" encoding="utf-8"?>
<Properties xmlns="http://schemas.openxmlformats.org/officeDocument/2006/custom-properties" xmlns:vt="http://schemas.openxmlformats.org/officeDocument/2006/docPropsVTypes"/>
</file>