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pPr>
      <w:r>
        <w:rPr>
          <w:rFonts w:ascii="Arial" w:hAnsi="Arial"/>
          <w:b/>
          <w:color w:val="7C3AED"/>
          <w:sz w:val="15"/>
        </w:rPr>
        <w:t>PROJET DE STATUTS — À RELIRE PAR UN PROFESSIONNEL DU DROIT AVANT SIGNATURE — LES ZONES [ENTRE CROCHETS] SONT À COMPLÉTER</w:t>
      </w:r>
    </w:p>
    <w:p>
      <w:pPr>
        <w:spacing w:after="40"/>
      </w:pPr>
      <w:r>
        <w:rPr>
          <w:rFonts w:ascii="Arial" w:hAnsi="Arial"/>
          <w:b/>
          <w:color w:val="1E2233"/>
          <w:sz w:val="40"/>
        </w:rPr>
        <w:t>MY EASY AUTO</w:t>
      </w:r>
    </w:p>
    <w:p>
      <w:pPr>
        <w:spacing w:after="200"/>
      </w:pPr>
      <w:r>
        <w:rPr>
          <w:rFonts w:ascii="Arial" w:hAnsi="Arial"/>
          <w:color w:val="64748B"/>
          <w:sz w:val="22"/>
        </w:rPr>
        <w:t>Société par actions simplifiée à associé unique (SASU) au capital de [1 000] euros — Siège social : 144 avenue Charles-de-Gaulle, 92200 Neuilly-sur-Seine</w:t>
      </w:r>
    </w:p>
    <w:p>
      <w:pPr>
        <w:jc w:val="center"/>
      </w:pPr>
      <w:r>
        <w:rPr>
          <w:rFonts w:ascii="Arial" w:hAnsi="Arial"/>
          <w:b/>
          <w:sz w:val="24"/>
        </w:rPr>
        <w:t>STATUTS CONSTITUTIFS</w:t>
      </w:r>
    </w:p>
    <w:p>
      <w:pPr>
        <w:spacing w:after="100"/>
        <w:jc w:val="both"/>
      </w:pPr>
      <w:r>
        <w:rPr>
          <w:rFonts w:ascii="Arial" w:hAnsi="Arial"/>
          <w:sz w:val="20"/>
        </w:rPr>
        <w:t>La soussignée,</w:t>
      </w:r>
    </w:p>
    <w:p>
      <w:pPr>
        <w:spacing w:after="100"/>
      </w:pPr>
      <w:r>
        <w:rPr>
          <w:rFonts w:ascii="Arial" w:hAnsi="Arial"/>
          <w:color w:val="B45309"/>
          <w:sz w:val="20"/>
        </w:rPr>
        <w:t>Madame Myriam AYOUAZ, née le [jour mois année] à [ville (département)], de nationalité [française], demeurant [adresse personnelle complète], [célibataire / mariée sous le régime de … / pacsée],</w:t>
      </w:r>
    </w:p>
    <w:p>
      <w:pPr>
        <w:spacing w:after="100"/>
        <w:jc w:val="both"/>
      </w:pPr>
      <w:r>
        <w:rPr>
          <w:rFonts w:ascii="Arial" w:hAnsi="Arial"/>
          <w:sz w:val="20"/>
        </w:rPr>
        <w:t>a établi ainsi qu'il suit les statuts d'une société par actions simplifiée dont elle est l'associée unique.</w:t>
      </w:r>
    </w:p>
    <w:p>
      <w:pPr>
        <w:keepNext/>
        <w:spacing w:before="240" w:after="80"/>
      </w:pPr>
      <w:r>
        <w:rPr>
          <w:rFonts w:ascii="Arial" w:hAnsi="Arial"/>
          <w:b/>
          <w:color w:val="7C3AED"/>
          <w:sz w:val="26"/>
        </w:rPr>
        <w:t>TITRE I — FORME · OBJET · DÉNOMINATION · SIÈGE · DURÉE</w:t>
      </w:r>
    </w:p>
    <w:p>
      <w:pPr>
        <w:keepNext/>
        <w:spacing w:before="240" w:after="80"/>
      </w:pPr>
      <w:r>
        <w:rPr>
          <w:rFonts w:ascii="Arial" w:hAnsi="Arial"/>
          <w:b/>
          <w:color w:val="7C3AED"/>
          <w:sz w:val="26"/>
        </w:rPr>
        <w:t>Article 1 — Forme</w:t>
      </w:r>
    </w:p>
    <w:p>
      <w:pPr>
        <w:spacing w:after="100"/>
        <w:jc w:val="both"/>
      </w:pPr>
      <w:r>
        <w:rPr>
          <w:rFonts w:ascii="Arial" w:hAnsi="Arial"/>
          <w:sz w:val="20"/>
        </w:rPr>
        <w:t>Il est formé par la soussignée une société par actions simplifiée régie par les dispositions du Code de commerce, notamment ses articles L227-1 à L227-20 et L244-1 à L244-4, ainsi que par les présents statuts. La société ne comportant qu'un seul associé, celui-ci exerce les pouvoirs dévolus par la loi à la collectivité des associés. Elle peut à tout moment comporter plusieurs associés par suite, notamment, de cession ou d'émission d'actions nouvelles, sans que sa forme en soit modifiée. La société ne peut procéder à une offre au public de titres financiers ni à l'admission de ses titres aux négociations sur un marché réglementé.</w:t>
      </w:r>
    </w:p>
    <w:p>
      <w:pPr>
        <w:keepNext/>
        <w:spacing w:before="240" w:after="80"/>
      </w:pPr>
      <w:r>
        <w:rPr>
          <w:rFonts w:ascii="Arial" w:hAnsi="Arial"/>
          <w:b/>
          <w:color w:val="7C3AED"/>
          <w:sz w:val="26"/>
        </w:rPr>
        <w:t>Article 2 — Objet</w:t>
      </w:r>
    </w:p>
    <w:p>
      <w:pPr>
        <w:spacing w:after="100"/>
        <w:jc w:val="both"/>
      </w:pPr>
      <w:r>
        <w:rPr>
          <w:rFonts w:ascii="Arial" w:hAnsi="Arial"/>
          <w:sz w:val="20"/>
        </w:rPr>
        <w:t>La société a pour objet, en France et à l'étranger :</w:t>
      </w:r>
    </w:p>
    <w:p>
      <w:pPr>
        <w:pStyle w:val="ListBullet"/>
        <w:spacing w:after="40"/>
      </w:pPr>
      <w:r>
        <w:rPr>
          <w:rFonts w:ascii="Arial" w:hAnsi="Arial"/>
          <w:sz w:val="20"/>
        </w:rPr>
        <w:t>la conception, le développement, l'édition, l'hébergement, l'exploitation et la commercialisation, notamment par abonnement et en mode « logiciel en tant que service » (SaaS), de logiciels et de plateformes en ligne de gestion destinés aux professionnels de l'automobile, en particulier les carrosseries et garages, incluant le suivi des dossiers de sinistres, la facturation et la relation avec les experts, assureurs et clients ;</w:t>
      </w:r>
    </w:p>
    <w:p>
      <w:pPr>
        <w:pStyle w:val="ListBullet"/>
        <w:spacing w:after="40"/>
      </w:pPr>
      <w:r>
        <w:rPr>
          <w:rFonts w:ascii="Arial" w:hAnsi="Arial"/>
          <w:sz w:val="20"/>
        </w:rPr>
        <w:t>les prestations de secrétariat, d'assistance administrative et de gestion externalisées, réalisées à distance pour le compte de professionnels, directement ou par l'intermédiaire de prestataires indépendants ;</w:t>
      </w:r>
    </w:p>
    <w:p>
      <w:pPr>
        <w:pStyle w:val="ListBullet"/>
        <w:spacing w:after="40"/>
      </w:pPr>
      <w:r>
        <w:rPr>
          <w:rFonts w:ascii="Arial" w:hAnsi="Arial"/>
          <w:sz w:val="20"/>
        </w:rPr>
        <w:t>le conseil, l'accompagnement, le paramétrage, la formation à l'utilisation de ses produits et le support technique associés ;</w:t>
      </w:r>
    </w:p>
    <w:p>
      <w:pPr>
        <w:pStyle w:val="ListBullet"/>
        <w:spacing w:after="40"/>
      </w:pPr>
      <w:r>
        <w:rPr>
          <w:rFonts w:ascii="Arial" w:hAnsi="Arial"/>
          <w:sz w:val="20"/>
        </w:rPr>
        <w:t>l'apport d'affaires, l'intermédiation commerciale et la mise en relation entre professionnels, ainsi que toute activité de promotion et de communication liée à ses produits et services ;</w:t>
      </w:r>
    </w:p>
    <w:p>
      <w:pPr>
        <w:pStyle w:val="ListBullet"/>
        <w:spacing w:after="40"/>
      </w:pPr>
      <w:r>
        <w:rPr>
          <w:rFonts w:ascii="Arial" w:hAnsi="Arial"/>
          <w:sz w:val="20"/>
        </w:rPr>
        <w:t>la création, l'acquisition, la location, la prise en gérance de tous fonds de commerce, la prise à bail, l'installation et l'exploitation de tous établissements se rapportant à l'une ou l'autre des activités spécifiées ;</w:t>
      </w:r>
    </w:p>
    <w:p>
      <w:pPr>
        <w:pStyle w:val="ListBullet"/>
        <w:spacing w:after="40"/>
      </w:pPr>
      <w:r>
        <w:rPr>
          <w:rFonts w:ascii="Arial" w:hAnsi="Arial"/>
          <w:sz w:val="20"/>
        </w:rPr>
        <w:t>la prise, l'acquisition, l'exploitation ou la cession de tous procédés, brevets, marques, noms de domaine, logiciels et droits de propriété intellectuelle concernant ces activités ;</w:t>
      </w:r>
    </w:p>
    <w:p>
      <w:pPr>
        <w:pStyle w:val="ListBullet"/>
        <w:spacing w:after="40"/>
      </w:pPr>
      <w:r>
        <w:rPr>
          <w:rFonts w:ascii="Arial" w:hAnsi="Arial"/>
          <w:sz w:val="20"/>
        </w:rPr>
        <w:t>la participation, directe ou indirecte, de la société dans toutes opérations financières, immobilières ou mobilières et dans toutes entreprises commerciales ou industrielles pouvant se rattacher à l'objet social ou à tout objet similaire ou connexe ;</w:t>
      </w:r>
    </w:p>
    <w:p>
      <w:pPr>
        <w:pStyle w:val="ListBullet"/>
        <w:spacing w:after="40"/>
      </w:pPr>
      <w:r>
        <w:rPr>
          <w:rFonts w:ascii="Arial" w:hAnsi="Arial"/>
          <w:sz w:val="20"/>
        </w:rPr>
        <w:t>et plus généralement, toutes opérations industrielles, commerciales, financières, civiles, mobilières ou immobilières pouvant se rattacher directement ou indirectement à l'objet social ou susceptibles d'en favoriser l'extension ou le développement.</w:t>
      </w:r>
    </w:p>
    <w:p>
      <w:pPr>
        <w:spacing w:after="100"/>
        <w:jc w:val="both"/>
      </w:pPr>
      <w:r>
        <w:rPr>
          <w:rFonts w:ascii="Arial" w:hAnsi="Arial"/>
          <w:sz w:val="20"/>
        </w:rPr>
        <w:t>La société n'exerce aucune activité réglementée réservée à une profession ; les prestations de secrétariat externalisé excluent expressément la tenue de comptabilité, l'établissement de déclarations fiscales ou sociales, la représentation juridique et toute activité relevant d'une profession réglementée.</w:t>
      </w:r>
    </w:p>
    <w:p>
      <w:pPr>
        <w:keepNext/>
        <w:spacing w:before="240" w:after="80"/>
      </w:pPr>
      <w:r>
        <w:rPr>
          <w:rFonts w:ascii="Arial" w:hAnsi="Arial"/>
          <w:b/>
          <w:color w:val="7C3AED"/>
          <w:sz w:val="26"/>
        </w:rPr>
        <w:t>Article 3 — Dénomination sociale</w:t>
      </w:r>
    </w:p>
    <w:p>
      <w:pPr>
        <w:spacing w:after="100"/>
        <w:jc w:val="both"/>
      </w:pPr>
      <w:r>
        <w:rPr>
          <w:rFonts w:ascii="Arial" w:hAnsi="Arial"/>
          <w:sz w:val="20"/>
        </w:rPr>
        <w:t>La dénomination sociale est : MY EASY AUTO. Dans tous les actes et documents émanant de la société et destinés aux tiers, la dénomination sera précédée ou suivie immédiatement des mots « société par actions simplifiée » ou des initiales « SAS » (ou, tant qu'elle ne compte qu'un associé, « société par actions simplifiée unipersonnelle » ou « SASU »), de l'énonciation du montant du capital social, du numéro d'identification au registre du commerce et des sociétés et du lieu du siège social.</w:t>
      </w:r>
    </w:p>
    <w:p>
      <w:pPr>
        <w:keepNext/>
        <w:spacing w:before="240" w:after="80"/>
      </w:pPr>
      <w:r>
        <w:rPr>
          <w:rFonts w:ascii="Arial" w:hAnsi="Arial"/>
          <w:b/>
          <w:color w:val="7C3AED"/>
          <w:sz w:val="26"/>
        </w:rPr>
        <w:t>Article 4 — Siège social</w:t>
      </w:r>
    </w:p>
    <w:p>
      <w:pPr>
        <w:spacing w:after="100"/>
        <w:jc w:val="both"/>
      </w:pPr>
      <w:r>
        <w:rPr>
          <w:rFonts w:ascii="Arial" w:hAnsi="Arial"/>
          <w:sz w:val="20"/>
        </w:rPr>
        <w:t>Le siège social est fixé : 144 avenue Charles-de-Gaulle, 92200 Neuilly-sur-Seine. Il peut être transféré en tout autre lieu par simple décision du Président, qui est habilité à modifier les statuts en conséquence, sous réserve de ratification par la plus prochaine décision de l'associé unique. Des agences, succursales et dépôts peuvent être créés en tous lieux par simple décision du Président.</w:t>
      </w:r>
    </w:p>
    <w:p>
      <w:pPr>
        <w:keepNext/>
        <w:spacing w:before="240" w:after="80"/>
      </w:pPr>
      <w:r>
        <w:rPr>
          <w:rFonts w:ascii="Arial" w:hAnsi="Arial"/>
          <w:b/>
          <w:color w:val="7C3AED"/>
          <w:sz w:val="26"/>
        </w:rPr>
        <w:t>Article 5 — Durée</w:t>
      </w:r>
    </w:p>
    <w:p>
      <w:pPr>
        <w:spacing w:after="100"/>
        <w:jc w:val="both"/>
      </w:pPr>
      <w:r>
        <w:rPr>
          <w:rFonts w:ascii="Arial" w:hAnsi="Arial"/>
          <w:sz w:val="20"/>
        </w:rPr>
        <w:t>La durée de la société est fixée à quatre-vingt-dix-neuf (99) années à compter de la date de son immatriculation au registre du commerce et des sociétés, sauf dissolution anticipée ou prorogation décidée par l'associé unique. Un an au moins avant la date d'expiration de la société, le Président doit provoquer une décision de l'associé unique à l'effet de décider si la société doit être prorogée.</w:t>
      </w:r>
    </w:p>
    <w:p>
      <w:pPr>
        <w:keepNext/>
        <w:spacing w:before="240" w:after="80"/>
      </w:pPr>
      <w:r>
        <w:rPr>
          <w:rFonts w:ascii="Arial" w:hAnsi="Arial"/>
          <w:b/>
          <w:color w:val="7C3AED"/>
          <w:sz w:val="26"/>
        </w:rPr>
        <w:t>TITRE II — APPORTS · CAPITAL SOCIAL · ACTIONS</w:t>
      </w:r>
    </w:p>
    <w:p>
      <w:pPr>
        <w:keepNext/>
        <w:spacing w:before="240" w:after="80"/>
      </w:pPr>
      <w:r>
        <w:rPr>
          <w:rFonts w:ascii="Arial" w:hAnsi="Arial"/>
          <w:b/>
          <w:color w:val="7C3AED"/>
          <w:sz w:val="26"/>
        </w:rPr>
        <w:t>Article 6 — Apports</w:t>
      </w:r>
    </w:p>
    <w:p>
      <w:pPr>
        <w:spacing w:after="100"/>
      </w:pPr>
      <w:r>
        <w:rPr>
          <w:rFonts w:ascii="Arial" w:hAnsi="Arial"/>
          <w:color w:val="B45309"/>
          <w:sz w:val="20"/>
        </w:rPr>
        <w:t>Madame Myriam AYOUAZ apporte à la société une somme de [1 000] euros en numéraire, correspondant à [1 000] actions de [1] euro de valeur nominale chacune, souscrites en totalité et libérées [intégralement / à hauteur de [50] %, soit [500] euros], ainsi qu'il résulte du certificat établi par [nom de la banque / le notaire / la Caisse des dépôts], dépositaire des fonds, le [date].</w:t>
      </w:r>
    </w:p>
    <w:p>
      <w:pPr>
        <w:spacing w:after="100"/>
        <w:jc w:val="both"/>
      </w:pPr>
      <w:r>
        <w:rPr>
          <w:rFonts w:ascii="Arial" w:hAnsi="Arial"/>
          <w:sz w:val="20"/>
        </w:rPr>
        <w:t>La somme ainsi versée a été déposée au crédit d'un compte ouvert au nom de la société en formation. Le solde éventuel de la libération interviendra en une ou plusieurs fois sur décision du Président, dans un délai maximum de cinq ans à compter de l'immatriculation de la société au registre du commerce et des sociétés. Aucun apport en nature ni en industrie n'est effectué.</w:t>
      </w:r>
    </w:p>
    <w:p>
      <w:pPr>
        <w:keepNext/>
        <w:spacing w:before="240" w:after="80"/>
      </w:pPr>
      <w:r>
        <w:rPr>
          <w:rFonts w:ascii="Arial" w:hAnsi="Arial"/>
          <w:b/>
          <w:color w:val="7C3AED"/>
          <w:sz w:val="26"/>
        </w:rPr>
        <w:t>Article 7 — Capital social</w:t>
      </w:r>
    </w:p>
    <w:p>
      <w:pPr>
        <w:spacing w:after="100"/>
      </w:pPr>
      <w:r>
        <w:rPr>
          <w:rFonts w:ascii="Arial" w:hAnsi="Arial"/>
          <w:color w:val="B45309"/>
          <w:sz w:val="20"/>
        </w:rPr>
        <w:t>Le capital social est fixé à la somme de [1 000] euros ([mille] euros). Il est divisé en [1 000] actions de [1] euro de valeur nominale chacune, de même catégorie, entièrement souscrites et attribuées en totalité à l'associée unique.</w:t>
      </w:r>
    </w:p>
    <w:p>
      <w:pPr>
        <w:keepNext/>
        <w:spacing w:before="240" w:after="80"/>
      </w:pPr>
      <w:r>
        <w:rPr>
          <w:rFonts w:ascii="Arial" w:hAnsi="Arial"/>
          <w:b/>
          <w:color w:val="7C3AED"/>
          <w:sz w:val="26"/>
        </w:rPr>
        <w:t>Article 8 — Modifications du capital</w:t>
      </w:r>
    </w:p>
    <w:p>
      <w:pPr>
        <w:spacing w:after="100"/>
        <w:jc w:val="both"/>
      </w:pPr>
      <w:r>
        <w:rPr>
          <w:rFonts w:ascii="Arial" w:hAnsi="Arial"/>
          <w:sz w:val="20"/>
        </w:rPr>
        <w:t>Le capital social peut être augmenté, réduit ou amorti dans les conditions prévues par la loi, par décision de l'associé unique ou, en cas de pluralité d'associés, par décision collective prise dans les conditions de l'article 17. L'associé unique peut déléguer au Président les pouvoirs nécessaires à l'effet de réaliser l'opération. En cas d'augmentation de capital en numéraire, les associés ont, proportionnellement au montant de leurs actions, un droit de préférence à la souscription des actions nouvelles, auquel ils peuvent renoncer à titre individuel.</w:t>
      </w:r>
    </w:p>
    <w:p>
      <w:pPr>
        <w:keepNext/>
        <w:spacing w:before="240" w:after="80"/>
      </w:pPr>
      <w:r>
        <w:rPr>
          <w:rFonts w:ascii="Arial" w:hAnsi="Arial"/>
          <w:b/>
          <w:color w:val="7C3AED"/>
          <w:sz w:val="26"/>
        </w:rPr>
        <w:t>Article 9 — Forme des actions — comptes d'actionnaires</w:t>
      </w:r>
    </w:p>
    <w:p>
      <w:pPr>
        <w:spacing w:after="100"/>
        <w:jc w:val="both"/>
      </w:pPr>
      <w:r>
        <w:rPr>
          <w:rFonts w:ascii="Arial" w:hAnsi="Arial"/>
          <w:sz w:val="20"/>
        </w:rPr>
        <w:t>Les actions sont obligatoirement nominatives. Elles donnent lieu à une inscription en compte individuel dans les conditions et selon les modalités prévues par la loi et les règlements. La société tient un registre des mouvements de titres et des comptes individuels d'actionnaires, à jour, au siège social.</w:t>
      </w:r>
    </w:p>
    <w:p>
      <w:pPr>
        <w:keepNext/>
        <w:spacing w:before="240" w:after="80"/>
      </w:pPr>
      <w:r>
        <w:rPr>
          <w:rFonts w:ascii="Arial" w:hAnsi="Arial"/>
          <w:b/>
          <w:color w:val="7C3AED"/>
          <w:sz w:val="26"/>
        </w:rPr>
        <w:t>Article 10 — Droits et obligations attachés aux actions</w:t>
      </w:r>
    </w:p>
    <w:p>
      <w:pPr>
        <w:spacing w:after="100"/>
        <w:jc w:val="both"/>
      </w:pPr>
      <w:r>
        <w:rPr>
          <w:rFonts w:ascii="Arial" w:hAnsi="Arial"/>
          <w:sz w:val="20"/>
        </w:rPr>
        <w:t>Chaque action donne droit, dans les bénéfices et l'actif social, à une part proportionnelle à la quotité du capital qu'elle représente, et donne droit au vote et à la représentation lors des décisions collectives. La propriété d'une action emporte de plein droit adhésion aux statuts et aux décisions de l'associé unique ou de la collectivité des associés. L'associé n'est responsable des pertes qu'à concurrence de ses apports. Les actions sont indivisibles à l'égard de la société.</w:t>
      </w:r>
    </w:p>
    <w:p>
      <w:pPr>
        <w:keepNext/>
        <w:spacing w:before="240" w:after="80"/>
      </w:pPr>
      <w:r>
        <w:rPr>
          <w:rFonts w:ascii="Arial" w:hAnsi="Arial"/>
          <w:b/>
          <w:color w:val="7C3AED"/>
          <w:sz w:val="26"/>
        </w:rPr>
        <w:t>Article 11 — Transmission des actions</w:t>
      </w:r>
    </w:p>
    <w:p>
      <w:pPr>
        <w:spacing w:after="100"/>
        <w:jc w:val="both"/>
      </w:pPr>
      <w:r>
        <w:rPr>
          <w:rFonts w:ascii="Arial" w:hAnsi="Arial"/>
          <w:sz w:val="20"/>
        </w:rPr>
        <w:t>Tant que la société ne comporte qu'un associé, les cessions d'actions par l'associé unique sont libres. En cas de pluralité d'associés, toute cession d'actions à un tiers non associé, à quelque titre que ce soit, est soumise à l'agrément préalable de la collectivité des associés statuant à la majorité des deux tiers des voix des associés disposant du droit de vote, le cédant participant au vote. La demande d'agrément est notifiée au Président par lettre recommandée avec avis de réception indiquant l'identité du cessionnaire, le nombre d'actions et le prix. Le Président dispose de trois mois pour notifier la décision ; à défaut de réponse dans ce délai, l'agrément est réputé acquis. En cas de refus, la société est tenue, dans un délai de trois mois, de faire acquérir les actions par un associé, un tiers ou par elle-même en vue d'une réduction de capital, à un prix fixé d'accord entre les parties ou, à défaut, dans les conditions de l'article 1843-4 du Code civil. Les cessions d'actions s'opèrent par virement de compte à compte sur production d'un ordre de mouvement signé du cédant ; toute cession réalisée en violation du présent article est nulle.</w:t>
      </w:r>
    </w:p>
    <w:p>
      <w:pPr>
        <w:keepNext/>
        <w:spacing w:before="240" w:after="80"/>
      </w:pPr>
      <w:r>
        <w:rPr>
          <w:rFonts w:ascii="Arial" w:hAnsi="Arial"/>
          <w:b/>
          <w:color w:val="7C3AED"/>
          <w:sz w:val="26"/>
        </w:rPr>
        <w:t>TITRE III — ADMINISTRATION ET CONTRÔLE DE LA SOCIÉTÉ</w:t>
      </w:r>
    </w:p>
    <w:p>
      <w:pPr>
        <w:keepNext/>
        <w:spacing w:before="240" w:after="80"/>
      </w:pPr>
      <w:r>
        <w:rPr>
          <w:rFonts w:ascii="Arial" w:hAnsi="Arial"/>
          <w:b/>
          <w:color w:val="7C3AED"/>
          <w:sz w:val="26"/>
        </w:rPr>
        <w:t>Article 12 — Président</w:t>
      </w:r>
    </w:p>
    <w:p>
      <w:pPr>
        <w:spacing w:after="100"/>
        <w:jc w:val="both"/>
      </w:pPr>
      <w:r>
        <w:rPr>
          <w:rFonts w:ascii="Arial" w:hAnsi="Arial"/>
          <w:sz w:val="20"/>
        </w:rPr>
        <w:t>La société est représentée, dirigée et administrée par un Président, personne physique ou morale, associé ou non, nommé pour une durée déterminée ou indéterminée par décision de l'associé unique. Lorsqu'une personne morale est nommée Président, ses dirigeants sont soumis aux mêmes conditions et obligations et encourent les mêmes responsabilités que s'ils étaient Président en leur nom propre.</w:t>
      </w:r>
    </w:p>
    <w:p>
      <w:pPr>
        <w:spacing w:after="100"/>
        <w:jc w:val="both"/>
      </w:pPr>
      <w:r>
        <w:rPr>
          <w:rFonts w:ascii="Arial" w:hAnsi="Arial"/>
          <w:sz w:val="20"/>
        </w:rPr>
        <w:t>Le Président représente la société à l'égard des tiers. Il est investi des pouvoirs les plus étendus pour agir en toute circonstance au nom de la société, dans la limite de l'objet social et sous réserve des pouvoirs expressément attribués par la loi et les présents statuts à l'associé unique. Dans les rapports avec les tiers, la société est engagée même par les actes du Président qui ne relèvent pas de l'objet social, à moins qu'elle ne prouve que le tiers savait que l'acte dépassait cet objet ou qu'il ne pouvait l'ignorer compte tenu des circonstances. Le Président peut consentir toute délégation de pouvoirs pour un ou plusieurs objets déterminés.</w:t>
      </w:r>
    </w:p>
    <w:p>
      <w:pPr>
        <w:spacing w:after="100"/>
        <w:jc w:val="both"/>
      </w:pPr>
      <w:r>
        <w:rPr>
          <w:rFonts w:ascii="Arial" w:hAnsi="Arial"/>
          <w:sz w:val="20"/>
        </w:rPr>
        <w:t>La rémunération du Président est fixée par décision de l'associé unique ; elle peut être nulle. Le Président a droit au remboursement de ses frais de représentation et de déplacement sur justificatifs. Le Président peut démissionner à tout moment, sous réserve de respecter un préavis de trois mois, qui peut être réduit par l'associé unique. Il est révocable à tout moment par décision de l'associé unique, sans qu'un juste motif soit nécessaire et sans indemnité, sauf décision contraire de l'associé unique. Le Président exerce ses fonctions sans limitation de durée si la décision de nomination ne fixe pas de terme. En cas de décès, démission ou empêchement du Président, l'associé unique pourvoit à son remplacement.</w:t>
      </w:r>
    </w:p>
    <w:p>
      <w:pPr>
        <w:keepNext/>
        <w:spacing w:before="240" w:after="80"/>
      </w:pPr>
      <w:r>
        <w:rPr>
          <w:rFonts w:ascii="Arial" w:hAnsi="Arial"/>
          <w:b/>
          <w:color w:val="7C3AED"/>
          <w:sz w:val="26"/>
        </w:rPr>
        <w:t>Article 13 — Directeur général</w:t>
      </w:r>
    </w:p>
    <w:p>
      <w:pPr>
        <w:spacing w:after="100"/>
        <w:jc w:val="both"/>
      </w:pPr>
      <w:r>
        <w:rPr>
          <w:rFonts w:ascii="Arial" w:hAnsi="Arial"/>
          <w:sz w:val="20"/>
        </w:rPr>
        <w:t>L'associé unique peut nommer un ou plusieurs Directeurs généraux, personnes physiques, chargés d'assister le Président, et fixer l'étendue de leurs pouvoirs, la durée de leurs fonctions et leur rémunération. Le Directeur général dispose, à l'égard des tiers, des mêmes pouvoirs de représentation que le Président. Il est révocable à tout moment par décision de l'associé unique.</w:t>
      </w:r>
    </w:p>
    <w:p>
      <w:pPr>
        <w:keepNext/>
        <w:spacing w:before="240" w:after="80"/>
      </w:pPr>
      <w:r>
        <w:rPr>
          <w:rFonts w:ascii="Arial" w:hAnsi="Arial"/>
          <w:b/>
          <w:color w:val="7C3AED"/>
          <w:sz w:val="26"/>
        </w:rPr>
        <w:t>Article 14 — Conventions entre la société et ses dirigeants ou son associé</w:t>
      </w:r>
    </w:p>
    <w:p>
      <w:pPr>
        <w:spacing w:after="100"/>
        <w:jc w:val="both"/>
      </w:pPr>
      <w:r>
        <w:rPr>
          <w:rFonts w:ascii="Arial" w:hAnsi="Arial"/>
          <w:sz w:val="20"/>
        </w:rPr>
        <w:t>Conformément à l'article L227-10 du Code de commerce, les conventions intervenues directement ou par personne interposée entre la société et son Président, l'un de ses dirigeants ou son associé unique sont mentionnées au registre des décisions. Lorsque la société comporte plusieurs associés, ces conventions sont soumises au contrôle prévu par la loi. Les conventions portant sur des opérations courantes et conclues à des conditions normales ne sont pas soumises à ces dispositions. Les conventions non approuvées produisent néanmoins leurs effets, à charge pour la personne intéressée et éventuellement pour le Président d'en supporter les conséquences dommageables pour la société. Il est interdit au Président et aux dirigeants personnes physiques de contracter, sous quelque forme que ce soit, des emprunts auprès de la société, de se faire consentir par elle un découvert ou de faire cautionner ou avaliser par elle leurs engagements envers les tiers.</w:t>
      </w:r>
    </w:p>
    <w:p>
      <w:pPr>
        <w:spacing w:after="100"/>
        <w:jc w:val="both"/>
      </w:pPr>
      <w:r>
        <w:rPr>
          <w:rFonts w:ascii="Arial" w:hAnsi="Arial"/>
          <w:sz w:val="20"/>
        </w:rPr>
        <w:t>Il est précisé que les relations entre la société et la société IDEAFORMA, dont l'associée unique est également dirigeante, feront l'objet de conventions écrites conclues à des conditions normales de marché (licence, prestations, refacturation de frais, mise à disposition de locaux), mentionnées au registre des décisions.</w:t>
      </w:r>
    </w:p>
    <w:p>
      <w:pPr>
        <w:keepNext/>
        <w:spacing w:before="240" w:after="80"/>
      </w:pPr>
      <w:r>
        <w:rPr>
          <w:rFonts w:ascii="Arial" w:hAnsi="Arial"/>
          <w:b/>
          <w:color w:val="7C3AED"/>
          <w:sz w:val="26"/>
        </w:rPr>
        <w:t>Article 15 — Commissaires aux comptes</w:t>
      </w:r>
    </w:p>
    <w:p>
      <w:pPr>
        <w:spacing w:after="100"/>
        <w:jc w:val="both"/>
      </w:pPr>
      <w:r>
        <w:rPr>
          <w:rFonts w:ascii="Arial" w:hAnsi="Arial"/>
          <w:sz w:val="20"/>
        </w:rPr>
        <w:t>La nomination d'un commissaire aux comptes titulaire n'est obligatoire que si la société dépasse, à la clôture d'un exercice, les seuils fixés par la réglementation, ou dans les autres cas prévus par la loi. Elle est facultative dans les autres cas. Le commissaire aux comptes est nommé par l'associé unique pour la durée légale et exerce sa mission conformément à la loi.</w:t>
      </w:r>
    </w:p>
    <w:p>
      <w:pPr>
        <w:keepNext/>
        <w:spacing w:before="240" w:after="80"/>
      </w:pPr>
      <w:r>
        <w:rPr>
          <w:rFonts w:ascii="Arial" w:hAnsi="Arial"/>
          <w:b/>
          <w:color w:val="7C3AED"/>
          <w:sz w:val="26"/>
        </w:rPr>
        <w:t>TITRE IV — DÉCISIONS DE L'ASSOCIÉ UNIQUE</w:t>
      </w:r>
    </w:p>
    <w:p>
      <w:pPr>
        <w:keepNext/>
        <w:spacing w:before="240" w:after="80"/>
      </w:pPr>
      <w:r>
        <w:rPr>
          <w:rFonts w:ascii="Arial" w:hAnsi="Arial"/>
          <w:b/>
          <w:color w:val="7C3AED"/>
          <w:sz w:val="26"/>
        </w:rPr>
        <w:t>Article 16 — Compétence de l'associé unique</w:t>
      </w:r>
    </w:p>
    <w:p>
      <w:pPr>
        <w:spacing w:after="100"/>
        <w:jc w:val="both"/>
      </w:pPr>
      <w:r>
        <w:rPr>
          <w:rFonts w:ascii="Arial" w:hAnsi="Arial"/>
          <w:sz w:val="20"/>
        </w:rPr>
        <w:t>L'associé unique est seul compétent pour : approuver les comptes annuels et affecter le résultat ; nommer et révoquer le Président, les Directeurs généraux et, le cas échéant, les commissaires aux comptes ; fixer leur rémunération ; augmenter, amortir ou réduire le capital ; décider toute fusion, scission, apport partiel d'actif, transformation, dissolution ou prorogation de la société ; modifier les statuts, sous réserve des pouvoirs conférés au Président par l'article 4 ; et pour toute décision que la loi réserve à la collectivité des associés. Toute autre décision relève de la compétence du Président.</w:t>
      </w:r>
    </w:p>
    <w:p>
      <w:pPr>
        <w:keepNext/>
        <w:spacing w:before="240" w:after="80"/>
      </w:pPr>
      <w:r>
        <w:rPr>
          <w:rFonts w:ascii="Arial" w:hAnsi="Arial"/>
          <w:b/>
          <w:color w:val="7C3AED"/>
          <w:sz w:val="26"/>
        </w:rPr>
        <w:t>Article 17 — Forme et constatation des décisions</w:t>
      </w:r>
    </w:p>
    <w:p>
      <w:pPr>
        <w:spacing w:after="100"/>
        <w:jc w:val="both"/>
      </w:pPr>
      <w:r>
        <w:rPr>
          <w:rFonts w:ascii="Arial" w:hAnsi="Arial"/>
          <w:sz w:val="20"/>
        </w:rPr>
        <w:t>L'associé unique ne peut déléguer ses pouvoirs. Ses décisions sont constatées par des procès-verbaux signés par lui et répertoriés, dans l'ordre chronologique, dans un registre coté et paraphé tenu au siège social, ou établi et conservé sous forme électronique dans les conditions prévues par la réglementation. Les décisions prises en violation du présent article peuvent être annulées à la demande de tout intéressé. En cas de pluralité d'associés, les décisions collectives sont prises, au choix du Président, en assemblée, par consultation écrite ou par acte sous signature privée signé de tous les associés, y compris par voie électronique ; les décisions ordinaires sont adoptées à la majorité simple des voix, les décisions extraordinaires (modification des statuts, agrément, opérations sur le capital, dissolution) à la majorité des deux tiers, et les décisions augmentant les engagements des associés ou requérant l'unanimité par la loi (articles L227-13, L227-14, L227-16, L227-17 et L227-19 du Code de commerce, le cas échéant) à l'unanimité.</w:t>
      </w:r>
    </w:p>
    <w:p>
      <w:pPr>
        <w:keepNext/>
        <w:spacing w:before="240" w:after="80"/>
      </w:pPr>
      <w:r>
        <w:rPr>
          <w:rFonts w:ascii="Arial" w:hAnsi="Arial"/>
          <w:b/>
          <w:color w:val="7C3AED"/>
          <w:sz w:val="26"/>
        </w:rPr>
        <w:t>Article 18 — Information de l'associé unique</w:t>
      </w:r>
    </w:p>
    <w:p>
      <w:pPr>
        <w:spacing w:after="100"/>
        <w:jc w:val="both"/>
      </w:pPr>
      <w:r>
        <w:rPr>
          <w:rFonts w:ascii="Arial" w:hAnsi="Arial"/>
          <w:sz w:val="20"/>
        </w:rPr>
        <w:t>L'associé unique a le droit, à toute époque, de prendre connaissance au siège social des documents sociaux. Quelle que soit la forme de la décision, le Président lui communique préalablement tous les documents nécessaires à son information, et notamment, pour l'approbation des comptes, l'inventaire, les comptes annuels, le rapport de gestion lorsqu'il est requis et, s'il en existe, le rapport du commissaire aux comptes.</w:t>
      </w:r>
    </w:p>
    <w:p>
      <w:pPr>
        <w:keepNext/>
        <w:spacing w:before="240" w:after="80"/>
      </w:pPr>
      <w:r>
        <w:rPr>
          <w:rFonts w:ascii="Arial" w:hAnsi="Arial"/>
          <w:b/>
          <w:color w:val="7C3AED"/>
          <w:sz w:val="26"/>
        </w:rPr>
        <w:t>TITRE V — EXERCICE SOCIAL · COMPTES · RÉSULTAT</w:t>
      </w:r>
    </w:p>
    <w:p>
      <w:pPr>
        <w:keepNext/>
        <w:spacing w:before="240" w:after="80"/>
      </w:pPr>
      <w:r>
        <w:rPr>
          <w:rFonts w:ascii="Arial" w:hAnsi="Arial"/>
          <w:b/>
          <w:color w:val="7C3AED"/>
          <w:sz w:val="26"/>
        </w:rPr>
        <w:t>Article 19 — Exercice social</w:t>
      </w:r>
    </w:p>
    <w:p>
      <w:pPr>
        <w:spacing w:after="100"/>
      </w:pPr>
      <w:r>
        <w:rPr>
          <w:rFonts w:ascii="Arial" w:hAnsi="Arial"/>
          <w:color w:val="B45309"/>
          <w:sz w:val="20"/>
        </w:rPr>
        <w:t>L'exercice social commence le 1er janvier et se termine le 31 décembre de chaque année. Par exception, le premier exercice social comprendra le temps écoulé depuis l'immatriculation de la société au registre du commerce et des sociétés jusqu'au 31 décembre [2027].</w:t>
      </w:r>
    </w:p>
    <w:p>
      <w:pPr>
        <w:keepNext/>
        <w:spacing w:before="240" w:after="80"/>
      </w:pPr>
      <w:r>
        <w:rPr>
          <w:rFonts w:ascii="Arial" w:hAnsi="Arial"/>
          <w:b/>
          <w:color w:val="7C3AED"/>
          <w:sz w:val="26"/>
        </w:rPr>
        <w:t>Article 20 — Comptes annuels</w:t>
      </w:r>
    </w:p>
    <w:p>
      <w:pPr>
        <w:spacing w:after="100"/>
        <w:jc w:val="both"/>
      </w:pPr>
      <w:r>
        <w:rPr>
          <w:rFonts w:ascii="Arial" w:hAnsi="Arial"/>
          <w:sz w:val="20"/>
        </w:rPr>
        <w:t>Le Président tient une comptabilité régulière des opérations sociales et établit, à la clôture de chaque exercice, l'inventaire, les comptes annuels et, lorsqu'il est requis par la loi, le rapport de gestion. L'associé unique approuve les comptes, après rapport du commissaire aux comptes s'il en existe, dans les six mois de la clôture de l'exercice. Conformément à l'article L227-9 du Code de commerce, lorsque l'associé unique, personne physique, assume personnellement la présidence de la société, le dépôt au registre du commerce et des sociétés, dans le délai de six mois à compter de la clôture, de l'inventaire et des comptes annuels dûment signés vaut approbation des comptes.</w:t>
      </w:r>
    </w:p>
    <w:p>
      <w:pPr>
        <w:keepNext/>
        <w:spacing w:before="240" w:after="80"/>
      </w:pPr>
      <w:r>
        <w:rPr>
          <w:rFonts w:ascii="Arial" w:hAnsi="Arial"/>
          <w:b/>
          <w:color w:val="7C3AED"/>
          <w:sz w:val="26"/>
        </w:rPr>
        <w:t>Article 21 — Affectation et répartition du résultat</w:t>
      </w:r>
    </w:p>
    <w:p>
      <w:pPr>
        <w:spacing w:after="100"/>
        <w:jc w:val="both"/>
      </w:pPr>
      <w:r>
        <w:rPr>
          <w:rFonts w:ascii="Arial" w:hAnsi="Arial"/>
          <w:sz w:val="20"/>
        </w:rPr>
        <w:t>Le compte de résultat récapitule les produits et les charges de l'exercice et fait apparaître, par différence, le bénéfice ou la perte de l'exercice. Sur le bénéfice de l'exercice diminué, le cas échéant, des pertes antérieures, il est prélevé cinq pour cent au moins pour constituer le fonds de réserve légale ; ce prélèvement cesse d'être obligatoire lorsque la réserve légale atteint le dixième du capital social. Le bénéfice distribuable est constitué par le bénéfice de l'exercice diminué des pertes antérieures et des sommes portées en réserve en application de la loi ou des statuts, et augmenté du report bénéficiaire. L'associé unique décide de l'affectation du bénéfice distribuable : distribution, report à nouveau ou mise en réserve. Les modalités de mise en paiement des dividendes sont fixées par l'associé unique ; la mise en paiement intervient dans un délai maximal de neuf mois après la clôture de l'exercice. Aucune distribution ne peut être faite lorsque les capitaux propres sont ou deviendraient, à la suite de celle-ci, inférieurs au montant du capital augmenté des réserves que la loi ou les statuts ne permettent pas de distribuer.</w:t>
      </w:r>
    </w:p>
    <w:p>
      <w:pPr>
        <w:keepNext/>
        <w:spacing w:before="240" w:after="80"/>
      </w:pPr>
      <w:r>
        <w:rPr>
          <w:rFonts w:ascii="Arial" w:hAnsi="Arial"/>
          <w:b/>
          <w:color w:val="7C3AED"/>
          <w:sz w:val="26"/>
        </w:rPr>
        <w:t>Article 22 — Capitaux propres inférieurs à la moitié du capital social</w:t>
      </w:r>
    </w:p>
    <w:p>
      <w:pPr>
        <w:spacing w:after="100"/>
        <w:jc w:val="both"/>
      </w:pPr>
      <w:r>
        <w:rPr>
          <w:rFonts w:ascii="Arial" w:hAnsi="Arial"/>
          <w:sz w:val="20"/>
        </w:rPr>
        <w:t>Si, du fait des pertes constatées dans les documents comptables, les capitaux propres de la société deviennent inférieurs à la moitié du capital social, le Président doit, dans les quatre mois qui suivent l'approbation des comptes ayant fait apparaître cette perte, consulter l'associé unique à l'effet de décider s'il y a lieu à dissolution anticipée de la société. Si la dissolution n'est pas prononcée, la société est tenue, dans les conditions et délais fixés par l'article L225-248 du Code de commerce, de reconstituer ses capitaux propres ou de réduire son capital. La décision est publiée dans les conditions réglementaires.</w:t>
      </w:r>
    </w:p>
    <w:p>
      <w:pPr>
        <w:keepNext/>
        <w:spacing w:before="240" w:after="80"/>
      </w:pPr>
      <w:r>
        <w:rPr>
          <w:rFonts w:ascii="Arial" w:hAnsi="Arial"/>
          <w:b/>
          <w:color w:val="7C3AED"/>
          <w:sz w:val="26"/>
        </w:rPr>
        <w:t>TITRE VI — DISSOLUTION · LIQUIDATION · CONTESTATIONS</w:t>
      </w:r>
    </w:p>
    <w:p>
      <w:pPr>
        <w:keepNext/>
        <w:spacing w:before="240" w:after="80"/>
      </w:pPr>
      <w:r>
        <w:rPr>
          <w:rFonts w:ascii="Arial" w:hAnsi="Arial"/>
          <w:b/>
          <w:color w:val="7C3AED"/>
          <w:sz w:val="26"/>
        </w:rPr>
        <w:t>Article 23 — Dissolution — liquidation</w:t>
      </w:r>
    </w:p>
    <w:p>
      <w:pPr>
        <w:spacing w:after="100"/>
        <w:jc w:val="both"/>
      </w:pPr>
      <w:r>
        <w:rPr>
          <w:rFonts w:ascii="Arial" w:hAnsi="Arial"/>
          <w:sz w:val="20"/>
        </w:rPr>
        <w:t>La société est dissoute à l'expiration du terme fixé par les statuts, sauf prorogation, ou par décision de l'associé unique. Conformément à l'article 1844-5, alinéa 3, du Code civil, la dissolution de la société dont l'associé unique est une personne morale entraîne la transmission universelle de son patrimoine à cet associé, sans liquidation. Lorsque l'associé unique est une personne physique, la dissolution entraîne la liquidation de la société dans les conditions légales ; l'associé unique nomme le liquidateur, fixe ses pouvoirs et sa rémunération, et constate la clôture de la liquidation. Le boni de liquidation revient à l'associé unique.</w:t>
      </w:r>
    </w:p>
    <w:p>
      <w:pPr>
        <w:keepNext/>
        <w:spacing w:before="240" w:after="80"/>
      </w:pPr>
      <w:r>
        <w:rPr>
          <w:rFonts w:ascii="Arial" w:hAnsi="Arial"/>
          <w:b/>
          <w:color w:val="7C3AED"/>
          <w:sz w:val="26"/>
        </w:rPr>
        <w:t>Article 24 — Contestations</w:t>
      </w:r>
    </w:p>
    <w:p>
      <w:pPr>
        <w:spacing w:after="100"/>
        <w:jc w:val="both"/>
      </w:pPr>
      <w:r>
        <w:rPr>
          <w:rFonts w:ascii="Arial" w:hAnsi="Arial"/>
          <w:sz w:val="20"/>
        </w:rPr>
        <w:t>Toutes les contestations qui pourraient s'élever pendant la durée de la société ou lors de sa liquidation, soit entre la société et l'associé unique ou les dirigeants, soit entre les associés eux-mêmes, relativement aux affaires sociales ou à l'interprétation ou l'exécution des présents statuts, sont soumises aux tribunaux compétents du lieu du siège social.</w:t>
      </w:r>
    </w:p>
    <w:p>
      <w:pPr>
        <w:keepNext/>
        <w:spacing w:before="240" w:after="80"/>
      </w:pPr>
      <w:r>
        <w:rPr>
          <w:rFonts w:ascii="Arial" w:hAnsi="Arial"/>
          <w:b/>
          <w:color w:val="7C3AED"/>
          <w:sz w:val="26"/>
        </w:rPr>
        <w:t>TITRE VII — NOMINATION DU PREMIER PRÉSIDENT · FORMALITÉS</w:t>
      </w:r>
    </w:p>
    <w:p>
      <w:pPr>
        <w:keepNext/>
        <w:spacing w:before="240" w:after="80"/>
      </w:pPr>
      <w:r>
        <w:rPr>
          <w:rFonts w:ascii="Arial" w:hAnsi="Arial"/>
          <w:b/>
          <w:color w:val="7C3AED"/>
          <w:sz w:val="26"/>
        </w:rPr>
        <w:t>Article 25 — Nomination du premier Président</w:t>
      </w:r>
    </w:p>
    <w:p>
      <w:pPr>
        <w:spacing w:after="100"/>
      </w:pPr>
      <w:r>
        <w:rPr>
          <w:rFonts w:ascii="Arial" w:hAnsi="Arial"/>
          <w:color w:val="B45309"/>
          <w:sz w:val="20"/>
        </w:rPr>
        <w:t>Est nommée Présidente de la société, pour une durée indéterminée : Madame Myriam AYOUAZ, née le [jour mois année] à [ville], de nationalité [française], demeurant [adresse personnelle], laquelle déclare accepter ces fonctions et n'être frappée d'aucune incompatibilité ni d'aucune interdiction susceptible d'empêcher sa nomination et l'exercice de ses fonctions. Sa rémunération au titre de ce mandat est fixée à [néant] pour le premier exercice ; elle pourra être modifiée par décision de l'associée unique.</w:t>
      </w:r>
    </w:p>
    <w:p>
      <w:pPr>
        <w:keepNext/>
        <w:spacing w:before="240" w:after="80"/>
      </w:pPr>
      <w:r>
        <w:rPr>
          <w:rFonts w:ascii="Arial" w:hAnsi="Arial"/>
          <w:b/>
          <w:color w:val="7C3AED"/>
          <w:sz w:val="26"/>
        </w:rPr>
        <w:t>Article 26 — Actes accomplis pour le compte de la société en formation</w:t>
      </w:r>
    </w:p>
    <w:p>
      <w:pPr>
        <w:spacing w:after="100"/>
        <w:jc w:val="both"/>
      </w:pPr>
      <w:r>
        <w:rPr>
          <w:rFonts w:ascii="Arial" w:hAnsi="Arial"/>
          <w:sz w:val="20"/>
        </w:rPr>
        <w:t>Un état des actes accomplis pour le compte de la société en formation, avec l'indication pour chacun d'eux de l'engagement qui en résulterait pour la société, est annexé aux présents statuts. La signature des statuts emportera reprise de ces engagements par la société, qui seront réputés avoir été souscrits dès l'origine par celle-ci, lorsqu'elle aura été immatriculée au registre du commerce et des sociétés. En outre, la Présidente est expressément habilitée, entre la signature des statuts et l'immatriculation, à prendre les engagements suivants pour le compte de la société : ouverture et fonctionnement du compte bancaire, souscription des assurances, dépôt de marque et réservation de noms de domaine, abonnements d'hébergement et outils informatiques, conclusion du contrat de domiciliation ou de mise à disposition des locaux du siège, dans la limite de [3 000] euros.</w:t>
      </w:r>
    </w:p>
    <w:p>
      <w:pPr>
        <w:keepNext/>
        <w:spacing w:before="240" w:after="80"/>
      </w:pPr>
      <w:r>
        <w:rPr>
          <w:rFonts w:ascii="Arial" w:hAnsi="Arial"/>
          <w:b/>
          <w:color w:val="7C3AED"/>
          <w:sz w:val="26"/>
        </w:rPr>
        <w:t>Article 27 — Pouvoirs pour les formalités — frais</w:t>
      </w:r>
    </w:p>
    <w:p>
      <w:pPr>
        <w:spacing w:after="100"/>
        <w:jc w:val="both"/>
      </w:pPr>
      <w:r>
        <w:rPr>
          <w:rFonts w:ascii="Arial" w:hAnsi="Arial"/>
          <w:sz w:val="20"/>
        </w:rPr>
        <w:t>Tous pouvoirs sont conférés à la Présidente, ainsi qu'à tout porteur d'un original ou d'une copie des présentes, à l'effet d'accomplir toutes les formalités de publicité, de dépôt et d'immatriculation prescrites par la loi, et notamment la déclaration des bénéficiaires effectifs. Les frais, droits et honoraires des présentes et de leurs suites seront pris en charge par la société, portés au compte des frais généraux et amortis avant toute distribution de bénéfices, et au plus tard dans le délai de cinq ans.</w:t>
      </w:r>
    </w:p>
    <w:p>
      <w:pPr>
        <w:spacing w:after="100"/>
      </w:pPr>
      <w:r>
        <w:rPr>
          <w:rFonts w:ascii="Arial" w:hAnsi="Arial"/>
          <w:color w:val="B45309"/>
          <w:sz w:val="20"/>
        </w:rPr>
        <w:t>Fait à [Neuilly-sur-Seine], le [date], en [trois] exemplaires originaux, dont un pour le dépôt au registre du commerce et des sociétés, un pour les archives sociales et un pour l'associée unique.</w:t>
      </w:r>
    </w:p>
    <w:p>
      <w:r>
        <w:rPr>
          <w:rFonts w:ascii="Arial" w:hAnsi="Arial"/>
          <w:b/>
          <w:sz w:val="20"/>
        </w:rPr>
        <w:t>L'associée unique et Présidente — Madame Myriam AYOUAZ</w:t>
        <w:br/>
        <w:br/>
        <w:t>Signature précédée de la mention manuscrite « Bon pour acceptation des fonctions de Présidente » :</w:t>
        <w:br/>
        <w:br/>
        <w:br/>
      </w:r>
    </w:p>
    <w:p>
      <w:r>
        <w:br w:type="page"/>
      </w:r>
    </w:p>
    <w:p>
      <w:pPr>
        <w:keepNext/>
        <w:spacing w:before="240" w:after="80"/>
      </w:pPr>
      <w:r>
        <w:rPr>
          <w:rFonts w:ascii="Arial" w:hAnsi="Arial"/>
          <w:b/>
          <w:color w:val="7C3AED"/>
          <w:sz w:val="26"/>
        </w:rPr>
        <w:t>ANNEXE — État des actes accomplis pour le compte de la société en formation</w:t>
      </w:r>
    </w:p>
    <w:p>
      <w:pPr>
        <w:spacing w:after="100"/>
        <w:jc w:val="both"/>
      </w:pPr>
      <w:r>
        <w:rPr>
          <w:rFonts w:ascii="Arial" w:hAnsi="Arial"/>
          <w:sz w:val="20"/>
        </w:rPr>
        <w:t>Conformément à l'article R210-6 du Code de commerce, l'associée unique déclare avoir accompli, pour le compte de la société en formation, les actes suivants, que la société reprendra de plein droit lors de son immatriculation :</w:t>
      </w:r>
    </w:p>
    <w:tbl>
      <w:tblPr>
        <w:tblStyle w:val="TableGrid"/>
        <w:tblW w:type="auto" w:w="0"/>
        <w:jc w:val="center"/>
        <w:tblLayout w:type="fixed"/>
        <w:tblLook w:firstColumn="1" w:firstRow="1" w:lastColumn="0" w:lastRow="0" w:noHBand="0" w:noVBand="1" w:val="04A0"/>
        <w:tblLayout w:type="fixed"/>
      </w:tblPr>
      <w:tblGrid>
        <w:gridCol w:w="1361"/>
        <w:gridCol w:w="4309"/>
        <w:gridCol w:w="2041"/>
        <w:gridCol w:w="1587"/>
      </w:tblGrid>
      <w:tr>
        <w:tc>
          <w:tcPr>
            <w:tcW w:type="dxa" w:w="1361"/>
            <w:shd w:val="clear" w:color="auto" w:fill="7C3AED"/>
          </w:tcPr>
          <w:p>
            <w:r/>
            <w:r>
              <w:rPr>
                <w:rFonts w:ascii="Arial" w:hAnsi="Arial"/>
                <w:b/>
                <w:color w:val="FFFFFF"/>
                <w:sz w:val="18"/>
              </w:rPr>
              <w:t>Date</w:t>
            </w:r>
          </w:p>
        </w:tc>
        <w:tc>
          <w:tcPr>
            <w:tcW w:type="dxa" w:w="4309"/>
            <w:shd w:val="clear" w:color="auto" w:fill="7C3AED"/>
          </w:tcPr>
          <w:p>
            <w:r/>
            <w:r>
              <w:rPr>
                <w:rFonts w:ascii="Arial" w:hAnsi="Arial"/>
                <w:b/>
                <w:color w:val="FFFFFF"/>
                <w:sz w:val="18"/>
              </w:rPr>
              <w:t>Acte</w:t>
            </w:r>
          </w:p>
        </w:tc>
        <w:tc>
          <w:tcPr>
            <w:tcW w:type="dxa" w:w="2041"/>
            <w:shd w:val="clear" w:color="auto" w:fill="7C3AED"/>
          </w:tcPr>
          <w:p>
            <w:r/>
            <w:r>
              <w:rPr>
                <w:rFonts w:ascii="Arial" w:hAnsi="Arial"/>
                <w:b/>
                <w:color w:val="FFFFFF"/>
                <w:sz w:val="18"/>
              </w:rPr>
              <w:t>Cocontractant</w:t>
            </w:r>
          </w:p>
        </w:tc>
        <w:tc>
          <w:tcPr>
            <w:tcW w:type="dxa" w:w="1587"/>
            <w:shd w:val="clear" w:color="auto" w:fill="7C3AED"/>
          </w:tcPr>
          <w:p>
            <w:r/>
            <w:r>
              <w:rPr>
                <w:rFonts w:ascii="Arial" w:hAnsi="Arial"/>
                <w:b/>
                <w:color w:val="FFFFFF"/>
                <w:sz w:val="18"/>
              </w:rPr>
              <w:t>Montant (€)</w:t>
            </w:r>
          </w:p>
        </w:tc>
      </w:tr>
      <w:tr>
        <w:tc>
          <w:tcPr>
            <w:tcW w:type="dxa" w:w="1361"/>
          </w:tcPr>
          <w:p>
            <w:r/>
            <w:r>
              <w:rPr>
                <w:rFonts w:ascii="Arial" w:hAnsi="Arial"/>
                <w:sz w:val="18"/>
              </w:rPr>
              <w:t>[date]</w:t>
            </w:r>
          </w:p>
        </w:tc>
        <w:tc>
          <w:tcPr>
            <w:tcW w:type="dxa" w:w="4309"/>
          </w:tcPr>
          <w:p>
            <w:r/>
            <w:r>
              <w:rPr>
                <w:rFonts w:ascii="Arial" w:hAnsi="Arial"/>
                <w:sz w:val="18"/>
              </w:rPr>
              <w:t>Réservation du nom de domaine myeasyauto.fr et hébergement</w:t>
            </w:r>
          </w:p>
        </w:tc>
        <w:tc>
          <w:tcPr>
            <w:tcW w:type="dxa" w:w="2041"/>
          </w:tcPr>
          <w:p>
            <w:r/>
            <w:r>
              <w:rPr>
                <w:rFonts w:ascii="Arial" w:hAnsi="Arial"/>
                <w:sz w:val="18"/>
              </w:rPr>
              <w:t>[registrar]</w:t>
            </w:r>
          </w:p>
        </w:tc>
        <w:tc>
          <w:tcPr>
            <w:tcW w:type="dxa" w:w="1587"/>
          </w:tcPr>
          <w:p>
            <w:r/>
            <w:r>
              <w:rPr>
                <w:rFonts w:ascii="Arial" w:hAnsi="Arial"/>
                <w:sz w:val="18"/>
              </w:rPr>
              <w:t>[…]</w:t>
            </w:r>
          </w:p>
        </w:tc>
      </w:tr>
      <w:tr>
        <w:tc>
          <w:tcPr>
            <w:tcW w:type="dxa" w:w="1361"/>
            <w:shd w:val="clear" w:color="auto" w:fill="F6F7FB"/>
          </w:tcPr>
          <w:p>
            <w:r/>
            <w:r>
              <w:rPr>
                <w:rFonts w:ascii="Arial" w:hAnsi="Arial"/>
                <w:sz w:val="18"/>
              </w:rPr>
              <w:t>[date]</w:t>
            </w:r>
          </w:p>
        </w:tc>
        <w:tc>
          <w:tcPr>
            <w:tcW w:type="dxa" w:w="4309"/>
            <w:shd w:val="clear" w:color="auto" w:fill="F6F7FB"/>
          </w:tcPr>
          <w:p>
            <w:r/>
            <w:r>
              <w:rPr>
                <w:rFonts w:ascii="Arial" w:hAnsi="Arial"/>
                <w:sz w:val="18"/>
              </w:rPr>
              <w:t>Dépôt de la marque « My Easy Auto » (INPI)</w:t>
            </w:r>
          </w:p>
        </w:tc>
        <w:tc>
          <w:tcPr>
            <w:tcW w:type="dxa" w:w="2041"/>
            <w:shd w:val="clear" w:color="auto" w:fill="F6F7FB"/>
          </w:tcPr>
          <w:p>
            <w:r/>
            <w:r>
              <w:rPr>
                <w:rFonts w:ascii="Arial" w:hAnsi="Arial"/>
                <w:sz w:val="18"/>
              </w:rPr>
              <w:t>INPI</w:t>
            </w:r>
          </w:p>
        </w:tc>
        <w:tc>
          <w:tcPr>
            <w:tcW w:type="dxa" w:w="1587"/>
            <w:shd w:val="clear" w:color="auto" w:fill="F6F7FB"/>
          </w:tcPr>
          <w:p>
            <w:r/>
            <w:r>
              <w:rPr>
                <w:rFonts w:ascii="Arial" w:hAnsi="Arial"/>
                <w:sz w:val="18"/>
              </w:rPr>
              <w:t>[190]</w:t>
            </w:r>
          </w:p>
        </w:tc>
      </w:tr>
      <w:tr>
        <w:tc>
          <w:tcPr>
            <w:tcW w:type="dxa" w:w="1361"/>
          </w:tcPr>
          <w:p>
            <w:r/>
            <w:r>
              <w:rPr>
                <w:rFonts w:ascii="Arial" w:hAnsi="Arial"/>
                <w:sz w:val="18"/>
              </w:rPr>
              <w:t>[date]</w:t>
            </w:r>
          </w:p>
        </w:tc>
        <w:tc>
          <w:tcPr>
            <w:tcW w:type="dxa" w:w="4309"/>
          </w:tcPr>
          <w:p>
            <w:r/>
            <w:r>
              <w:rPr>
                <w:rFonts w:ascii="Arial" w:hAnsi="Arial"/>
                <w:sz w:val="18"/>
              </w:rPr>
              <w:t>Ouverture du compte de dépôt du capital</w:t>
            </w:r>
          </w:p>
        </w:tc>
        <w:tc>
          <w:tcPr>
            <w:tcW w:type="dxa" w:w="2041"/>
          </w:tcPr>
          <w:p>
            <w:r/>
            <w:r>
              <w:rPr>
                <w:rFonts w:ascii="Arial" w:hAnsi="Arial"/>
                <w:sz w:val="18"/>
              </w:rPr>
              <w:t>[banque]</w:t>
            </w:r>
          </w:p>
        </w:tc>
        <w:tc>
          <w:tcPr>
            <w:tcW w:type="dxa" w:w="1587"/>
          </w:tcPr>
          <w:p>
            <w:r/>
            <w:r>
              <w:rPr>
                <w:rFonts w:ascii="Arial" w:hAnsi="Arial"/>
                <w:sz w:val="18"/>
              </w:rPr>
              <w:t>—</w:t>
            </w:r>
          </w:p>
        </w:tc>
      </w:tr>
      <w:tr>
        <w:tc>
          <w:tcPr>
            <w:tcW w:type="dxa" w:w="1361"/>
            <w:shd w:val="clear" w:color="auto" w:fill="F6F7FB"/>
          </w:tcPr>
          <w:p>
            <w:r/>
            <w:r>
              <w:rPr>
                <w:rFonts w:ascii="Arial" w:hAnsi="Arial"/>
                <w:sz w:val="18"/>
              </w:rPr>
              <w:t>[date]</w:t>
            </w:r>
          </w:p>
        </w:tc>
        <w:tc>
          <w:tcPr>
            <w:tcW w:type="dxa" w:w="4309"/>
            <w:shd w:val="clear" w:color="auto" w:fill="F6F7FB"/>
          </w:tcPr>
          <w:p>
            <w:r/>
            <w:r>
              <w:rPr>
                <w:rFonts w:ascii="Arial" w:hAnsi="Arial"/>
                <w:sz w:val="18"/>
              </w:rPr>
              <w:t>[Contrat de domiciliation / mise à disposition des locaux du siège]</w:t>
            </w:r>
          </w:p>
        </w:tc>
        <w:tc>
          <w:tcPr>
            <w:tcW w:type="dxa" w:w="2041"/>
            <w:shd w:val="clear" w:color="auto" w:fill="F6F7FB"/>
          </w:tcPr>
          <w:p>
            <w:r/>
            <w:r>
              <w:rPr>
                <w:rFonts w:ascii="Arial" w:hAnsi="Arial"/>
                <w:sz w:val="18"/>
              </w:rPr>
              <w:t>[IDEAFORMA / domiciliataire]</w:t>
            </w:r>
          </w:p>
        </w:tc>
        <w:tc>
          <w:tcPr>
            <w:tcW w:type="dxa" w:w="1587"/>
            <w:shd w:val="clear" w:color="auto" w:fill="F6F7FB"/>
          </w:tcPr>
          <w:p>
            <w:r/>
            <w:r>
              <w:rPr>
                <w:rFonts w:ascii="Arial" w:hAnsi="Arial"/>
                <w:sz w:val="18"/>
              </w:rPr>
              <w:t>[…]</w:t>
            </w:r>
          </w:p>
        </w:tc>
      </w:tr>
      <w:tr>
        <w:tc>
          <w:tcPr>
            <w:tcW w:type="dxa" w:w="1361"/>
          </w:tcPr>
          <w:p>
            <w:r/>
            <w:r>
              <w:rPr>
                <w:rFonts w:ascii="Arial" w:hAnsi="Arial"/>
                <w:sz w:val="18"/>
              </w:rPr>
              <w:t>[date]</w:t>
            </w:r>
          </w:p>
        </w:tc>
        <w:tc>
          <w:tcPr>
            <w:tcW w:type="dxa" w:w="4309"/>
          </w:tcPr>
          <w:p>
            <w:r/>
            <w:r>
              <w:rPr>
                <w:rFonts w:ascii="Arial" w:hAnsi="Arial"/>
                <w:sz w:val="18"/>
              </w:rPr>
              <w:t>[Souscription de l'assurance responsabilité civile professionnelle]</w:t>
            </w:r>
          </w:p>
        </w:tc>
        <w:tc>
          <w:tcPr>
            <w:tcW w:type="dxa" w:w="2041"/>
          </w:tcPr>
          <w:p>
            <w:r/>
            <w:r>
              <w:rPr>
                <w:rFonts w:ascii="Arial" w:hAnsi="Arial"/>
                <w:sz w:val="18"/>
              </w:rPr>
              <w:t>[assureur]</w:t>
            </w:r>
          </w:p>
        </w:tc>
        <w:tc>
          <w:tcPr>
            <w:tcW w:type="dxa" w:w="1587"/>
          </w:tcPr>
          <w:p>
            <w:r/>
            <w:r>
              <w:rPr>
                <w:rFonts w:ascii="Arial" w:hAnsi="Arial"/>
                <w:sz w:val="18"/>
              </w:rPr>
              <w:t>[…]</w:t>
            </w:r>
          </w:p>
        </w:tc>
      </w:tr>
    </w:tbl>
    <w:p>
      <w:pPr>
        <w:spacing w:after="40"/>
      </w:pPr>
    </w:p>
    <w:p>
      <w:pPr>
        <w:spacing w:after="100"/>
        <w:jc w:val="both"/>
      </w:pPr>
      <w:r>
        <w:rPr>
          <w:rFonts w:ascii="Arial" w:hAnsi="Arial"/>
          <w:sz w:val="20"/>
        </w:rPr>
        <w:t>Le présent état a été tenu à la disposition de l'associée unique et est annexé aux statuts signés.</w:t>
      </w:r>
    </w:p>
    <w:sectPr w:rsidR="00FC693F" w:rsidRPr="0006063C" w:rsidSect="00034616">
      <w:footerReference w:type="default" r:id="rId9"/>
      <w:pgSz w:w="11906" w:h="16838"/>
      <w:pgMar w:top="1020" w:right="1020" w:bottom="907" w:left="10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
      <w:rPr>
        <w:rFonts w:ascii="Arial" w:hAnsi="Arial"/>
        <w:color w:val="64748B"/>
        <w:sz w:val="15"/>
      </w:rPr>
      <w:t>MY EASY AUTO — SASU en formation — 144 avenue Charles-de-Gaulle, 92200 Neuilly-sur-Seine — Projet de statuts constitutifs, septembre 2026 — à faire relire par un professionnel du droit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88" w:lineRule="auto"/>
    </w:pPr>
    <w:rPr>
      <w:rFonts w:ascii="Arial" w:hAnsi="Arial" w:eastAsia="Arial"/>
      <w:color w:val="1E2233"/>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