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jc w:val="right"/>
      </w:pPr>
      <w:r>
        <w:rPr>
          <w:b/>
          <w:color w:val="0D3B66"/>
          <w:sz w:val="40"/>
          <w:rtl/>
        </w:rPr>
        <w:t xml:space="preserve">الدليل</w:t>
      </w:r>
      <w:r>
        <w:rPr>
          <w:b/>
          <w:color w:val="0D3B66"/>
          <w:sz w:val="40"/>
          <w:rtl/>
        </w:rPr>
        <w:t xml:space="preserve"> </w:t>
      </w:r>
      <w:r>
        <w:rPr>
          <w:b/>
          <w:color w:val="0D3B66"/>
          <w:sz w:val="40"/>
          <w:rtl/>
        </w:rPr>
        <w:t xml:space="preserve">التشغيلي</w:t>
      </w:r>
      <w:r>
        <w:rPr>
          <w:b/>
          <w:color w:val="0D3B66"/>
          <w:sz w:val="40"/>
          <w:rtl/>
        </w:rPr>
        <w:t xml:space="preserve"> </w:t>
      </w:r>
      <w:r>
        <w:rPr>
          <w:b/>
          <w:color w:val="0D3B66"/>
          <w:sz w:val="40"/>
          <w:rtl/>
        </w:rPr>
        <w:t xml:space="preserve">المعياري</w:t>
      </w:r>
      <w:r>
        <w:rPr>
          <w:b/>
          <w:color w:val="0D3B66"/>
          <w:sz w:val="40"/>
          <w:rtl/>
        </w:rPr>
        <w:t xml:space="preserve"> </w:t>
      </w:r>
      <w:r>
        <w:rPr>
          <w:b/>
          <w:color w:val="0D3B66"/>
          <w:sz w:val="40"/>
          <w:rtl/>
        </w:rPr>
        <w:t xml:space="preserve">—</w:t>
      </w:r>
      <w:r>
        <w:rPr>
          <w:b/>
          <w:color w:val="0D3B66"/>
          <w:sz w:val="40"/>
          <w:rtl/>
        </w:rPr>
        <w:t xml:space="preserve"> </w:t>
      </w:r>
      <w:r>
        <w:rPr>
          <w:b/>
          <w:color w:val="0D3B66"/>
          <w:sz w:val="40"/>
          <w:rtl/>
        </w:rPr>
        <w:t xml:space="preserve">ورشة</w:t>
      </w:r>
      <w:r>
        <w:rPr>
          <w:b/>
          <w:color w:val="0D3B66"/>
          <w:sz w:val="40"/>
          <w:rtl/>
        </w:rPr>
        <w:t xml:space="preserve"> </w:t>
      </w:r>
      <w:r>
        <w:rPr>
          <w:b/>
          <w:color w:val="0D3B66"/>
          <w:sz w:val="40"/>
          <w:rtl/>
        </w:rPr>
        <w:t xml:space="preserve">Jannah</w:t>
      </w:r>
      <w:r>
        <w:rPr>
          <w:b/>
          <w:color w:val="0D3B66"/>
          <w:sz w:val="40"/>
          <w:rtl/>
        </w:rPr>
        <w:t xml:space="preserve"> </w:t>
      </w:r>
      <w:r>
        <w:rPr>
          <w:b/>
          <w:color w:val="0D3B66"/>
          <w:sz w:val="40"/>
          <w:rtl/>
        </w:rPr>
        <w:t xml:space="preserve">Light</w:t>
      </w:r>
      <w:r>
        <w:rPr>
          <w:b/>
          <w:color w:val="0D3B66"/>
          <w:sz w:val="40"/>
          <w:rtl/>
        </w:rPr>
        <w:t xml:space="preserve"> </w:t>
      </w:r>
      <w:r>
        <w:rPr>
          <w:b/>
          <w:color w:val="0D3B66"/>
          <w:sz w:val="40"/>
          <w:rtl/>
        </w:rPr>
        <w:t xml:space="preserve">—</w:t>
      </w:r>
      <w:r>
        <w:rPr>
          <w:b/>
          <w:color w:val="0D3B66"/>
          <w:sz w:val="40"/>
          <w:rtl/>
        </w:rPr>
        <w:t xml:space="preserve"> </w:t>
      </w:r>
      <w:r>
        <w:rPr>
          <w:b/>
          <w:color w:val="0D3B66"/>
          <w:sz w:val="40"/>
          <w:rtl/>
        </w:rPr>
        <w:t xml:space="preserve">V.9.4</w:t>
      </w:r>
    </w:p>
    <w:p>
      <w:pPr>
        <w:bidi/>
        <w:jc w:val="right"/>
      </w:pPr>
      <w:r>
        <w:rPr>
          <w:rtl/>
        </w:rPr>
        <w:t xml:space="preserve">جَنَّة لايت — الدليل التشغيلي المعياري V.9.5</w:t>
      </w:r>
    </w:p>
    <w:p>
      <w:pPr>
        <w:bidi/>
        <w:jc w:val="right"/>
      </w:pPr>
      <w:r>
        <w:rPr>
          <w:rtl/>
        </w:rPr>
        <w:t xml:space="preserve">الدليل التشغيلي المعياري – ورشة Jannah Light</w:t>
      </w:r>
    </w:p>
    <w:p>
      <w:pPr>
        <w:bidi/>
        <w:jc w:val="right"/>
      </w:pPr>
      <w:r>
        <w:rPr>
          <w:rtl/>
        </w:rPr>
        <w:t xml:space="preserve">الإصدار V .9.5 — قيد مراجعة المالك (تثبيت مالي نهائي، صياغة قانونية تخطيطية، سجل تعارضات، نماذج قابلة للطباعة)</w:t>
      </w:r>
    </w:p>
    <w:p>
      <w:pPr>
        <w:bidi/>
        <w:jc w:val="right"/>
      </w:pPr>
      <w:r>
        <w:rPr>
          <w:rtl/>
        </w:rPr>
        <w:t xml:space="preserve">تاريخ الإصدار: 23 مايو 2026</w:t>
      </w:r>
    </w:p>
    <w:p>
      <w:pPr>
        <w:bidi/>
        <w:jc w:val="right"/>
      </w:pPr>
      <w:r>
        <w:rPr>
          <w:rtl/>
        </w:rPr>
        <w:t xml:space="preserve">المؤلف: محمد جعيل – المدير التقني والمؤسس</w:t>
      </w:r>
    </w:p>
    <w:p>
      <w:pPr>
        <w:bidi/>
        <w:jc w:val="right"/>
      </w:pPr>
      <w:r>
        <w:rPr>
          <w:rtl/>
        </w:rPr>
        <w:t xml:space="preserve">” نصنع الجودة، لنضيء المستقبل بعقول جزائرية”</w:t>
      </w:r>
    </w:p>
    <w:p>
      <w:pPr>
        <w:bidi/>
        <w:jc w:val="right"/>
      </w:pPr>
      <w:r>
        <w:rPr>
          <w:rtl/>
        </w:rPr>
        <w:t xml:space="preserve">فهرس المحتويات (للتصفح السريع)</w:t>
      </w:r>
    </w:p>
    <w:p>
      <w:pPr>
        <w:bidi/>
        <w:jc w:val="right"/>
      </w:pPr>
      <w:r>
        <w:rPr>
          <w:rtl/>
        </w:rPr>
        <w:t xml:space="preserve">الملاحق العملية (ملفات مستقلة): خطة تهيئة الورشة والبنية التحتية • كتالوج المنتجات وخارطة التوسع • ملحق سلسلة التوريد • ملحق خطة الجودة • ملحق الإطار القانوني • ملحق إدارة النفايات الإلكترونية • ملحق الفريق اللوجستي والنقل • ملحق خطة التسويق • ملحق التحليل التنافسي.</w:t>
      </w:r>
    </w:p>
    <w:tbl>
      <w:tblPr>
        <w:tblStyle w:val="Table"/>
        <w:bidiVisual/>
        <w:tblW w:type="auto" w:w="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E9EDF2"/>
          </w:tcPr>
          <w:p>
            <w:pPr>
              <w:pStyle w:val="Compact"/>
              <w:bidi/>
              <w:jc w:val="right"/>
            </w:pPr>
            <w:r>
              <w:rPr>
                <w:color w:val="0D3B66"/>
                <w:sz w:val="29"/>
                <w:rtl/>
                <w:bCs/>
                <w:b/>
              </w:rPr>
              <w:t xml:space="preserve">الإهداء</w:t>
            </w:r>
          </w:p>
        </w:tc>
      </w:tr>
    </w:tbl>
    <w:p>
      <w:pPr>
        <w:bidi/>
        <w:jc w:val="right"/>
      </w:pPr>
      <w:r>
        <w:rPr>
          <w:rtl/>
        </w:rPr>
        <w:t xml:space="preserve">إلى كل عامل في ورشة «جنة لايت»، إلى كل يد تبني وتضيء، هذا الدليل التشغيلي وُضع ليكون مرجعاً لكم، وليغرس فيكم روح الانتماء والمسؤولية، حتى نصنع معاً الجودة ونضيء المستقبل بعقول جزائرية.</w:t>
      </w:r>
    </w:p>
    <w:tbl>
      <w:tblPr>
        <w:tblStyle w:val="Table"/>
        <w:bidiVisual/>
        <w:tblW w:type="auto" w:w="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E9EDF2"/>
          </w:tcPr>
          <w:p>
            <w:pPr>
              <w:pStyle w:val="Compact"/>
              <w:bidi/>
              <w:jc w:val="right"/>
            </w:pPr>
            <w:r>
              <w:rPr>
                <w:color w:val="0D3B66"/>
                <w:sz w:val="29"/>
                <w:rtl/>
                <w:bCs/>
                <w:b/>
              </w:rPr>
              <w:t xml:space="preserve">مقدمة الدليل التشغيلي الداخلي</w:t>
            </w:r>
          </w:p>
        </w:tc>
      </w:tr>
    </w:tbl>
    <w:p>
      <w:pPr>
        <w:bidi/>
        <w:jc w:val="right"/>
      </w:pPr>
      <w:r>
        <w:rPr>
          <w:rtl/>
        </w:rPr>
        <w:t xml:space="preserve">بسم الله الرحمن الرحيم.</w:t>
      </w:r>
    </w:p>
    <w:p>
      <w:pPr>
        <w:bidi/>
        <w:jc w:val="right"/>
      </w:pPr>
      <w:r>
        <w:rPr>
          <w:rtl/>
        </w:rPr>
        <w:t xml:space="preserve">إن نجاح أي مشروع صناعي لا يقوم على الفكرة وحدها، بل على التنظيم الدقيق، وضبط الإجراءات، والالتزام بمنهجية واضحة وموثقة. وانطلاقاً من هذا المبدأ، تم إعداد هذا الدليل التشغيلي ليكون المرجع الأساسي والمرشد اليومي لجميع العاملين في ورشة «جنة لايت» (Jannah Light).</w:t>
      </w:r>
    </w:p>
    <w:p>
      <w:pPr>
        <w:bidi/>
        <w:jc w:val="right"/>
      </w:pPr>
      <w:r>
        <w:rPr>
          <w:rtl/>
        </w:rPr>
        <w:t xml:space="preserve">ويستند هذا الدليل إلى خبرة ميدانية عملية متراكمة في مجال الكهرباء الصناعية والإلكترونيات، وصيغ في قالب منهجي ليكون:</w:t>
      </w:r>
    </w:p>
    <w:p>
      <w:pPr>
        <w:numPr>
          <w:ilvl w:val="0"/>
          <w:numId w:val="1001"/>
        </w:numPr>
        <w:bidi/>
        <w:jc w:val="right"/>
      </w:pPr>
      <w:r>
        <w:rPr>
          <w:rtl/>
        </w:rPr>
        <w:t xml:space="preserve">مرجعاً عملياً للعمال الجدد والقدامى.</w:t>
      </w:r>
    </w:p>
    <w:p>
      <w:pPr>
        <w:numPr>
          <w:ilvl w:val="0"/>
          <w:numId w:val="1001"/>
        </w:numPr>
        <w:bidi/>
        <w:jc w:val="right"/>
      </w:pPr>
      <w:r>
        <w:rPr>
          <w:rtl/>
        </w:rPr>
        <w:t xml:space="preserve">أداة لمراقبة الجودة وضبط الإنتاج.</w:t>
      </w:r>
    </w:p>
    <w:p>
      <w:pPr>
        <w:numPr>
          <w:ilvl w:val="0"/>
          <w:numId w:val="1001"/>
        </w:numPr>
        <w:bidi/>
        <w:jc w:val="right"/>
      </w:pPr>
      <w:r>
        <w:rPr>
          <w:rtl/>
        </w:rPr>
        <w:t xml:space="preserve">دليلاً لاتخاذ القرارات الإدارية والفنية.</w:t>
      </w:r>
    </w:p>
    <w:p>
      <w:pPr>
        <w:numPr>
          <w:ilvl w:val="0"/>
          <w:numId w:val="1001"/>
        </w:numPr>
        <w:bidi/>
        <w:jc w:val="right"/>
      </w:pPr>
      <w:r>
        <w:rPr>
          <w:rtl/>
        </w:rPr>
        <w:t xml:space="preserve">إطاراً قانونياً وتنظيمياً يحمي حقوق الورشة والعاملين معاً.</w:t>
      </w:r>
    </w:p>
    <w:p>
      <w:pPr>
        <w:pBdr>
          <w:right w:val="single" w:sz="16" w:space="6" w:color="008080"/>
        </w:pBdr>
        <w:bidi/>
        <w:jc w:val="right"/>
      </w:pPr>
      <w:r>
        <w:rPr>
          <w:color w:val="008080"/>
          <w:sz w:val="23"/>
          <w:rtl/>
          <w:bCs/>
          <w:b/>
        </w:rPr>
        <w:t xml:space="preserve">ما يميز هذا الدليل التشغيلي:</w:t>
      </w:r>
    </w:p>
    <w:p>
      <w:pPr>
        <w:numPr>
          <w:ilvl w:val="0"/>
          <w:numId w:val="1002"/>
        </w:numPr>
        <w:bidi/>
        <w:jc w:val="right"/>
      </w:pPr>
      <w:r>
        <w:rPr>
          <w:rtl/>
          <w:bCs/>
          <w:b/>
        </w:rPr>
        <w:t xml:space="preserve">واقعيته:</w:t>
      </w:r>
      <w:r>
        <w:rPr>
          <w:rtl/>
        </w:rPr>
        <w:t xml:space="preserve"> </w:t>
      </w:r>
      <w:r>
        <w:rPr>
          <w:rtl/>
        </w:rPr>
        <w:t xml:space="preserve">يعتمد فقط على ما هو موجود فعلياً في الورشة من آلات ومعدات وقدرات تشغيلية.</w:t>
      </w:r>
    </w:p>
    <w:p>
      <w:pPr>
        <w:numPr>
          <w:ilvl w:val="0"/>
          <w:numId w:val="1002"/>
        </w:numPr>
        <w:bidi/>
        <w:jc w:val="right"/>
      </w:pPr>
      <w:r>
        <w:rPr>
          <w:rtl/>
          <w:bCs/>
          <w:b/>
        </w:rPr>
        <w:t xml:space="preserve">تفصيله:</w:t>
      </w:r>
      <w:r>
        <w:rPr>
          <w:rtl/>
        </w:rPr>
        <w:t xml:space="preserve"> </w:t>
      </w:r>
      <w:r>
        <w:rPr>
          <w:rtl/>
        </w:rPr>
        <w:t xml:space="preserve">يقدم أرقاماً وإجراءات دقيقة، ولا يترك مجالاً للاجتهاد الشخصي.</w:t>
      </w:r>
    </w:p>
    <w:p>
      <w:pPr>
        <w:numPr>
          <w:ilvl w:val="0"/>
          <w:numId w:val="1002"/>
        </w:numPr>
        <w:bidi/>
        <w:jc w:val="right"/>
      </w:pPr>
      <w:r>
        <w:rPr>
          <w:rtl/>
          <w:bCs/>
          <w:b/>
        </w:rPr>
        <w:t xml:space="preserve">مرونته:</w:t>
      </w:r>
      <w:r>
        <w:rPr>
          <w:rtl/>
        </w:rPr>
        <w:t xml:space="preserve"> </w:t>
      </w:r>
      <w:r>
        <w:rPr>
          <w:rtl/>
        </w:rPr>
        <w:t xml:space="preserve">صُمم ليكون وثيقة حية، تُراجع وتُحدَّث سنوياً وفق الخبرات الجديدة وتغيرات السوق.</w:t>
      </w:r>
    </w:p>
    <w:p>
      <w:pPr>
        <w:numPr>
          <w:ilvl w:val="0"/>
          <w:numId w:val="1002"/>
        </w:numPr>
        <w:bidi/>
        <w:jc w:val="right"/>
      </w:pPr>
      <w:r>
        <w:rPr>
          <w:rtl/>
          <w:bCs/>
          <w:b/>
        </w:rPr>
        <w:t xml:space="preserve">شموليته:</w:t>
      </w:r>
      <w:r>
        <w:rPr>
          <w:rtl/>
        </w:rPr>
        <w:t xml:space="preserve"> </w:t>
      </w:r>
      <w:r>
        <w:rPr>
          <w:rtl/>
        </w:rPr>
        <w:t xml:space="preserve">يربط بين الجوانب التقنية والمالية والبشرية في منظومة واحدة متكاملة.</w:t>
      </w:r>
    </w:p>
    <w:p>
      <w:pPr>
        <w:numPr>
          <w:ilvl w:val="0"/>
          <w:numId w:val="1002"/>
        </w:numPr>
        <w:bidi/>
        <w:jc w:val="right"/>
      </w:pPr>
      <w:r>
        <w:rPr>
          <w:rtl/>
          <w:bCs/>
          <w:b/>
        </w:rPr>
        <w:t xml:space="preserve">موثوقيته:</w:t>
      </w:r>
      <w:r>
        <w:rPr>
          <w:rtl/>
        </w:rPr>
        <w:t xml:space="preserve"> </w:t>
      </w:r>
      <w:r>
        <w:rPr>
          <w:rtl/>
        </w:rPr>
        <w:t xml:space="preserve">الرؤية المعيارية للمنتج: يستهدف مشروع Jannah Light في مرحلته التشغيلية الأولى تحقيق المطابقة الكاملة مع المواصفات القياسية العالمية. حيث تم بناء المخطط الهندسي ليتوافق مع معايير ISO 9001 و IEC 62471 واشتراطات تتبع كفاءة رقاقات الـ LED وفق LM-80، لضمان تقديم منتج جزائري بمواصفات قابلة للتصدير والمنافسة فور الانطلاق الميداني.</w:t>
      </w:r>
    </w:p>
    <w:p>
      <w:pPr>
        <w:numPr>
          <w:ilvl w:val="0"/>
          <w:numId w:val="1002"/>
        </w:numPr>
        <w:pBdr>
          <w:right w:val="single" w:sz="16" w:space="6" w:color="008080"/>
        </w:pBdr>
        <w:bidi/>
        <w:jc w:val="right"/>
      </w:pPr>
      <w:r>
        <w:rPr>
          <w:color w:val="008080"/>
          <w:sz w:val="23"/>
          <w:rtl/>
          <w:bCs/>
          <w:b/>
        </w:rPr>
        <w:t xml:space="preserve">الغاية الاقتصادية:</w:t>
      </w:r>
    </w:p>
    <w:p>
      <w:pPr>
        <w:bidi/>
        <w:jc w:val="right"/>
      </w:pPr>
      <w:r>
        <w:rPr>
          <w:rtl/>
        </w:rPr>
        <w:t xml:space="preserve">إن هذا الدليل ليس غاية في حد ذاته، بل وسيلة لتحقيق 3 أهداف وطنية: أولاً، تخفيض فاتورة استيراد المصابيح. ثانياً، خلق مناصب شغل دائمة للشباب الجزائري. ثالثاً، بناء علامة</w:t>
      </w:r>
      <w:r>
        <w:rPr>
          <w:rtl/>
        </w:rPr>
        <w:t xml:space="preserve"> </w:t>
      </w:r>
      <w:r>
        <w:rPr>
          <w:rtl/>
        </w:rPr>
        <w:t xml:space="preserve">“</w:t>
      </w:r>
      <w:r>
        <w:rPr>
          <w:rtl/>
        </w:rPr>
        <w:t xml:space="preserve">Jannah Light</w:t>
      </w:r>
      <w:r>
        <w:rPr>
          <w:rtl/>
        </w:rPr>
        <w:t xml:space="preserve">”</w:t>
      </w:r>
      <w:r>
        <w:rPr>
          <w:rtl/>
        </w:rPr>
        <w:t xml:space="preserve"> </w:t>
      </w:r>
      <w:r>
        <w:rPr>
          <w:rtl/>
        </w:rPr>
        <w:t xml:space="preserve">كبديل وطني عالي الجودة.</w:t>
      </w:r>
    </w:p>
    <w:p>
      <w:pPr>
        <w:pBdr>
          <w:right w:val="single" w:sz="16" w:space="6" w:color="008080"/>
        </w:pBdr>
        <w:bidi/>
        <w:jc w:val="right"/>
      </w:pPr>
      <w:r>
        <w:rPr>
          <w:color w:val="008080"/>
          <w:sz w:val="23"/>
          <w:rtl/>
          <w:bCs/>
          <w:b/>
        </w:rPr>
        <w:t xml:space="preserve">تمهيد الدليل التشغيلي:</w:t>
      </w:r>
    </w:p>
    <w:p>
      <w:pPr>
        <w:bidi/>
        <w:jc w:val="right"/>
      </w:pPr>
      <w:r>
        <w:rPr>
          <w:rtl/>
        </w:rPr>
        <w:t xml:space="preserve">هذا الدليل هو المرجع اليومي الإلزامي لجميع عمال ومشرفي ورشة «جنة لايت»، ويعتبر جزءاً لا يتجزأ من النظام الداخلي للمؤسسة. الاطلاع عليه والتوقيع على الالتزام به شرط أساسي للعمل، ومخالفة بنوده تعتبر إخلالاً بالواجبات المهنية.</w:t>
      </w:r>
    </w:p>
    <w:p>
      <w:pPr>
        <w:bidi/>
        <w:jc w:val="right"/>
      </w:pPr>
      <w:r>
        <w:rPr>
          <w:rtl/>
        </w:rPr>
        <w:t xml:space="preserve">القسم الأول (السنة الأولى): تفصيل كامل بالأرقام والتواريخ – العمود الفقري لعمليات الورشة.</w:t>
      </w:r>
    </w:p>
    <w:p>
      <w:pPr>
        <w:bidi/>
        <w:jc w:val="right"/>
      </w:pPr>
      <w:r>
        <w:rPr>
          <w:rtl/>
        </w:rPr>
        <w:t xml:space="preserve">القسم الثاني (رؤية 3-5 سنوات): اتجاهات استراتيجية عامة بدون أرقام ملزمة في هذه المرحلة.</w:t>
      </w:r>
    </w:p>
    <w:p>
      <w:pPr>
        <w:pBdr>
          <w:right w:val="single" w:sz="16" w:space="6" w:color="008080"/>
        </w:pBdr>
        <w:bidi/>
        <w:jc w:val="right"/>
      </w:pPr>
      <w:r>
        <w:rPr>
          <w:color w:val="008080"/>
          <w:sz w:val="23"/>
          <w:rtl/>
          <w:bCs/>
          <w:b/>
        </w:rPr>
        <w:t xml:space="preserve">يشمل هذا الدليل:</w:t>
      </w:r>
    </w:p>
    <w:p>
      <w:pPr>
        <w:numPr>
          <w:ilvl w:val="0"/>
          <w:numId w:val="1003"/>
        </w:numPr>
        <w:bidi/>
        <w:jc w:val="right"/>
      </w:pPr>
      <w:r>
        <w:rPr>
          <w:rtl/>
        </w:rPr>
        <w:t xml:space="preserve">جميع الآلات والبطاقات الفنية.</w:t>
      </w:r>
    </w:p>
    <w:p>
      <w:pPr>
        <w:numPr>
          <w:ilvl w:val="0"/>
          <w:numId w:val="1003"/>
        </w:numPr>
        <w:bidi/>
        <w:jc w:val="right"/>
      </w:pPr>
      <w:r>
        <w:rPr>
          <w:rtl/>
        </w:rPr>
        <w:t xml:space="preserve">بروتوكولات فحص المواد عند الاستلام (مراقبة جودة المواد والقطع الواردة (Contrôle Qualité Entrant)).</w:t>
      </w:r>
    </w:p>
    <w:p>
      <w:pPr>
        <w:numPr>
          <w:ilvl w:val="0"/>
          <w:numId w:val="1003"/>
        </w:numPr>
        <w:bidi/>
        <w:jc w:val="right"/>
      </w:pPr>
      <w:r>
        <w:rPr>
          <w:rtl/>
        </w:rPr>
        <w:t xml:space="preserve">اختبارات الجودة المتقدمة.</w:t>
      </w:r>
    </w:p>
    <w:p>
      <w:pPr>
        <w:numPr>
          <w:ilvl w:val="0"/>
          <w:numId w:val="1003"/>
        </w:numPr>
        <w:bidi/>
        <w:jc w:val="right"/>
      </w:pPr>
      <w:r>
        <w:rPr>
          <w:rtl/>
        </w:rPr>
        <w:t xml:space="preserve">التفاصيل المالية الميدانية.</w:t>
      </w:r>
    </w:p>
    <w:p>
      <w:pPr>
        <w:numPr>
          <w:ilvl w:val="0"/>
          <w:numId w:val="1003"/>
        </w:numPr>
        <w:bidi/>
        <w:jc w:val="right"/>
      </w:pPr>
      <w:r>
        <w:rPr>
          <w:rtl/>
        </w:rPr>
        <w:t xml:space="preserve">مواصفات بيئة العمل.</w:t>
      </w:r>
    </w:p>
    <w:p>
      <w:pPr>
        <w:numPr>
          <w:ilvl w:val="0"/>
          <w:numId w:val="1003"/>
        </w:numPr>
        <w:bidi/>
        <w:jc w:val="right"/>
      </w:pPr>
      <w:r>
        <w:rPr>
          <w:rtl/>
        </w:rPr>
        <w:t xml:space="preserve">سجل الدروس المستفادة.</w:t>
      </w:r>
    </w:p>
    <w:tbl>
      <w:tblPr>
        <w:tblStyle w:val="Table"/>
        <w:bidiVisual/>
        <w:tblW w:type="auto" w:w="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E9EDF2"/>
          </w:tcPr>
          <w:p>
            <w:pPr>
              <w:pStyle w:val="Compact"/>
              <w:bidi/>
              <w:jc w:val="right"/>
            </w:pPr>
            <w:r>
              <w:rPr>
                <w:color w:val="0D3B66"/>
                <w:sz w:val="29"/>
                <w:rtl/>
                <w:bCs/>
                <w:b/>
              </w:rPr>
              <w:t xml:space="preserve">القسم الأول: السنة الأولى – التفصيل الكامل</w:t>
            </w:r>
          </w:p>
        </w:tc>
      </w:tr>
    </w:tbl>
    <w:p>
      <w:pPr>
        <w:bidi/>
        <w:jc w:val="right"/>
      </w:pPr>
    </w:p>
    <w:tbl>
      <w:tblPr>
        <w:tblStyle w:val="Table"/>
        <w:bidiVisual/>
        <w:tblW w:type="auto" w:w="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E9EDF2"/>
          </w:tcPr>
          <w:p>
            <w:pPr>
              <w:pStyle w:val="Compact"/>
              <w:bidi/>
              <w:jc w:val="right"/>
            </w:pPr>
            <w:r>
              <w:rPr>
                <w:color w:val="0D3B66"/>
                <w:sz w:val="29"/>
                <w:rtl/>
                <w:bCs/>
                <w:b/>
              </w:rPr>
              <w:t xml:space="preserve">الباب الأول: التجهيزات التقنية والبنية التحتية للورشة</w:t>
            </w:r>
          </w:p>
        </w:tc>
      </w:tr>
    </w:tbl>
    <w:p>
      <w:pPr>
        <w:pBdr>
          <w:right w:val="single" w:sz="24" w:space="6" w:color="008080"/>
        </w:pBdr>
        <w:bidi/>
        <w:jc w:val="right"/>
      </w:pPr>
      <w:r>
        <w:rPr>
          <w:b/>
          <w:color w:val="008080"/>
          <w:sz w:val="25"/>
          <w:rtl/>
        </w:rPr>
        <w:t xml:space="preserve">1.1 قائمة الآلات وخطوط الإنتاج الرئيسية</w:t>
      </w:r>
    </w:p>
    <w:p>
      <w:pPr>
        <w:pBdr>
          <w:right w:val="single" w:sz="16" w:space="6" w:color="008080"/>
        </w:pBdr>
        <w:bidi/>
        <w:jc w:val="right"/>
      </w:pPr>
      <w:r>
        <w:rPr>
          <w:color w:val="008080"/>
          <w:sz w:val="23"/>
          <w:rtl/>
          <w:bCs/>
          <w:b/>
        </w:rPr>
        <w:t xml:space="preserve">(أ) ماكينة الكبس والبرشمة (LED Bulb Riveting &amp; Pressing Machine)</w:t>
      </w:r>
    </w:p>
    <w:p>
      <w:pPr>
        <w:bidi/>
        <w:jc w:val="right"/>
      </w:pPr>
      <w:r>
        <w:rPr>
          <w:rtl/>
          <w:bCs/>
          <w:b/>
        </w:rPr>
        <w:t xml:space="preserve">الوظيفة:</w:t>
      </w:r>
      <w:r>
        <w:rPr>
          <w:rtl/>
        </w:rPr>
        <w:t xml:space="preserve"> </w:t>
      </w:r>
      <w:r>
        <w:rPr>
          <w:rtl/>
        </w:rPr>
        <w:t xml:space="preserve">الربط الميكانيكي بين القاعدة المعدنية (E27/B22) وهيكل المصباح البلاستيكي.</w:t>
      </w:r>
    </w:p>
    <w:p>
      <w:pPr>
        <w:bidi/>
        <w:jc w:val="right"/>
      </w:pPr>
      <w:r>
        <w:rPr>
          <w:rtl/>
          <w:bCs/>
          <w:b/>
        </w:rPr>
        <w:t xml:space="preserve">القدرة الإنتاجية:</w:t>
      </w:r>
      <w:r>
        <w:rPr>
          <w:rtl/>
        </w:rPr>
        <w:t xml:space="preserve"> </w:t>
      </w:r>
      <w:r>
        <w:rPr>
          <w:rtl/>
        </w:rPr>
        <w:t xml:space="preserve">100–120 وحدة/ساعة.</w:t>
      </w:r>
    </w:p>
    <w:p>
      <w:pPr>
        <w:bidi/>
        <w:jc w:val="right"/>
      </w:pPr>
      <w:r>
        <w:rPr>
          <w:rtl/>
          <w:bCs/>
          <w:b/>
        </w:rPr>
        <w:t xml:space="preserve">المعايير التقنية:</w:t>
      </w:r>
      <w:r>
        <w:rPr>
          <w:rtl/>
        </w:rPr>
        <w:t xml:space="preserve"> </w:t>
      </w:r>
      <w:r>
        <w:rPr>
          <w:rtl/>
        </w:rPr>
        <w:t xml:space="preserve">ضبط الأسطوانة الهوائية لتحقيق عمق تداخل لا يقل عن 0.8 ملم، مع ضمان صمود القاعدة أمام عزم دوران 3 نيوتن متر (IEC 60968).</w:t>
      </w:r>
    </w:p>
    <w:p>
      <w:pPr>
        <w:bidi/>
        <w:jc w:val="right"/>
      </w:pPr>
      <w:r>
        <w:rPr>
          <w:rtl/>
          <w:bCs/>
          <w:b/>
        </w:rPr>
        <w:t xml:space="preserve">واجهة التحكم:</w:t>
      </w:r>
      <w:r>
        <w:rPr>
          <w:rtl/>
        </w:rPr>
        <w:t xml:space="preserve"> </w:t>
      </w:r>
      <w:r>
        <w:rPr>
          <w:rtl/>
        </w:rPr>
        <w:t xml:space="preserve">نظام نظام التحكم الرقمي المبرمج (Automate Programmable Industriel) مع شاشة لمس لتقليل الأخطاء اليدوية وضبط القوة بدقة (تكلفة ترقية: 50,000 دج – مورد: Spectra Dz).</w:t>
      </w:r>
    </w:p>
    <w:p>
      <w:pPr>
        <w:bidi/>
        <w:jc w:val="right"/>
      </w:pPr>
      <w:r>
        <w:rPr>
          <w:rtl/>
          <w:bCs/>
          <w:b/>
        </w:rPr>
        <w:t xml:space="preserve">الميزة الميدانية:</w:t>
      </w:r>
      <w:r>
        <w:rPr>
          <w:rtl/>
        </w:rPr>
        <w:t xml:space="preserve"> </w:t>
      </w:r>
      <w:r>
        <w:rPr>
          <w:rtl/>
        </w:rPr>
        <w:t xml:space="preserve">نتوءات برشام جانبية تمنع دوران القاعدة أو سقوطها – نسبة ثبات 99.9%.</w:t>
      </w:r>
    </w:p>
    <w:p>
      <w:pPr>
        <w:bidi/>
        <w:jc w:val="right"/>
      </w:pPr>
      <w:r>
        <w:rPr>
          <w:rtl/>
          <w:bCs/>
          <w:b/>
        </w:rPr>
        <w:t xml:space="preserve">التكامل الرقمي:</w:t>
      </w:r>
      <w:r>
        <w:rPr>
          <w:rtl/>
        </w:rPr>
        <w:t xml:space="preserve"> </w:t>
      </w:r>
      <w:r>
        <w:rPr>
          <w:rtl/>
        </w:rPr>
        <w:t xml:space="preserve">إمكانية ربط الجهاز بنظام نظام تخطيط موارد المؤسسة (Système de Gestion Intégrée) لإنتاج تقارير إحصائية يومية وتتبع الأعطال. كل آلة مزودة بـ QR Code مخصص يفتح سجل الصيانة على Google Sheet.</w:t>
      </w:r>
    </w:p>
    <w:p>
      <w:pPr>
        <w:bidi/>
        <w:jc w:val="right"/>
      </w:pPr>
      <w:r>
        <w:rPr>
          <w:rtl/>
        </w:rPr>
        <w:t xml:space="preserve">التكلفة التقديرية (2026): 337,500 دج (+50,000 دج تكلفة ترقية = 387,500 دج إجمالي).</w:t>
      </w:r>
    </w:p>
    <w:p>
      <w:pPr>
        <w:bidi/>
        <w:jc w:val="right"/>
      </w:pPr>
      <w:r>
        <w:rPr>
          <w:rtl/>
        </w:rPr>
        <w:t xml:space="preserve">✦ السر التقني: نتوءات جانبية = 99.9% ثبات – يُطبَّق العزم بشكل تدريجي وليس مفاجئاً لتفادي إتلاف القاعدة.</w:t>
      </w:r>
    </w:p>
    <w:p>
      <w:pPr>
        <w:bidi/>
        <w:jc w:val="right"/>
      </w:pPr>
      <w:r>
        <w:rPr>
          <w:rtl/>
          <w:bCs/>
          <w:b/>
        </w:rPr>
        <w:t xml:space="preserve">قطع الغيار الأساسية</w:t>
      </w:r>
      <w:r>
        <w:rPr>
          <w:rtl/>
        </w:rPr>
        <w:t xml:space="preserve"> </w:t>
      </w:r>
      <w:r>
        <w:rPr>
          <w:rtl/>
        </w:rPr>
        <w:t xml:space="preserve">(مدرجة في ميزانية قطع الغيار الشاملة): رؤوس كبس (Punching Heads) وقوالب متغيرة، حلقات إحكام (O-Rings) للأسطوانة الهوائية، زيوت تشحيم ميكانيكية متوافقة.</w:t>
      </w:r>
    </w:p>
    <w:p>
      <w:pPr>
        <w:bidi/>
        <w:jc w:val="right"/>
      </w:pPr>
      <w:r>
        <w:rPr>
          <w:rtl/>
        </w:rPr>
        <w:t xml:space="preserve">جدول الصيانة – ماكينة الكبس:</w:t>
      </w:r>
    </w:p>
    <w:tbl>
      <w:tblPr>
        <w:tblStyle w:val="Table"/>
        <w:bidiVisual/>
        <w:tblW w:type="auto" w:w="0"/>
        <w:tblLook w:firstRow="1" w:lastRow="0" w:firstColumn="0" w:lastColumn="0" w:noHBand="0" w:noVBand="0" w:val="0020"/>
        <w:jc w:val="right"/>
      </w:tblPr>
      <w:tblGrid>
        <w:gridCol w:w="2640"/>
        <w:gridCol w:w="2640"/>
        <w:gridCol w:w="264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الإجراء التقني</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الوتيرة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التكلفة (دج)</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فحص سلامة حلقة O-Ring</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أسبوعياً</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500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تشحيم المكبس الهوائي (زيت هيدروليكي خفيف)</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كل 6 أشهر</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2,000</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فحص ضغط الهواء (4-6 بار)</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يومياً</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معايرة منظم الضغط</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شهرياً</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1,000</w:t>
            </w:r>
          </w:p>
        </w:tc>
      </w:tr>
    </w:tbl>
    <w:p>
      <w:pPr>
        <w:pBdr>
          <w:right w:val="single" w:sz="16" w:space="6" w:color="008080"/>
        </w:pBdr>
        <w:bidi/>
        <w:jc w:val="right"/>
      </w:pPr>
      <w:r>
        <w:rPr>
          <w:color w:val="008080"/>
          <w:sz w:val="23"/>
          <w:rtl/>
          <w:bCs/>
          <w:b/>
        </w:rPr>
        <w:t xml:space="preserve">(ب) اللحام الرقمي – «فرن الذهب» (Solder Pot SB PTC 500-D)</w:t>
      </w:r>
    </w:p>
    <w:p>
      <w:pPr>
        <w:bidi/>
        <w:jc w:val="right"/>
      </w:pPr>
      <w:r>
        <w:rPr>
          <w:rtl/>
          <w:bCs/>
          <w:b/>
        </w:rPr>
        <w:t xml:space="preserve">الوظيفة:</w:t>
      </w:r>
      <w:r>
        <w:rPr>
          <w:rtl/>
        </w:rPr>
        <w:t xml:space="preserve"> </w:t>
      </w:r>
      <w:r>
        <w:rPr>
          <w:rtl/>
        </w:rPr>
        <w:t xml:space="preserve">لحام نقاط التوصيل والأسلاك بالـ PCB عن طريق التغطيس السريع (Dip Soldering).</w:t>
      </w:r>
    </w:p>
    <w:p>
      <w:pPr>
        <w:pBdr>
          <w:right w:val="single" w:sz="16" w:space="6" w:color="008080"/>
        </w:pBdr>
        <w:bidi/>
        <w:jc w:val="right"/>
      </w:pPr>
      <w:r>
        <w:rPr>
          <w:color w:val="008080"/>
          <w:sz w:val="23"/>
          <w:rtl/>
          <w:bCs/>
          <w:b/>
        </w:rPr>
        <w:t xml:space="preserve">بروتوكول التشغيل المفصل:</w:t>
      </w:r>
    </w:p>
    <w:p>
      <w:pPr>
        <w:numPr>
          <w:ilvl w:val="0"/>
          <w:numId w:val="1004"/>
        </w:numPr>
        <w:bidi/>
        <w:jc w:val="right"/>
      </w:pPr>
      <w:r>
        <w:rPr>
          <w:rtl/>
        </w:rPr>
        <w:t xml:space="preserve">قشط الأكسيد (Dross Skimming): إجراء إلزامي قبل كل عملية غمر بملعقة معدنية خاصة لإزالة طبقة الأكسدة.</w:t>
      </w:r>
    </w:p>
    <w:p>
      <w:pPr>
        <w:numPr>
          <w:ilvl w:val="0"/>
          <w:numId w:val="1004"/>
        </w:numPr>
        <w:bidi/>
        <w:jc w:val="right"/>
      </w:pPr>
      <w:r>
        <w:rPr>
          <w:rtl/>
        </w:rPr>
        <w:t xml:space="preserve">التسخين الأولي (Pre-heating): وضع البوردة فوق سطح الحوض 3-5 ثوانٍ لتقليل الصدمة الحرارية على مكونات LED.</w:t>
      </w:r>
    </w:p>
    <w:p>
      <w:pPr>
        <w:numPr>
          <w:ilvl w:val="0"/>
          <w:numId w:val="1004"/>
        </w:numPr>
        <w:bidi/>
        <w:jc w:val="right"/>
      </w:pPr>
      <w:r>
        <w:rPr>
          <w:rtl/>
        </w:rPr>
        <w:t xml:space="preserve">درجة الحرارة المثلى للقصدير التقليدي Sn63Pb37: 240-260°C، وللقصدير الخالي من الرصاص SAC305: 260-280°C.</w:t>
      </w:r>
    </w:p>
    <w:p>
      <w:pPr>
        <w:numPr>
          <w:ilvl w:val="0"/>
          <w:numId w:val="1004"/>
        </w:numPr>
        <w:bidi/>
        <w:jc w:val="right"/>
      </w:pPr>
      <w:r>
        <w:rPr>
          <w:rtl/>
        </w:rPr>
        <w:t xml:space="preserve">زمن الغمر الذهبي: 2-4 ثوانٍ فقط لمنع تلف المسارات النحاسية أو انصهار العوازل.</w:t>
      </w:r>
    </w:p>
    <w:p>
      <w:pPr>
        <w:bidi/>
        <w:jc w:val="right"/>
      </w:pPr>
      <w:r>
        <w:rPr>
          <w:rtl/>
          <w:bCs/>
          <w:b/>
        </w:rPr>
        <w:t xml:space="preserve">المواصفات الفنية التفصيلية:</w:t>
      </w:r>
      <w:r>
        <w:rPr>
          <w:rtl/>
        </w:rPr>
        <w:t xml:space="preserve"> </w:t>
      </w:r>
      <w:r>
        <w:rPr>
          <w:rtl/>
        </w:rPr>
        <w:t xml:space="preserve">سعة حوض القصدير 4.5 كغ، قدرة التسخين 700-750 واط، مدى درجة الحرارة حتى 450°C مع دقة تحكم رقمي ±5°C، مادة الحوض فولاذ مقاوم للصدأ SS304.</w:t>
      </w:r>
    </w:p>
    <w:p>
      <w:pPr>
        <w:bidi/>
        <w:jc w:val="right"/>
      </w:pPr>
      <w:r>
        <w:rPr>
          <w:rtl/>
        </w:rPr>
        <w:t xml:space="preserve">التكلفة التقديرية (2026): 54,000 دج. التأريض: تأريض كامل للهيكل (Earthing) – إلزامي.</w:t>
      </w:r>
    </w:p>
    <w:p>
      <w:pPr>
        <w:bidi/>
        <w:jc w:val="right"/>
      </w:pPr>
      <w:r>
        <w:rPr>
          <w:rtl/>
        </w:rPr>
        <w:t xml:space="preserve">✦ سبب تقني (Popcorn Effect): الرطوبة داخل الـ LED تتبخر فجأة عند دخول فرن اللحام (230-250°C)، مسببةً انفجاراً مجهرياً يكسر التوصيلات الداخلية. المكون قد يعمل في البداية ثم يفشل بعد أيام.</w:t>
      </w:r>
    </w:p>
    <w:tbl>
      <w:tblPr>
        <w:tblStyle w:val="Table"/>
        <w:bidiVisual/>
        <w:tblW w:type="pct" w:w="500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FFE5E5"/>
          </w:tcPr>
          <w:p>
            <w:pPr>
              <w:pStyle w:val="Compact"/>
              <w:pBdr>
                <w:top w:val="single" w:sz="16" w:space="4" w:color="D90429"/>
                <w:left w:val="single" w:sz="16" w:space="4" w:color="D90429"/>
                <w:bottom w:val="single" w:sz="16" w:space="4" w:color="D90429"/>
                <w:right w:val="single" w:sz="16" w:space="4" w:color="D90429"/>
              </w:pBdr>
              <w:bidi/>
              <w:jc w:val="right"/>
            </w:pPr>
            <w:r>
              <w:rPr>
                <w:b/>
                <w:color w:val="8A0216"/>
                <w:sz w:val="22"/>
                <w:rtl/>
              </w:rPr>
              <w:t xml:space="preserve">⚠ إلزامية: ارتداء القفازات الحرارية، النظارات الواقية، والمئزر الجلدي عند التشغيل.</w:t>
            </w:r>
          </w:p>
        </w:tc>
      </w:tr>
    </w:tbl>
    <w:p>
      <w:pPr>
        <w:bidi/>
        <w:jc w:val="right"/>
      </w:pPr>
      <w:r>
        <w:rPr>
          <w:rtl/>
          <w:bCs/>
          <w:b/>
        </w:rPr>
        <w:t xml:space="preserve">قطع الغيار الأساسية:</w:t>
      </w:r>
      <w:r>
        <w:rPr>
          <w:rtl/>
        </w:rPr>
        <w:t xml:space="preserve"> </w:t>
      </w:r>
      <w:r>
        <w:rPr>
          <w:rtl/>
        </w:rPr>
        <w:t xml:space="preserve">عناصر تسخين إضافية (Heating Elements)، ملاعق قشط أكسيد إضافية (Skimming Spatulas)، فوهات شفط الأبخرة.</w:t>
      </w:r>
    </w:p>
    <w:p>
      <w:pPr>
        <w:bidi/>
        <w:jc w:val="right"/>
      </w:pPr>
      <w:r>
        <w:rPr>
          <w:rtl/>
        </w:rPr>
        <w:t xml:space="preserve">جدول الصيانة – حوض اللحام:</w:t>
      </w:r>
    </w:p>
    <w:tbl>
      <w:tblPr>
        <w:tblStyle w:val="Table"/>
        <w:bidiVisual/>
        <w:tblW w:type="pct" w:w="5000"/>
        <w:tblLook w:firstRow="1" w:lastRow="0" w:firstColumn="0" w:lastColumn="0" w:noHBand="0" w:noVBand="0" w:val="0020"/>
        <w:jc w:val="right"/>
      </w:tblPr>
      <w:tblGrid>
        <w:gridCol w:w="2640"/>
        <w:gridCol w:w="2640"/>
        <w:gridCol w:w="264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الإجراء التقني</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الوتيرة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التكلفة (دج)</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تنظيف الحوض من بقايا القصدير وإزالة الشوائب</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أسبوعياً</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1,000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قشط الأكسيد وتنظيف سطح حوض القصدير (Écrémage des Scories)</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أسبوعياً</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1,000</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معايرة حساس الحرارة والتحقق من دقة الاستجابة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شهرياً</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2,000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فحص نظام سحب الأبخرة والفلتر الواقي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شهرياً</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1,500</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فحص التأريض الكهربائي (Vérification de la Mise à la Terre)</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شهرياً</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500</w:t>
            </w:r>
          </w:p>
        </w:tc>
      </w:tr>
      <w:tr>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إجمالي تكاليف الصيانة الدورية</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شهرياً</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6,000 دج</w:t>
            </w:r>
          </w:p>
        </w:tc>
      </w:tr>
    </w:tbl>
    <w:p>
      <w:pPr>
        <w:pBdr>
          <w:right w:val="single" w:sz="16" w:space="6" w:color="008080"/>
        </w:pBdr>
        <w:bidi/>
        <w:jc w:val="right"/>
      </w:pPr>
      <w:r>
        <w:rPr>
          <w:color w:val="008080"/>
          <w:sz w:val="23"/>
          <w:rtl/>
          <w:bCs/>
          <w:b/>
        </w:rPr>
        <w:t xml:space="preserve">(ت) آلة الكبس بالهواء المضغوط (Pneumatic Press Machine)</w:t>
      </w:r>
    </w:p>
    <w:p>
      <w:pPr>
        <w:bidi/>
        <w:jc w:val="right"/>
      </w:pPr>
      <w:r>
        <w:rPr>
          <w:rtl/>
          <w:bCs/>
          <w:b/>
        </w:rPr>
        <w:t xml:space="preserve">الوظيفة:</w:t>
      </w:r>
      <w:r>
        <w:rPr>
          <w:rtl/>
        </w:rPr>
        <w:t xml:space="preserve"> </w:t>
      </w:r>
      <w:r>
        <w:rPr>
          <w:rtl/>
        </w:rPr>
        <w:t xml:space="preserve">تُستخدم للضغط وتجميع أجزاء المصباح (تثبيت القاعدة والمكونات المعدنية). تعمل بالهواء المضغوط، مما يضمن دقة عالية وسرعة في الإنتاج.</w:t>
      </w:r>
    </w:p>
    <w:p>
      <w:pPr>
        <w:bidi/>
        <w:jc w:val="right"/>
      </w:pPr>
      <w:r>
        <w:rPr>
          <w:rtl/>
          <w:bCs/>
          <w:b/>
        </w:rPr>
        <w:t xml:space="preserve">السعر التقديري:</w:t>
      </w:r>
      <w:r>
        <w:rPr>
          <w:rtl/>
        </w:rPr>
        <w:t xml:space="preserve"> </w:t>
      </w:r>
      <w:r>
        <w:rPr>
          <w:rtl/>
        </w:rPr>
        <w:t xml:space="preserve">1,800–2,500 دولار (243,000–337,500 دج).</w:t>
      </w:r>
    </w:p>
    <w:p>
      <w:pPr>
        <w:pBdr>
          <w:right w:val="single" w:sz="16" w:space="6" w:color="008080"/>
        </w:pBdr>
        <w:bidi/>
        <w:jc w:val="right"/>
      </w:pPr>
      <w:r>
        <w:rPr>
          <w:color w:val="008080"/>
          <w:sz w:val="23"/>
          <w:rtl/>
          <w:bCs/>
          <w:b/>
        </w:rPr>
        <w:t xml:space="preserve">المستلزمات المرتبطة بالآلة:</w:t>
      </w:r>
    </w:p>
    <w:tbl>
      <w:tblPr>
        <w:tblStyle w:val="Table"/>
        <w:bidiVisual/>
        <w:tblW w:type="pct" w:w="5000"/>
        <w:tblLook w:firstRow="1" w:lastRow="0" w:firstColumn="0" w:lastColumn="0" w:noHBand="0" w:noVBand="0" w:val="0020"/>
        <w:jc w:val="right"/>
      </w:tblPr>
      <w:tblGrid>
        <w:gridCol w:w="3960"/>
        <w:gridCol w:w="396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الصنف</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الاستخدام</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ضاغط هواء (Air Compressor)</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تشغيل الأسطوانة الهوائية</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خراطيم هواء وقطع غيار للأسطوانة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التوصيل والتشغيل الدوري</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قوالب معدنية (Molds/Fixtures)</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تكييف الآلة حسب نوع القاعدة (E27, E14)</w:t>
            </w:r>
          </w:p>
        </w:tc>
      </w:tr>
    </w:tbl>
    <w:p>
      <w:pPr>
        <w:pBdr>
          <w:right w:val="single" w:sz="16" w:space="6" w:color="008080"/>
        </w:pBdr>
        <w:bidi/>
        <w:jc w:val="right"/>
      </w:pPr>
      <w:r>
        <w:rPr>
          <w:color w:val="008080"/>
          <w:sz w:val="23"/>
          <w:rtl/>
          <w:bCs/>
          <w:b/>
        </w:rPr>
        <w:t xml:space="preserve">(ث) آلة توزيع الغراء (Glue Dispenser Machine)</w:t>
      </w:r>
    </w:p>
    <w:p>
      <w:pPr>
        <w:bidi/>
        <w:jc w:val="right"/>
      </w:pPr>
      <w:r>
        <w:rPr>
          <w:rtl/>
          <w:bCs/>
          <w:b/>
        </w:rPr>
        <w:t xml:space="preserve">الوظيفة:</w:t>
      </w:r>
      <w:r>
        <w:rPr>
          <w:rtl/>
        </w:rPr>
        <w:t xml:space="preserve"> </w:t>
      </w:r>
      <w:r>
        <w:rPr>
          <w:rtl/>
        </w:rPr>
        <w:t xml:space="preserve">توزيع السيليكون الحراري بدقة متناهية لتثبيت الناشر الضوئي (Diffuser) والمكونات الداخلية.</w:t>
      </w:r>
    </w:p>
    <w:p>
      <w:pPr>
        <w:bidi/>
        <w:jc w:val="right"/>
      </w:pPr>
      <w:r>
        <w:rPr>
          <w:rtl/>
          <w:bCs/>
          <w:b/>
        </w:rPr>
        <w:t xml:space="preserve">الاستهلاك المعياري:</w:t>
      </w:r>
      <w:r>
        <w:rPr>
          <w:rtl/>
        </w:rPr>
        <w:t xml:space="preserve"> </w:t>
      </w:r>
      <w:r>
        <w:rPr>
          <w:rtl/>
        </w:rPr>
        <w:t xml:space="preserve">0.15-0.20 غرام لكل لمبة (تُقاس بميزان دقيق ±0.01 غرام بداية كل وردية).</w:t>
      </w:r>
    </w:p>
    <w:p>
      <w:pPr>
        <w:bidi/>
        <w:jc w:val="right"/>
      </w:pPr>
      <w:r>
        <w:rPr>
          <w:rtl/>
          <w:bCs/>
          <w:b/>
        </w:rPr>
        <w:t xml:space="preserve">ضغط الهواء:</w:t>
      </w:r>
      <w:r>
        <w:rPr>
          <w:rtl/>
        </w:rPr>
        <w:t xml:space="preserve"> </w:t>
      </w:r>
      <w:r>
        <w:rPr>
          <w:rtl/>
        </w:rPr>
        <w:t xml:space="preserve">4-5 بار ثابت (أي تذبذب بـ 0.1 بار يفسد مسار الغراء).</w:t>
      </w:r>
    </w:p>
    <w:p>
      <w:pPr>
        <w:bidi/>
        <w:jc w:val="right"/>
      </w:pPr>
      <w:r>
        <w:rPr>
          <w:rtl/>
        </w:rPr>
        <w:t xml:space="preserve">التكلفة التقديرية (2026): 877,000 دج.</w:t>
      </w:r>
    </w:p>
    <w:p>
      <w:pPr>
        <w:bidi/>
        <w:jc w:val="right"/>
      </w:pPr>
      <w:r>
        <w:rPr>
          <w:rtl/>
          <w:bCs/>
          <w:b/>
        </w:rPr>
        <w:t xml:space="preserve">مواصفات السيليكون:</w:t>
      </w:r>
      <w:r>
        <w:rPr>
          <w:rtl/>
        </w:rPr>
        <w:t xml:space="preserve"> </w:t>
      </w:r>
      <w:r>
        <w:rPr>
          <w:rtl/>
        </w:rPr>
        <w:t xml:space="preserve">مقاوم للرطوبة، يتحمل حتى 150°C، متصل بلا فراغات هوائية.</w:t>
      </w:r>
    </w:p>
    <w:p>
      <w:pPr>
        <w:bidi/>
        <w:jc w:val="right"/>
      </w:pPr>
      <w:r>
        <w:rPr>
          <w:rtl/>
        </w:rPr>
        <w:t xml:space="preserve">✦ السر التقني (ثبات النقطة): سر نجاح التوزيع ليس في قوة الضغط بل في ثباته. أي تغيير بـ 0.1 بار قد يؤدي لفيضان الغراء على المسارات النحاسية (Pads) مما يمنع اللحام لاحقاً.</w:t>
      </w:r>
    </w:p>
    <w:tbl>
      <w:tblPr>
        <w:tblStyle w:val="Table"/>
        <w:bidiVisual/>
        <w:tblW w:type="pct" w:w="500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FFE5E5"/>
          </w:tcPr>
          <w:p>
            <w:pPr>
              <w:pStyle w:val="Compact"/>
              <w:pBdr>
                <w:top w:val="single" w:sz="16" w:space="4" w:color="D90429"/>
                <w:left w:val="single" w:sz="16" w:space="4" w:color="D90429"/>
                <w:bottom w:val="single" w:sz="16" w:space="4" w:color="D90429"/>
                <w:right w:val="single" w:sz="16" w:space="4" w:color="D90429"/>
              </w:pBdr>
              <w:bidi/>
              <w:jc w:val="right"/>
            </w:pPr>
            <w:r>
              <w:rPr>
                <w:b/>
                <w:color w:val="8A0216"/>
                <w:sz w:val="22"/>
                <w:rtl/>
              </w:rPr>
              <w:t xml:space="preserve">⚠ تنبيه حرج: لا تترك الغراء داخل الإبرة إذا توقفت الآلة لأكثر من 30 دقيقة – الجفاف يغير قطرها الداخلي للأبد.</w:t>
            </w:r>
          </w:p>
        </w:tc>
      </w:tr>
    </w:tbl>
    <w:p>
      <w:pPr>
        <w:bidi/>
        <w:jc w:val="right"/>
      </w:pPr>
    </w:p>
    <w:tbl>
      <w:tblPr>
        <w:tblStyle w:val="Table"/>
        <w:bidiVisual/>
        <w:tblW w:type="pct" w:w="500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FFE5E5"/>
          </w:tcPr>
          <w:p>
            <w:pPr>
              <w:pStyle w:val="Compact"/>
              <w:pBdr>
                <w:top w:val="single" w:sz="16" w:space="4" w:color="D90429"/>
                <w:left w:val="single" w:sz="16" w:space="4" w:color="D90429"/>
                <w:bottom w:val="single" w:sz="16" w:space="4" w:color="D90429"/>
                <w:right w:val="single" w:sz="16" w:space="4" w:color="D90429"/>
              </w:pBdr>
              <w:bidi/>
              <w:jc w:val="right"/>
            </w:pPr>
            <w:r>
              <w:rPr>
                <w:b/>
                <w:color w:val="8A0216"/>
                <w:sz w:val="22"/>
                <w:rtl/>
              </w:rPr>
              <w:t xml:space="preserve">⚠ تنبيه الأمان (وحدة وحدة فلترة وتنظيم وتزييت الهواء المضغوط (Unité de Filtrage, Régulation et Lubrification)): تأكد من كفاءة وحدة الهواء المضغوط – قطرة ماء واحدة تُفسد المحقنة بالكامل.</w:t>
            </w:r>
          </w:p>
        </w:tc>
      </w:tr>
    </w:tbl>
    <w:p>
      <w:pPr>
        <w:bidi/>
        <w:jc w:val="right"/>
      </w:pPr>
      <w:r>
        <w:rPr>
          <w:rtl/>
          <w:bCs/>
          <w:b/>
        </w:rPr>
        <w:t xml:space="preserve">قطع الغيار الأساسية:</w:t>
      </w:r>
      <w:r>
        <w:rPr>
          <w:rtl/>
        </w:rPr>
        <w:t xml:space="preserve"> </w:t>
      </w:r>
      <w:r>
        <w:rPr>
          <w:rtl/>
        </w:rPr>
        <w:t xml:space="preserve">إبر حقن (Needles/Nozzles) بمقاسات مختلفة، خراطيش غراء (Glue Cartridges) وأنابيب توصيل، حلقات إحكام (O-Rings) لمنع التسرب داخل الصمام، محاليل تنظيف متخصصة.</w:t>
      </w:r>
    </w:p>
    <w:p>
      <w:pPr>
        <w:bidi/>
        <w:jc w:val="right"/>
      </w:pPr>
      <w:r>
        <w:rPr>
          <w:rtl/>
        </w:rPr>
        <w:t xml:space="preserve">جدول الصيانة – آلة توزيع الغراء:</w:t>
      </w:r>
    </w:p>
    <w:tbl>
      <w:tblPr>
        <w:tblStyle w:val="Table"/>
        <w:bidiVisual/>
        <w:tblW w:type="auto" w:w="0"/>
        <w:tblLook w:firstRow="1" w:lastRow="0" w:firstColumn="0" w:lastColumn="0" w:noHBand="0" w:noVBand="0" w:val="0020"/>
        <w:jc w:val="right"/>
      </w:tblPr>
      <w:tblGrid>
        <w:gridCol w:w="2640"/>
        <w:gridCol w:w="2640"/>
        <w:gridCol w:w="264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الإجراء التقني</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الوتيرة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التكلفة (دج)</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معايرة ضغط التوزيع (4-5 بار)</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يومياً (قبل البدء)</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فحص تجانس الغراء داخل المحقنة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عند كل تعبئة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0</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تفريغ الهواء من المحقنة (Degassing)</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عند كل تعبئة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تنظيف رأس الإبرة بالكحول (Isopropanol 99%)</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كل 4 ساعات تشغيل</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300</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تشحيم السكك الحديدية (Linear Rails)</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أسبوعياً</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1,500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تنظيف صمام التوزيع (Dispense Valve)</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أسبوعياً</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1,000</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معايرة حساس الارتفاع Z-Sensor (0.5 ملم)</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أسبوعياً</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فحص خراطيم الهواء</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شهرياً</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500</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تبديل فلاتر الهواء الداخلية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كل 3 أشهر</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1,200</w:t>
            </w:r>
          </w:p>
        </w:tc>
      </w:tr>
      <w:tr>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إجمالي تكاليف الصيانة الدورية</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شهرياً</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4,500 دج</w:t>
            </w:r>
          </w:p>
        </w:tc>
      </w:tr>
    </w:tbl>
    <w:p>
      <w:pPr>
        <w:bidi/>
        <w:jc w:val="right"/>
      </w:pPr>
    </w:p>
    <w:tbl>
      <w:tblPr>
        <w:tblStyle w:val="Table"/>
        <w:bidiVisual/>
        <w:tblW w:type="auto" w:w="0"/>
        <w:tblLook w:firstRow="1" w:lastRow="0" w:firstColumn="0" w:lastColumn="0" w:noHBand="0" w:noVBand="0" w:val="0020"/>
        <w:jc w:val="right"/>
      </w:tblPr>
      <w:tblGrid>
        <w:gridCol w:w="2640"/>
        <w:gridCol w:w="2640"/>
        <w:gridCol w:w="264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الإجراء التقني</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الوتيرة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التكلفة (دج)</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معايرة جهاز قياس القدرة (Power Meter)</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شهرياً</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2,000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تنظيف مجسات التوصيل (الكونكتورات)</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يومياً</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0</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فحص كابلات الاختبار من التآكل</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أسبوعياً</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500</w:t>
            </w:r>
          </w:p>
        </w:tc>
      </w:tr>
      <w:tr>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إجمالي تكاليف الصيانة الدورية</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شهرياً</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2,500 دج</w:t>
            </w:r>
          </w:p>
        </w:tc>
      </w:tr>
    </w:tbl>
    <w:p>
      <w:pPr>
        <w:bidi/>
        <w:jc w:val="right"/>
      </w:pPr>
    </w:p>
    <w:tbl>
      <w:tblPr>
        <w:tblStyle w:val="Table"/>
        <w:bidiVisual/>
        <w:tblW w:type="auto" w:w="0"/>
        <w:tblLook w:firstRow="1" w:lastRow="0" w:firstColumn="0" w:lastColumn="0" w:noHBand="0" w:noVBand="0" w:val="0020"/>
        <w:jc w:val="right"/>
      </w:tblPr>
      <w:tblGrid>
        <w:gridCol w:w="2640"/>
        <w:gridCol w:w="2640"/>
        <w:gridCol w:w="264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الإجراء التقني</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الوتيرة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التكلفة (دج)</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فحص O-Rings وخراطيم الهواء</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أسبوعياً</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500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تشحيم المكونات الميكانيكية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أسبوعياً</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1,000</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معايرة مجسات الاختبار الكهربائي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شهرياً</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1,500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فحص رؤوس الكبس من التآكل</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شهرياً</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0</w:t>
            </w:r>
          </w:p>
        </w:tc>
      </w:tr>
      <w:tr>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إجمالي تكاليف الصيانة الدورية</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شهرياً</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3,000 دج</w:t>
            </w:r>
          </w:p>
        </w:tc>
      </w:tr>
    </w:tbl>
    <w:p>
      <w:pPr>
        <w:pBdr>
          <w:right w:val="single" w:sz="16" w:space="6" w:color="008080"/>
        </w:pBdr>
        <w:bidi/>
        <w:jc w:val="right"/>
      </w:pPr>
      <w:r>
        <w:rPr>
          <w:color w:val="008080"/>
          <w:sz w:val="23"/>
          <w:rtl/>
          <w:bCs/>
          <w:b/>
        </w:rPr>
        <w:t xml:space="preserve">(ج) ماكينة الوسم والاختبار بالليزر (Laser Marking &amp; Testing Machine)</w:t>
      </w:r>
    </w:p>
    <w:p>
      <w:pPr>
        <w:bidi/>
        <w:jc w:val="right"/>
      </w:pPr>
      <w:r>
        <w:rPr>
          <w:rtl/>
          <w:bCs/>
          <w:b/>
        </w:rPr>
        <w:t xml:space="preserve">الوظيفة:</w:t>
      </w:r>
      <w:r>
        <w:rPr>
          <w:rtl/>
        </w:rPr>
        <w:t xml:space="preserve"> </w:t>
      </w:r>
      <w:r>
        <w:rPr>
          <w:rtl/>
        </w:rPr>
        <w:t xml:space="preserve">الفحص الكهربائي (جهد، تيار، استطاعة) + الوسم بالليزر (شعار، قدرة، رقم دفعة، QR ضمان).</w:t>
      </w:r>
    </w:p>
    <w:p>
      <w:pPr>
        <w:bidi/>
        <w:jc w:val="right"/>
      </w:pPr>
      <w:r>
        <w:rPr>
          <w:rtl/>
          <w:bCs/>
          <w:b/>
        </w:rPr>
        <w:t xml:space="preserve">نوع المصدر:</w:t>
      </w:r>
      <w:r>
        <w:rPr>
          <w:rtl/>
        </w:rPr>
        <w:t xml:space="preserve"> </w:t>
      </w:r>
      <w:r>
        <w:rPr>
          <w:rtl/>
        </w:rPr>
        <w:t xml:space="preserve">Fiber Laser – عمر تشغيلي حتى 100,000 ساعة. مطابق لمعيار EN 60825.</w:t>
      </w:r>
    </w:p>
    <w:p>
      <w:pPr>
        <w:bidi/>
        <w:jc w:val="right"/>
      </w:pPr>
      <w:r>
        <w:rPr>
          <w:rtl/>
          <w:bCs/>
          <w:b/>
        </w:rPr>
        <w:t xml:space="preserve">شرط الأمان الرقمي:</w:t>
      </w:r>
      <w:r>
        <w:rPr>
          <w:rtl/>
        </w:rPr>
        <w:t xml:space="preserve"> </w:t>
      </w:r>
      <w:r>
        <w:rPr>
          <w:rtl/>
        </w:rPr>
        <w:t xml:space="preserve">ربط إلزامي بـ نظام الإمداد المتواصل بالطاقة (Alimentation Sans Interruption) Online Double Conversion لحماية مصدر الليزر من الطفرات الكهربائية.</w:t>
      </w:r>
    </w:p>
    <w:p>
      <w:pPr>
        <w:bidi/>
        <w:jc w:val="right"/>
      </w:pPr>
      <w:r>
        <w:rPr>
          <w:rtl/>
        </w:rPr>
        <w:t xml:space="preserve">التكلفة التقديرية (2026): 1,215,000 دج.</w:t>
      </w:r>
    </w:p>
    <w:tbl>
      <w:tblPr>
        <w:tblStyle w:val="Table"/>
        <w:bidiVisual/>
        <w:tblW w:type="pct" w:w="5000"/>
        <w:tblLook w:firstRow="1" w:lastRow="0" w:firstColumn="0" w:lastColumn="0" w:noHBand="0" w:noVBand="0" w:val="0020"/>
        <w:jc w:val="right"/>
      </w:tblPr>
      <w:tblGrid>
        <w:gridCol w:w="1980"/>
        <w:gridCol w:w="1980"/>
        <w:gridCol w:w="1980"/>
        <w:gridCol w:w="198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المادة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القوة (Power)</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السرعة (Speed)</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الميزة</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بلاستيك PC (Polycarbonate)</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20-25%</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250 مم/ثا</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ترقيم متسلسل فريد لكل لمبة</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ألومنيوم (مؤكسد/مطلي)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45-50%</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200 مم/ثا</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يمنع مسح البيانات مع الوقت</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فولاذ مقاوم للصدأ</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تجريبياً</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تجريبياً</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حسب السماكة</w:t>
            </w:r>
          </w:p>
        </w:tc>
      </w:tr>
    </w:tbl>
    <w:p>
      <w:pPr>
        <w:bidi/>
        <w:jc w:val="right"/>
      </w:pPr>
      <w:r>
        <w:rPr>
          <w:rtl/>
          <w:bCs/>
          <w:b/>
        </w:rPr>
        <w:t xml:space="preserve">قطع الغيار الأساسية:</w:t>
      </w:r>
      <w:r>
        <w:rPr>
          <w:rtl/>
        </w:rPr>
        <w:t xml:space="preserve"> </w:t>
      </w:r>
      <w:r>
        <w:rPr>
          <w:rtl/>
        </w:rPr>
        <w:t xml:space="preserve">عدسات احتياطية (Lenses) لضمان دقة الوسم، مصدر ليزر بديل (Laser Source) للحالات الطارئة، أدوات معايرة دقيقة (Calibration Tools) لضبط القوة والوضوح.</w:t>
      </w:r>
    </w:p>
    <w:p>
      <w:pPr>
        <w:bidi/>
        <w:jc w:val="right"/>
      </w:pPr>
      <w:r>
        <w:rPr>
          <w:rtl/>
        </w:rPr>
        <w:t xml:space="preserve">جدول الصيانة – ماكينة الليزر:</w:t>
      </w:r>
    </w:p>
    <w:tbl>
      <w:tblPr>
        <w:tblStyle w:val="Table"/>
        <w:bidiVisual/>
        <w:tblW w:type="auto" w:w="0"/>
        <w:tblLook w:firstRow="1" w:lastRow="0" w:firstColumn="0" w:lastColumn="0" w:noHBand="0" w:noVBand="0" w:val="0020"/>
        <w:jc w:val="right"/>
      </w:tblPr>
      <w:tblGrid>
        <w:gridCol w:w="2640"/>
        <w:gridCol w:w="2640"/>
        <w:gridCol w:w="264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الإجراء التقني</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الوتيرة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التكلفة (دج)</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تنظيف عدسة الليزر (قطعة قطنية + Isopropanol)</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أسبوعياً</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2,000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فحص نظام شفط الأبخرة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شهرياً</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500</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معايرة مسار الشعاع (Beam Alignment)</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سنوياً</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بفني متخصص</w:t>
            </w:r>
          </w:p>
        </w:tc>
      </w:tr>
      <w:tr>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إجمالي تكاليف الصيانة الدورية</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شهرياً</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2,500 دج</w:t>
            </w:r>
          </w:p>
        </w:tc>
      </w:tr>
    </w:tbl>
    <w:p>
      <w:pPr>
        <w:bidi/>
        <w:jc w:val="right"/>
      </w:pPr>
    </w:p>
    <w:tbl>
      <w:tblPr>
        <w:tblStyle w:val="Table"/>
        <w:bidiVisual/>
        <w:tblW w:type="pct" w:w="500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FFE5E5"/>
          </w:tcPr>
          <w:p>
            <w:pPr>
              <w:pStyle w:val="Compact"/>
              <w:pBdr>
                <w:top w:val="single" w:sz="16" w:space="4" w:color="D90429"/>
                <w:left w:val="single" w:sz="16" w:space="4" w:color="D90429"/>
                <w:bottom w:val="single" w:sz="16" w:space="4" w:color="D90429"/>
                <w:right w:val="single" w:sz="16" w:space="4" w:color="D90429"/>
              </w:pBdr>
              <w:bidi/>
              <w:jc w:val="right"/>
            </w:pPr>
            <w:r>
              <w:rPr>
                <w:b/>
                <w:color w:val="8A0216"/>
                <w:sz w:val="22"/>
                <w:rtl/>
              </w:rPr>
              <w:t xml:space="preserve">⚠ تنبيه أمان: إلزامية ارتداء النظارات الواقية المخصصة لفلترة طول موجة الليزر وتشغيل نظام شفط الأبخرة عند التشغيل.</w:t>
            </w:r>
          </w:p>
        </w:tc>
      </w:tr>
    </w:tbl>
    <w:p>
      <w:pPr>
        <w:bidi/>
        <w:jc w:val="right"/>
      </w:pPr>
    </w:p>
    <w:tbl>
      <w:tblPr>
        <w:tblStyle w:val="Table"/>
        <w:bidiVisual/>
        <w:tblW w:type="auto" w:w="0"/>
        <w:tblLook w:firstRow="1" w:lastRow="0" w:firstColumn="0" w:lastColumn="0" w:noHBand="0" w:noVBand="0" w:val="0020"/>
        <w:jc w:val="right"/>
      </w:tblPr>
      <w:tblGrid>
        <w:gridCol w:w="2640"/>
        <w:gridCol w:w="2640"/>
        <w:gridCol w:w="264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الإجراء التقني</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الوتيرة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التكلفة (دج)</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معايرة جهاز Wattmeter بمرجع ±1%</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شهرياً</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معايرة جهاز Lux Meter</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سنوياً</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0</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فحص فلاتر HEPA نظام الشفط</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كل 3-6 أشهر</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حسب الاستهلاك</w:t>
            </w:r>
          </w:p>
        </w:tc>
      </w:tr>
      <w:tr>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إجمالي تكاليف الصيانة الدورية</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شهرياً</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يُحدد حسب الاستهلاك الدوري</w:t>
            </w:r>
          </w:p>
        </w:tc>
      </w:tr>
    </w:tbl>
    <w:p>
      <w:pPr>
        <w:pBdr>
          <w:right w:val="single" w:sz="16" w:space="6" w:color="008080"/>
        </w:pBdr>
        <w:bidi/>
        <w:jc w:val="right"/>
      </w:pPr>
      <w:r>
        <w:rPr>
          <w:color w:val="008080"/>
          <w:sz w:val="23"/>
          <w:rtl/>
          <w:bCs/>
          <w:b/>
        </w:rPr>
        <w:t xml:space="preserve">(خ) آلة التلميع والصنفرة (Buffer Polisher XLBP 9)</w:t>
      </w:r>
    </w:p>
    <w:p>
      <w:pPr>
        <w:bidi/>
        <w:jc w:val="right"/>
      </w:pPr>
      <w:r>
        <w:rPr>
          <w:rtl/>
          <w:bCs/>
          <w:b/>
        </w:rPr>
        <w:t xml:space="preserve">الوظيفة:</w:t>
      </w:r>
      <w:r>
        <w:rPr>
          <w:rtl/>
        </w:rPr>
        <w:t xml:space="preserve"> </w:t>
      </w:r>
      <w:r>
        <w:rPr>
          <w:rtl/>
        </w:rPr>
        <w:t xml:space="preserve">إزالة النتوءات الزائدة وتلميع الأسطح الخارجية للهيكل والمشتت الحراري، مما يضمن مظهراً جمالياً احترافياً وجودة نهائية عالية للمصباح.</w:t>
      </w:r>
    </w:p>
    <w:p>
      <w:pPr>
        <w:bidi/>
        <w:jc w:val="right"/>
      </w:pPr>
      <w:r>
        <w:rPr>
          <w:rtl/>
          <w:bCs/>
          <w:b/>
        </w:rPr>
        <w:t xml:space="preserve">المواصفات التقنية:</w:t>
      </w:r>
      <w:r>
        <w:rPr>
          <w:rtl/>
        </w:rPr>
        <w:t xml:space="preserve"> </w:t>
      </w:r>
      <w:r>
        <w:rPr>
          <w:rtl/>
        </w:rPr>
        <w:t xml:space="preserve">آلة تلميع صناعية ذات عزم دوران عالٍ، مجهزة بنظام تثبيت دقيق ومنافذ لشفط الغبار الدقيق.</w:t>
      </w:r>
    </w:p>
    <w:p>
      <w:pPr>
        <w:bidi/>
        <w:jc w:val="right"/>
      </w:pPr>
      <w:r>
        <w:rPr>
          <w:rtl/>
        </w:rPr>
        <w:t xml:space="preserve">التكلفة التقديرية (2026): 33,750 دج.</w:t>
      </w:r>
    </w:p>
    <w:p>
      <w:pPr>
        <w:bidi/>
        <w:jc w:val="right"/>
      </w:pPr>
      <w:r>
        <w:rPr>
          <w:rtl/>
          <w:bCs/>
          <w:b/>
        </w:rPr>
        <w:t xml:space="preserve">قطع الغيار الأساسية</w:t>
      </w:r>
      <w:r>
        <w:rPr>
          <w:rtl/>
        </w:rPr>
        <w:t xml:space="preserve"> </w:t>
      </w:r>
      <w:r>
        <w:rPr>
          <w:rtl/>
        </w:rPr>
        <w:t xml:space="preserve">(مدرجة في ميزانية قطع الغيار الشاملة): أقراص صنفرة وتلميع (Polishing/Sanding Discs) متنوعة القياسات، محامل (Bearings) للمحرك لضمان سلاسة الحركة، أدوات تنظيف الفرش والأسطح الميكانيكية.</w:t>
      </w:r>
    </w:p>
    <w:p>
      <w:pPr>
        <w:bidi/>
        <w:jc w:val="right"/>
      </w:pPr>
      <w:r>
        <w:rPr>
          <w:rtl/>
        </w:rPr>
        <w:t xml:space="preserve">جدول الصيانة – آلة التلميع:</w:t>
      </w:r>
    </w:p>
    <w:tbl>
      <w:tblPr>
        <w:tblStyle w:val="Table"/>
        <w:bidiVisual/>
        <w:tblW w:type="pct" w:w="5000"/>
        <w:tblLook w:firstRow="1" w:lastRow="0" w:firstColumn="0" w:lastColumn="0" w:noHBand="0" w:noVBand="0" w:val="0020"/>
        <w:jc w:val="right"/>
      </w:tblPr>
      <w:tblGrid>
        <w:gridCol w:w="2640"/>
        <w:gridCol w:w="2640"/>
        <w:gridCol w:w="264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الإجراء التقني</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الوتيرة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التكلفة (دج)</w:t>
            </w:r>
          </w:p>
        </w:tc>
      </w:tr>
      <w:tr>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استبدال أقراص الصنفرة والتلميع</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حسب الاستهلاك</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25,000 (إجمالي مخصصات قطع الغيار)</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تنظيف وحدة شفط الغبار</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يومياً</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0</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تشحيم المحامل والمفاصل المتحركة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شهرياً</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0</w:t>
            </w:r>
          </w:p>
        </w:tc>
      </w:tr>
      <w:tr>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إجمالي تكاليف الصيانة الدورية</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شهرياً</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يُحدد حسب الاستهلاك الدوري</w:t>
            </w:r>
          </w:p>
        </w:tc>
      </w:tr>
    </w:tbl>
    <w:p>
      <w:pPr>
        <w:pBdr>
          <w:right w:val="single" w:sz="24" w:space="6" w:color="008080"/>
        </w:pBdr>
        <w:bidi/>
        <w:jc w:val="right"/>
      </w:pPr>
      <w:r>
        <w:rPr>
          <w:b/>
          <w:color w:val="008080"/>
          <w:sz w:val="25"/>
          <w:rtl/>
        </w:rPr>
        <w:t xml:space="preserve">2.1 الميزانية التقنية الإجمالية (2026)</w:t>
      </w:r>
    </w:p>
    <w:p>
      <w:pPr>
        <w:bidi/>
        <w:jc w:val="right"/>
      </w:pPr>
      <w:r>
        <w:rPr>
          <w:rtl/>
          <w:bCs/>
          <w:b/>
        </w:rPr>
        <w:t xml:space="preserve">ملاحظة منهجية بشأن مصدر الأسعار وحالة المعدات:</w:t>
      </w:r>
      <w:r>
        <w:rPr>
          <w:rtl/>
        </w:rPr>
        <w:t xml:space="preserve"> </w:t>
      </w:r>
      <w:r>
        <w:rPr>
          <w:rtl/>
        </w:rPr>
        <w:t xml:space="preserve">جميع الأسعار الواردة في هذا الجدول هي أسعار سوقية تقديرية مبنية على بحث سوق ميداني (منصات Ouedkniss، Jumia DZ، AliExpress، ومراسلات أولية مع المورد الصيني Zhongshan Dashuo)، ولم تُثبَّت بعد بفواتير شكلية (Factures Proforma) رسمية؛ يجب استكمال عروض أسعار موقَّعة من كل مورد قبل صرف أي تمويل فعلي. كما أن</w:t>
      </w:r>
      <w:r>
        <w:rPr>
          <w:rtl/>
        </w:rPr>
        <w:t xml:space="preserve"> </w:t>
      </w:r>
      <w:r>
        <w:rPr>
          <w:rtl/>
          <w:bCs/>
          <w:b/>
        </w:rPr>
        <w:t xml:space="preserve">جميع الآلات المذكورة أدناه هي بند «قيد الشراء»</w:t>
      </w:r>
      <w:r>
        <w:rPr>
          <w:rtl/>
        </w:rPr>
        <w:t xml:space="preserve"> </w:t>
      </w:r>
      <w:r>
        <w:rPr>
          <w:rtl/>
        </w:rPr>
        <w:t xml:space="preserve">(المشروع في مرحلة طلب التمويل ولم يبدأ الإنتاج بعد، وفق خارطة الطريق) وليست معدات متوفرة فعلياً في الورشة؛ أما الآلات الواردة لاحقاً تحت عنوان «ماكينات مستقبلية – مرحلة التوسع» فهي مصنَّفة بشكل منفصل بوضوح كبند اختياري لا يدخل ضمن ميزانية الانطلاق.</w:t>
      </w:r>
    </w:p>
    <w:tbl>
      <w:tblPr>
        <w:tblStyle w:val="Table"/>
        <w:bidiVisual/>
        <w:tblW w:type="pct" w:w="5000"/>
        <w:tblLook w:firstRow="1" w:lastRow="0" w:firstColumn="0" w:lastColumn="0" w:noHBand="0" w:noVBand="0" w:val="0020"/>
        <w:jc w:val="right"/>
      </w:tblPr>
      <w:tblGrid>
        <w:gridCol w:w="2640"/>
        <w:gridCol w:w="2640"/>
        <w:gridCol w:w="264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الآلة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التكلفة (دج)</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المورد</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آلة متعددة الوظائف (Pressing + Assembly + Testing)</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861,250</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Zhongshan Dashuo – الصين</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فرن تغطيس بالقصدير (Solder Pot SB PTC 500-D)</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54,000</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Ouedkniss / القبائل</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آلة توزيع الغراء (Glue Dispenser Semi-Auto)</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877,000</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Jumia DZ / برج بوعريريج</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آلة كبس هوائية (Pneumatic Press Machine)</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337,500</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Ouedkniss / القبائل</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آلة اختبار ووسم بالليزر (Laser Marking &amp; Testing)</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1,215,000</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AliExpress / DXTECH</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آلة تنظيف PCB – البافر (PCB Brushing Machine) ✔ مصحح من 710,000 دج</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33,750</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مورد معتمد – الجزائر</w:t>
            </w:r>
          </w:p>
        </w:tc>
      </w:tr>
      <w:tr>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الإجمالي الصحيح المعتمد (6 آلات)</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3,378,500 دج</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w:t>
            </w:r>
          </w:p>
        </w:tc>
      </w:tr>
    </w:tbl>
    <w:p>
      <w:pPr>
        <w:pBdr>
          <w:right w:val="single" w:sz="24" w:space="6" w:color="008080"/>
        </w:pBdr>
        <w:bidi/>
        <w:jc w:val="right"/>
      </w:pPr>
      <w:r>
        <w:rPr>
          <w:b/>
          <w:color w:val="008080"/>
          <w:sz w:val="25"/>
          <w:rtl/>
        </w:rPr>
        <w:t xml:space="preserve">3.1 معايير المناخ الداخلي وبيئة العمل (Environment &amp; Safety)</w:t>
      </w:r>
    </w:p>
    <w:p>
      <w:pPr>
        <w:bidi/>
        <w:jc w:val="right"/>
      </w:pPr>
      <w:r>
        <w:rPr>
          <w:rtl/>
          <w:bCs/>
          <w:b/>
        </w:rPr>
        <w:t xml:space="preserve">الحرارة والرطوبة:</w:t>
      </w:r>
      <w:r>
        <w:rPr>
          <w:rtl/>
        </w:rPr>
        <w:t xml:space="preserve"> </w:t>
      </w:r>
      <w:r>
        <w:rPr>
          <w:rtl/>
        </w:rPr>
        <w:t xml:space="preserve">درجة حرارة الورشة 18°C – 30°C (تُقاس يومياً بجهاز Hygrometer). الرطوبة النسبية أقل من 60% لمنع تكثف الرطوبة على البطاقات الإلكترونية وأكسدة أطراف المكونات. يُركَّب Hygrometer في مكان بارز وتُسجَّل القراءة في السجل اليومي.</w:t>
      </w:r>
    </w:p>
    <w:p>
      <w:pPr>
        <w:bidi/>
        <w:jc w:val="right"/>
      </w:pPr>
      <w:r>
        <w:rPr>
          <w:rtl/>
          <w:bCs/>
          <w:b/>
        </w:rPr>
        <w:t xml:space="preserve">الإضاءة والتهوية:</w:t>
      </w:r>
      <w:r>
        <w:rPr>
          <w:rtl/>
        </w:rPr>
        <w:t xml:space="preserve"> </w:t>
      </w:r>
      <w:r>
        <w:rPr>
          <w:rtl/>
        </w:rPr>
        <w:t xml:space="preserve">إضاءة LED بيضاء بقوة 500 لوكس (lux) على جميع طاولات التجميع واللحام والفحص البصري. نظام شفط أبخرة مركزي (Fume Extractor) بفلاتر HEPA + كربوني، يُشغَّل إجبارياً أثناء اللحام. تغيير الفلتر الأولي (Pre-filter) شهرياً، والفلتر الرئيسي كل 3-6 أشهر حسب الاستهلاك. تركيب مراوح سقف + تهوية جانبية لتقليل الحرارة والغبار.</w:t>
      </w:r>
    </w:p>
    <w:p>
      <w:pPr>
        <w:bidi/>
        <w:jc w:val="right"/>
      </w:pPr>
      <w:r>
        <w:rPr>
          <w:rtl/>
          <w:bCs/>
          <w:b/>
        </w:rPr>
        <w:t xml:space="preserve">السلامة المهنية والمواد الخطرة:</w:t>
      </w:r>
      <w:r>
        <w:rPr>
          <w:rtl/>
        </w:rPr>
        <w:t xml:space="preserve"> </w:t>
      </w:r>
      <w:r>
        <w:rPr>
          <w:rtl/>
        </w:rPr>
        <w:t xml:space="preserve">نظارات واقية متخصصة (للحام وللليزر). قفازات حرارية مقاومة للحرارة العالية. مطافئ CO₂ حصراً بجانب الأجهزة الحساسة (الفرن، الليزر، لوحة الكهرباء) – ممنوع الماء أو البودرة. تخزين Isopropanol ومواد التنظيف في خزائن معدنية مخصصة مغلقة بعيداً عن مصادر الحرارة والشرار. توفير مادة ماصة للتعامل مع أي انسكاب كيميائي.</w:t>
      </w:r>
    </w:p>
    <w:tbl>
      <w:tblPr>
        <w:tblStyle w:val="Table"/>
        <w:bidiVisual/>
        <w:tblW w:type="pct" w:w="5000"/>
        <w:tblLook w:firstRow="1" w:lastRow="0" w:firstColumn="0" w:lastColumn="0" w:noHBand="0" w:noVBand="0" w:val="0020"/>
        <w:jc w:val="right"/>
      </w:tblPr>
      <w:tblGrid>
        <w:gridCol w:w="2640"/>
        <w:gridCol w:w="2640"/>
        <w:gridCol w:w="264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الإجراء التقني والبيئي</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الوتيرة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التكلفة المعيارية (دج)</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تسجيل درجة الحرارة والرطوبة النسبية للورشة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يومياً</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تغيير الفلتر الأولي لشفط الأبخرة (Pre-filter)</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شهرياً</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1,500</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استبدال الفلتر الرئيسي عالي الكفاءة (HEPA)</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كل 3-6 أشهر</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4,500</w:t>
            </w:r>
          </w:p>
        </w:tc>
      </w:tr>
    </w:tbl>
    <w:p>
      <w:pPr>
        <w:pBdr>
          <w:right w:val="single" w:sz="24" w:space="6" w:color="008080"/>
        </w:pBdr>
        <w:bidi/>
        <w:jc w:val="right"/>
      </w:pPr>
      <w:r>
        <w:rPr>
          <w:b/>
          <w:color w:val="008080"/>
          <w:sz w:val="25"/>
          <w:rtl/>
        </w:rPr>
        <w:t xml:space="preserve">4.1 بروتوكول الحماية من الشحنات الساكنة (التفريغ الكهربائي الساكن (Décharge Électrostatique) Control)</w:t>
      </w:r>
    </w:p>
    <w:p>
      <w:pPr>
        <w:bidi/>
        <w:jc w:val="right"/>
      </w:pPr>
      <w:r>
        <w:rPr>
          <w:rtl/>
        </w:rPr>
        <w:t xml:space="preserve">سوار المعصم (التفريغ الكهربائي الساكن (Décharge Électrostatique) Wrist Strap): إلزامي لكل عامل يتعامل مع PCBs أو رقائق LED.</w:t>
      </w:r>
    </w:p>
    <w:p>
      <w:pPr>
        <w:bidi/>
        <w:jc w:val="right"/>
      </w:pPr>
      <w:r>
        <w:rPr>
          <w:rtl/>
          <w:bCs/>
          <w:b/>
        </w:rPr>
        <w:t xml:space="preserve">الفحص اليومي الإلزامي:</w:t>
      </w:r>
      <w:r>
        <w:rPr>
          <w:rtl/>
        </w:rPr>
        <w:t xml:space="preserve"> </w:t>
      </w:r>
      <w:r>
        <w:rPr>
          <w:rtl/>
        </w:rPr>
        <w:t xml:space="preserve">قياس مقاومة السوار بجهاز Multimeter ≈ 1 MΩ – القراءة 0 = خطر صعق، القراءة ∞ = سوار مقطوع لا يفرغ الشحنات.</w:t>
      </w:r>
    </w:p>
    <w:p>
      <w:pPr>
        <w:bidi/>
        <w:jc w:val="right"/>
      </w:pPr>
      <w:r>
        <w:rPr>
          <w:rtl/>
          <w:bCs/>
          <w:b/>
        </w:rPr>
        <w:t xml:space="preserve">طاولات العمل:</w:t>
      </w:r>
      <w:r>
        <w:rPr>
          <w:rtl/>
        </w:rPr>
        <w:t xml:space="preserve"> </w:t>
      </w:r>
      <w:r>
        <w:rPr>
          <w:rtl/>
        </w:rPr>
        <w:t xml:space="preserve">ذات سطح التفريغ الكهربائي الساكن (Décharge Électrostatique)-Safe مؤرضة، خالية من المواد البلاستيكية المولدة للشحنات. التأريض: ربط أساور المعصم بالطاولة المؤرضة المتصلة بنظام التأريض العام للورشة.</w:t>
      </w:r>
    </w:p>
    <w:p>
      <w:pPr>
        <w:bidi/>
        <w:jc w:val="right"/>
      </w:pPr>
      <w:r>
        <w:rPr>
          <w:rtl/>
        </w:rPr>
        <w:t xml:space="preserve">فحص السجاد المضاد للشحنات (التفريغ الكهربائي الساكن (Décharge Électrostatique) Mat): فحص أسبوعي لقياس مقاومة السجادة الأرضية ضمن النطاق المقبول (1 ميجا أوم إلى 10 ميجا أوم). أي قيمة خارج هذا النطاق تعني فقدان الحماية وتستوجب الاستبدال الفوري.</w:t>
      </w:r>
    </w:p>
    <w:p>
      <w:pPr>
        <w:bidi/>
        <w:jc w:val="right"/>
      </w:pPr>
      <w:r>
        <w:rPr>
          <w:rtl/>
        </w:rPr>
        <w:t xml:space="preserve">التدريب الشهري على بيئة التفريغ الكهربائي الساكن (Décharge Électrostatique): إلزامية تدريب جميع العمال شهرياً على إجراءات التعامل مع مكونات التفريغ الكهربائي الساكن (Décharge Électrostatique)-Sensitive، بما يشمل كيفية ارتداء السوار واختباره، والحفاظ على نظافة الطاولات وخلوها من المواد البلاستيكية المولدة للشحنات.</w:t>
      </w:r>
    </w:p>
    <w:p>
      <w:pPr>
        <w:bidi/>
        <w:jc w:val="right"/>
      </w:pPr>
      <w:r>
        <w:rPr>
          <w:rtl/>
          <w:bCs/>
          <w:b/>
        </w:rPr>
        <w:t xml:space="preserve">اختبار EMI عند تغيير المكونات:</w:t>
      </w:r>
      <w:r>
        <w:rPr>
          <w:rtl/>
        </w:rPr>
        <w:t xml:space="preserve"> </w:t>
      </w:r>
      <w:r>
        <w:rPr>
          <w:rtl/>
        </w:rPr>
        <w:t xml:space="preserve">إلزامية إعادة اختبار EMI Pre-Check عند كل تغيير في نوع الـ Driver أو أي تحديث في الدائرة الكهربائية، مع تسجيل النتائج في سجل EMI الخاص.</w:t>
      </w:r>
    </w:p>
    <w:p>
      <w:pPr>
        <w:bidi/>
        <w:jc w:val="right"/>
      </w:pPr>
      <w:r>
        <w:rPr>
          <w:rtl/>
          <w:bCs/>
          <w:b/>
        </w:rPr>
        <w:t xml:space="preserve">توثيق:</w:t>
      </w:r>
      <w:r>
        <w:rPr>
          <w:rtl/>
        </w:rPr>
        <w:t xml:space="preserve"> </w:t>
      </w:r>
      <w:r>
        <w:rPr>
          <w:rtl/>
        </w:rPr>
        <w:t xml:space="preserve">تسجيل نتائج فحص التفريغ الكهربائي الساكن (Décharge Électrostatique) يومياً في «سجل الجودة والسلامة».</w:t>
      </w:r>
    </w:p>
    <w:tbl>
      <w:tblPr>
        <w:tblStyle w:val="Table"/>
        <w:bidiVisual/>
        <w:tblW w:type="pct" w:w="5000"/>
        <w:tblLook w:firstRow="1" w:lastRow="0" w:firstColumn="0" w:lastColumn="0" w:noHBand="0" w:noVBand="0" w:val="0020"/>
        <w:jc w:val="right"/>
      </w:tblPr>
      <w:tblGrid>
        <w:gridCol w:w="2640"/>
        <w:gridCol w:w="2640"/>
        <w:gridCol w:w="264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الإجراء التقني</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الوتيرة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التكلفة (دج)</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فحص استمرارية وسلامة أساور المعصم للعمال</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يومياً</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فحص مقاومة سجاد التفريغ الكهربائي الساكن (Décharge Électrostatique) الأرضي وعوازل الطاولات</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أسبوعياً</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0</w:t>
            </w:r>
          </w:p>
        </w:tc>
      </w:tr>
      <w:tr>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إجمالي تكاليف الصيانة والحماية الدورية</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شهرياً</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0 دج (حماية ذاتية)</w:t>
            </w:r>
          </w:p>
        </w:tc>
      </w:tr>
    </w:tbl>
    <w:p>
      <w:pPr>
        <w:pBdr>
          <w:right w:val="single" w:sz="24" w:space="6" w:color="008080"/>
        </w:pBdr>
        <w:bidi/>
        <w:jc w:val="right"/>
      </w:pPr>
      <w:r>
        <w:rPr>
          <w:b/>
          <w:color w:val="008080"/>
          <w:sz w:val="25"/>
          <w:rtl/>
        </w:rPr>
        <w:t xml:space="preserve">5.1 منظومة الطاقة واستمرارية العمل (Power Utility)</w:t>
      </w:r>
    </w:p>
    <w:p>
      <w:pPr>
        <w:bidi/>
        <w:jc w:val="right"/>
      </w:pPr>
      <w:r>
        <w:rPr>
          <w:rtl/>
        </w:rPr>
        <w:t xml:space="preserve">المولد الاحتياطي (10 KVA ✔ مصحَّحة في V.9.5, راجع سجل التعارضات بعد الفصل 19): يعمل أوتوماتيكياً خلال 30 ثانية من انقطاع التيار، يغذي: الفرن، شفط الأبخرة، الإضاءة الأساسية. تشغيل تجريبي أسبوعياً لمدة 10 دقائق للتأكد من الجاهزية وفحص الزيت والوقود. فحص شهري لمستوى الزيت والوقود ومستوى ماء البطارية. يُنصح بنظام ATS (Automatic Transfer Switch) للتحويل التلقائي الآمن دون إيقاف الإنتاج.</w:t>
      </w:r>
    </w:p>
    <w:p>
      <w:pPr>
        <w:bidi/>
        <w:jc w:val="right"/>
      </w:pPr>
      <w:r>
        <w:rPr>
          <w:rtl/>
        </w:rPr>
        <w:t xml:space="preserve">منظم الجهد (Voltage Stabilizer 5000W): يُركَّب عند مدخل الكهرباء الرئيسي للحفاظ على 220V ±10%. يوضع قبل المولد والـ نظام الإمداد المتواصل بالطاقة (Alimentation Sans Interruption) لحماية جميع الآلات من الطفرات الكهربائية.</w:t>
      </w:r>
    </w:p>
    <w:p>
      <w:pPr>
        <w:bidi/>
        <w:jc w:val="right"/>
      </w:pPr>
      <w:r>
        <w:rPr>
          <w:rtl/>
        </w:rPr>
        <w:t xml:space="preserve">نظام نظام الإمداد المتواصل بالطاقة (Alimentation Sans Interruption) (Online Double Conversion): إلزامي لماكينة الليزر، محطات القياس (Testing Bench)، وأجهزة الكمبيوتر. النوع المطلوب: Online Double Conversion حصراً (المتوافق مع IEEE 446-1995). السبب التقني: الأجهزة الرخيصة (Offline) لا تحمي من تذبذب التردد عند تشغيل المولد؛ الـ Online Double Conversion يعيد إنتاج كهرباء نقية 100% ويزيل الطفرات (Voltage Spikes). اختبار بطاريات نظام الإمداد المتواصل بالطاقة (Alimentation Sans Interruption) كل 6 أشهر، والاستبدال كل 3 سنوات كحد أقصى (تكلفة ≈ 50,000 دج).</w:t>
      </w:r>
    </w:p>
    <w:p>
      <w:pPr>
        <w:bidi/>
        <w:jc w:val="right"/>
      </w:pPr>
      <w:r>
        <w:rPr>
          <w:rtl/>
          <w:bCs/>
          <w:b/>
        </w:rPr>
        <w:t xml:space="preserve">قواطع الحماية:</w:t>
      </w:r>
      <w:r>
        <w:rPr>
          <w:rtl/>
        </w:rPr>
        <w:t xml:space="preserve"> </w:t>
      </w:r>
      <w:r>
        <w:rPr>
          <w:rtl/>
        </w:rPr>
        <w:t xml:space="preserve">GFCI لمنع الصعق الكهربائي – إلزامية على محطات العمل. AFCI لمنع الحرائق الناتجة عن القوس الكهربائي.</w:t>
      </w:r>
    </w:p>
    <w:p>
      <w:pPr>
        <w:pBdr>
          <w:right w:val="single" w:sz="16" w:space="6" w:color="008080"/>
        </w:pBdr>
        <w:bidi/>
        <w:jc w:val="right"/>
      </w:pPr>
      <w:r>
        <w:rPr>
          <w:color w:val="008080"/>
          <w:sz w:val="23"/>
          <w:rtl/>
          <w:bCs/>
          <w:b/>
        </w:rPr>
        <w:t xml:space="preserve">خطة الطوارئ الكهربائية التدريجية:</w:t>
      </w:r>
    </w:p>
    <w:p>
      <w:pPr>
        <w:numPr>
          <w:ilvl w:val="0"/>
          <w:numId w:val="1005"/>
        </w:numPr>
        <w:bidi/>
        <w:jc w:val="right"/>
      </w:pPr>
      <w:r>
        <w:rPr>
          <w:rtl/>
        </w:rPr>
        <w:t xml:space="preserve">المرحلة 1: حماية الـ نظام الإمداد المتواصل بالطاقة (Alimentation Sans Interruption) اللحظية للأجهزة الحساسة لمدة 15 دقيقة (ليزر + قياس).</w:t>
      </w:r>
    </w:p>
    <w:p>
      <w:pPr>
        <w:numPr>
          <w:ilvl w:val="0"/>
          <w:numId w:val="1005"/>
        </w:numPr>
        <w:bidi/>
        <w:jc w:val="right"/>
      </w:pPr>
      <w:r>
        <w:rPr>
          <w:rtl/>
        </w:rPr>
        <w:t xml:space="preserve">المرحلة 2: تشغيل المولد (10 KVA) لتوفير طاقة تشغيل مستمرة لـ 8 ساعات (الفرن + الشفاطات + الإضاءة).</w:t>
      </w:r>
    </w:p>
    <w:p>
      <w:pPr>
        <w:numPr>
          <w:ilvl w:val="0"/>
          <w:numId w:val="1005"/>
        </w:numPr>
        <w:bidi/>
        <w:jc w:val="right"/>
      </w:pPr>
      <w:r>
        <w:rPr>
          <w:rtl/>
        </w:rPr>
        <w:t xml:space="preserve">المرحلة 3 (عند نفاد الوقود): التحول للحام اليدوي ومحطات العمل الثنائية، 50 وحدة/يوم + بيع من مخزون الأمان.</w:t>
      </w:r>
    </w:p>
    <w:p>
      <w:pPr>
        <w:bidi/>
        <w:jc w:val="right"/>
      </w:pPr>
      <w:r>
        <w:rPr>
          <w:rtl/>
          <w:bCs/>
          <w:b/>
        </w:rPr>
        <w:t xml:space="preserve">توثيق:</w:t>
      </w:r>
      <w:r>
        <w:rPr>
          <w:rtl/>
        </w:rPr>
        <w:t xml:space="preserve"> </w:t>
      </w:r>
      <w:r>
        <w:rPr>
          <w:rtl/>
        </w:rPr>
        <w:t xml:space="preserve">سجل خاص لصيانة الطاقة يشمل تاريخ تشغيل المولد، فحص البطاريات، وأي أعطال.</w:t>
      </w:r>
    </w:p>
    <w:p>
      <w:pPr>
        <w:pBdr>
          <w:right w:val="single" w:sz="24" w:space="6" w:color="008080"/>
        </w:pBdr>
        <w:bidi/>
        <w:jc w:val="right"/>
      </w:pPr>
      <w:r>
        <w:rPr>
          <w:b/>
          <w:color w:val="008080"/>
          <w:sz w:val="25"/>
          <w:rtl/>
        </w:rPr>
        <w:t xml:space="preserve">6.1 جدول التحقق اليومي لبيئة العمل (Daily Checklist + EMI Pre-Check)</w:t>
      </w:r>
    </w:p>
    <w:p>
      <w:pPr>
        <w:bidi/>
        <w:jc w:val="right"/>
      </w:pPr>
      <w:r>
        <w:rPr>
          <w:rtl/>
        </w:rPr>
        <w:t xml:space="preserve">يُعد تعبئة هذا الجدول صباح كل يوم عمل إجراءً سياديًا إلزاميًا قبل بدء أي إنتاج. يُعتبر هذا السجل وثيقة قانونية وتقنية تثبت التزام المصنع بمعايير ISO و IEC في كل وحدة منتجة.</w:t>
      </w:r>
    </w:p>
    <w:tbl>
      <w:tblPr>
        <w:tblStyle w:val="Table"/>
        <w:bidiVisual/>
        <w:tblW w:type="pct" w:w="5000"/>
        <w:tblLook w:firstRow="1" w:lastRow="0" w:firstColumn="0" w:lastColumn="0" w:noHBand="0" w:noVBand="0" w:val="0020"/>
        <w:jc w:val="right"/>
      </w:tblPr>
      <w:tblGrid>
        <w:gridCol w:w="1980"/>
        <w:gridCol w:w="1980"/>
        <w:gridCol w:w="1980"/>
        <w:gridCol w:w="198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رقم</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البند التنفيذي (Daily Checklist)</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الحالة (✓/✗)</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ملاحظات المشرف المسؤول</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معدات الوقاية الشخصية كاملة (معدات الوقاية الشخصية (Équipements de Protection Individuelle)) + اختبار سوار التفريغ الكهربائي الساكن (Décharge Électrostatique) (≈1MΩ)</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درجة حرارة الورشة ورطوبتها ضمن النطاق (18-30°C / &lt;60%)</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3</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نظام شفط الأبخرة ومصابيح الإضاءة الصناعية (500 lux) يعملان بكفاءة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4</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ضغط الهواء المستقر في الشبكة الرئيسية (6-8 بار)</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5</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المولد الاحتياطي (فحص الوقود ومستوى الزيت + تشغيل تجريبي 10 دقائق – أسبوعياً)</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6</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فلاتر نظام الهواء والغاز (Clean / غير مسدودة)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7</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صمام أمان الهواء (Safety Relief Valve) يعمل بسحب حلقة الاختبار (Test Ring)</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8</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عدم وجود تسريبات هواء أو زيوت هيدروليكية في الوصلات والمرابط</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9</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عدم وجود أصوات غريبة أو اهتزازات غير طبيعية في المكابس والآلات</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10</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خلو الأرضية من الزيوت والسوائل المنسكبة ومسارات الحركة نظيفة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11</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EMI Pre-Check: تشغيل 5 لمبات عشوائية قرب راديو AM، وحرارة الدريفر &lt; 70°C</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12</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QR Scan لآلات الورشة (تحديث سجل الصيانة الرقمي والباركود)</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p>
        </w:tc>
      </w:tr>
    </w:tbl>
    <w:p>
      <w:pPr>
        <w:bidi/>
        <w:jc w:val="right"/>
      </w:pPr>
      <w:r>
        <w:rPr>
          <w:rtl/>
        </w:rPr>
        <w:t xml:space="preserve">التوقيع: _______________ التاريخ: _______________</w:t>
      </w:r>
    </w:p>
    <w:p>
      <w:pPr>
        <w:pBdr>
          <w:right w:val="single" w:sz="24" w:space="6" w:color="008080"/>
        </w:pBdr>
        <w:bidi/>
        <w:jc w:val="right"/>
      </w:pPr>
      <w:r>
        <w:rPr>
          <w:b/>
          <w:color w:val="008080"/>
          <w:sz w:val="25"/>
          <w:rtl/>
        </w:rPr>
        <w:t xml:space="preserve">7.1 منظومة الهواء المضغوط (Pneumatic System)</w:t>
      </w:r>
    </w:p>
    <w:p>
      <w:pPr>
        <w:bidi/>
        <w:jc w:val="right"/>
      </w:pPr>
      <w:r>
        <w:rPr>
          <w:rtl/>
          <w:bCs/>
          <w:b/>
        </w:rPr>
        <w:t xml:space="preserve">المواصفات الفنية:</w:t>
      </w:r>
      <w:r>
        <w:rPr>
          <w:rtl/>
        </w:rPr>
        <w:t xml:space="preserve"> </w:t>
      </w:r>
      <w:r>
        <w:rPr>
          <w:rtl/>
        </w:rPr>
        <w:t xml:space="preserve">الضاغط المركزي سعة 300 لتر، ضغط تشغيل 8-10 بار، محرك 3 حصان. وحدة المعالجة (وحدة فلترة وتنظيم وتزييت الهواء المضغوط (Unité de Filtrage, Régulation et Lubrification)): تتكون من مجفف هواء (Air Dryer) + مرشحات دقيقة (5 ميكرون و0.01 ميكرون) + منظم ضغط + مزلّق زيت.</w:t>
      </w:r>
    </w:p>
    <w:p>
      <w:pPr>
        <w:bidi/>
        <w:jc w:val="right"/>
      </w:pPr>
      <w:r>
        <w:rPr>
          <w:rtl/>
          <w:bCs/>
          <w:b/>
        </w:rPr>
        <w:t xml:space="preserve">ضغوط التشغيل المعايرة:</w:t>
      </w:r>
      <w:r>
        <w:rPr>
          <w:rtl/>
        </w:rPr>
        <w:t xml:space="preserve"> </w:t>
      </w:r>
      <w:r>
        <w:rPr>
          <w:rtl/>
        </w:rPr>
        <w:t xml:space="preserve">ماكينة الكبس والبرشمة تضبط على 6 بار ثابت. آلة توزيع الغراء 4-5 بار ثابت.</w:t>
      </w:r>
    </w:p>
    <w:p>
      <w:pPr>
        <w:bidi/>
        <w:jc w:val="right"/>
      </w:pPr>
      <w:r>
        <w:rPr>
          <w:rtl/>
          <w:bCs/>
          <w:b/>
        </w:rPr>
        <w:t xml:space="preserve">معيار جودة الهواء:</w:t>
      </w:r>
      <w:r>
        <w:rPr>
          <w:rtl/>
        </w:rPr>
        <w:t xml:space="preserve"> </w:t>
      </w:r>
      <w:r>
        <w:rPr>
          <w:rtl/>
        </w:rPr>
        <w:t xml:space="preserve">الالتزام بمعيار ISO 8573-1 (Class 2.2.1 كحد أدنى) لضمان هواء خالٍ من الرطوبة، الجسيمات الدقيقة، والزيوت المتسربة.</w:t>
      </w:r>
    </w:p>
    <w:tbl>
      <w:tblPr>
        <w:tblStyle w:val="Table"/>
        <w:bidiVisual/>
        <w:tblW w:type="pct" w:w="5000"/>
        <w:tblLook w:firstRow="1" w:lastRow="0" w:firstColumn="0" w:lastColumn="0" w:noHBand="0" w:noVBand="0" w:val="0020"/>
        <w:jc w:val="right"/>
      </w:tblPr>
      <w:tblGrid>
        <w:gridCol w:w="1980"/>
        <w:gridCol w:w="1980"/>
        <w:gridCol w:w="1980"/>
        <w:gridCol w:w="198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عنصر الفحص</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التكرار</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القيمة المقبولة / الإجراء</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التكلفة (دج)</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ضغط الضاغط المركزي (Compressor)</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يومياً</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8-10 بار مستقر</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ضغط مدخل آلة الكبس</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يومياً</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6 بار ثابت</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0</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ضغط محقنة توزيع الغراء</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يومياً</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4-5 بار ثابت</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تفريغ الصرف وتكثف الرطوبة (Drainage)</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يومياً (صيفاً)</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تفريغ يدوي كامل لصمام خزان الرطوبة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0</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سلامة صمام الأمان (Safety Valve)</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أسبوعياً</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سحب حلقة الاختبار (Test Ring) يدوياً</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التسربات الميكانيكية في الوصلات الأنبوبية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أسبوعياً</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عدم وجود أي صوت تسريب أو تصفير بالشبكة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0</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زيت الضاغط والمكبس الهيدروليكي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كل 6 أشهر</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تغيير الزيت بالكامل (زيت هيدروليكي خفيف 32)</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1,500</w:t>
            </w:r>
          </w:p>
        </w:tc>
      </w:tr>
    </w:tbl>
    <w:p>
      <w:pPr>
        <w:pBdr>
          <w:right w:val="single" w:sz="24" w:space="6" w:color="008080"/>
        </w:pBdr>
        <w:bidi/>
        <w:jc w:val="right"/>
      </w:pPr>
      <w:r>
        <w:rPr>
          <w:b/>
          <w:color w:val="008080"/>
          <w:sz w:val="25"/>
          <w:rtl/>
        </w:rPr>
        <w:t xml:space="preserve">8.1 المعدات المساعدة، الأدوات اليدوية ووحدة الإمداد</w:t>
      </w:r>
    </w:p>
    <w:p>
      <w:pPr>
        <w:bidi/>
        <w:jc w:val="right"/>
      </w:pPr>
      <w:r>
        <w:rPr>
          <w:rtl/>
        </w:rPr>
        <w:t xml:space="preserve">أولا ً – تجهيزات محطات العمل: 4-6 طاولات صناعية مؤرضة (التفريغ الكهربائي الساكن (Décharge Électrostatique)-Safe) مزودة بإضاءة LED بيضاء (500 lux) ورفوف علوية. أدوات اللحام: 8 كاويات رئيسية (320-350°C) + 2 احتياطية، مع مشابك مساعدة (Helping Hands) لضمان دقة التجميع.</w:t>
      </w:r>
    </w:p>
    <w:p>
      <w:pPr>
        <w:bidi/>
        <w:jc w:val="right"/>
      </w:pPr>
      <w:r>
        <w:rPr>
          <w:rtl/>
        </w:rPr>
        <w:t xml:space="preserve">ثانيا ً – الأدوات اليدوية والصيانة (المهام اليومية): أطقم أدوات: مفكات دقيقة (Precision Set)، كماشات متنوعة (قاطعة، طويلة الأنف)، ومتعريات أسلاك متخصصة. أدوات التعامل مع الـ PCB: ملاقط التفريغ الكهربائي الساكن (Décharge Électrostatique) (مضادة للشحنات)، فرش تنظيف (Anti-Static)، ومضخة نزع اللحام (Desoldering Pump) مع فتائل نحاسية (Desoldering Wick) لتصحيح الأخطاء. مواد التنظيف: استهلاك دوري لمادة Isopropanol 99% لتنظيف المسارات الإلكترونية من بقايا اللحام (Flux).</w:t>
      </w:r>
    </w:p>
    <w:p>
      <w:pPr>
        <w:bidi/>
        <w:jc w:val="right"/>
      </w:pPr>
      <w:r>
        <w:rPr>
          <w:rtl/>
        </w:rPr>
        <w:t xml:space="preserve">ثالثا ً – السلامة والطوارئ (تكملة تخصصية): إسعافات أولية: حقيبة مخصصة تحتوي على مراهم وعلاجات فورية للحروق. حماية بيئية: سدادات أذن (Earplugs) للوقاية من ضوضاء الضاغط، وكمامات (N95/FFP2).</w:t>
      </w:r>
    </w:p>
    <w:tbl>
      <w:tblPr>
        <w:tblStyle w:val="Table"/>
        <w:bidiVisual/>
        <w:tblW w:type="pct" w:w="5000"/>
        <w:tblLook w:firstRow="1" w:lastRow="0" w:firstColumn="0" w:lastColumn="0" w:noHBand="0" w:noVBand="0" w:val="0020"/>
        <w:jc w:val="right"/>
      </w:tblPr>
      <w:tblGrid>
        <w:gridCol w:w="1980"/>
        <w:gridCol w:w="1980"/>
        <w:gridCol w:w="1980"/>
        <w:gridCol w:w="198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البند / الأداة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الوتيرة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الإجراء</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التكلفة (دج)</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طقم المفكات والدقة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كل 6 أشهر</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فحص الجاهزية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كماشات ومتعريات أسلاك</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كل 6 أشهر</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فحص العزل</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0</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ملاقط التفريغ الكهربائي الساكن (Décharge Électrostatique)</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عند التلف</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استبدال دوري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حسب الحاجة</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فتائل/مضخات نزع اللحام</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حسب الاستهلاك</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توفير مخزون استراتيجي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حسب الحاجة</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Isopropanol 99%</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شهرياً</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توفير 5 لتر/شهر</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حسب الحاجة</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معايرة الأجهزة (ISO 17025)</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سنوياً</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معايرة علمية معتمدة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(لم تُحدَّد القيمة في النص الأصلي)</w:t>
            </w:r>
          </w:p>
        </w:tc>
      </w:tr>
    </w:tbl>
    <w:p>
      <w:pPr>
        <w:bidi/>
        <w:jc w:val="right"/>
      </w:pPr>
      <w:r>
        <w:rPr>
          <w:rtl/>
        </w:rPr>
        <w:t xml:space="preserve">ملخص التكاليف التقديرية (للمشروع كاملاً)</w:t>
      </w:r>
    </w:p>
    <w:tbl>
      <w:tblPr>
        <w:tblStyle w:val="Table"/>
        <w:bidiVisual/>
        <w:tblW w:type="auto" w:w="0"/>
        <w:tblLook w:firstRow="1" w:lastRow="0" w:firstColumn="0" w:lastColumn="0" w:noHBand="0" w:noVBand="0" w:val="0020"/>
        <w:jc w:val="right"/>
      </w:tblPr>
      <w:tblGrid>
        <w:gridCol w:w="2640"/>
        <w:gridCol w:w="2640"/>
        <w:gridCol w:w="264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القسم</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التكلفة التقديرية (دج)</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الآلات الأساسية (6 آلات)</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3,378,500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قطع الغيار الأساسية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315,000</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3</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المكونات الإلكترونية والمواد الخام (مخزون 6 أشهر)</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1,790,000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4</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المعدات المساندة والملحقات الدقيقة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1,347,892</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5</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معدات السلامة والطوارئ واللوجستيك</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370,000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6</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مواد التغليف (مخزون تشغيلي لـ 6 أشهر)</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900,000</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7</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تكاليف التشغيل والإنتاج (مرحلة الانطلاق التجريبي)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805,000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8</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مصاريف التأسيس والتراخيص القانونية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50,000</w:t>
            </w:r>
          </w:p>
        </w:tc>
      </w:tr>
      <w:tr>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الإجمالي العام</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8,956,392 دج</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سقف التمويل المصرح به</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10,000,000 دج</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p>
        </w:tc>
      </w:tr>
    </w:tbl>
    <w:p>
      <w:pPr>
        <w:pBdr>
          <w:right w:val="single" w:sz="16" w:space="6" w:color="008080"/>
        </w:pBdr>
        <w:bidi/>
        <w:jc w:val="right"/>
      </w:pPr>
      <w:r>
        <w:rPr>
          <w:color w:val="008080"/>
          <w:sz w:val="23"/>
          <w:rtl/>
          <w:bCs/>
          <w:b/>
        </w:rPr>
        <w:t xml:space="preserve">تفصيل بند المعدات المساندة والملحقات الدقيقة (1,347,892 دج)</w:t>
      </w:r>
    </w:p>
    <w:tbl>
      <w:tblPr>
        <w:tblStyle w:val="Table"/>
        <w:bidiVisual/>
        <w:tblW w:type="auto" w:w="0"/>
        <w:tblLook w:firstRow="1" w:lastRow="0" w:firstColumn="0" w:lastColumn="0" w:noHBand="0" w:noVBand="0" w:val="0020"/>
        <w:jc w:val="right"/>
      </w:tblPr>
      <w:tblGrid>
        <w:gridCol w:w="3960"/>
        <w:gridCol w:w="396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المعدة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السعر (دج)</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ضاغط هواء + شبكة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270,000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طاولات صناعية (6)</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324,000</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كراسي صناعية (8)</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64,000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رفوف تخزين</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80,000</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خزائن كهربائية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150,000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أدوات قياس ومعايرة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120,000</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طاولة فحص QC</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60,000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مفكات هوائية وثابتة العزم</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160,000</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ملحقات دقيقة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119,892</w:t>
            </w:r>
          </w:p>
        </w:tc>
      </w:tr>
      <w:tr>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المجموع الفرعي</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1,347,892 دج</w:t>
            </w:r>
          </w:p>
        </w:tc>
      </w:tr>
    </w:tbl>
    <w:p>
      <w:pPr>
        <w:pBdr>
          <w:right w:val="single" w:sz="16" w:space="6" w:color="008080"/>
        </w:pBdr>
        <w:bidi/>
        <w:jc w:val="right"/>
      </w:pPr>
      <w:r>
        <w:rPr>
          <w:color w:val="008080"/>
          <w:sz w:val="23"/>
          <w:rtl/>
          <w:bCs/>
          <w:b/>
        </w:rPr>
        <w:t xml:space="preserve">تفصيل بند معدات السلامة والطوارئ واللوجستيك (370,000 دج)</w:t>
      </w:r>
    </w:p>
    <w:tbl>
      <w:tblPr>
        <w:tblStyle w:val="Table"/>
        <w:bidiVisual/>
        <w:tblW w:type="pct" w:w="5000"/>
        <w:tblLook w:firstRow="1" w:lastRow="0" w:firstColumn="0" w:lastColumn="0" w:noHBand="0" w:noVBand="0" w:val="0020"/>
        <w:jc w:val="right"/>
      </w:tblPr>
      <w:tblGrid>
        <w:gridCol w:w="3960"/>
        <w:gridCol w:w="396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الصنف</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السعر (دج)</w:t>
            </w:r>
          </w:p>
        </w:tc>
      </w:tr>
      <w:tr>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مولد كهرباء بسعة مقترحة 10 KVA ✔ محدَّثة في V.9.5 (راجع سجل التعارضات الرقمية والفنية أدناه — البند التالي لخاتمة الفصل التاسع عشر) — قدرة تخطيطية لا تقل عن 10 KVA بانتظار حساب الحمل الفعلي (Bilan de Puissance) النهائي قبل الشراء (كانت مدرَجة سابقاً سهواً بقدرة 3 kVA غير كافية لتشغيل الفرن وحمل الورشة)</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80,000 (سعر سوقي تقديري لمولد بهذه السعة، يستوجب تأكيداً بعرض سعر رسمي — الفارق عن السعر الأصلي 50,000 يُمتَص ضمن الهامش الأمني الاحتياطي 1,043,608 دج دون أي تغيير في الإجمالي العام المعتمد 8,956,392 دج)</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طفايات حريق CO₂</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100,000</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أدوات حماية شخصية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80,000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إضاءة طوارئ + إسعافات</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60,000</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سجادة التفريغ الكهربائي الساكن (Décharge Électrostatique)</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50,000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منطقة انتظار وتنظيم</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30,000</w:t>
            </w:r>
          </w:p>
        </w:tc>
      </w:tr>
      <w:tr>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المجموع الفرعي</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370,000 دج</w:t>
            </w:r>
          </w:p>
        </w:tc>
      </w:tr>
    </w:tbl>
    <w:p>
      <w:pPr>
        <w:pBdr>
          <w:right w:val="single" w:sz="16" w:space="6" w:color="008080"/>
        </w:pBdr>
        <w:bidi/>
        <w:jc w:val="right"/>
      </w:pPr>
      <w:r>
        <w:rPr>
          <w:color w:val="008080"/>
          <w:sz w:val="23"/>
          <w:rtl/>
          <w:bCs/>
          <w:b/>
        </w:rPr>
        <w:t xml:space="preserve">تفصيل بند مواد التغليف (900,000 دج)</w:t>
      </w:r>
    </w:p>
    <w:tbl>
      <w:tblPr>
        <w:tblStyle w:val="Table"/>
        <w:bidiVisual/>
        <w:tblW w:type="pct" w:w="5000"/>
        <w:tblLook w:firstRow="1" w:lastRow="0" w:firstColumn="0" w:lastColumn="0" w:noHBand="0" w:noVBand="0" w:val="0020"/>
        <w:jc w:val="right"/>
      </w:tblPr>
      <w:tblGrid>
        <w:gridCol w:w="3960"/>
        <w:gridCol w:w="396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المادة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السعر (دج)</w:t>
            </w:r>
          </w:p>
        </w:tc>
      </w:tr>
      <w:tr>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علب كرتونية فردية (150,000 عبوة) ✔ ملاحظة: الكمية تمثل الحد الأدنى للطلب (Quantité Minimale de Commande) المعتمد من المورد للحصول على أفضل سعر للوحدة، وتغطي فعلياً احتياج ما يقارب 2.5 سنة تشغيلية (بافتراض ~60,000 وحدة/سنة)، وليست مخصصة للسنة الأولى فقط — يُنصح بالتفاوض على تسليم مجزَّأ (Livraison Fractionnée) لتخفيف الضغط على السيولة رغم الشراء بالسعر الإجمالي المذكور</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600,000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كرتون شحن + حشوات + سيليكا جيل + ملصقات</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300,000</w:t>
            </w:r>
          </w:p>
        </w:tc>
      </w:tr>
      <w:tr>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المجموع الفرعي</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900,000 دج</w:t>
            </w:r>
          </w:p>
        </w:tc>
      </w:tr>
    </w:tbl>
    <w:p>
      <w:pPr>
        <w:pBdr>
          <w:right w:val="single" w:sz="16" w:space="6" w:color="008080"/>
        </w:pBdr>
        <w:bidi/>
        <w:jc w:val="right"/>
      </w:pPr>
      <w:r>
        <w:rPr>
          <w:color w:val="008080"/>
          <w:sz w:val="23"/>
          <w:rtl/>
          <w:bCs/>
          <w:b/>
        </w:rPr>
        <w:t xml:space="preserve">تفصيل بند تكاليف التشغيل والإنتاج – مرحلة الانطلاق التجريبي (805,000 دج)</w:t>
      </w:r>
    </w:p>
    <w:tbl>
      <w:tblPr>
        <w:tblStyle w:val="Table"/>
        <w:bidiVisual/>
        <w:tblW w:type="auto" w:w="0"/>
        <w:tblLook w:firstRow="1" w:lastRow="0" w:firstColumn="0" w:lastColumn="0" w:noHBand="0" w:noVBand="0" w:val="0020"/>
        <w:jc w:val="right"/>
      </w:tblPr>
      <w:tblGrid>
        <w:gridCol w:w="3960"/>
        <w:gridCol w:w="396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البند</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السعر (دج)</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إيجار المصنع والورشة (شهران)</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200,000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رواتب 8 عمال (شهر ونصف)</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420,000</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كهرباء صناعية (شهران)</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35,000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نقل ولوجستيك داخلي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150,000</w:t>
            </w:r>
          </w:p>
        </w:tc>
      </w:tr>
      <w:tr>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المجموع الفرعي</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805,000 دج</w:t>
            </w:r>
          </w:p>
        </w:tc>
      </w:tr>
    </w:tbl>
    <w:p>
      <w:pPr>
        <w:pBdr>
          <w:right w:val="single" w:sz="16" w:space="6" w:color="008080"/>
        </w:pBdr>
        <w:bidi/>
        <w:jc w:val="right"/>
      </w:pPr>
      <w:r>
        <w:rPr>
          <w:color w:val="008080"/>
          <w:sz w:val="23"/>
          <w:rtl/>
          <w:bCs/>
          <w:b/>
        </w:rPr>
        <w:t xml:space="preserve">تفصيل بند مصاريف التأسيس والتراخيص القانونية (50,000 دج)</w:t>
      </w:r>
    </w:p>
    <w:tbl>
      <w:tblPr>
        <w:tblStyle w:val="Table"/>
        <w:bidiVisual/>
        <w:tblW w:type="auto" w:w="0"/>
        <w:tblLook w:firstRow="1" w:lastRow="0" w:firstColumn="0" w:lastColumn="0" w:noHBand="0" w:noVBand="0" w:val="0020"/>
        <w:jc w:val="right"/>
      </w:tblPr>
      <w:tblGrid>
        <w:gridCol w:w="3960"/>
        <w:gridCol w:w="396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البند</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السعر (دج)</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سجل تجاري، توثيق، حماية مدنية، تأمين</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50,000</w:t>
            </w:r>
          </w:p>
        </w:tc>
      </w:tr>
    </w:tbl>
    <w:p>
      <w:pPr>
        <w:pBdr>
          <w:right w:val="single" w:sz="16" w:space="6" w:color="008080"/>
        </w:pBdr>
        <w:bidi/>
        <w:jc w:val="right"/>
      </w:pPr>
      <w:r>
        <w:rPr>
          <w:color w:val="008080"/>
          <w:sz w:val="23"/>
          <w:rtl/>
          <w:bCs/>
          <w:b/>
        </w:rPr>
        <w:t xml:space="preserve">تفصيل بند قطع الغيار الأساسية (315,000 دج)</w:t>
      </w:r>
    </w:p>
    <w:tbl>
      <w:tblPr>
        <w:tblStyle w:val="Table"/>
        <w:bidiVisual/>
        <w:tblW w:type="auto" w:w="0"/>
        <w:tblLook w:firstRow="1" w:lastRow="0" w:firstColumn="0" w:lastColumn="0" w:noHBand="0" w:noVBand="0" w:val="0020"/>
        <w:jc w:val="right"/>
      </w:tblPr>
      <w:tblGrid>
        <w:gridCol w:w="3960"/>
        <w:gridCol w:w="396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القطعة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السعر (دج)</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آلة متعددة الوظائف (مستشعرات، قوالب)</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50,000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ضاغط الهواء (فلاتر، زيوت)</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15,000</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آلة الغراء (إبر، خراطيش)</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50,000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فرن القصدير (عناصر تسخين)</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40,000</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آلة الكبس (رؤوس، حلقات)</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30,000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آلة الليزر (عدسات، مصدر ليزر)</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60,000</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آلة التلميع (أقراص، محامل)</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25,000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محطات لحام يدوي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45,000</w:t>
            </w:r>
          </w:p>
        </w:tc>
      </w:tr>
      <w:tr>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المجموع الفرعي</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315,000 دج</w:t>
            </w:r>
          </w:p>
        </w:tc>
      </w:tr>
    </w:tbl>
    <w:p>
      <w:pPr>
        <w:pBdr>
          <w:right w:val="single" w:sz="16" w:space="6" w:color="008080"/>
        </w:pBdr>
        <w:bidi/>
        <w:jc w:val="right"/>
      </w:pPr>
      <w:r>
        <w:rPr>
          <w:color w:val="008080"/>
          <w:sz w:val="23"/>
          <w:rtl/>
          <w:bCs/>
          <w:b/>
        </w:rPr>
        <w:t xml:space="preserve">ماكينات مستقبلية – مرحلة التوسع</w:t>
      </w:r>
    </w:p>
    <w:tbl>
      <w:tblPr>
        <w:tblStyle w:val="Table"/>
        <w:bidiVisual/>
        <w:tblW w:type="auto" w:w="0"/>
        <w:tblLook w:firstRow="1" w:lastRow="0" w:firstColumn="0" w:lastColumn="0" w:noHBand="0" w:noVBand="0" w:val="0020"/>
        <w:jc w:val="right"/>
      </w:tblPr>
      <w:tblGrid>
        <w:gridCol w:w="3960"/>
        <w:gridCol w:w="396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الماكينة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السعر التقديري (دج)</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ماكينة سنفرة أوتوماتيكية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405,000 – 810,000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ماكينة تغليف أوتوماتيكي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540,000 – 1,620,000</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ماكينة تلميع صناعي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600,000 – 810,000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خط إنتاج أوتوماتيكي إضافي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1,620,000 – 2,700,000</w:t>
            </w:r>
          </w:p>
        </w:tc>
      </w:tr>
    </w:tbl>
    <w:p>
      <w:pPr>
        <w:pBdr>
          <w:right w:val="single" w:sz="24" w:space="6" w:color="008080"/>
        </w:pBdr>
        <w:bidi/>
        <w:jc w:val="right"/>
      </w:pPr>
      <w:r>
        <w:rPr>
          <w:b/>
          <w:color w:val="008080"/>
          <w:sz w:val="25"/>
          <w:rtl/>
        </w:rPr>
        <w:t xml:space="preserve">9.1 استراتيجية التوريد والموردين</w:t>
      </w:r>
    </w:p>
    <w:p>
      <w:pPr>
        <w:bidi/>
        <w:jc w:val="right"/>
      </w:pPr>
      <w:r>
        <w:rPr>
          <w:rtl/>
        </w:rPr>
        <w:t xml:space="preserve">تعتمد استراتيجية التوريد لمشروع جَنَّة لايت على مبدأ التنويع بين الموردين المحليين لسرعة الاستجابة، والموردين الدوليين لضمان التكنولوجيا والجودة.</w:t>
      </w:r>
    </w:p>
    <w:p>
      <w:pPr>
        <w:bidi/>
        <w:jc w:val="right"/>
      </w:pPr>
      <w:r>
        <w:rPr>
          <w:rtl/>
        </w:rPr>
        <w:t xml:space="preserve">أولا ً – المرحلة الأولى (محلياً): مناطق الإمداد عبر ولايات العلمة، برج بوعريريج، والجزائر العاصمة لضمان استمرارية المخزون. التعاون مع مصانع البلاستيك المحلية مثل Rouiba Éclairage و VAM Electric و Ounelec لتوريد الأغطية (Diffusers) والقواعد. تعزيز الشراكات مع مصانع الرويبة، الحراش، وحسين داي لتأمين الملحقات البلاستيكية والأغلفة.</w:t>
      </w:r>
    </w:p>
    <w:p>
      <w:pPr>
        <w:bidi/>
        <w:jc w:val="right"/>
      </w:pPr>
      <w:r>
        <w:rPr>
          <w:rtl/>
        </w:rPr>
        <w:t xml:space="preserve">ثانيا ً – المرحلة الثانية (دولياً): المورد المقترح للآلات (✔ لم يُوقَّع أي عقد نهائي بعد؛ صياغة مصححة في V.9.5 لتفادي الإيحاء بالتزام تعاقدي قائم قبل بدء التمويل الفعلي): شركة Zhongshan Dashuo Intelligent Equipment Co., Ltd. – مدينة غوزين، مقاطعة غوانغدونغ، الصين. البريد الإلكتروني: dashuo@163.com — الموقع: www.dashuoled.com</w:t>
      </w:r>
    </w:p>
    <w:p>
      <w:pPr>
        <w:bidi/>
        <w:jc w:val="right"/>
      </w:pPr>
      <w:r>
        <w:rPr>
          <w:rtl/>
        </w:rPr>
        <w:t xml:space="preserve">ثالثا ً – الخيار الاستراتيجي المستقبلي (للتوسع): المورد البديل/المستقبلي: شركة Kinglan Press (Zhejiang Jinaolan Machine Tool Co., Ltd.). البريد الإلكتروني: sales@kinglanpress.com — الموقع: www.kinglanpress.com</w:t>
      </w:r>
      <w:r>
        <w:rPr>
          <w:rtl/>
        </w:rPr>
        <w:t xml:space="preserve"> </w:t>
      </w:r>
      <w:r>
        <w:rPr>
          <w:rtl/>
        </w:rPr>
        <w:t xml:space="preserve">أرقام التواصل: +86-571-88988111 / +86-21-5410-0878</w:t>
      </w:r>
    </w:p>
    <w:p>
      <w:pPr>
        <w:pBdr>
          <w:right w:val="single" w:sz="24" w:space="6" w:color="008080"/>
        </w:pBdr>
        <w:bidi/>
        <w:jc w:val="right"/>
      </w:pPr>
      <w:r>
        <w:rPr>
          <w:b/>
          <w:color w:val="008080"/>
          <w:sz w:val="25"/>
          <w:rtl/>
        </w:rPr>
        <w:t xml:space="preserve">10.1 إدارة المخزون الذكي</w:t>
      </w:r>
    </w:p>
    <w:p>
      <w:pPr>
        <w:bidi/>
        <w:jc w:val="right"/>
      </w:pPr>
      <w:r>
        <w:rPr>
          <w:rtl/>
          <w:bCs/>
          <w:b/>
        </w:rPr>
        <w:t xml:space="preserve">المبدأ:</w:t>
      </w:r>
      <w:r>
        <w:rPr>
          <w:rtl/>
        </w:rPr>
        <w:t xml:space="preserve"> </w:t>
      </w:r>
      <w:r>
        <w:rPr>
          <w:rtl/>
        </w:rPr>
        <w:t xml:space="preserve">نظام قاعدة أقدم دخولاً أول خروجاً (Premier Entré, Premier Sorti) – «ما يدخل أولاً يُصنع أولاً».</w:t>
      </w:r>
    </w:p>
    <w:p>
      <w:pPr>
        <w:bidi/>
        <w:jc w:val="right"/>
      </w:pPr>
      <w:r>
        <w:rPr>
          <w:rtl/>
          <w:bCs/>
          <w:b/>
        </w:rPr>
        <w:t xml:space="preserve">التتبع الرقمي:</w:t>
      </w:r>
      <w:r>
        <w:rPr>
          <w:rtl/>
        </w:rPr>
        <w:t xml:space="preserve"> </w:t>
      </w:r>
      <w:r>
        <w:rPr>
          <w:rtl/>
        </w:rPr>
        <w:t xml:space="preserve">تسجيل رقم الدفعة (Batch Number) وتواريخ الاستلام والفتح.</w:t>
      </w:r>
    </w:p>
    <w:p>
      <w:pPr>
        <w:bidi/>
        <w:jc w:val="right"/>
      </w:pPr>
      <w:r>
        <w:rPr>
          <w:rtl/>
          <w:bCs/>
          <w:b/>
        </w:rPr>
        <w:t xml:space="preserve">تخزين المكونات الحساسة:</w:t>
      </w:r>
      <w:r>
        <w:rPr>
          <w:rtl/>
        </w:rPr>
        <w:t xml:space="preserve"> </w:t>
      </w:r>
      <w:r>
        <w:rPr>
          <w:rtl/>
        </w:rPr>
        <w:t xml:space="preserve">في أكياس Moisture Barrier مع أكياس Silica Gel. درجة حرارة التخزين 20-25°C، والرطوبة ≤ 60%.</w:t>
      </w:r>
    </w:p>
    <w:p>
      <w:pPr>
        <w:bidi/>
        <w:jc w:val="right"/>
      </w:pPr>
      <w:r>
        <w:rPr>
          <w:rtl/>
          <w:bCs/>
          <w:b/>
        </w:rPr>
        <w:t xml:space="preserve">إعادة الطلب:</w:t>
      </w:r>
      <w:r>
        <w:rPr>
          <w:rtl/>
        </w:rPr>
        <w:t xml:space="preserve"> </w:t>
      </w:r>
      <w:r>
        <w:rPr>
          <w:rtl/>
        </w:rPr>
        <w:t xml:space="preserve">عند وصول المخزون لـ 20% من الكمية القصوى. الجرد الدوري شهرياً.</w:t>
      </w:r>
    </w:p>
    <w:p>
      <w:pPr>
        <w:bidi/>
        <w:jc w:val="right"/>
      </w:pPr>
      <w:r>
        <w:rPr>
          <w:rtl/>
        </w:rPr>
        <w:t xml:space="preserve">فحص Silica Gel شهريا ً: إذا تحوّل اللون من الأزرق للوردي = تشبع بالرطوبة → تنشيط في الفرن 120°C ساعة. استبدال كامل كل 6 أشهر.</w:t>
      </w:r>
    </w:p>
    <w:p>
      <w:pPr>
        <w:pBdr>
          <w:right w:val="single" w:sz="24" w:space="6" w:color="008080"/>
        </w:pBdr>
        <w:bidi/>
        <w:jc w:val="right"/>
      </w:pPr>
      <w:r>
        <w:rPr>
          <w:b/>
          <w:color w:val="008080"/>
          <w:sz w:val="25"/>
          <w:rtl/>
        </w:rPr>
        <w:t xml:space="preserve">11.1 خطة الصيانة الوقائية العامة</w:t>
      </w:r>
    </w:p>
    <w:tbl>
      <w:tblPr>
        <w:tblStyle w:val="Table"/>
        <w:bidiVisual/>
        <w:tblW w:type="pct" w:w="5000"/>
        <w:tblLook w:firstRow="1" w:lastRow="0" w:firstColumn="0" w:lastColumn="0" w:noHBand="0" w:noVBand="0" w:val="0020"/>
        <w:jc w:val="right"/>
      </w:tblPr>
      <w:tblGrid>
        <w:gridCol w:w="2640"/>
        <w:gridCol w:w="2640"/>
        <w:gridCol w:w="264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الإجراء التقني</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الوتيرة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التكلفة (دج)</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تنظيف الحوض من بقايا القصدير وإزالة الشوائب</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أسبوعياً</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1,000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قشط الأكسيد وتنظيف سطح حوض القصدير (Écrémage des Scories)</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أسبوعياً</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1,000</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معايرة حساس الحرارة والتحقق من دقة الاستجابة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شهرياً</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2,000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فحص نظام سحب الأبخرة والفلتر الواقي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شهرياً</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1,500</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فحص التأريض الكهربائي (Vérification de la Mise à la Terre)</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شهرياً</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500</w:t>
            </w:r>
          </w:p>
        </w:tc>
      </w:tr>
      <w:tr>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إجمالي تكاليف الصيانة الدورية</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شهرياً</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6,000 دج</w:t>
            </w:r>
          </w:p>
        </w:tc>
      </w:tr>
    </w:tbl>
    <w:p>
      <w:pPr>
        <w:bidi/>
        <w:jc w:val="right"/>
      </w:pPr>
    </w:p>
    <w:tbl>
      <w:tblPr>
        <w:tblStyle w:val="Table"/>
        <w:bidiVisual/>
        <w:tblW w:type="pct" w:w="500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E9EDF2"/>
          </w:tcPr>
          <w:p>
            <w:pPr>
              <w:pStyle w:val="Compact"/>
              <w:bidi/>
              <w:jc w:val="right"/>
            </w:pPr>
            <w:r>
              <w:rPr>
                <w:color w:val="0D3B66"/>
                <w:sz w:val="29"/>
                <w:rtl/>
                <w:bCs/>
                <w:b/>
              </w:rPr>
              <w:t xml:space="preserve">الباب الثاني: استراتيجية الإنتاج والجدول الزمني (خطة السنة الأولى)</w:t>
            </w:r>
          </w:p>
        </w:tc>
      </w:tr>
    </w:tbl>
    <w:p>
      <w:pPr>
        <w:pBdr>
          <w:right w:val="single" w:sz="24" w:space="6" w:color="008080"/>
        </w:pBdr>
        <w:bidi/>
        <w:jc w:val="right"/>
      </w:pPr>
      <w:r>
        <w:rPr>
          <w:b/>
          <w:color w:val="008080"/>
          <w:sz w:val="25"/>
          <w:rtl/>
        </w:rPr>
        <w:t xml:space="preserve">2.1 الهدف الاستراتيجي وتحديد المنتج</w:t>
      </w:r>
    </w:p>
    <w:p>
      <w:pPr>
        <w:bidi/>
        <w:jc w:val="right"/>
      </w:pPr>
      <w:r>
        <w:rPr>
          <w:rtl/>
          <w:bCs/>
          <w:b/>
        </w:rPr>
        <w:t xml:space="preserve">تخصص الإنتاج:</w:t>
      </w:r>
      <w:r>
        <w:rPr>
          <w:rtl/>
        </w:rPr>
        <w:t xml:space="preserve"> </w:t>
      </w:r>
      <w:r>
        <w:rPr>
          <w:rtl/>
        </w:rPr>
        <w:t xml:space="preserve">التركيز الحصري في السنة الأولى على المصابيح الكروية (LED Bulbs) بقدرات 9W، 12W، 18W.</w:t>
      </w:r>
    </w:p>
    <w:p>
      <w:pPr>
        <w:bidi/>
        <w:jc w:val="right"/>
      </w:pPr>
      <w:r>
        <w:rPr>
          <w:rtl/>
          <w:bCs/>
          <w:b/>
        </w:rPr>
        <w:t xml:space="preserve">الهدف التراكمي:</w:t>
      </w:r>
      <w:r>
        <w:rPr>
          <w:rtl/>
        </w:rPr>
        <w:t xml:space="preserve"> </w:t>
      </w:r>
      <w:r>
        <w:rPr>
          <w:rtl/>
        </w:rPr>
        <w:t xml:space="preserve">60,000 وحدة بنهاية السنة الأولى.</w:t>
      </w:r>
    </w:p>
    <w:p>
      <w:pPr>
        <w:bidi/>
        <w:jc w:val="right"/>
      </w:pPr>
      <w:r>
        <w:rPr>
          <w:rtl/>
        </w:rPr>
        <w:t xml:space="preserve">مخزون الأمان (Buffer Stock): الحفاظ الدائم على 5,000 وحدة PCB جاهزة لضمان استمرارية التوريد والبيع شهراً كاملاً.</w:t>
      </w:r>
    </w:p>
    <w:p>
      <w:pPr>
        <w:bidi/>
        <w:jc w:val="right"/>
      </w:pPr>
      <w:r>
        <w:rPr>
          <w:rtl/>
          <w:bCs/>
          <w:b/>
        </w:rPr>
        <w:t xml:space="preserve">الرقابة المالية:</w:t>
      </w:r>
      <w:r>
        <w:rPr>
          <w:rtl/>
        </w:rPr>
        <w:t xml:space="preserve"> </w:t>
      </w:r>
      <w:r>
        <w:rPr>
          <w:rtl/>
        </w:rPr>
        <w:t xml:space="preserve">ربط الإنتاج الشهري بتكلفة المواد الخام مع تسجيل سعر التكلفة للوحدة شهرياً في السجل المالي الداخلي.</w:t>
      </w:r>
    </w:p>
    <w:p>
      <w:pPr>
        <w:pBdr>
          <w:right w:val="single" w:sz="24" w:space="6" w:color="008080"/>
        </w:pBdr>
        <w:bidi/>
        <w:jc w:val="right"/>
      </w:pPr>
      <w:r>
        <w:rPr>
          <w:b/>
          <w:color w:val="008080"/>
          <w:sz w:val="25"/>
          <w:rtl/>
        </w:rPr>
        <w:t xml:space="preserve">2.2 مراحل التصعيد الإنتاجي الشهري</w:t>
      </w:r>
    </w:p>
    <w:tbl>
      <w:tblPr>
        <w:tblStyle w:val="Table"/>
        <w:bidiVisual/>
        <w:tblW w:type="pct" w:w="5000"/>
        <w:tblLook w:firstRow="1" w:lastRow="0" w:firstColumn="0" w:lastColumn="0" w:noHBand="0" w:noVBand="0" w:val="0020"/>
        <w:jc w:val="right"/>
      </w:tblPr>
      <w:tblGrid>
        <w:gridCol w:w="2640"/>
        <w:gridCol w:w="2640"/>
        <w:gridCol w:w="264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الشهر</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الإنتاج المستهدف (وحدة)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المرحلة / الملاحظة</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3,000</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تعلم، أخطاء، ضبط الآلات، بناء مخزون الأمان (Stock Tampon)</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3,500</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استمرار مرحلة التأسيس والضبط</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3</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4,000</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مرحلة التعلم والضبط — نهاية الربع الأول</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4</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4,500</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مرحلة الاستقرار التشغيلي</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5</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5,000</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تراكمي: 20,000 وحدة</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6</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5,000</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نهاية النصف الأول: 25,000 وحدة تراكمية</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7</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5,000</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مرحلة الكفاءة المتصاعدة</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8</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5,500</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9</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5,500</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10</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5,500</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11</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6,000</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12</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7,000</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الهدف السنوي الإجمالي: 60,000 وحدة</w:t>
            </w:r>
          </w:p>
        </w:tc>
      </w:tr>
      <w:tr>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المجموع</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60,000</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3,000+3,500+4,000+4,500+5,000+5,000+5,000+5,500+5,500+5,500+6,000+7,000 = 60,000 ✓</w:t>
            </w:r>
          </w:p>
        </w:tc>
      </w:tr>
    </w:tbl>
    <w:p>
      <w:pPr>
        <w:pBdr>
          <w:right w:val="single" w:sz="24" w:space="6" w:color="008080"/>
        </w:pBdr>
        <w:bidi/>
        <w:jc w:val="right"/>
      </w:pPr>
      <w:r>
        <w:rPr>
          <w:b/>
          <w:color w:val="008080"/>
          <w:sz w:val="25"/>
          <w:rtl/>
        </w:rPr>
        <w:t xml:space="preserve">3.2 إدارة الموارد البشرية ورفع الكفاءة</w:t>
      </w:r>
    </w:p>
    <w:p>
      <w:pPr>
        <w:bidi/>
        <w:jc w:val="right"/>
      </w:pPr>
      <w:r>
        <w:rPr>
          <w:rtl/>
          <w:bCs/>
          <w:b/>
        </w:rPr>
        <w:t xml:space="preserve">الطاقة الحالية:</w:t>
      </w:r>
      <w:r>
        <w:rPr>
          <w:rtl/>
        </w:rPr>
        <w:t xml:space="preserve"> </w:t>
      </w:r>
      <w:r>
        <w:rPr>
          <w:rtl/>
        </w:rPr>
        <w:t xml:space="preserve">7 عمال × 30 وحدة/يوم = 210 وحدة/يوم إجمالاً.</w:t>
      </w:r>
    </w:p>
    <w:p>
      <w:pPr>
        <w:bidi/>
        <w:jc w:val="right"/>
      </w:pPr>
      <w:r>
        <w:rPr>
          <w:rtl/>
          <w:bCs/>
          <w:b/>
        </w:rPr>
        <w:t xml:space="preserve">الهدف:</w:t>
      </w:r>
      <w:r>
        <w:rPr>
          <w:rtl/>
        </w:rPr>
        <w:t xml:space="preserve"> </w:t>
      </w:r>
      <w:r>
        <w:rPr>
          <w:rtl/>
        </w:rPr>
        <w:t xml:space="preserve">رفع الطاقة إلى 400 وحدة/يوم وفق التخصص الوظيفي: فريق خط PCB + فريق التجميع النهائي. التدرج الزمني: رفع تدريجي على مدى 3 أشهر لتفادي ثغرات الجودة.</w:t>
      </w:r>
    </w:p>
    <w:p>
      <w:pPr>
        <w:bidi/>
        <w:jc w:val="right"/>
      </w:pPr>
      <w:r>
        <w:rPr>
          <w:rtl/>
          <w:bCs/>
          <w:b/>
        </w:rPr>
        <w:t xml:space="preserve">تحديث V.9.5 — إعادة صياغة تخطيطية (المشروع لم يبدأ الإنتاج الفعلي بعد):</w:t>
      </w:r>
      <w:r>
        <w:rPr>
          <w:rtl/>
        </w:rPr>
        <w:t xml:space="preserve"> </w:t>
      </w:r>
      <w:r>
        <w:rPr>
          <w:rtl/>
        </w:rPr>
        <w:t xml:space="preserve">الرقم 210 وحدة/يوم أعلاه يبقى كما هو دون حذف، ويُقرأ كطرف أدنى ضمن</w:t>
      </w:r>
      <w:r>
        <w:rPr>
          <w:rtl/>
        </w:rPr>
        <w:t xml:space="preserve"> </w:t>
      </w:r>
      <w:r>
        <w:rPr>
          <w:rtl/>
          <w:bCs/>
          <w:b/>
        </w:rPr>
        <w:t xml:space="preserve">نطاق مستهدف تخطيطي 210-250 وحدة/يوم لمرحلة الانطلاق</w:t>
      </w:r>
      <w:r>
        <w:rPr>
          <w:rtl/>
        </w:rPr>
        <w:t xml:space="preserve"> </w:t>
      </w:r>
      <w:r>
        <w:rPr>
          <w:rtl/>
        </w:rPr>
        <w:t xml:space="preserve">(وليس رقماً فعلياً مقاساً، لعدم بدء الإنتاج بعد)؛ الطرف الأعلى 250 وحدة/يوم يعكس هامش تحسن طبيعي في منحنى تعلّم العمال الجدد (Courbe d’Apprentissage) خلال أول 2-3 أشهر تشغيل دون أي تغيير في عدد العمال أو الآلات.</w:t>
      </w:r>
      <w:r>
        <w:rPr>
          <w:rtl/>
        </w:rPr>
        <w:t xml:space="preserve"> </w:t>
      </w:r>
      <w:r>
        <w:rPr>
          <w:rtl/>
          <w:bCs/>
          <w:b/>
        </w:rPr>
        <w:t xml:space="preserve">توضيح منهجي — الربط بين 210-250 و400 وحدة/يوم:</w:t>
      </w:r>
      <w:r>
        <w:rPr>
          <w:rtl/>
        </w:rPr>
        <w:t xml:space="preserve"> </w:t>
      </w:r>
      <w:r>
        <w:rPr>
          <w:rtl/>
        </w:rPr>
        <w:t xml:space="preserve">الرقم 210-250 وحدة/يوم يمثل الطاقة الأساسية المخطَّطة بوردية واحدة (8 ساعات) و7 عمال إنتاج مباشرين (البند 6.1). بافتراض ≈ 25 يوم عمل شهرياً، يغطي هذا وحده 5,250-6,250 وحدة/شهر، وهو ما يطابق فعلياً مستهدفات الأشهر الأولى في جدول التصعيد الإنتاجي (البند 2.2: 3,000-5,000 وحدة/شهر) بل يتجاوزها بهامش أمان. أما رقم 400 وحدة/يوم فهو</w:t>
      </w:r>
      <w:r>
        <w:rPr>
          <w:rtl/>
        </w:rPr>
        <w:t xml:space="preserve"> </w:t>
      </w:r>
      <w:r>
        <w:rPr>
          <w:rtl/>
          <w:bCs/>
          <w:b/>
        </w:rPr>
        <w:t xml:space="preserve">مستهدف توسعي (سقف تخطيطي) وليس حداً أدنى إلزامياً في السنة الأولى</w:t>
      </w:r>
      <w:r>
        <w:rPr>
          <w:rtl/>
        </w:rPr>
        <w:t xml:space="preserve">، يُبلَغ تدريجياً عبر مكسب الكفاءة الناتج عن التخصص الوظيفي (فريق PCB منفصل عن فريق التجميع النهائي، البند 6.2) — لا عبر زيادة عدد العمال أو إضافة وردية ثانية في هذه المرحلة. هذا السقف يوفر هامش أمان لاستيعاب ذروة الطلبات الخاصة (البند 5.2) أو تعويض أيام التوقف، بينما الهدف السنوي 60,000 وحدة يتحقق أصلاً عند معدل فعلي أقرب إلى 210-290 وحدة/يوم وفق جدول 2.2 الفعلي. أي تجاوز لسقف 400 (كإضافة وردية مسائية ثانية، المذكورة كخيار في البند 6.2) يبقى قراراً مرحلياً لاحقاً (السنة 2 فما فوق) ولا يُدرَج ضمن ميزانية أو تخطيط السنة الأولى.</w:t>
      </w:r>
      <w:r>
        <w:rPr>
          <w:rtl/>
        </w:rPr>
        <w:t xml:space="preserve"> </w:t>
      </w:r>
      <w:r>
        <w:rPr>
          <w:rtl/>
          <w:bCs/>
          <w:b/>
        </w:rPr>
        <w:t xml:space="preserve">جميع الأرقام التشغيلية المذكورة في هذا البند وما يليه هي أهداف تخطيطية تخضع للمراجعة الإلزامية فور بدء الإنتاج الفعلي (راجع البند 25.1: سجل المراجعة السنوية)، وليست أرقاماً فعلية مؤكدة.</w:t>
      </w:r>
    </w:p>
    <w:p>
      <w:pPr>
        <w:bidi/>
        <w:jc w:val="right"/>
      </w:pPr>
      <w:r>
        <w:rPr>
          <w:rtl/>
          <w:bCs/>
          <w:b/>
        </w:rPr>
        <w:t xml:space="preserve">نظام الساعات الإضافية:</w:t>
      </w:r>
      <w:r>
        <w:rPr>
          <w:rtl/>
        </w:rPr>
        <w:t xml:space="preserve"> </w:t>
      </w:r>
      <w:r>
        <w:rPr>
          <w:rtl/>
        </w:rPr>
        <w:t xml:space="preserve">تفعيل منظم لمواجهة ذروة الطلب.</w:t>
      </w:r>
    </w:p>
    <w:p>
      <w:pPr>
        <w:bidi/>
        <w:jc w:val="right"/>
      </w:pPr>
      <w:r>
        <w:rPr>
          <w:rtl/>
          <w:bCs/>
          <w:b/>
        </w:rPr>
        <w:t xml:space="preserve">نظام المتابعة:</w:t>
      </w:r>
      <w:r>
        <w:rPr>
          <w:rtl/>
        </w:rPr>
        <w:t xml:space="preserve"> </w:t>
      </w:r>
      <w:r>
        <w:rPr>
          <w:rtl/>
        </w:rPr>
        <w:t xml:space="preserve">بطاقات أداء يومية تُجمع أسبوعياً مع تحليل مسببات التباطؤ.</w:t>
      </w:r>
    </w:p>
    <w:p>
      <w:pPr>
        <w:pBdr>
          <w:right w:val="single" w:sz="24" w:space="6" w:color="008080"/>
        </w:pBdr>
        <w:bidi/>
        <w:jc w:val="right"/>
      </w:pPr>
      <w:r>
        <w:rPr>
          <w:b/>
          <w:color w:val="008080"/>
          <w:sz w:val="25"/>
          <w:rtl/>
        </w:rPr>
        <w:t xml:space="preserve">4.2 إدارة الأعطال والإيقافات (Downtime Management)</w:t>
      </w:r>
    </w:p>
    <w:p>
      <w:pPr>
        <w:bidi/>
        <w:jc w:val="right"/>
      </w:pPr>
      <w:r>
        <w:rPr>
          <w:rtl/>
          <w:bCs/>
          <w:b/>
        </w:rPr>
        <w:t xml:space="preserve">التوثيق:</w:t>
      </w:r>
      <w:r>
        <w:rPr>
          <w:rtl/>
        </w:rPr>
        <w:t xml:space="preserve"> </w:t>
      </w:r>
      <w:r>
        <w:rPr>
          <w:rtl/>
        </w:rPr>
        <w:t xml:space="preserve">أي توقف يتجاوز 30 دقيقة يوثَّق مع ذكر السبب (تقني / بشري / بيئي / مورد).</w:t>
      </w:r>
    </w:p>
    <w:p>
      <w:pPr>
        <w:bidi/>
        <w:jc w:val="right"/>
      </w:pPr>
      <w:r>
        <w:rPr>
          <w:rtl/>
          <w:bCs/>
          <w:b/>
        </w:rPr>
        <w:t xml:space="preserve">الاستجابة:</w:t>
      </w:r>
      <w:r>
        <w:rPr>
          <w:rtl/>
        </w:rPr>
        <w:t xml:space="preserve"> </w:t>
      </w:r>
      <w:r>
        <w:rPr>
          <w:rtl/>
        </w:rPr>
        <w:t xml:space="preserve">تسجيل وقت بداية العطل ووقت التدخل بالدقائق لتقييم سرعة الاستجابة.</w:t>
      </w:r>
    </w:p>
    <w:p>
      <w:pPr>
        <w:bidi/>
        <w:jc w:val="right"/>
      </w:pPr>
      <w:r>
        <w:rPr>
          <w:rtl/>
          <w:bCs/>
          <w:b/>
        </w:rPr>
        <w:t xml:space="preserve">التصنيف:</w:t>
      </w:r>
      <w:r>
        <w:rPr>
          <w:rtl/>
        </w:rPr>
        <w:t xml:space="preserve"> </w:t>
      </w:r>
      <w:r>
        <w:rPr>
          <w:rtl/>
        </w:rPr>
        <w:t xml:space="preserve">تصنيف الأعطال باستخدام مخطط Ishikawa (آلة، إنسان، مادة، بيئة).</w:t>
      </w:r>
    </w:p>
    <w:p>
      <w:pPr>
        <w:bidi/>
        <w:jc w:val="right"/>
      </w:pPr>
      <w:r>
        <w:rPr>
          <w:rtl/>
          <w:bCs/>
          <w:b/>
        </w:rPr>
        <w:t xml:space="preserve">التحليل:</w:t>
      </w:r>
      <w:r>
        <w:rPr>
          <w:rtl/>
        </w:rPr>
        <w:t xml:space="preserve"> </w:t>
      </w:r>
      <w:r>
        <w:rPr>
          <w:rtl/>
        </w:rPr>
        <w:t xml:space="preserve">استخدام منهجية «5 Whys» للوصول إلى السبب الجذري.</w:t>
      </w:r>
    </w:p>
    <w:p>
      <w:pPr>
        <w:bidi/>
        <w:jc w:val="right"/>
      </w:pPr>
      <w:r>
        <w:rPr>
          <w:rtl/>
          <w:bCs/>
          <w:b/>
        </w:rPr>
        <w:t xml:space="preserve">الإجراء التصحيحي الفوري:</w:t>
      </w:r>
      <w:r>
        <w:rPr>
          <w:rtl/>
        </w:rPr>
        <w:t xml:space="preserve"> </w:t>
      </w:r>
      <w:r>
        <w:rPr>
          <w:rtl/>
        </w:rPr>
        <w:t xml:space="preserve">إيقاف الخط، عزل الدفعة، والإصلاح اليدوي عند الحاجة.</w:t>
      </w:r>
    </w:p>
    <w:p>
      <w:pPr>
        <w:bidi/>
        <w:jc w:val="right"/>
      </w:pPr>
      <w:r>
        <w:rPr>
          <w:rtl/>
          <w:bCs/>
          <w:b/>
        </w:rPr>
        <w:t xml:space="preserve">الإجراءات الوقائية:</w:t>
      </w:r>
      <w:r>
        <w:rPr>
          <w:rtl/>
        </w:rPr>
        <w:t xml:space="preserve"> </w:t>
      </w:r>
      <w:r>
        <w:rPr>
          <w:rtl/>
        </w:rPr>
        <w:t xml:space="preserve">تحديث إجراءات العمل القياسية (تعليمات التشغيل القياسية (Instructions de Travail Standardisées))، تدريب العمال، مراجعة الموردين، وتحسين خطة الصيانة.</w:t>
      </w:r>
    </w:p>
    <w:p>
      <w:pPr>
        <w:bidi/>
        <w:jc w:val="right"/>
      </w:pPr>
      <w:r>
        <w:rPr>
          <w:rtl/>
          <w:bCs/>
          <w:b/>
        </w:rPr>
        <w:t xml:space="preserve">التحليل الدوري:</w:t>
      </w:r>
      <w:r>
        <w:rPr>
          <w:rtl/>
        </w:rPr>
        <w:t xml:space="preserve"> </w:t>
      </w:r>
      <w:r>
        <w:rPr>
          <w:rtl/>
        </w:rPr>
        <w:t xml:space="preserve">مراجعة سجل الأعطال شهرياً، عقد اجتماع «الدروس المستفادة»، وتحديث خطة الصيانة.</w:t>
      </w:r>
    </w:p>
    <w:p>
      <w:pPr>
        <w:pBdr>
          <w:right w:val="single" w:sz="24" w:space="6" w:color="008080"/>
        </w:pBdr>
        <w:bidi/>
        <w:jc w:val="right"/>
      </w:pPr>
      <w:r>
        <w:rPr>
          <w:b/>
          <w:color w:val="008080"/>
          <w:sz w:val="25"/>
          <w:rtl/>
        </w:rPr>
        <w:t xml:space="preserve">5.2 سياسة الطلبات الخاصة ومرونة الخط</w:t>
      </w:r>
    </w:p>
    <w:p>
      <w:pPr>
        <w:bidi/>
        <w:jc w:val="right"/>
      </w:pPr>
      <w:r>
        <w:rPr>
          <w:rtl/>
          <w:bCs/>
          <w:b/>
        </w:rPr>
        <w:t xml:space="preserve">الحصة المتاحة:</w:t>
      </w:r>
      <w:r>
        <w:rPr>
          <w:rtl/>
        </w:rPr>
        <w:t xml:space="preserve"> </w:t>
      </w:r>
      <w:r>
        <w:rPr>
          <w:rtl/>
        </w:rPr>
        <w:t xml:space="preserve">10% من الطاقة الإنتاجية (600-900 وحدة شهرياً) للطلبات الخاصة.</w:t>
      </w:r>
    </w:p>
    <w:p>
      <w:pPr>
        <w:bidi/>
        <w:jc w:val="right"/>
      </w:pPr>
      <w:r>
        <w:rPr>
          <w:rtl/>
          <w:bCs/>
          <w:b/>
        </w:rPr>
        <w:t xml:space="preserve">التسعير:</w:t>
      </w:r>
      <w:r>
        <w:rPr>
          <w:rtl/>
        </w:rPr>
        <w:t xml:space="preserve"> </w:t>
      </w:r>
      <w:r>
        <w:rPr>
          <w:rtl/>
        </w:rPr>
        <w:t xml:space="preserve">تخضع الطلبات الخاصة لهيكل تسعير مخصص يتناسب مع تكاليف إعادة ضبط خط الإنتاج (Setup Costs).</w:t>
      </w:r>
    </w:p>
    <w:p>
      <w:pPr>
        <w:bidi/>
        <w:jc w:val="right"/>
      </w:pPr>
      <w:r>
        <w:rPr>
          <w:rtl/>
        </w:rPr>
        <w:t xml:space="preserve">الطلبات ≤ 300 وحدة: نصف يوم عمل (الجمعة/السبت) بتكليف 2-3 عمال من خط التجميع.</w:t>
      </w:r>
    </w:p>
    <w:p>
      <w:pPr>
        <w:bidi/>
        <w:jc w:val="right"/>
      </w:pPr>
      <w:r>
        <w:rPr>
          <w:rtl/>
        </w:rPr>
        <w:t xml:space="preserve">الطلبات 300-500 وحدة: يوم عمل كامل مع إخطار الزبون بمهلة 5-7 أيام.</w:t>
      </w:r>
    </w:p>
    <w:p>
      <w:pPr>
        <w:bidi/>
        <w:jc w:val="right"/>
      </w:pPr>
      <w:r>
        <w:rPr>
          <w:rtl/>
        </w:rPr>
        <w:t xml:space="preserve">الطلبات &gt; 500 وحدة: لا تُقبل قبل بلوغ 50,000 وحدة من المنتج الأساسي.</w:t>
      </w:r>
    </w:p>
    <w:p>
      <w:pPr>
        <w:bidi/>
        <w:jc w:val="right"/>
      </w:pPr>
      <w:r>
        <w:rPr>
          <w:rtl/>
          <w:bCs/>
          <w:b/>
        </w:rPr>
        <w:t xml:space="preserve">القيود الفنية:</w:t>
      </w:r>
      <w:r>
        <w:rPr>
          <w:rtl/>
        </w:rPr>
        <w:t xml:space="preserve"> </w:t>
      </w:r>
      <w:r>
        <w:rPr>
          <w:rtl/>
        </w:rPr>
        <w:t xml:space="preserve">يُسمح بالتعديلات التي لا تؤثر على السلامة الهيكلية للمنتج أو تتطلب تغييراً جذرياً في المكونات الأساسية.</w:t>
      </w:r>
    </w:p>
    <w:p>
      <w:pPr>
        <w:bidi/>
        <w:jc w:val="right"/>
      </w:pPr>
      <w:r>
        <w:rPr>
          <w:rtl/>
          <w:bCs/>
          <w:b/>
        </w:rPr>
        <w:t xml:space="preserve">الجودة:</w:t>
      </w:r>
      <w:r>
        <w:rPr>
          <w:rtl/>
        </w:rPr>
        <w:t xml:space="preserve"> </w:t>
      </w:r>
      <w:r>
        <w:rPr>
          <w:rtl/>
        </w:rPr>
        <w:t xml:space="preserve">إلزامية اختبار Burn-in وفحص الجودة لكل طلب خاص قبل التسليم.</w:t>
      </w:r>
    </w:p>
    <w:p>
      <w:pPr>
        <w:bidi/>
        <w:jc w:val="right"/>
      </w:pPr>
      <w:r>
        <w:rPr>
          <w:rtl/>
          <w:bCs/>
          <w:b/>
        </w:rPr>
        <w:t xml:space="preserve">التوثيق:</w:t>
      </w:r>
      <w:r>
        <w:rPr>
          <w:rtl/>
        </w:rPr>
        <w:t xml:space="preserve"> </w:t>
      </w:r>
      <w:r>
        <w:rPr>
          <w:rtl/>
        </w:rPr>
        <w:t xml:space="preserve">تسجيل جميع الطلبات في «سجل الإنتاج الخاص» مع تفاصيل الزبون، والكمية، والتاريخ، والمواصفات الفنية المعتمدة.</w:t>
      </w:r>
    </w:p>
    <w:p>
      <w:pPr>
        <w:bidi/>
        <w:jc w:val="right"/>
      </w:pPr>
      <w:r>
        <w:rPr>
          <w:rtl/>
          <w:bCs/>
          <w:b/>
        </w:rPr>
        <w:t xml:space="preserve">الشروط القانونية:</w:t>
      </w:r>
      <w:r>
        <w:rPr>
          <w:rtl/>
        </w:rPr>
        <w:t xml:space="preserve"> </w:t>
      </w:r>
      <w:r>
        <w:rPr>
          <w:rtl/>
        </w:rPr>
        <w:t xml:space="preserve">لا تتحمل المؤسسة أي مسؤولية عن تأخير الطلبات الخاصة في حال عدم تقديم الزبون للبيانات الفنية كاملة في الوقت المحدد.</w:t>
      </w:r>
    </w:p>
    <w:tbl>
      <w:tblPr>
        <w:tblStyle w:val="Table"/>
        <w:bidiVisual/>
        <w:tblW w:type="pct" w:w="500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E9EDF2"/>
          </w:tcPr>
          <w:p>
            <w:pPr>
              <w:pStyle w:val="Compact"/>
              <w:bidi/>
              <w:jc w:val="right"/>
            </w:pPr>
            <w:r>
              <w:rPr>
                <w:color w:val="0D3B66"/>
                <w:sz w:val="29"/>
                <w:rtl/>
                <w:bCs/>
                <w:b/>
              </w:rPr>
              <w:t xml:space="preserve">الباب الثالث: البطاقات الفنية التفصيلية للماكينات والصيانة الوقائية</w:t>
            </w:r>
          </w:p>
        </w:tc>
      </w:tr>
    </w:tbl>
    <w:p>
      <w:pPr>
        <w:pBdr>
          <w:right w:val="single" w:sz="24" w:space="6" w:color="008080"/>
        </w:pBdr>
        <w:bidi/>
        <w:jc w:val="right"/>
      </w:pPr>
      <w:r>
        <w:rPr>
          <w:b/>
          <w:color w:val="008080"/>
          <w:sz w:val="25"/>
          <w:rtl/>
        </w:rPr>
        <w:t xml:space="preserve">1.1 ماكينة الكبس والبرشمة (LED Bulb Riveting &amp; Pressing Machine)</w:t>
      </w:r>
    </w:p>
    <w:p>
      <w:pPr>
        <w:bidi/>
        <w:jc w:val="right"/>
      </w:pPr>
      <w:r>
        <w:rPr>
          <w:rtl/>
          <w:bCs/>
          <w:b/>
        </w:rPr>
        <w:t xml:space="preserve">ضغط العمل المثالي:</w:t>
      </w:r>
      <w:r>
        <w:rPr>
          <w:rtl/>
        </w:rPr>
        <w:t xml:space="preserve"> </w:t>
      </w:r>
      <w:r>
        <w:rPr>
          <w:rtl/>
        </w:rPr>
        <w:t xml:space="preserve">4-6 بار (يُضبط عبر منظم الضغط الملحق).</w:t>
      </w:r>
    </w:p>
    <w:p>
      <w:pPr>
        <w:bidi/>
        <w:jc w:val="right"/>
      </w:pPr>
      <w:r>
        <w:rPr>
          <w:rtl/>
          <w:bCs/>
          <w:b/>
        </w:rPr>
        <w:t xml:space="preserve">معيار الكبس المجهري:</w:t>
      </w:r>
      <w:r>
        <w:rPr>
          <w:rtl/>
        </w:rPr>
        <w:t xml:space="preserve"> </w:t>
      </w:r>
      <w:r>
        <w:rPr>
          <w:rtl/>
        </w:rPr>
        <w:t xml:space="preserve">عمق تداخل المعدن مع البلاستيك ≥ 0.8 ملم.</w:t>
      </w:r>
    </w:p>
    <w:p>
      <w:pPr>
        <w:bidi/>
        <w:jc w:val="right"/>
      </w:pPr>
      <w:r>
        <w:rPr>
          <w:rtl/>
          <w:bCs/>
          <w:b/>
        </w:rPr>
        <w:t xml:space="preserve">زمن الكبس:</w:t>
      </w:r>
      <w:r>
        <w:rPr>
          <w:rtl/>
        </w:rPr>
        <w:t xml:space="preserve"> </w:t>
      </w:r>
      <w:r>
        <w:rPr>
          <w:rtl/>
        </w:rPr>
        <w:t xml:space="preserve">1.2 ثانية لتفادي الشروخ المجهرية الناتجة عن الكبس المفاجئ.</w:t>
      </w:r>
    </w:p>
    <w:p>
      <w:pPr>
        <w:bidi/>
        <w:jc w:val="right"/>
      </w:pPr>
      <w:r>
        <w:rPr>
          <w:rtl/>
          <w:bCs/>
          <w:b/>
        </w:rPr>
        <w:t xml:space="preserve">اختبار الوردية:</w:t>
      </w:r>
      <w:r>
        <w:rPr>
          <w:rtl/>
        </w:rPr>
        <w:t xml:space="preserve"> </w:t>
      </w:r>
      <w:r>
        <w:rPr>
          <w:rtl/>
        </w:rPr>
        <w:t xml:space="preserve">فحص أول قطعة صباحاً؛ عند اهتزاز القاعدة → رفع الضغط 0.5 بار فوراً.</w:t>
      </w:r>
    </w:p>
    <w:p>
      <w:pPr>
        <w:bidi/>
        <w:jc w:val="right"/>
      </w:pPr>
      <w:r>
        <w:rPr>
          <w:rtl/>
          <w:bCs/>
          <w:b/>
        </w:rPr>
        <w:t xml:space="preserve">معيار التحمل:</w:t>
      </w:r>
      <w:r>
        <w:rPr>
          <w:rtl/>
        </w:rPr>
        <w:t xml:space="preserve"> </w:t>
      </w:r>
      <w:r>
        <w:rPr>
          <w:rtl/>
        </w:rPr>
        <w:t xml:space="preserve">صمود أمام عزم دوران 3 نيوتن متر وفقاً لمعيار (IEC 60968).</w:t>
      </w:r>
    </w:p>
    <w:p>
      <w:pPr>
        <w:bidi/>
        <w:jc w:val="right"/>
      </w:pPr>
      <w:r>
        <w:rPr>
          <w:rtl/>
          <w:bCs/>
          <w:b/>
        </w:rPr>
        <w:t xml:space="preserve">في حال القواعد غير المثبتة بالغراء:</w:t>
      </w:r>
      <w:r>
        <w:rPr>
          <w:rtl/>
        </w:rPr>
        <w:t xml:space="preserve"> </w:t>
      </w:r>
      <w:r>
        <w:rPr>
          <w:rtl/>
        </w:rPr>
        <w:t xml:space="preserve">الحركة النسبية المسموحة ≤ 10 درجات.</w:t>
      </w:r>
    </w:p>
    <w:p>
      <w:pPr>
        <w:bidi/>
        <w:jc w:val="right"/>
      </w:pPr>
      <w:r>
        <w:rPr>
          <w:rtl/>
          <w:bCs/>
          <w:b/>
        </w:rPr>
        <w:t xml:space="preserve">نظام الطوارئ:</w:t>
      </w:r>
      <w:r>
        <w:rPr>
          <w:rtl/>
        </w:rPr>
        <w:t xml:space="preserve"> </w:t>
      </w:r>
      <w:r>
        <w:rPr>
          <w:rtl/>
        </w:rPr>
        <w:t xml:space="preserve">زر إيقاف طوارئ (Emergency Stop) يجب اختباره عند بدء كل وردية.</w:t>
      </w:r>
    </w:p>
    <w:p>
      <w:pPr>
        <w:bidi/>
        <w:jc w:val="right"/>
      </w:pPr>
      <w:r>
        <w:rPr>
          <w:rtl/>
          <w:bCs/>
          <w:b/>
        </w:rPr>
        <w:t xml:space="preserve">الصيانة:</w:t>
      </w:r>
      <w:r>
        <w:rPr>
          <w:rtl/>
        </w:rPr>
        <w:t xml:space="preserve"> </w:t>
      </w:r>
      <w:r>
        <w:rPr>
          <w:rtl/>
        </w:rPr>
        <w:t xml:space="preserve">فحص O-Ring أسبوعياً، وتغيير الزيت الهوائي كل 6 أشهر.</w:t>
      </w:r>
    </w:p>
    <w:p>
      <w:pPr>
        <w:bidi/>
        <w:jc w:val="right"/>
      </w:pPr>
      <w:r>
        <w:rPr>
          <w:rtl/>
          <w:bCs/>
          <w:b/>
        </w:rPr>
        <w:t xml:space="preserve">التوثيق:</w:t>
      </w:r>
      <w:r>
        <w:rPr>
          <w:rtl/>
        </w:rPr>
        <w:t xml:space="preserve"> </w:t>
      </w:r>
      <w:r>
        <w:rPr>
          <w:rtl/>
        </w:rPr>
        <w:t xml:space="preserve">تسجيل نتائج اختبار الوردية يومياً في سجل الجودة وربطها بسجل الأعطال.</w:t>
      </w:r>
    </w:p>
    <w:p>
      <w:pPr>
        <w:pBdr>
          <w:right w:val="single" w:sz="24" w:space="6" w:color="008080"/>
        </w:pBdr>
        <w:bidi/>
        <w:jc w:val="right"/>
      </w:pPr>
      <w:r>
        <w:rPr>
          <w:b/>
          <w:color w:val="008080"/>
          <w:sz w:val="25"/>
          <w:rtl/>
        </w:rPr>
        <w:t xml:space="preserve">2.2 حوض اللحام (Solder Pot SB PTC 500-D)</w:t>
      </w:r>
    </w:p>
    <w:p>
      <w:pPr>
        <w:bidi/>
        <w:jc w:val="right"/>
      </w:pPr>
      <w:r>
        <w:rPr>
          <w:rtl/>
          <w:bCs/>
          <w:b/>
        </w:rPr>
        <w:t xml:space="preserve">الدور:</w:t>
      </w:r>
      <w:r>
        <w:rPr>
          <w:rtl/>
        </w:rPr>
        <w:t xml:space="preserve"> </w:t>
      </w:r>
      <w:r>
        <w:rPr>
          <w:rtl/>
        </w:rPr>
        <w:t xml:space="preserve">لحام نقاط التوصيل والأسلاك بالـ PCB عن طريق التغطيس (Dip Soldering).</w:t>
      </w:r>
    </w:p>
    <w:p>
      <w:pPr>
        <w:bidi/>
        <w:jc w:val="right"/>
      </w:pPr>
      <w:r>
        <w:rPr>
          <w:rtl/>
          <w:bCs/>
          <w:b/>
        </w:rPr>
        <w:t xml:space="preserve">درجات الحرارة:</w:t>
      </w:r>
      <w:r>
        <w:rPr>
          <w:rtl/>
        </w:rPr>
        <w:t xml:space="preserve"> </w:t>
      </w:r>
      <w:r>
        <w:rPr>
          <w:rtl/>
        </w:rPr>
        <w:t xml:space="preserve">القصدير التقليدي 240-260°C، والخالي من الرصاص 260-280°C.</w:t>
      </w:r>
    </w:p>
    <w:p>
      <w:pPr>
        <w:bidi/>
        <w:jc w:val="right"/>
      </w:pPr>
      <w:r>
        <w:rPr>
          <w:rtl/>
          <w:bCs/>
          <w:b/>
        </w:rPr>
        <w:t xml:space="preserve">التسخين الأولي:</w:t>
      </w:r>
      <w:r>
        <w:rPr>
          <w:rtl/>
        </w:rPr>
        <w:t xml:space="preserve"> </w:t>
      </w:r>
      <w:r>
        <w:rPr>
          <w:rtl/>
        </w:rPr>
        <w:t xml:space="preserve">3-5 ثوانٍ قبل الغمر الكامل.</w:t>
      </w:r>
    </w:p>
    <w:p>
      <w:pPr>
        <w:bidi/>
        <w:jc w:val="right"/>
      </w:pPr>
      <w:r>
        <w:rPr>
          <w:rtl/>
          <w:bCs/>
          <w:b/>
        </w:rPr>
        <w:t xml:space="preserve">زمن الغمر المثالي:</w:t>
      </w:r>
      <w:r>
        <w:rPr>
          <w:rtl/>
        </w:rPr>
        <w:t xml:space="preserve"> </w:t>
      </w:r>
      <w:r>
        <w:rPr>
          <w:rtl/>
        </w:rPr>
        <w:t xml:space="preserve">2-4 ثوانٍ (تجاوز هذا الزمن يؤدي لتآكل مسارات النحاس).</w:t>
      </w:r>
    </w:p>
    <w:p>
      <w:pPr>
        <w:bidi/>
        <w:jc w:val="right"/>
      </w:pPr>
      <w:r>
        <w:rPr>
          <w:rtl/>
          <w:bCs/>
          <w:b/>
        </w:rPr>
        <w:t xml:space="preserve">الزاوية عند الخروج:</w:t>
      </w:r>
      <w:r>
        <w:rPr>
          <w:rtl/>
        </w:rPr>
        <w:t xml:space="preserve"> </w:t>
      </w:r>
      <w:r>
        <w:rPr>
          <w:rtl/>
        </w:rPr>
        <w:t xml:space="preserve">45 درجة لمنع تكوّن رؤوس الإبر (Solder Icicles).</w:t>
      </w:r>
    </w:p>
    <w:p>
      <w:pPr>
        <w:bidi/>
        <w:jc w:val="right"/>
      </w:pPr>
      <w:r>
        <w:rPr>
          <w:rtl/>
        </w:rPr>
        <w:t xml:space="preserve">معيار جودة اللحام (IPC-A-610): لحام مقعّر ومكتمل؛ أي لحام بزاوية 90 درجة أو أكثر، أو بمظهر باهت أو متجعد، يُعتبر مرفوضاً.</w:t>
      </w:r>
    </w:p>
    <w:p>
      <w:pPr>
        <w:bidi/>
        <w:jc w:val="right"/>
      </w:pPr>
      <w:r>
        <w:rPr>
          <w:rtl/>
        </w:rPr>
        <w:t xml:space="preserve">مراقبة جودة القصدير (IPC-J-STD-006): نسبة النحاس Cu ≤ 0.4%، الذهب Au ≤ 0.1%، والفضة Ag ≤ 0.1%.</w:t>
      </w:r>
    </w:p>
    <w:p>
      <w:pPr>
        <w:bidi/>
        <w:jc w:val="right"/>
      </w:pPr>
      <w:r>
        <w:rPr>
          <w:rtl/>
          <w:bCs/>
          <w:b/>
        </w:rPr>
        <w:t xml:space="preserve">إجراءات السلامة:</w:t>
      </w:r>
      <w:r>
        <w:rPr>
          <w:rtl/>
        </w:rPr>
        <w:t xml:space="preserve"> </w:t>
      </w:r>
      <w:r>
        <w:rPr>
          <w:rtl/>
        </w:rPr>
        <w:t xml:space="preserve">إلزامية ارتداء قفازات حرارية ومريلة حماية، مع توفر مطفأة حريق CO₂ في محيط العمل لضمان سلامة المكونات الإلكترونية.</w:t>
      </w:r>
    </w:p>
    <w:p>
      <w:pPr>
        <w:bidi/>
        <w:jc w:val="right"/>
      </w:pPr>
      <w:r>
        <w:rPr>
          <w:rtl/>
          <w:bCs/>
          <w:b/>
        </w:rPr>
        <w:t xml:space="preserve">الصيانة:</w:t>
      </w:r>
      <w:r>
        <w:rPr>
          <w:rtl/>
        </w:rPr>
        <w:t xml:space="preserve"> </w:t>
      </w:r>
      <w:r>
        <w:rPr>
          <w:rtl/>
        </w:rPr>
        <w:t xml:space="preserve">التنظيف اليومي للحوض، ومعايرة أسبوعية للحساس الحراري.</w:t>
      </w:r>
    </w:p>
    <w:p>
      <w:pPr>
        <w:bidi/>
        <w:jc w:val="right"/>
      </w:pPr>
      <w:r>
        <w:rPr>
          <w:rtl/>
          <w:bCs/>
          <w:b/>
        </w:rPr>
        <w:t xml:space="preserve">التوثيق:</w:t>
      </w:r>
      <w:r>
        <w:rPr>
          <w:rtl/>
        </w:rPr>
        <w:t xml:space="preserve"> </w:t>
      </w:r>
      <w:r>
        <w:rPr>
          <w:rtl/>
        </w:rPr>
        <w:t xml:space="preserve">تسجيل درجة الحرارة، زمن الغمر، وفحص نتائج القصدير في سجل الإنتاج اليومي.</w:t>
      </w:r>
    </w:p>
    <w:p>
      <w:pPr>
        <w:pBdr>
          <w:right w:val="single" w:sz="24" w:space="6" w:color="008080"/>
        </w:pBdr>
        <w:bidi/>
        <w:jc w:val="right"/>
      </w:pPr>
      <w:r>
        <w:rPr>
          <w:b/>
          <w:color w:val="008080"/>
          <w:sz w:val="25"/>
          <w:rtl/>
        </w:rPr>
        <w:t xml:space="preserve">2.3 آلة الكبس بالهواء المضغوط (Pneumatic Press Machine)</w:t>
      </w:r>
    </w:p>
    <w:p>
      <w:pPr>
        <w:bidi/>
        <w:jc w:val="right"/>
      </w:pPr>
      <w:r>
        <w:rPr>
          <w:rtl/>
          <w:bCs/>
          <w:b/>
        </w:rPr>
        <w:t xml:space="preserve">الوظيفة:</w:t>
      </w:r>
      <w:r>
        <w:rPr>
          <w:rtl/>
        </w:rPr>
        <w:t xml:space="preserve"> </w:t>
      </w:r>
      <w:r>
        <w:rPr>
          <w:rtl/>
        </w:rPr>
        <w:t xml:space="preserve">تُستخدم للضغط وتجميع أجزاء المصباح (تثبيت القاعدة والمكونات المعدنية). تعمل بالهواء المضغوط، مما يضمن دقة عالية وسرعة في الإنتاج.</w:t>
      </w:r>
    </w:p>
    <w:p>
      <w:pPr>
        <w:bidi/>
        <w:jc w:val="right"/>
      </w:pPr>
      <w:r>
        <w:rPr>
          <w:rtl/>
          <w:bCs/>
          <w:b/>
        </w:rPr>
        <w:t xml:space="preserve">السعر التقديري:</w:t>
      </w:r>
      <w:r>
        <w:rPr>
          <w:rtl/>
        </w:rPr>
        <w:t xml:space="preserve"> </w:t>
      </w:r>
      <w:r>
        <w:rPr>
          <w:rtl/>
        </w:rPr>
        <w:t xml:space="preserve">1,800–2,500 دولار (243,000–337,500 دج).</w:t>
      </w:r>
    </w:p>
    <w:tbl>
      <w:tblPr>
        <w:tblStyle w:val="Table"/>
        <w:bidiVisual/>
        <w:tblW w:type="pct" w:w="5000"/>
        <w:tblLook w:firstRow="1" w:lastRow="0" w:firstColumn="0" w:lastColumn="0" w:noHBand="0" w:noVBand="0" w:val="0020"/>
        <w:jc w:val="right"/>
      </w:tblPr>
      <w:tblGrid>
        <w:gridCol w:w="3960"/>
        <w:gridCol w:w="396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الصنف</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الاستخدام</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ضاغط هواء (Air Compressor)</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تشغيل الأسطوانة الهوائية</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خراطيم هواء وقطع غيار للأسطوانة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التوصيل والتشغيل الدوري</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قوالب معدنية (Molds/Fixtures)</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تكييف الآلة حسب نوع القاعدة (E27, E14)</w:t>
            </w:r>
          </w:p>
        </w:tc>
      </w:tr>
    </w:tbl>
    <w:p>
      <w:pPr>
        <w:pBdr>
          <w:right w:val="single" w:sz="24" w:space="6" w:color="008080"/>
        </w:pBdr>
        <w:bidi/>
        <w:jc w:val="right"/>
      </w:pPr>
      <w:r>
        <w:rPr>
          <w:b/>
          <w:color w:val="008080"/>
          <w:sz w:val="25"/>
          <w:rtl/>
        </w:rPr>
        <w:t xml:space="preserve">3.3 موزع الغراء (Glue Dispensing)</w:t>
      </w:r>
    </w:p>
    <w:tbl>
      <w:tblPr>
        <w:tblStyle w:val="Table"/>
        <w:bidiVisual/>
        <w:tblW w:type="pct" w:w="5000"/>
        <w:tblLook w:firstRow="1" w:lastRow="0" w:firstColumn="0" w:lastColumn="0" w:noHBand="0" w:noVBand="0" w:val="0020"/>
        <w:jc w:val="right"/>
      </w:tblPr>
      <w:tblGrid>
        <w:gridCol w:w="2640"/>
        <w:gridCol w:w="2640"/>
        <w:gridCol w:w="264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الاختبار / المعيار</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القيمة المستهدفة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أداة القياس</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الوزن الصافي للغراء</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0.15-0.20 غرام</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ميزان حساس ±0.01 غرام</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اختبار العزل المائي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غمر عينة عشوائية في الماء</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التأكد من عدم وجود فراغات في مسار الغراء</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التنظيف الدوري للفوهة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كل 4 ساعات + نهاية الوردية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Isopropanol 99%</w:t>
            </w:r>
          </w:p>
        </w:tc>
      </w:tr>
    </w:tbl>
    <w:p>
      <w:pPr>
        <w:pBdr>
          <w:right w:val="single" w:sz="24" w:space="6" w:color="008080"/>
        </w:pBdr>
        <w:bidi/>
        <w:jc w:val="right"/>
      </w:pPr>
      <w:r>
        <w:rPr>
          <w:b/>
          <w:color w:val="008080"/>
          <w:sz w:val="25"/>
          <w:rtl/>
        </w:rPr>
        <w:t xml:space="preserve">3.4 ماكينة الوسم والاختبار بالليزر (Laser Marking &amp; Testing Machine)</w:t>
      </w:r>
    </w:p>
    <w:tbl>
      <w:tblPr>
        <w:tblStyle w:val="Table"/>
        <w:bidiVisual/>
        <w:tblW w:type="auto" w:w="0"/>
        <w:tblLook w:firstRow="1" w:lastRow="0" w:firstColumn="0" w:lastColumn="0" w:noHBand="0" w:noVBand="0" w:val="0020"/>
        <w:jc w:val="right"/>
      </w:tblPr>
      <w:tblGrid>
        <w:gridCol w:w="1980"/>
        <w:gridCol w:w="1980"/>
        <w:gridCol w:w="1980"/>
        <w:gridCol w:w="198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نوع المادة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القوة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السرعة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الميزة</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بلاستيك PC</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20-25%</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250 مم/ثانية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ترقيم متسلسل فريد</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ألومنيوم</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45-50%</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200 مم/ثانية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يمنع مسح البيانات</w:t>
            </w:r>
          </w:p>
        </w:tc>
      </w:tr>
    </w:tbl>
    <w:p>
      <w:pPr>
        <w:bidi/>
        <w:jc w:val="right"/>
      </w:pPr>
      <w:r>
        <w:rPr>
          <w:rtl/>
          <w:bCs/>
          <w:b/>
        </w:rPr>
        <w:t xml:space="preserve">الحماية الرقمية:</w:t>
      </w:r>
      <w:r>
        <w:rPr>
          <w:rtl/>
        </w:rPr>
        <w:t xml:space="preserve"> </w:t>
      </w:r>
      <w:r>
        <w:rPr>
          <w:rtl/>
        </w:rPr>
        <w:t xml:space="preserve">ربط إلزامي بـ نظام الإمداد المتواصل بالطاقة (Alimentation Sans Interruption) Online Double Conversion لحماية عدسة الليزر.</w:t>
      </w:r>
    </w:p>
    <w:p>
      <w:pPr>
        <w:bidi/>
        <w:jc w:val="right"/>
      </w:pPr>
      <w:r>
        <w:rPr>
          <w:rtl/>
          <w:bCs/>
          <w:b/>
        </w:rPr>
        <w:t xml:space="preserve">صيانة الليزر:</w:t>
      </w:r>
      <w:r>
        <w:rPr>
          <w:rtl/>
        </w:rPr>
        <w:t xml:space="preserve"> </w:t>
      </w:r>
      <w:r>
        <w:rPr>
          <w:rtl/>
        </w:rPr>
        <w:t xml:space="preserve">تنظيف العدسة أسبوعياً بقطنة مشبعة بـ Isopropanol.</w:t>
      </w:r>
    </w:p>
    <w:p>
      <w:pPr>
        <w:bidi/>
        <w:jc w:val="right"/>
      </w:pPr>
      <w:r>
        <w:rPr>
          <w:rtl/>
          <w:bCs/>
          <w:b/>
        </w:rPr>
        <w:t xml:space="preserve">إجراءات السلامة:</w:t>
      </w:r>
      <w:r>
        <w:rPr>
          <w:rtl/>
        </w:rPr>
        <w:t xml:space="preserve"> </w:t>
      </w:r>
      <w:r>
        <w:rPr>
          <w:rtl/>
        </w:rPr>
        <w:t xml:space="preserve">إلزامية ارتداء النظارات الواقية وتشغيل نظام شفط الأبخرة أثناء التشغيل.</w:t>
      </w:r>
    </w:p>
    <w:p>
      <w:pPr>
        <w:bidi/>
        <w:jc w:val="right"/>
      </w:pPr>
      <w:r>
        <w:rPr>
          <w:rtl/>
          <w:bCs/>
          <w:b/>
        </w:rPr>
        <w:t xml:space="preserve">الدور الاختباري:</w:t>
      </w:r>
      <w:r>
        <w:rPr>
          <w:rtl/>
        </w:rPr>
        <w:t xml:space="preserve"> </w:t>
      </w:r>
      <w:r>
        <w:rPr>
          <w:rtl/>
        </w:rPr>
        <w:t xml:space="preserve">الفحص الكهربائي النهائي ووسم قبول المنتج.</w:t>
      </w:r>
    </w:p>
    <w:p>
      <w:pPr>
        <w:bidi/>
        <w:jc w:val="right"/>
      </w:pPr>
      <w:r>
        <w:rPr>
          <w:rtl/>
          <w:bCs/>
          <w:b/>
        </w:rPr>
        <w:t xml:space="preserve">معايرة Wattmeter:</w:t>
      </w:r>
      <w:r>
        <w:rPr>
          <w:rtl/>
        </w:rPr>
        <w:t xml:space="preserve"> </w:t>
      </w:r>
      <w:r>
        <w:rPr>
          <w:rtl/>
        </w:rPr>
        <w:t xml:space="preserve">شهرياً بجهاز مرجعي (هامش خطأ ±1%).</w:t>
      </w:r>
    </w:p>
    <w:p>
      <w:pPr>
        <w:bidi/>
        <w:jc w:val="right"/>
      </w:pPr>
      <w:r>
        <w:rPr>
          <w:rtl/>
          <w:bCs/>
          <w:b/>
        </w:rPr>
        <w:t xml:space="preserve">فحص فلاتر HEPA:</w:t>
      </w:r>
      <w:r>
        <w:rPr>
          <w:rtl/>
        </w:rPr>
        <w:t xml:space="preserve"> </w:t>
      </w:r>
      <w:r>
        <w:rPr>
          <w:rtl/>
        </w:rPr>
        <w:t xml:space="preserve">كل 3-6 أشهر لضمان سلامة بيئة العمل.</w:t>
      </w:r>
    </w:p>
    <w:p>
      <w:pPr>
        <w:bidi/>
        <w:jc w:val="right"/>
      </w:pPr>
      <w:r>
        <w:rPr>
          <w:rtl/>
          <w:bCs/>
          <w:b/>
        </w:rPr>
        <w:t xml:space="preserve">التوثيق:</w:t>
      </w:r>
      <w:r>
        <w:rPr>
          <w:rtl/>
        </w:rPr>
        <w:t xml:space="preserve"> </w:t>
      </w:r>
      <w:r>
        <w:rPr>
          <w:rtl/>
        </w:rPr>
        <w:t xml:space="preserve">تسجيل نتائج الاختبار (جهد، واط) يومياً مع توقيع المشرف.</w:t>
      </w:r>
    </w:p>
    <w:p>
      <w:pPr>
        <w:bidi/>
        <w:jc w:val="right"/>
      </w:pPr>
      <w:r>
        <w:rPr>
          <w:rtl/>
          <w:bCs/>
          <w:b/>
        </w:rPr>
        <w:t xml:space="preserve">وسم القبول:</w:t>
      </w:r>
      <w:r>
        <w:rPr>
          <w:rtl/>
        </w:rPr>
        <w:t xml:space="preserve"> </w:t>
      </w:r>
      <w:r>
        <w:rPr>
          <w:rtl/>
        </w:rPr>
        <w:t xml:space="preserve">إضافة ختم «QC Passed» أو ملصق ضمان بعد اجتياز الاختبارات.</w:t>
      </w:r>
    </w:p>
    <w:p>
      <w:pPr>
        <w:pBdr>
          <w:right w:val="single" w:sz="24" w:space="6" w:color="008080"/>
        </w:pBdr>
        <w:bidi/>
        <w:jc w:val="right"/>
      </w:pPr>
      <w:r>
        <w:rPr>
          <w:b/>
          <w:color w:val="008080"/>
          <w:sz w:val="25"/>
          <w:rtl/>
        </w:rPr>
        <w:t xml:space="preserve">3.5 آلة التلميع والصنفرة (Buffer Polisher XLBP 9)</w:t>
      </w:r>
    </w:p>
    <w:p>
      <w:pPr>
        <w:bidi/>
        <w:jc w:val="right"/>
      </w:pPr>
      <w:r>
        <w:rPr>
          <w:rtl/>
          <w:bCs/>
          <w:b/>
        </w:rPr>
        <w:t xml:space="preserve">الوظيفة:</w:t>
      </w:r>
      <w:r>
        <w:rPr>
          <w:rtl/>
        </w:rPr>
        <w:t xml:space="preserve"> </w:t>
      </w:r>
      <w:r>
        <w:rPr>
          <w:rtl/>
        </w:rPr>
        <w:t xml:space="preserve">إزالة النتوءات الزائدة وتلميع الأسطح الخارجية للهيكل والمشتت الحراري، مما يضمن مظهراً جمالياً احترافياً وجودة نهائية عالية للمصباح.</w:t>
      </w:r>
    </w:p>
    <w:p>
      <w:pPr>
        <w:bidi/>
        <w:jc w:val="right"/>
      </w:pPr>
      <w:r>
        <w:rPr>
          <w:rtl/>
          <w:bCs/>
          <w:b/>
        </w:rPr>
        <w:t xml:space="preserve">المواصفات التقنية:</w:t>
      </w:r>
      <w:r>
        <w:rPr>
          <w:rtl/>
        </w:rPr>
        <w:t xml:space="preserve"> </w:t>
      </w:r>
      <w:r>
        <w:rPr>
          <w:rtl/>
        </w:rPr>
        <w:t xml:space="preserve">آلة تلميع صناعية ذات عزم دوران عالٍ، مجهزة بنظام تثبيت دقيق ومنافذ لشفط الغبار الدقيق.</w:t>
      </w:r>
    </w:p>
    <w:p>
      <w:pPr>
        <w:bidi/>
        <w:jc w:val="right"/>
      </w:pPr>
      <w:r>
        <w:rPr>
          <w:rtl/>
          <w:bCs/>
          <w:b/>
        </w:rPr>
        <w:t xml:space="preserve">قطع الغيار الأساسية:</w:t>
      </w:r>
      <w:r>
        <w:rPr>
          <w:rtl/>
        </w:rPr>
        <w:t xml:space="preserve"> </w:t>
      </w:r>
      <w:r>
        <w:rPr>
          <w:rtl/>
        </w:rPr>
        <w:t xml:space="preserve">أقراص صنفرة وتلميع متنوعة القياسات، محامل (Bearings) للمحرك، أدوات تنظيف الفرش والأسطح الميكانيكية.</w:t>
      </w:r>
    </w:p>
    <w:tbl>
      <w:tblPr>
        <w:tblStyle w:val="Table"/>
        <w:bidiVisual/>
        <w:tblW w:type="pct" w:w="5000"/>
        <w:tblLook w:firstRow="1" w:lastRow="0" w:firstColumn="0" w:lastColumn="0" w:noHBand="0" w:noVBand="0" w:val="0020"/>
        <w:jc w:val="right"/>
      </w:tblPr>
      <w:tblGrid>
        <w:gridCol w:w="2640"/>
        <w:gridCol w:w="2640"/>
        <w:gridCol w:w="264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الإجراء التقني</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الوتيرة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التكلفة (دج)</w:t>
            </w:r>
          </w:p>
        </w:tc>
      </w:tr>
      <w:tr>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استبدال أقراص الصنفرة والتلميع</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حسب الاستهلاك</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25,000 (إجمالي مخصصات قطع الغيار)</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تنظيف وحدة شفط الغبار</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يومياً</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0</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تشحيم المحامل والمفاصل المتحركة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شهرياً</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0</w:t>
            </w:r>
          </w:p>
        </w:tc>
      </w:tr>
    </w:tbl>
    <w:p>
      <w:pPr>
        <w:bidi/>
        <w:jc w:val="right"/>
      </w:pPr>
    </w:p>
    <w:tbl>
      <w:tblPr>
        <w:tblStyle w:val="Table"/>
        <w:bidiVisual/>
        <w:tblW w:type="pct" w:w="500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E9EDF2"/>
          </w:tcPr>
          <w:p>
            <w:pPr>
              <w:pStyle w:val="Compact"/>
              <w:bidi/>
              <w:jc w:val="right"/>
            </w:pPr>
            <w:r>
              <w:rPr>
                <w:color w:val="0D3B66"/>
                <w:sz w:val="29"/>
                <w:rtl/>
                <w:bCs/>
                <w:b/>
              </w:rPr>
              <w:t xml:space="preserve">الباب الرابع: بروتوكول الرقابة عند الاستلام (مراقبة جودة المواد والقطع الواردة (Contrôle Qualité Entrant)) والامتثال العالمي</w:t>
            </w:r>
          </w:p>
        </w:tc>
      </w:tr>
    </w:tbl>
    <w:p>
      <w:pPr>
        <w:pBdr>
          <w:right w:val="single" w:sz="24" w:space="6" w:color="008080"/>
        </w:pBdr>
        <w:bidi/>
        <w:jc w:val="right"/>
      </w:pPr>
      <w:r>
        <w:rPr>
          <w:b/>
          <w:color w:val="008080"/>
          <w:sz w:val="25"/>
          <w:rtl/>
        </w:rPr>
        <w:t xml:space="preserve">4.1 فحص الحماية الكهربائية (Fusible + Zener Diode)</w:t>
      </w:r>
    </w:p>
    <w:p>
      <w:pPr>
        <w:bidi/>
        <w:jc w:val="right"/>
      </w:pPr>
      <w:r>
        <w:rPr>
          <w:rtl/>
        </w:rPr>
        <w:t xml:space="preserve">إلزامية التأكد من وجود Fusible و Zener Diode في كل دفعة لوحات PCB . أي دفعة غير مجهزة بعناصر الحماية الكهربائية تُرفض فوراً.</w:t>
      </w:r>
    </w:p>
    <w:p>
      <w:pPr>
        <w:bidi/>
        <w:jc w:val="right"/>
      </w:pPr>
      <w:r>
        <w:rPr>
          <w:rtl/>
          <w:bCs/>
          <w:b/>
        </w:rPr>
        <w:t xml:space="preserve">موقع Fusible:</w:t>
      </w:r>
      <w:r>
        <w:rPr>
          <w:rtl/>
        </w:rPr>
        <w:t xml:space="preserve"> </w:t>
      </w:r>
      <w:r>
        <w:rPr>
          <w:rtl/>
        </w:rPr>
        <w:t xml:space="preserve">مدخل التغذية على PCB قبل دخول التيار لباقي الدائرة – يقطع التيار عند القصر أو الحمل الزائد.</w:t>
      </w:r>
    </w:p>
    <w:p>
      <w:pPr>
        <w:bidi/>
        <w:jc w:val="right"/>
      </w:pPr>
      <w:r>
        <w:rPr>
          <w:rtl/>
          <w:bCs/>
          <w:b/>
        </w:rPr>
        <w:t xml:space="preserve">موقع Zener Diode:</w:t>
      </w:r>
      <w:r>
        <w:rPr>
          <w:rtl/>
        </w:rPr>
        <w:t xml:space="preserve"> </w:t>
      </w:r>
      <w:r>
        <w:rPr>
          <w:rtl/>
        </w:rPr>
        <w:t xml:space="preserve">بعد الفيوز وقبل IC Driver – يمتص الجهود المفاجئة (Surge) وطفرات الشبكة.</w:t>
      </w:r>
    </w:p>
    <w:p>
      <w:pPr>
        <w:bidi/>
        <w:jc w:val="right"/>
      </w:pPr>
      <w:r>
        <w:rPr>
          <w:rtl/>
          <w:bCs/>
          <w:b/>
        </w:rPr>
        <w:t xml:space="preserve">معيار الجودة Fusible:</w:t>
      </w:r>
      <w:r>
        <w:rPr>
          <w:rtl/>
        </w:rPr>
        <w:t xml:space="preserve"> </w:t>
      </w:r>
      <w:r>
        <w:rPr>
          <w:rtl/>
        </w:rPr>
        <w:t xml:space="preserve">IEC 60127 (Miniature Fuses) – تحمل 0.5-2A حسب القدرة.</w:t>
      </w:r>
    </w:p>
    <w:p>
      <w:pPr>
        <w:bidi/>
        <w:jc w:val="right"/>
      </w:pPr>
      <w:r>
        <w:rPr>
          <w:rtl/>
          <w:bCs/>
          <w:b/>
        </w:rPr>
        <w:t xml:space="preserve">معيار الجودة Zener:</w:t>
      </w:r>
      <w:r>
        <w:rPr>
          <w:rtl/>
        </w:rPr>
        <w:t xml:space="preserve"> </w:t>
      </w:r>
      <w:r>
        <w:rPr>
          <w:rtl/>
        </w:rPr>
        <w:t xml:space="preserve">IEC 61643-321 – قدرة 12V-24V حسب التصميم.</w:t>
      </w:r>
    </w:p>
    <w:p>
      <w:pPr>
        <w:bidi/>
        <w:jc w:val="right"/>
      </w:pPr>
      <w:r>
        <w:rPr>
          <w:rtl/>
        </w:rPr>
        <w:t xml:space="preserve">✦ الميزة التنافسية: إدراج هذه العناصر يعالج مشكلة 80% من المصابيح غير المطابقة في السوق الجزائري – مادة تسويقية: «حماية كهربائية مدمجة – ضمان سنتين».</w:t>
      </w:r>
    </w:p>
    <w:p>
      <w:pPr>
        <w:bidi/>
        <w:jc w:val="right"/>
      </w:pPr>
      <w:r>
        <w:rPr>
          <w:rtl/>
        </w:rPr>
        <w:t xml:space="preserve">يتم تسجيل نتائج الفحص في سجل الموردين مع توقيع المشرف.</w:t>
      </w:r>
    </w:p>
    <w:p>
      <w:pPr>
        <w:pBdr>
          <w:right w:val="single" w:sz="24" w:space="6" w:color="008080"/>
        </w:pBdr>
        <w:bidi/>
        <w:jc w:val="right"/>
      </w:pPr>
      <w:r>
        <w:rPr>
          <w:b/>
          <w:color w:val="008080"/>
          <w:sz w:val="25"/>
          <w:rtl/>
        </w:rPr>
        <w:t xml:space="preserve">4.2 شرائح الـ LED (LED Chips)</w:t>
      </w:r>
    </w:p>
    <w:p>
      <w:pPr>
        <w:bidi/>
        <w:jc w:val="right"/>
      </w:pPr>
      <w:r>
        <w:rPr>
          <w:rtl/>
          <w:bCs/>
          <w:b/>
        </w:rPr>
        <w:t xml:space="preserve">الشرط الأساسي:</w:t>
      </w:r>
      <w:r>
        <w:rPr>
          <w:rtl/>
        </w:rPr>
        <w:t xml:space="preserve"> </w:t>
      </w:r>
      <w:r>
        <w:rPr>
          <w:rtl/>
        </w:rPr>
        <w:t xml:space="preserve">إلزام المورد بشهادة LM-80 – شدة الإضاءة لا تنخفض &gt; 30% بعد 6,000 ساعة (يُفضَّل 9,000-10,000 ساعة).</w:t>
      </w:r>
    </w:p>
    <w:p>
      <w:pPr>
        <w:bidi/>
        <w:jc w:val="right"/>
      </w:pPr>
      <w:r>
        <w:rPr>
          <w:rtl/>
          <w:bCs/>
          <w:b/>
        </w:rPr>
        <w:t xml:space="preserve">الفحص البصري:</w:t>
      </w:r>
      <w:r>
        <w:rPr>
          <w:rtl/>
        </w:rPr>
        <w:t xml:space="preserve"> </w:t>
      </w:r>
      <w:r>
        <w:rPr>
          <w:rtl/>
        </w:rPr>
        <w:t xml:space="preserve">عينة عشوائية 5% من الكمية تحت المجهر الضوئي – تحقق من خلو الرقائق من البقع أو تغير لون الفسفور.</w:t>
      </w:r>
    </w:p>
    <w:p>
      <w:pPr>
        <w:bidi/>
        <w:jc w:val="right"/>
      </w:pPr>
      <w:r>
        <w:rPr>
          <w:rtl/>
          <w:bCs/>
          <w:b/>
        </w:rPr>
        <w:t xml:space="preserve">مستوى الحساسية للرطوبة:</w:t>
      </w:r>
      <w:r>
        <w:rPr>
          <w:rtl/>
        </w:rPr>
        <w:t xml:space="preserve"> </w:t>
      </w:r>
      <w:r>
        <w:rPr>
          <w:rtl/>
        </w:rPr>
        <w:t xml:space="preserve">MSL Level 1 (للتخزين والتصنيع).</w:t>
      </w:r>
    </w:p>
    <w:p>
      <w:pPr>
        <w:bidi/>
        <w:jc w:val="right"/>
      </w:pPr>
      <w:r>
        <w:rPr>
          <w:rtl/>
          <w:bCs/>
          <w:b/>
        </w:rPr>
        <w:t xml:space="preserve">إجراء الرفض الصريح:</w:t>
      </w:r>
      <w:r>
        <w:rPr>
          <w:rtl/>
        </w:rPr>
        <w:t xml:space="preserve"> </w:t>
      </w:r>
      <w:r>
        <w:rPr>
          <w:rtl/>
        </w:rPr>
        <w:t xml:space="preserve">أي شريحة بها عيب خارجي (كسر/تشوه) أو بدون شهادة LM-80 ← رفض الدفعة كاملة.</w:t>
      </w:r>
    </w:p>
    <w:p>
      <w:pPr>
        <w:pBdr>
          <w:right w:val="single" w:sz="24" w:space="6" w:color="008080"/>
        </w:pBdr>
        <w:bidi/>
        <w:jc w:val="right"/>
      </w:pPr>
      <w:r>
        <w:rPr>
          <w:b/>
          <w:color w:val="008080"/>
          <w:sz w:val="25"/>
          <w:rtl/>
        </w:rPr>
        <w:t xml:space="preserve">4.3 المكثفات (Electrolytic Capacitors)</w:t>
      </w:r>
    </w:p>
    <w:p>
      <w:pPr>
        <w:bidi/>
        <w:jc w:val="right"/>
      </w:pPr>
      <w:r>
        <w:rPr>
          <w:rtl/>
          <w:bCs/>
          <w:b/>
        </w:rPr>
        <w:t xml:space="preserve">المعيار الحراري:</w:t>
      </w:r>
      <w:r>
        <w:rPr>
          <w:rtl/>
        </w:rPr>
        <w:t xml:space="preserve"> </w:t>
      </w:r>
      <w:r>
        <w:rPr>
          <w:rtl/>
        </w:rPr>
        <w:t xml:space="preserve">نوع يتحمل 105°C حصراً (السبب: درجة الحرارة الداخلية للمصباح في صيف الجزائر تصل 90°C). رفض قاطع: أي مكثف بمواصفة 85°C ← رفض الدفعة كاملة.</w:t>
      </w:r>
    </w:p>
    <w:p>
      <w:pPr>
        <w:bidi/>
        <w:jc w:val="right"/>
      </w:pPr>
      <w:r>
        <w:rPr>
          <w:rtl/>
          <w:bCs/>
          <w:b/>
        </w:rPr>
        <w:t xml:space="preserve">العمر الافتراضي:</w:t>
      </w:r>
      <w:r>
        <w:rPr>
          <w:rtl/>
        </w:rPr>
        <w:t xml:space="preserve"> </w:t>
      </w:r>
      <w:r>
        <w:rPr>
          <w:rtl/>
        </w:rPr>
        <w:t xml:space="preserve">بيانات تثبت عمر تشغيلي فعلي ≥ 5,000-8,000 ساعة.</w:t>
      </w:r>
    </w:p>
    <w:p>
      <w:pPr>
        <w:bidi/>
        <w:jc w:val="right"/>
      </w:pPr>
      <w:r>
        <w:rPr>
          <w:rtl/>
          <w:bCs/>
          <w:b/>
        </w:rPr>
        <w:t xml:space="preserve">المعيار:</w:t>
      </w:r>
      <w:r>
        <w:rPr>
          <w:rtl/>
        </w:rPr>
        <w:t xml:space="preserve"> </w:t>
      </w:r>
      <w:r>
        <w:rPr>
          <w:rtl/>
        </w:rPr>
        <w:t xml:space="preserve">IEC 60384-4 مع اختبار عمر عند 105°C لمدة ≥ 2,000 ساعة. فحص ESR (Equivalent Series Resistance) ≤ 50 mΩ عند 100 kHz.</w:t>
      </w:r>
    </w:p>
    <w:p>
      <w:pPr>
        <w:pBdr>
          <w:right w:val="single" w:sz="24" w:space="6" w:color="008080"/>
        </w:pBdr>
        <w:bidi/>
        <w:jc w:val="right"/>
      </w:pPr>
      <w:r>
        <w:rPr>
          <w:b/>
          <w:color w:val="008080"/>
          <w:sz w:val="25"/>
          <w:rtl/>
        </w:rPr>
        <w:t xml:space="preserve">4.4 الهياكل البلاستيكية (PC Housing)</w:t>
      </w:r>
    </w:p>
    <w:p>
      <w:pPr>
        <w:bidi/>
        <w:jc w:val="right"/>
      </w:pPr>
      <w:r>
        <w:rPr>
          <w:rtl/>
          <w:bCs/>
          <w:b/>
        </w:rPr>
        <w:t xml:space="preserve">اختبار الكسر:</w:t>
      </w:r>
      <w:r>
        <w:rPr>
          <w:rtl/>
        </w:rPr>
        <w:t xml:space="preserve"> </w:t>
      </w:r>
      <w:r>
        <w:rPr>
          <w:rtl/>
        </w:rPr>
        <w:t xml:space="preserve">الضغط باليد – يجب مرونة قليلة بدون تشقق (PC أصيل لا معاد تدويره). أي تشقق ← رفض.</w:t>
      </w:r>
    </w:p>
    <w:p>
      <w:pPr>
        <w:bidi/>
        <w:jc w:val="right"/>
      </w:pPr>
      <w:r>
        <w:rPr>
          <w:rtl/>
          <w:bCs/>
          <w:b/>
        </w:rPr>
        <w:t xml:space="preserve">اختبار الحرارة:</w:t>
      </w:r>
      <w:r>
        <w:rPr>
          <w:rtl/>
        </w:rPr>
        <w:t xml:space="preserve"> </w:t>
      </w:r>
      <w:r>
        <w:rPr>
          <w:rtl/>
        </w:rPr>
        <w:t xml:space="preserve">تعريض عينة لـ 120°C ساعة كاملة – يجب ألا تلين أو تتشوه أو يتغير لونها.</w:t>
      </w:r>
    </w:p>
    <w:p>
      <w:pPr>
        <w:bidi/>
        <w:jc w:val="right"/>
      </w:pPr>
      <w:r>
        <w:rPr>
          <w:rtl/>
          <w:bCs/>
          <w:b/>
        </w:rPr>
        <w:t xml:space="preserve">اختبار مقاومة اللهب:</w:t>
      </w:r>
      <w:r>
        <w:rPr>
          <w:rtl/>
        </w:rPr>
        <w:t xml:space="preserve"> </w:t>
      </w:r>
      <w:r>
        <w:rPr>
          <w:rtl/>
        </w:rPr>
        <w:t xml:space="preserve">مطابقة UL94-V0 (يُغلق اللهب خلال 10 ثوانٍ، لا قطرات مشتعلة).</w:t>
      </w:r>
    </w:p>
    <w:p>
      <w:pPr>
        <w:bidi/>
        <w:jc w:val="right"/>
      </w:pPr>
      <w:r>
        <w:rPr>
          <w:rtl/>
          <w:bCs/>
          <w:b/>
        </w:rPr>
        <w:t xml:space="preserve">اختبار UV Resistance:</w:t>
      </w:r>
      <w:r>
        <w:rPr>
          <w:rtl/>
        </w:rPr>
        <w:t xml:space="preserve"> </w:t>
      </w:r>
      <w:r>
        <w:rPr>
          <w:rtl/>
        </w:rPr>
        <w:t xml:space="preserve">ISO 4892-2 – مقاومة الاصفرار والتشقق عند التعرض المطول للشمس.</w:t>
      </w:r>
    </w:p>
    <w:p>
      <w:pPr>
        <w:bidi/>
        <w:jc w:val="right"/>
      </w:pPr>
      <w:r>
        <w:rPr>
          <w:rtl/>
          <w:bCs/>
          <w:b/>
        </w:rPr>
        <w:t xml:space="preserve">إلزام المورد:</w:t>
      </w:r>
      <w:r>
        <w:rPr>
          <w:rtl/>
        </w:rPr>
        <w:t xml:space="preserve"> </w:t>
      </w:r>
      <w:r>
        <w:rPr>
          <w:rtl/>
        </w:rPr>
        <w:t xml:space="preserve">شهادة تبين درجة المادة (PC Virgin) وتصنيف UL94 + شهادة RoHS.</w:t>
      </w:r>
    </w:p>
    <w:p>
      <w:pPr>
        <w:pBdr>
          <w:right w:val="single" w:sz="24" w:space="6" w:color="008080"/>
        </w:pBdr>
        <w:bidi/>
        <w:jc w:val="right"/>
      </w:pPr>
      <w:r>
        <w:rPr>
          <w:b/>
          <w:color w:val="008080"/>
          <w:sz w:val="25"/>
          <w:rtl/>
        </w:rPr>
        <w:t xml:space="preserve">4.5 إجراءات الفحص العامة ورفض الدفعات</w:t>
      </w:r>
    </w:p>
    <w:p>
      <w:pPr>
        <w:bidi/>
        <w:jc w:val="right"/>
      </w:pPr>
      <w:r>
        <w:rPr>
          <w:rtl/>
        </w:rPr>
        <w:t xml:space="preserve">فحص العينة الأولى (First Article Inspection): أول 5-10% من الكمية عند استلام أي دفعة جديدة.</w:t>
      </w:r>
    </w:p>
    <w:p>
      <w:pPr>
        <w:bidi/>
        <w:jc w:val="right"/>
      </w:pPr>
      <w:r>
        <w:rPr>
          <w:rtl/>
        </w:rPr>
        <w:t xml:space="preserve">نسبة العيوب المسموحة (حد القبول المسموح به للعيوب (Limite de Qualité Acceptable)): ≤ 2% في العينة. عند التجاوز ← رفض الدفعة كاملة. يُفضَّل حد القبول المسموح به للعيوب (Limite de Qualité Acceptable) = 1.0% للعيوب الحرجة. التطبيق وفق ANSI/ASQ Z1.4 أو ISO 2859-1.</w:t>
      </w:r>
    </w:p>
    <w:p>
      <w:pPr>
        <w:pBdr>
          <w:right w:val="single" w:sz="16" w:space="6" w:color="008080"/>
        </w:pBdr>
        <w:bidi/>
        <w:jc w:val="right"/>
      </w:pPr>
      <w:r>
        <w:rPr>
          <w:color w:val="008080"/>
          <w:sz w:val="23"/>
          <w:rtl/>
          <w:bCs/>
          <w:b/>
        </w:rPr>
        <w:t xml:space="preserve">درجات العيوب:</w:t>
      </w:r>
    </w:p>
    <w:p>
      <w:pPr>
        <w:numPr>
          <w:ilvl w:val="0"/>
          <w:numId w:val="1006"/>
        </w:numPr>
        <w:bidi/>
        <w:jc w:val="right"/>
      </w:pPr>
      <w:r>
        <w:rPr>
          <w:rtl/>
        </w:rPr>
        <w:t xml:space="preserve">عيب خطير (Critical Defect): يمنع المنتج من العمل أو يُشكّل خطراً – رفض فوري حتى لو النسبة &lt; 2%.</w:t>
      </w:r>
    </w:p>
    <w:p>
      <w:pPr>
        <w:numPr>
          <w:ilvl w:val="0"/>
          <w:numId w:val="1006"/>
        </w:numPr>
        <w:bidi/>
        <w:jc w:val="right"/>
      </w:pPr>
      <w:r>
        <w:rPr>
          <w:rtl/>
        </w:rPr>
        <w:t xml:space="preserve">عيب رئيسي (Major Defect): يؤثر على الأداء أو العمر الافتراضي – نسبة مسموحة ≤ 1.5%.</w:t>
      </w:r>
    </w:p>
    <w:p>
      <w:pPr>
        <w:numPr>
          <w:ilvl w:val="0"/>
          <w:numId w:val="1006"/>
        </w:numPr>
        <w:bidi/>
        <w:jc w:val="right"/>
      </w:pPr>
      <w:r>
        <w:rPr>
          <w:rtl/>
        </w:rPr>
        <w:t xml:space="preserve">عيب ثانوي (Minor Defect): يقلل الجودة البصرية فقط – نسبة مسموحة ≤ 2.5%.</w:t>
      </w:r>
    </w:p>
    <w:p>
      <w:pPr>
        <w:bidi/>
        <w:jc w:val="right"/>
      </w:pPr>
      <w:r>
        <w:rPr>
          <w:rtl/>
          <w:bCs/>
          <w:b/>
        </w:rPr>
        <w:t xml:space="preserve">إجراءات الرفض:</w:t>
      </w:r>
      <w:r>
        <w:rPr>
          <w:rtl/>
        </w:rPr>
        <w:t xml:space="preserve"> </w:t>
      </w:r>
      <w:r>
        <w:rPr>
          <w:rtl/>
        </w:rPr>
        <w:t xml:space="preserve">إشعار كتابي للمورد مع أسباب الرفض مدعومة بصور أو تقارير فحص. إعادة الدفعة للمورد أو تلفها على نفقته. تسجيل الرفض في «سجل الموردين» مع توثيق التاريخ ورقم الدفعة ونوع العيوب. تكرار الرفض مرتين: تعليق مؤقت حتى تقديم Corrective Action Plan. المرة الرابعة: تصنيف المورد «غير معتمد» واستبعاده.</w:t>
      </w:r>
    </w:p>
    <w:p>
      <w:pPr>
        <w:pBdr>
          <w:right w:val="single" w:sz="24" w:space="6" w:color="008080"/>
        </w:pBdr>
        <w:bidi/>
        <w:jc w:val="right"/>
      </w:pPr>
      <w:r>
        <w:rPr>
          <w:b/>
          <w:color w:val="008080"/>
          <w:sz w:val="25"/>
          <w:rtl/>
        </w:rPr>
        <w:t xml:space="preserve">4.6 جدول الخلاصة الإجرائية – القبول والرفض السريع</w:t>
      </w:r>
    </w:p>
    <w:tbl>
      <w:tblPr>
        <w:tblStyle w:val="Table"/>
        <w:bidiVisual/>
        <w:tblW w:type="pct" w:w="5000"/>
        <w:tblLook w:firstRow="1" w:lastRow="0" w:firstColumn="0" w:lastColumn="0" w:noHBand="0" w:noVBand="0" w:val="0020"/>
        <w:jc w:val="right"/>
      </w:tblPr>
      <w:tblGrid>
        <w:gridCol w:w="1980"/>
        <w:gridCol w:w="1980"/>
        <w:gridCol w:w="1980"/>
        <w:gridCol w:w="198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المكوّن</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شرط القبول الأساسي</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شروط الرفض القاطعة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المرجع المعياري</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شرائح LED</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شهادة LM-80، فحص مجهري سليم، MSL ≤ 1</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غياب الشهادة، بقع، تغير لون، كسر ظاهر</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LM-80 / IEC 62471</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المكثفات</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مواصفة 105°C، عمر ≥ 5,000 س، ESR ≤ 50mΩ</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مواصفة 85°C، انتفاخ، عمر &lt; 5,000 س</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IEC 60384-4</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الهياكل (PC)</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UL94-V0، ثبات 120°C، مقاومة UV</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تشقق، تشوه بعد التسخين، غياب RoHS</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UL94 / ISO 4892</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جميع المكونات</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مطابقة RoHS، شهادة CE/CEE، توثيق المورد</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وجود رصاص/زئبق أو غياب الشهادات</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RoHS / CE / CEE</w:t>
            </w:r>
          </w:p>
        </w:tc>
      </w:tr>
    </w:tbl>
    <w:p>
      <w:pPr>
        <w:pBdr>
          <w:right w:val="single" w:sz="24" w:space="6" w:color="008080"/>
        </w:pBdr>
        <w:bidi/>
        <w:jc w:val="right"/>
      </w:pPr>
      <w:r>
        <w:rPr>
          <w:b/>
          <w:color w:val="008080"/>
          <w:sz w:val="25"/>
          <w:rtl/>
        </w:rPr>
        <w:t xml:space="preserve">4.7 معايير الامتثال الدولية</w:t>
      </w:r>
    </w:p>
    <w:p>
      <w:pPr>
        <w:numPr>
          <w:ilvl w:val="0"/>
          <w:numId w:val="1007"/>
        </w:numPr>
        <w:bidi/>
        <w:jc w:val="right"/>
      </w:pPr>
      <w:r>
        <w:rPr>
          <w:rtl/>
          <w:bCs/>
          <w:b/>
        </w:rPr>
        <w:t xml:space="preserve">RoHS:</w:t>
      </w:r>
      <w:r>
        <w:rPr>
          <w:rtl/>
        </w:rPr>
        <w:t xml:space="preserve"> </w:t>
      </w:r>
      <w:r>
        <w:rPr>
          <w:rtl/>
        </w:rPr>
        <w:t xml:space="preserve">خلو المكونات من الرصاص، الزئبق، الكادميوم، الكروم سداسي التكافؤ، PBB، PBDE. مع شهادة TÜV أو SGS.</w:t>
      </w:r>
    </w:p>
    <w:p>
      <w:pPr>
        <w:numPr>
          <w:ilvl w:val="0"/>
          <w:numId w:val="1007"/>
        </w:numPr>
        <w:bidi/>
        <w:jc w:val="right"/>
      </w:pPr>
      <w:r>
        <w:rPr>
          <w:rtl/>
        </w:rPr>
        <w:t xml:space="preserve">IEC 62471 (السلامة الضوئية): المصابيح خالية من خطر «الضوء الأزرق» – تصنيف 0RG (Exempt) أو 1RG (Low Risk). ضبط CCT ≥ 4000K.</w:t>
      </w:r>
    </w:p>
    <w:p>
      <w:pPr>
        <w:numPr>
          <w:ilvl w:val="0"/>
          <w:numId w:val="1007"/>
        </w:numPr>
        <w:bidi/>
        <w:jc w:val="right"/>
      </w:pPr>
      <w:r>
        <w:rPr>
          <w:rtl/>
        </w:rPr>
        <w:t xml:space="preserve">روح ISO 9001: توثيق يومي دقيق لكل العمليات والأخطاء + مبدأ التحسين المستمر + تدقيق داخلي كل 6 أشهر.</w:t>
      </w:r>
    </w:p>
    <w:p>
      <w:pPr>
        <w:numPr>
          <w:ilvl w:val="0"/>
          <w:numId w:val="1007"/>
        </w:numPr>
        <w:bidi/>
        <w:jc w:val="right"/>
      </w:pPr>
      <w:r>
        <w:rPr>
          <w:rtl/>
        </w:rPr>
        <w:t xml:space="preserve">روح ISO 14001: فرز النفايات الإلكترونية (PCBs التالفة، بقايا القصدير، المكونات التالفة) وإرسالها لمعامل معتمدة كل 6-12 شهر.</w:t>
      </w:r>
    </w:p>
    <w:p>
      <w:pPr>
        <w:numPr>
          <w:ilvl w:val="0"/>
          <w:numId w:val="1007"/>
        </w:numPr>
        <w:bidi/>
        <w:jc w:val="right"/>
      </w:pPr>
      <w:r>
        <w:rPr>
          <w:rtl/>
        </w:rPr>
        <w:t xml:space="preserve">CEE /CEEE (السوق الجزائري): شهادة من IANOR أو جهة معتمدة من OREE – تشمل السلامة الكهربائية، الأداء الوظيفي، التوافق الكهرومغناطيسي (EMC).</w:t>
      </w:r>
    </w:p>
    <w:tbl>
      <w:tblPr>
        <w:tblStyle w:val="Table"/>
        <w:bidiVisual/>
        <w:tblW w:type="pct" w:w="500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E9EDF2"/>
          </w:tcPr>
          <w:p>
            <w:pPr>
              <w:pStyle w:val="Compact"/>
              <w:bidi/>
              <w:jc w:val="right"/>
            </w:pPr>
            <w:r>
              <w:rPr>
                <w:color w:val="0D3B66"/>
                <w:sz w:val="29"/>
                <w:rtl/>
                <w:bCs/>
                <w:b/>
              </w:rPr>
              <w:t xml:space="preserve">الباب الخامس: التفصيل المجهري للعمليات الإنتاجية (Micro-تعليمات التشغيل القياسية (Instructions de Travail Standardisées)) والاختبارات المتقدمة</w:t>
            </w:r>
          </w:p>
        </w:tc>
      </w:tr>
    </w:tbl>
    <w:p>
      <w:pPr>
        <w:pBdr>
          <w:right w:val="single" w:sz="24" w:space="6" w:color="008080"/>
        </w:pBdr>
        <w:bidi/>
        <w:jc w:val="right"/>
      </w:pPr>
      <w:r>
        <w:rPr>
          <w:b/>
          <w:color w:val="008080"/>
          <w:sz w:val="25"/>
          <w:rtl/>
        </w:rPr>
        <w:t xml:space="preserve">5.1 بروتوكول تحضير الـ PCB (ما قبل اللحام)</w:t>
      </w:r>
    </w:p>
    <w:p>
      <w:pPr>
        <w:numPr>
          <w:ilvl w:val="0"/>
          <w:numId w:val="1008"/>
        </w:numPr>
        <w:bidi/>
        <w:jc w:val="right"/>
      </w:pPr>
      <w:r>
        <w:rPr>
          <w:rtl/>
        </w:rPr>
        <w:t xml:space="preserve">المعاينة البصرية: فحص مسارات النحاس وفق IPC-A-610. أي خدش عميق يقطع مسار النحاس ← رفض فوري.</w:t>
      </w:r>
    </w:p>
    <w:p>
      <w:pPr>
        <w:numPr>
          <w:ilvl w:val="0"/>
          <w:numId w:val="1008"/>
        </w:numPr>
        <w:bidi/>
        <w:jc w:val="right"/>
      </w:pPr>
      <w:r>
        <w:rPr>
          <w:rtl/>
        </w:rPr>
        <w:t xml:space="preserve">الأكسدة الخفيفة: مسح بممحاة تقنية ناعمة ثم تنظيف بـ Isopropanol 99%.</w:t>
      </w:r>
    </w:p>
    <w:p>
      <w:pPr>
        <w:numPr>
          <w:ilvl w:val="0"/>
          <w:numId w:val="1008"/>
        </w:numPr>
        <w:bidi/>
        <w:jc w:val="right"/>
      </w:pPr>
      <w:r>
        <w:rPr>
          <w:rtl/>
        </w:rPr>
        <w:t xml:space="preserve">يُفضَّل استخدام كاميرا AOI عند التوسع لفحص أكثر دقة.</w:t>
      </w:r>
    </w:p>
    <w:p>
      <w:pPr>
        <w:numPr>
          <w:ilvl w:val="0"/>
          <w:numId w:val="1008"/>
        </w:numPr>
        <w:bidi/>
        <w:jc w:val="right"/>
      </w:pPr>
      <w:r>
        <w:rPr>
          <w:rtl/>
        </w:rPr>
        <w:t xml:space="preserve">بروتوكول التفريغ الكهربائي الساكن (Décharge Électrostatique): سوار المعصم إلزامي لجميع العمال مع فحص مقاومة يومي (≈ 1 MΩ).</w:t>
      </w:r>
    </w:p>
    <w:p>
      <w:pPr>
        <w:numPr>
          <w:ilvl w:val="0"/>
          <w:numId w:val="1008"/>
        </w:numPr>
        <w:bidi/>
        <w:jc w:val="right"/>
      </w:pPr>
      <w:r>
        <w:rPr>
          <w:rtl/>
        </w:rPr>
        <w:t xml:space="preserve">وضع عجينة اللحام (إن استُخدمت يدوياً): قطر ≥ 0.5 ملم فوق كل Pad.</w:t>
      </w:r>
    </w:p>
    <w:p>
      <w:pPr>
        <w:numPr>
          <w:ilvl w:val="0"/>
          <w:numId w:val="1008"/>
        </w:numPr>
        <w:bidi/>
        <w:jc w:val="right"/>
      </w:pPr>
      <w:r>
        <w:rPr>
          <w:rtl/>
        </w:rPr>
        <w:t xml:space="preserve">تموضع المكونات: بملقط التفريغ الكهربائي الساكن (Décharge Électrostatique) بحيث تغطي رقاقة LED كامل الـ Pad.</w:t>
      </w:r>
    </w:p>
    <w:p>
      <w:pPr>
        <w:numPr>
          <w:ilvl w:val="0"/>
          <w:numId w:val="1008"/>
        </w:numPr>
        <w:bidi/>
        <w:jc w:val="right"/>
      </w:pPr>
      <w:r>
        <w:rPr>
          <w:rtl/>
        </w:rPr>
        <w:t xml:space="preserve">يُمنع لمس المكونات باليد مباشرة لتفادي التلوث والشحنات.</w:t>
      </w:r>
    </w:p>
    <w:p>
      <w:pPr>
        <w:pBdr>
          <w:right w:val="single" w:sz="24" w:space="6" w:color="008080"/>
        </w:pBdr>
        <w:bidi/>
        <w:jc w:val="right"/>
      </w:pPr>
      <w:r>
        <w:rPr>
          <w:b/>
          <w:color w:val="008080"/>
          <w:sz w:val="25"/>
          <w:rtl/>
        </w:rPr>
        <w:t xml:space="preserve">5.2 بروتوكول اللحام بفرن SB PTC 500-D (حوض الغمر)</w:t>
      </w:r>
    </w:p>
    <w:p>
      <w:pPr>
        <w:numPr>
          <w:ilvl w:val="0"/>
          <w:numId w:val="1009"/>
        </w:numPr>
        <w:bidi/>
        <w:jc w:val="right"/>
      </w:pPr>
      <w:r>
        <w:rPr>
          <w:rtl/>
        </w:rPr>
        <w:t xml:space="preserve">قشط الأكسيد (Dross Skimming): إلزامي قبل كل غمر – مرجع: IPC-A-610 / IEC 61192-2.</w:t>
      </w:r>
    </w:p>
    <w:p>
      <w:pPr>
        <w:numPr>
          <w:ilvl w:val="0"/>
          <w:numId w:val="1009"/>
        </w:numPr>
        <w:bidi/>
        <w:jc w:val="right"/>
      </w:pPr>
      <w:r>
        <w:rPr>
          <w:rtl/>
        </w:rPr>
        <w:t xml:space="preserve">التسخين الأولي (Pre-heating): 3-5 ثوانٍ – مرجع: IPC-7530.</w:t>
      </w:r>
    </w:p>
    <w:p>
      <w:pPr>
        <w:numPr>
          <w:ilvl w:val="0"/>
          <w:numId w:val="1009"/>
        </w:numPr>
        <w:bidi/>
        <w:jc w:val="right"/>
      </w:pPr>
      <w:r>
        <w:rPr>
          <w:rtl/>
        </w:rPr>
        <w:t xml:space="preserve">القصدير التقليدي Sn63/Pb37: 230-250°C. القصدير الخالي من الرصاص SAC305: 260-280°C.</w:t>
      </w:r>
    </w:p>
    <w:p>
      <w:pPr>
        <w:numPr>
          <w:ilvl w:val="0"/>
          <w:numId w:val="1009"/>
        </w:numPr>
        <w:bidi/>
        <w:jc w:val="right"/>
      </w:pPr>
      <w:r>
        <w:rPr>
          <w:rtl/>
        </w:rPr>
        <w:t xml:space="preserve">زمن الغمر الذهبي: 2-4 ثوانٍ فقط – أي زيادة تؤدي لتآكل النحاس (Copper Dissolution).</w:t>
      </w:r>
    </w:p>
    <w:p>
      <w:pPr>
        <w:numPr>
          <w:ilvl w:val="0"/>
          <w:numId w:val="1009"/>
        </w:numPr>
        <w:bidi/>
        <w:jc w:val="right"/>
      </w:pPr>
      <w:r>
        <w:rPr>
          <w:rtl/>
        </w:rPr>
        <w:t xml:space="preserve">زاوية الخروج: 45° لمنع تكوّن «رؤوس الإبر».</w:t>
      </w:r>
    </w:p>
    <w:p>
      <w:pPr>
        <w:numPr>
          <w:ilvl w:val="0"/>
          <w:numId w:val="1009"/>
        </w:numPr>
        <w:bidi/>
        <w:jc w:val="right"/>
      </w:pPr>
      <w:r>
        <w:rPr>
          <w:rtl/>
        </w:rPr>
        <w:t xml:space="preserve">التبريد الطبيعي: دقيقتان في الهواء – يُمنع استخدام المروحة (يسبب تشققات مجهرية).</w:t>
      </w:r>
    </w:p>
    <w:p>
      <w:pPr>
        <w:numPr>
          <w:ilvl w:val="0"/>
          <w:numId w:val="1009"/>
        </w:numPr>
        <w:bidi/>
        <w:jc w:val="right"/>
      </w:pPr>
      <w:r>
        <w:rPr>
          <w:rtl/>
        </w:rPr>
        <w:t xml:space="preserve">التوثيق: تسجيل درجة الحرارة وزمن الغمر في سجل الجودة اليومي.</w:t>
      </w:r>
    </w:p>
    <w:p>
      <w:pPr>
        <w:pBdr>
          <w:right w:val="single" w:sz="24" w:space="6" w:color="008080"/>
        </w:pBdr>
        <w:bidi/>
        <w:jc w:val="right"/>
      </w:pPr>
      <w:r>
        <w:rPr>
          <w:b/>
          <w:color w:val="008080"/>
          <w:sz w:val="25"/>
          <w:rtl/>
        </w:rPr>
        <w:t xml:space="preserve">5.3 بروتوكول التنظيف الكيميائي (Chemical Cleaning)</w:t>
      </w:r>
    </w:p>
    <w:p>
      <w:pPr>
        <w:numPr>
          <w:ilvl w:val="0"/>
          <w:numId w:val="1010"/>
        </w:numPr>
        <w:bidi/>
        <w:jc w:val="right"/>
      </w:pPr>
      <w:r>
        <w:rPr>
          <w:rtl/>
        </w:rPr>
        <w:t xml:space="preserve">المادة: Isopropanol 99% – مطابق لـ ASTM D770.</w:t>
      </w:r>
    </w:p>
    <w:p>
      <w:pPr>
        <w:numPr>
          <w:ilvl w:val="0"/>
          <w:numId w:val="1010"/>
        </w:numPr>
        <w:bidi/>
        <w:jc w:val="right"/>
      </w:pPr>
      <w:r>
        <w:rPr>
          <w:rtl/>
        </w:rPr>
        <w:t xml:space="preserve">الأداة: فرشاة بلاستيكية صلبة التفريغ الكهربائي الساكن (Décharge Électrostatique)-Safe. يُمنع استخدام فرشاة معدنية أو ورق الصنفرة.</w:t>
      </w:r>
    </w:p>
    <w:p>
      <w:pPr>
        <w:numPr>
          <w:ilvl w:val="0"/>
          <w:numId w:val="1010"/>
        </w:numPr>
        <w:bidi/>
        <w:jc w:val="right"/>
      </w:pPr>
      <w:r>
        <w:rPr>
          <w:rtl/>
        </w:rPr>
        <w:t xml:space="preserve">الطريقة: رش خفيف ← مسح دائري متدرج ← مسح نهائي بقطعة Lint-free.</w:t>
      </w:r>
    </w:p>
    <w:p>
      <w:pPr>
        <w:numPr>
          <w:ilvl w:val="0"/>
          <w:numId w:val="1010"/>
        </w:numPr>
        <w:bidi/>
        <w:jc w:val="right"/>
      </w:pPr>
      <w:r>
        <w:rPr>
          <w:rtl/>
        </w:rPr>
        <w:t xml:space="preserve">نافذة الـ 30 دقيقة: إلزامية التنظيف خلال 30 دقيقة من خروج الـ PCB من الفرن.</w:t>
      </w:r>
    </w:p>
    <w:p>
      <w:pPr>
        <w:numPr>
          <w:ilvl w:val="0"/>
          <w:numId w:val="1010"/>
        </w:numPr>
        <w:bidi/>
        <w:jc w:val="right"/>
      </w:pPr>
      <w:r>
        <w:rPr>
          <w:rtl/>
        </w:rPr>
        <w:t xml:space="preserve">التجفيف القسري: هواء مضغوط جاف نظيف (Clean Dry Air).</w:t>
      </w:r>
    </w:p>
    <w:p>
      <w:pPr>
        <w:numPr>
          <w:ilvl w:val="0"/>
          <w:numId w:val="1010"/>
        </w:numPr>
        <w:bidi/>
        <w:jc w:val="right"/>
      </w:pPr>
      <w:r>
        <w:rPr>
          <w:rtl/>
        </w:rPr>
        <w:t xml:space="preserve">الممنوعات المطلقة: الأسيتون، المذيبات العشوائية، ورق الصنفرة.</w:t>
      </w:r>
    </w:p>
    <w:p>
      <w:pPr>
        <w:pBdr>
          <w:right w:val="single" w:sz="24" w:space="6" w:color="008080"/>
        </w:pBdr>
        <w:bidi/>
        <w:jc w:val="right"/>
      </w:pPr>
      <w:r>
        <w:rPr>
          <w:b/>
          <w:color w:val="008080"/>
          <w:sz w:val="25"/>
          <w:rtl/>
        </w:rPr>
        <w:t xml:space="preserve">5.4 بروتوكول اختبار الحرق المتقدم (Burn-in Test)</w:t>
      </w:r>
    </w:p>
    <w:p>
      <w:pPr>
        <w:numPr>
          <w:ilvl w:val="0"/>
          <w:numId w:val="1011"/>
        </w:numPr>
        <w:bidi/>
        <w:jc w:val="right"/>
      </w:pPr>
      <w:r>
        <w:rPr>
          <w:rtl/>
        </w:rPr>
        <w:t xml:space="preserve">العينة: 5% عشوائية من كل دفعة (عينتان على الأقل للدفعات الصغيرة).</w:t>
      </w:r>
    </w:p>
    <w:p>
      <w:pPr>
        <w:numPr>
          <w:ilvl w:val="0"/>
          <w:numId w:val="1011"/>
        </w:numPr>
        <w:bidi/>
        <w:jc w:val="right"/>
      </w:pPr>
      <w:r>
        <w:rPr>
          <w:rtl/>
        </w:rPr>
        <w:t xml:space="preserve">المرحلة الأولى: 265V لمدة ساعتين – محاكاة الجهد المرتفع في الشبكة الجزائرية.</w:t>
      </w:r>
    </w:p>
    <w:p>
      <w:pPr>
        <w:numPr>
          <w:ilvl w:val="0"/>
          <w:numId w:val="1011"/>
        </w:numPr>
        <w:bidi/>
        <w:jc w:val="right"/>
      </w:pPr>
      <w:r>
        <w:rPr>
          <w:rtl/>
        </w:rPr>
        <w:t xml:space="preserve">المرحلة الثانية: 170V لمدة ساعتين – اختبار الاستقرار عند انخفاض الجهد (Brown-out).</w:t>
      </w:r>
    </w:p>
    <w:p>
      <w:pPr>
        <w:numPr>
          <w:ilvl w:val="0"/>
          <w:numId w:val="1011"/>
        </w:numPr>
        <w:bidi/>
        <w:jc w:val="right"/>
      </w:pPr>
      <w:r>
        <w:rPr>
          <w:rtl/>
        </w:rPr>
        <w:t xml:space="preserve">معايير القبول: رفض أي منتج يُظهر وميضاً (Flicker)، إطفاءً ذاتياً، صوت شرارة، أو سخونة زائدة.</w:t>
      </w:r>
    </w:p>
    <w:p>
      <w:pPr>
        <w:numPr>
          <w:ilvl w:val="0"/>
          <w:numId w:val="1011"/>
        </w:numPr>
        <w:bidi/>
        <w:jc w:val="right"/>
      </w:pPr>
      <w:r>
        <w:rPr>
          <w:rtl/>
        </w:rPr>
        <w:t xml:space="preserve">Power Factor ≥ 0.9 أثناء الاختبار. CRI ≥ 80.</w:t>
      </w:r>
    </w:p>
    <w:p>
      <w:pPr>
        <w:numPr>
          <w:ilvl w:val="0"/>
          <w:numId w:val="1011"/>
        </w:numPr>
        <w:bidi/>
        <w:jc w:val="right"/>
      </w:pPr>
      <w:r>
        <w:rPr>
          <w:rtl/>
        </w:rPr>
        <w:t xml:space="preserve">التوثيق: رقم الدفعة، عدد العينات، نتائج كل مرحلة في سجل الجودة اليومي.</w:t>
      </w:r>
    </w:p>
    <w:p>
      <w:pPr>
        <w:numPr>
          <w:ilvl w:val="0"/>
          <w:numId w:val="1011"/>
        </w:numPr>
        <w:bidi/>
        <w:jc w:val="right"/>
      </w:pPr>
      <w:r>
        <w:rPr>
          <w:rtl/>
        </w:rPr>
        <w:t xml:space="preserve">يُفضَّل التنفيذ في غرفة محكمة التهوية مع مراقبة درجة الحرارة المحيطة (25-30°C).</w:t>
      </w:r>
    </w:p>
    <w:p>
      <w:pPr>
        <w:pBdr>
          <w:right w:val="single" w:sz="24" w:space="6" w:color="008080"/>
        </w:pBdr>
        <w:bidi/>
        <w:jc w:val="right"/>
      </w:pPr>
      <w:r>
        <w:rPr>
          <w:b/>
          <w:color w:val="008080"/>
          <w:sz w:val="25"/>
          <w:rtl/>
        </w:rPr>
        <w:t xml:space="preserve">5.5 اختبار التبديل السريع (Switching Test)</w:t>
      </w:r>
    </w:p>
    <w:p>
      <w:pPr>
        <w:numPr>
          <w:ilvl w:val="0"/>
          <w:numId w:val="1012"/>
        </w:numPr>
        <w:bidi/>
        <w:jc w:val="right"/>
      </w:pPr>
      <w:r>
        <w:rPr>
          <w:rtl/>
        </w:rPr>
        <w:t xml:space="preserve">الإجراء: تشغيل/إطفاء 500 دورة متتالية (1-2 ثانية لكل حالة).</w:t>
      </w:r>
    </w:p>
    <w:p>
      <w:pPr>
        <w:numPr>
          <w:ilvl w:val="0"/>
          <w:numId w:val="1012"/>
        </w:numPr>
        <w:bidi/>
        <w:jc w:val="right"/>
      </w:pPr>
      <w:r>
        <w:rPr>
          <w:rtl/>
        </w:rPr>
        <w:t xml:space="preserve">حجم العينة: 20 عينة أو 5% من الدفعة (أيهما أكبر).</w:t>
      </w:r>
    </w:p>
    <w:p>
      <w:pPr>
        <w:numPr>
          <w:ilvl w:val="0"/>
          <w:numId w:val="1012"/>
        </w:numPr>
        <w:bidi/>
        <w:jc w:val="right"/>
      </w:pPr>
      <w:r>
        <w:rPr>
          <w:rtl/>
        </w:rPr>
        <w:t xml:space="preserve">الهدف: كشف ضعف اللحام أو احتراق المقاومات أو أي خلل في دائرة التغذية.</w:t>
      </w:r>
    </w:p>
    <w:p>
      <w:pPr>
        <w:numPr>
          <w:ilvl w:val="0"/>
          <w:numId w:val="1012"/>
        </w:numPr>
        <w:bidi/>
        <w:jc w:val="right"/>
      </w:pPr>
      <w:r>
        <w:rPr>
          <w:rtl/>
        </w:rPr>
        <w:t xml:space="preserve">بعد الانتهاء: تشغيل المصباح 5 دقائق متواصلة للتأكد من عدم وجود وميض أو سخونة زائدة.</w:t>
      </w:r>
    </w:p>
    <w:p>
      <w:pPr>
        <w:numPr>
          <w:ilvl w:val="0"/>
          <w:numId w:val="1012"/>
        </w:numPr>
        <w:bidi/>
        <w:jc w:val="right"/>
      </w:pPr>
      <w:r>
        <w:rPr>
          <w:rtl/>
        </w:rPr>
        <w:t xml:space="preserve">فشل عينة واحدة = رفض الدفعة فوراً + Root Cause Analysis.</w:t>
      </w:r>
    </w:p>
    <w:p>
      <w:pPr>
        <w:numPr>
          <w:ilvl w:val="0"/>
          <w:numId w:val="1012"/>
        </w:numPr>
        <w:bidi/>
        <w:jc w:val="right"/>
      </w:pPr>
      <w:r>
        <w:rPr>
          <w:rtl/>
        </w:rPr>
        <w:t xml:space="preserve">يُمكن استخدام Relay Controller أو نظام التحكم الرقمي المبرمج (Automate Programmable Industriel) لأتمتة عملية التشغيل والإطفاء.</w:t>
      </w:r>
    </w:p>
    <w:p>
      <w:pPr>
        <w:pBdr>
          <w:right w:val="single" w:sz="24" w:space="6" w:color="008080"/>
        </w:pBdr>
        <w:bidi/>
        <w:jc w:val="right"/>
      </w:pPr>
      <w:r>
        <w:rPr>
          <w:b/>
          <w:color w:val="008080"/>
          <w:sz w:val="25"/>
          <w:rtl/>
        </w:rPr>
        <w:t xml:space="preserve">5.6 اختبار التوافق الكهرومغناطيسي (EMI/EMC)</w:t>
      </w:r>
    </w:p>
    <w:p>
      <w:pPr>
        <w:numPr>
          <w:ilvl w:val="0"/>
          <w:numId w:val="1013"/>
        </w:numPr>
        <w:bidi/>
        <w:jc w:val="right"/>
      </w:pPr>
      <w:r>
        <w:rPr>
          <w:rtl/>
        </w:rPr>
        <w:t xml:space="preserve">الإجراء: راديو AM محمول بالبطارية على مسافة 30-50 سم من المصباح العامل.</w:t>
      </w:r>
    </w:p>
    <w:p>
      <w:pPr>
        <w:numPr>
          <w:ilvl w:val="0"/>
          <w:numId w:val="1013"/>
        </w:numPr>
        <w:bidi/>
        <w:jc w:val="right"/>
      </w:pPr>
      <w:r>
        <w:rPr>
          <w:rtl/>
        </w:rPr>
        <w:t xml:space="preserve">ضبط الراديو على نقطة «نظيفة» بدون محطة على الموجة المتوسطة/القصيرة.</w:t>
      </w:r>
    </w:p>
    <w:p>
      <w:pPr>
        <w:numPr>
          <w:ilvl w:val="0"/>
          <w:numId w:val="1013"/>
        </w:numPr>
        <w:bidi/>
        <w:jc w:val="right"/>
      </w:pPr>
      <w:r>
        <w:rPr>
          <w:rtl/>
        </w:rPr>
        <w:t xml:space="preserve">معيار القبول: لا تغيير ملحوظ في صوت الراديو عند تشغيل المصباح.</w:t>
      </w:r>
    </w:p>
    <w:p>
      <w:pPr>
        <w:numPr>
          <w:ilvl w:val="0"/>
          <w:numId w:val="1013"/>
        </w:numPr>
        <w:bidi/>
        <w:jc w:val="right"/>
      </w:pPr>
      <w:r>
        <w:rPr>
          <w:rtl/>
        </w:rPr>
        <w:t xml:space="preserve">معيار الرفض: طنين أو شوشرة قوية تحجب الصوت الأصلي ← عزل فوري.</w:t>
      </w:r>
    </w:p>
    <w:p>
      <w:pPr>
        <w:numPr>
          <w:ilvl w:val="0"/>
          <w:numId w:val="1013"/>
        </w:numPr>
        <w:bidi/>
        <w:jc w:val="right"/>
      </w:pPr>
      <w:r>
        <w:rPr>
          <w:rtl/>
        </w:rPr>
        <w:t xml:space="preserve">التحسين المستقبلي: RTL-SDR + هوائي حلقي صغير + مقارنة مع EN 55015 / CISPR 15.</w:t>
      </w:r>
    </w:p>
    <w:p>
      <w:pPr>
        <w:pBdr>
          <w:right w:val="single" w:sz="24" w:space="6" w:color="008080"/>
        </w:pBdr>
        <w:bidi/>
        <w:jc w:val="right"/>
      </w:pPr>
      <w:r>
        <w:rPr>
          <w:b/>
          <w:color w:val="008080"/>
          <w:sz w:val="25"/>
          <w:rtl/>
        </w:rPr>
        <w:t xml:space="preserve">5.7 اختبار السقوط (Drop Test)</w:t>
      </w:r>
    </w:p>
    <w:p>
      <w:pPr>
        <w:numPr>
          <w:ilvl w:val="0"/>
          <w:numId w:val="1014"/>
        </w:numPr>
        <w:bidi/>
        <w:jc w:val="right"/>
      </w:pPr>
      <w:r>
        <w:rPr>
          <w:rtl/>
        </w:rPr>
        <w:t xml:space="preserve">الإجراء: إسقاط عينات عشوائية من ارتفاع 1 متر على أرضية صلبة (خرسانة/فولاذ).</w:t>
      </w:r>
    </w:p>
    <w:p>
      <w:pPr>
        <w:numPr>
          <w:ilvl w:val="0"/>
          <w:numId w:val="1014"/>
        </w:numPr>
        <w:bidi/>
        <w:jc w:val="right"/>
      </w:pPr>
      <w:r>
        <w:rPr>
          <w:rtl/>
        </w:rPr>
        <w:t xml:space="preserve">مواضع السقوط: زوايا، أطراف، وجوه رئيسية – 3 مرات لكل عينة.</w:t>
      </w:r>
    </w:p>
    <w:p>
      <w:pPr>
        <w:numPr>
          <w:ilvl w:val="0"/>
          <w:numId w:val="1014"/>
        </w:numPr>
        <w:bidi/>
        <w:jc w:val="right"/>
      </w:pPr>
      <w:r>
        <w:rPr>
          <w:rtl/>
        </w:rPr>
        <w:t xml:space="preserve">حجم العينة: عينتان لكل 500 وحدة (≈ 0.5%).</w:t>
      </w:r>
    </w:p>
    <w:p>
      <w:pPr>
        <w:numPr>
          <w:ilvl w:val="0"/>
          <w:numId w:val="1014"/>
        </w:numPr>
        <w:bidi/>
        <w:jc w:val="right"/>
      </w:pPr>
      <w:r>
        <w:rPr>
          <w:rtl/>
        </w:rPr>
        <w:t xml:space="preserve">معايير القبول: لا ينفصل الناشر الضوئي، لا يتكسر الهيكل، لا تتضرر الدائرة الداخلية.</w:t>
      </w:r>
    </w:p>
    <w:p>
      <w:pPr>
        <w:numPr>
          <w:ilvl w:val="0"/>
          <w:numId w:val="1014"/>
        </w:numPr>
        <w:bidi/>
        <w:jc w:val="right"/>
      </w:pPr>
      <w:r>
        <w:rPr>
          <w:rtl/>
        </w:rPr>
        <w:t xml:space="preserve">الفحص الكهربائي بعد السقوط: تشغيل بنجاح دون وميض أو سخونة زائدة.</w:t>
      </w:r>
    </w:p>
    <w:p>
      <w:pPr>
        <w:numPr>
          <w:ilvl w:val="0"/>
          <w:numId w:val="1014"/>
        </w:numPr>
        <w:bidi/>
        <w:jc w:val="right"/>
      </w:pPr>
      <w:r>
        <w:rPr>
          <w:rtl/>
        </w:rPr>
        <w:t xml:space="preserve">مقاومة العزل بعد الاختبار: ≥ 2 MΩ (IEC 60598-1:2021).</w:t>
      </w:r>
    </w:p>
    <w:p>
      <w:pPr>
        <w:pBdr>
          <w:right w:val="single" w:sz="24" w:space="6" w:color="008080"/>
        </w:pBdr>
        <w:bidi/>
        <w:jc w:val="right"/>
      </w:pPr>
      <w:r>
        <w:rPr>
          <w:b/>
          <w:color w:val="008080"/>
          <w:sz w:val="25"/>
          <w:rtl/>
        </w:rPr>
        <w:t xml:space="preserve">5.8 اختبار دورات الحرارة (Thermal Cycling)</w:t>
      </w:r>
    </w:p>
    <w:p>
      <w:pPr>
        <w:numPr>
          <w:ilvl w:val="0"/>
          <w:numId w:val="1015"/>
        </w:numPr>
        <w:bidi/>
        <w:jc w:val="right"/>
      </w:pPr>
      <w:r>
        <w:rPr>
          <w:rtl/>
        </w:rPr>
        <w:t xml:space="preserve">الإجراء: 50 دورة بين 0°C و +65°C مع وقت ثبات 30 دقيقة عند كل طرف.</w:t>
      </w:r>
    </w:p>
    <w:p>
      <w:pPr>
        <w:numPr>
          <w:ilvl w:val="0"/>
          <w:numId w:val="1015"/>
        </w:numPr>
        <w:bidi/>
        <w:jc w:val="right"/>
      </w:pPr>
      <w:r>
        <w:rPr>
          <w:rtl/>
        </w:rPr>
        <w:t xml:space="preserve">المرجع الدولي: IEC 60068-2-14 (Test Nb) / GB/T 2423.22.</w:t>
      </w:r>
    </w:p>
    <w:p>
      <w:pPr>
        <w:numPr>
          <w:ilvl w:val="0"/>
          <w:numId w:val="1015"/>
        </w:numPr>
        <w:bidi/>
        <w:jc w:val="right"/>
      </w:pPr>
      <w:r>
        <w:rPr>
          <w:rtl/>
        </w:rPr>
        <w:t xml:space="preserve">السيناريو الميداني البديل للورشات الصغيرة: تعريض العينات للشمس المباشرة (+50°C) ثم الإدخال في مكيف (4°C) – 10 مرات.</w:t>
      </w:r>
    </w:p>
    <w:p>
      <w:pPr>
        <w:numPr>
          <w:ilvl w:val="0"/>
          <w:numId w:val="1015"/>
        </w:numPr>
        <w:bidi/>
        <w:jc w:val="right"/>
      </w:pPr>
      <w:r>
        <w:rPr>
          <w:rtl/>
        </w:rPr>
        <w:t xml:space="preserve">التوثيق: سجل اختبارات المناخ مع التاريخ، رقم الدفعة، درجات الحرارة، عدد الدورات.</w:t>
      </w:r>
    </w:p>
    <w:p>
      <w:pPr>
        <w:pBdr>
          <w:right w:val="single" w:sz="24" w:space="6" w:color="008080"/>
        </w:pBdr>
        <w:bidi/>
        <w:jc w:val="right"/>
      </w:pPr>
      <w:r>
        <w:rPr>
          <w:b/>
          <w:color w:val="008080"/>
          <w:sz w:val="25"/>
          <w:rtl/>
        </w:rPr>
        <w:t xml:space="preserve">5.9 اختبار الحماية الكهربائية (Electrical Protection Test)</w:t>
      </w:r>
    </w:p>
    <w:p>
      <w:pPr>
        <w:numPr>
          <w:ilvl w:val="0"/>
          <w:numId w:val="1016"/>
        </w:numPr>
        <w:bidi/>
        <w:jc w:val="right"/>
      </w:pPr>
      <w:r>
        <w:rPr>
          <w:rtl/>
        </w:rPr>
        <w:t xml:space="preserve">الهدف: التحقق من فعالية عناصر الحماية (Fusible، Zener، Converter Boost) لضمان عدم احتراق المنتج.</w:t>
      </w:r>
    </w:p>
    <w:p>
      <w:pPr>
        <w:numPr>
          <w:ilvl w:val="0"/>
          <w:numId w:val="1016"/>
        </w:numPr>
        <w:bidi/>
        <w:jc w:val="right"/>
      </w:pPr>
      <w:r>
        <w:rPr>
          <w:rtl/>
        </w:rPr>
        <w:t xml:space="preserve">الاعتماد على شهادة المورد لاختبار Surge الكهربائي وفق IEC 61000-4-5 و IEC 60598-1.</w:t>
      </w:r>
    </w:p>
    <w:p>
      <w:pPr>
        <w:numPr>
          <w:ilvl w:val="0"/>
          <w:numId w:val="1016"/>
        </w:numPr>
        <w:bidi/>
        <w:jc w:val="right"/>
      </w:pPr>
      <w:r>
        <w:rPr>
          <w:rtl/>
        </w:rPr>
        <w:t xml:space="preserve">المقاومة الفيوزية: تُحدد قيمتها بين 100-1000 أوم حسب التطبيق.</w:t>
      </w:r>
    </w:p>
    <w:p>
      <w:pPr>
        <w:numPr>
          <w:ilvl w:val="0"/>
          <w:numId w:val="1016"/>
        </w:numPr>
        <w:bidi/>
        <w:jc w:val="right"/>
      </w:pPr>
      <w:r>
        <w:rPr>
          <w:rtl/>
        </w:rPr>
        <w:t xml:space="preserve">الزينر: يُوضع في دوائر Boost Converter لحماية الترانزستور الرئيسي.</w:t>
      </w:r>
    </w:p>
    <w:p>
      <w:pPr>
        <w:numPr>
          <w:ilvl w:val="0"/>
          <w:numId w:val="1016"/>
        </w:numPr>
        <w:bidi/>
        <w:jc w:val="right"/>
      </w:pPr>
      <w:r>
        <w:rPr>
          <w:rtl/>
        </w:rPr>
        <w:t xml:space="preserve">الاختبار يُجرى على عينتين لكل 500 وحدة بإشراف مباشر.</w:t>
      </w:r>
    </w:p>
    <w:p>
      <w:pPr>
        <w:numPr>
          <w:ilvl w:val="0"/>
          <w:numId w:val="1016"/>
        </w:numPr>
        <w:bidi/>
        <w:jc w:val="right"/>
      </w:pPr>
      <w:r>
        <w:rPr>
          <w:rtl/>
        </w:rPr>
        <w:t xml:space="preserve">شروط القبول: عدم احتراق أو تفحم، المصباح يضيء شكلاً طبيعياً لعدة دقائق بعد الاختبار.</w:t>
      </w:r>
    </w:p>
    <w:p>
      <w:pPr>
        <w:pBdr>
          <w:right w:val="single" w:sz="24" w:space="6" w:color="008080"/>
        </w:pBdr>
        <w:bidi/>
        <w:jc w:val="right"/>
      </w:pPr>
      <w:r>
        <w:rPr>
          <w:b/>
          <w:color w:val="008080"/>
          <w:sz w:val="25"/>
          <w:rtl/>
        </w:rPr>
        <w:t xml:space="preserve">5.10 اختبار العزل الكهربائي (Hi-Pot / Dielectric Strength Test)</w:t>
      </w:r>
    </w:p>
    <w:p>
      <w:pPr>
        <w:numPr>
          <w:ilvl w:val="0"/>
          <w:numId w:val="1017"/>
        </w:numPr>
        <w:bidi/>
        <w:jc w:val="right"/>
      </w:pPr>
      <w:r>
        <w:rPr>
          <w:rtl/>
        </w:rPr>
        <w:t xml:space="preserve">الهدف: ضمان سلامة المستخدم من الصعقات والتأكد من أن العوازل بين المكونات وهيكل المصباح قادرة على تحمل جهود مرتفعة.</w:t>
      </w:r>
    </w:p>
    <w:p>
      <w:pPr>
        <w:numPr>
          <w:ilvl w:val="0"/>
          <w:numId w:val="1017"/>
        </w:numPr>
        <w:bidi/>
        <w:jc w:val="right"/>
      </w:pPr>
      <w:r>
        <w:rPr>
          <w:rtl/>
        </w:rPr>
        <w:t xml:space="preserve">المرجع: IEC 60598-1 المادة 10.2.2.</w:t>
      </w:r>
    </w:p>
    <w:p>
      <w:pPr>
        <w:numPr>
          <w:ilvl w:val="0"/>
          <w:numId w:val="1017"/>
        </w:numPr>
        <w:bidi/>
        <w:jc w:val="right"/>
      </w:pPr>
      <w:r>
        <w:rPr>
          <w:rtl/>
        </w:rPr>
        <w:t xml:space="preserve">جهد الاختبار المعملي: 1440 فولت AC (2U + 1000V حيث U=220V) لمدة 60 ثانية.</w:t>
      </w:r>
    </w:p>
    <w:p>
      <w:pPr>
        <w:numPr>
          <w:ilvl w:val="0"/>
          <w:numId w:val="1017"/>
        </w:numPr>
        <w:bidi/>
        <w:jc w:val="right"/>
      </w:pPr>
      <w:r>
        <w:rPr>
          <w:rtl/>
        </w:rPr>
        <w:t xml:space="preserve">جهد الاختبار الميداني المبسط: 1440 فولت لمدة 2-3 ثوانٍ فقط لحماية الـ LED.</w:t>
      </w:r>
    </w:p>
    <w:p>
      <w:pPr>
        <w:numPr>
          <w:ilvl w:val="0"/>
          <w:numId w:val="1017"/>
        </w:numPr>
        <w:bidi/>
        <w:jc w:val="right"/>
      </w:pPr>
      <w:r>
        <w:rPr>
          <w:rtl/>
        </w:rPr>
        <w:t xml:space="preserve">حد تسرب التيار الأقصى: 5 mA.</w:t>
      </w:r>
    </w:p>
    <w:p>
      <w:pPr>
        <w:numPr>
          <w:ilvl w:val="0"/>
          <w:numId w:val="1017"/>
        </w:numPr>
        <w:bidi/>
        <w:jc w:val="right"/>
      </w:pPr>
      <w:r>
        <w:rPr>
          <w:rtl/>
        </w:rPr>
        <w:t xml:space="preserve">العينة: عينتان لكل 500 وحدة.</w:t>
      </w:r>
    </w:p>
    <w:p>
      <w:pPr>
        <w:numPr>
          <w:ilvl w:val="0"/>
          <w:numId w:val="1017"/>
        </w:numPr>
        <w:bidi/>
        <w:jc w:val="right"/>
      </w:pPr>
      <w:r>
        <w:rPr>
          <w:rtl/>
        </w:rPr>
        <w:t xml:space="preserve">شروط القبول: عزل كهربائي ≥ 2 MΩ، لا انهيار عازل، لا شرارات، لا تسرب &gt; 5mA، المصباح يعمل طبيعياً بعد الاختبار.</w:t>
      </w:r>
    </w:p>
    <w:p>
      <w:pPr>
        <w:numPr>
          <w:ilvl w:val="0"/>
          <w:numId w:val="1017"/>
        </w:numPr>
        <w:bidi/>
        <w:jc w:val="right"/>
      </w:pPr>
      <w:r>
        <w:rPr>
          <w:rtl/>
        </w:rPr>
        <w:t xml:space="preserve">⚠ يُجرى الاختبار على منصة معزولة ومحمية تحت إشراف مباشر. إذا تجاوزت نسبة الفشل 5% من الدفعة → إيقاف الخط فوراً.</w:t>
      </w:r>
    </w:p>
    <w:p>
      <w:pPr>
        <w:pBdr>
          <w:right w:val="single" w:sz="24" w:space="6" w:color="008080"/>
        </w:pBdr>
        <w:bidi/>
        <w:jc w:val="right"/>
      </w:pPr>
      <w:r>
        <w:rPr>
          <w:b/>
          <w:color w:val="008080"/>
          <w:sz w:val="25"/>
          <w:rtl/>
        </w:rPr>
        <w:t xml:space="preserve">5.11 بروتوكول إصلاح المرتجعات (بروتوكول إدارة المرتجعات وصيانة ما بعد البيع (Autorisation de Retour de Marchandise) &amp; Repair Protocol)</w:t>
      </w:r>
    </w:p>
    <w:p>
      <w:pPr>
        <w:numPr>
          <w:ilvl w:val="0"/>
          <w:numId w:val="1018"/>
        </w:numPr>
        <w:bidi/>
        <w:jc w:val="right"/>
      </w:pPr>
      <w:r>
        <w:rPr>
          <w:rtl/>
        </w:rPr>
        <w:t xml:space="preserve">تخصيص فني متخصص (أو عامل مدرَّب) لاستقبال المصابيح التالفة وإعادة تأهيلها.</w:t>
      </w:r>
    </w:p>
    <w:p>
      <w:pPr>
        <w:numPr>
          <w:ilvl w:val="0"/>
          <w:numId w:val="1018"/>
        </w:numPr>
        <w:bidi/>
        <w:jc w:val="right"/>
      </w:pPr>
      <w:r>
        <w:rPr>
          <w:rtl/>
        </w:rPr>
        <w:t xml:space="preserve">بيانات يُسجَّلها عند الاستقبال: رقم الدفعة وتاريخ الإنتاج، تاريخ البيع وتاريخ العودة، وصف دقيق للعطل (انطفاء تام، وميض، تغير لون، تلف ميكانيكي).</w:t>
      </w:r>
    </w:p>
    <w:p>
      <w:pPr>
        <w:numPr>
          <w:ilvl w:val="0"/>
          <w:numId w:val="1018"/>
        </w:numPr>
        <w:bidi/>
        <w:jc w:val="right"/>
      </w:pPr>
      <w:r>
        <w:rPr>
          <w:rtl/>
        </w:rPr>
        <w:t xml:space="preserve">محطة الإصلاح: معزولة عن خط الإنتاج. مجهزة بـ: Multimeter True RMS، كاوية احترافية، عدسة مكبرة، طاولة التفريغ الكهربائي الساكن (Décharge Électrostatique)-Safe.</w:t>
      </w:r>
    </w:p>
    <w:p>
      <w:pPr>
        <w:numPr>
          <w:ilvl w:val="0"/>
          <w:numId w:val="1018"/>
        </w:numPr>
        <w:bidi/>
        <w:jc w:val="right"/>
      </w:pPr>
      <w:r>
        <w:rPr>
          <w:rtl/>
        </w:rPr>
        <w:t xml:space="preserve">تحليل الفشل (Failure Analysis): تصنيف سبب الفشل (عيب لحام، تلف Driver، احتراق مكثف، عيب خارجي).</w:t>
      </w:r>
    </w:p>
    <w:p>
      <w:pPr>
        <w:numPr>
          <w:ilvl w:val="0"/>
          <w:numId w:val="1018"/>
        </w:numPr>
        <w:bidi/>
        <w:jc w:val="right"/>
      </w:pPr>
      <w:r>
        <w:rPr>
          <w:rtl/>
        </w:rPr>
        <w:t xml:space="preserve">إعادة التأهيل والاختبار: كل منتج مُصلَّح يمر ببروتوكول التنظيف الكيميائي (5.3) ثم Burn-in Test 4 ساعات قبل إعادته للمخزن.</w:t>
      </w:r>
    </w:p>
    <w:p>
      <w:pPr>
        <w:numPr>
          <w:ilvl w:val="0"/>
          <w:numId w:val="1018"/>
        </w:numPr>
        <w:bidi/>
        <w:jc w:val="right"/>
      </w:pPr>
      <w:r>
        <w:rPr>
          <w:rtl/>
        </w:rPr>
        <w:t xml:space="preserve">الربط الفني: جميع العينات الفاشلة تخضع لاختبار العزل (البند 5.10) لتحديد ما إذا كان الانهيار بسبب عيب لحام أو خلل في العازل.</w:t>
      </w:r>
    </w:p>
    <w:p>
      <w:pPr>
        <w:pBdr>
          <w:right w:val="single" w:sz="24" w:space="6" w:color="008080"/>
        </w:pBdr>
        <w:bidi/>
        <w:jc w:val="right"/>
      </w:pPr>
      <w:r>
        <w:rPr>
          <w:b/>
          <w:color w:val="008080"/>
          <w:sz w:val="25"/>
          <w:rtl/>
        </w:rPr>
        <w:t xml:space="preserve">5.12 بروتوكولات الإجراءات التصحيحية الطارئة (نظام الإجراءات التصحيحية والوقائية (Actions Correctives et Préventives) Protocol)</w:t>
      </w:r>
    </w:p>
    <w:p>
      <w:pPr>
        <w:numPr>
          <w:ilvl w:val="0"/>
          <w:numId w:val="1019"/>
        </w:numPr>
        <w:bidi/>
        <w:jc w:val="right"/>
      </w:pPr>
      <w:r>
        <w:rPr>
          <w:rtl/>
        </w:rPr>
        <w:t xml:space="preserve">حالة الاستنفار (Red Flag): إذا تجاوزت نسبة المرتجعات أو الأعطال في «اختبار الحرق» 5% من إجمالي الدفعة.</w:t>
      </w:r>
    </w:p>
    <w:p>
      <w:pPr>
        <w:numPr>
          <w:ilvl w:val="0"/>
          <w:numId w:val="1019"/>
        </w:numPr>
        <w:bidi/>
        <w:jc w:val="right"/>
      </w:pPr>
      <w:r>
        <w:rPr>
          <w:rtl/>
        </w:rPr>
        <w:t xml:space="preserve">الخطوة الأولى (Stop Line): إيقاف وتغليف الدفعة فوراً لحين صدور تقرير «فريق المرتجعات».</w:t>
      </w:r>
    </w:p>
    <w:p>
      <w:pPr>
        <w:numPr>
          <w:ilvl w:val="0"/>
          <w:numId w:val="1019"/>
        </w:numPr>
        <w:bidi/>
        <w:jc w:val="right"/>
      </w:pPr>
      <w:r>
        <w:rPr>
          <w:rtl/>
        </w:rPr>
        <w:t xml:space="preserve">التحقيق الجذري: إعادة فحص المواد الخام (LEDs &amp; Driver) للتأكد من سلامة التوريد. مراجعة درجة حرارة اللحام لكل الدفعة.</w:t>
      </w:r>
    </w:p>
    <w:p>
      <w:pPr>
        <w:numPr>
          <w:ilvl w:val="0"/>
          <w:numId w:val="1019"/>
        </w:numPr>
        <w:bidi/>
        <w:jc w:val="right"/>
      </w:pPr>
      <w:r>
        <w:rPr>
          <w:rtl/>
        </w:rPr>
        <w:t xml:space="preserve">العلاج الدائم: تحديث «الدستور» (تعليمات التشغيل القياسية (Instructions de Travail Standardisées)) بإضافة تنبيه جديد يمنع تكرار هذا الخلل.</w:t>
      </w:r>
    </w:p>
    <w:p>
      <w:pPr>
        <w:pBdr>
          <w:right w:val="single" w:sz="24" w:space="6" w:color="008080"/>
        </w:pBdr>
        <w:bidi/>
        <w:jc w:val="right"/>
      </w:pPr>
      <w:r>
        <w:rPr>
          <w:b/>
          <w:color w:val="008080"/>
          <w:sz w:val="25"/>
          <w:rtl/>
        </w:rPr>
        <w:t xml:space="preserve">5.13 معايير الأمان الرقمي واستمرارية الموقع (jannahlight-prog.github.io/jannah-light)</w:t>
      </w:r>
    </w:p>
    <w:tbl>
      <w:tblPr>
        <w:tblStyle w:val="Table"/>
        <w:bidiVisual/>
        <w:tblW w:type="pct" w:w="5000"/>
        <w:tblLook w:firstRow="1" w:lastRow="0" w:firstColumn="0" w:lastColumn="0" w:noHBand="0" w:noVBand="0" w:val="0020"/>
        <w:jc w:val="right"/>
      </w:tblPr>
      <w:tblGrid>
        <w:gridCol w:w="2640"/>
        <w:gridCol w:w="2640"/>
        <w:gridCol w:w="264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الإجراء</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التفاصيل</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الهدف</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النسخ الاحتياطي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قاعدة 3-2-1: 3 نسخ، 2 وسيط، 1 خارج (Google Drive/Dropbox). UpdraftPlus أو WPvivid يومياً.</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استرجاع كامل عند أي خلل</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التحديث والأمان</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مراجعة أسبوعية لتحديثات WordPress والإضافات الأمنية. تفعيل Wordfence Security.</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سد الثغرات البرمجية</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حماية الحساب (2FA)</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تفعيل المصادقة الثنائية لحساب الإدارة والبريد الإلكتروني.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منع الاختراق</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شهادة SSL</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HTTPS إلزامي لتأمين نقل البيانات.</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حماية الزوار والبيانات</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المراقبة المستمرة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UptimeRobot للإشعار الفوري عند عطل الموقع.</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استمرارية العلامة التجارية</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بروتوكول التحديث</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نسخة احتياطية يدوية «قبيل» أي تحديث أو إضافة.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منع انهيار الموقع (White Screen)</w:t>
            </w:r>
          </w:p>
        </w:tc>
      </w:tr>
    </w:tbl>
    <w:p>
      <w:pPr>
        <w:bidi/>
        <w:jc w:val="right"/>
      </w:pPr>
    </w:p>
    <w:tbl>
      <w:tblPr>
        <w:tblStyle w:val="Table"/>
        <w:bidiVisual/>
        <w:tblW w:type="auto" w:w="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E9EDF2"/>
          </w:tcPr>
          <w:p>
            <w:pPr>
              <w:pStyle w:val="Compact"/>
              <w:bidi/>
              <w:jc w:val="right"/>
            </w:pPr>
            <w:r>
              <w:rPr>
                <w:color w:val="0D3B66"/>
                <w:sz w:val="29"/>
                <w:rtl/>
                <w:bCs/>
                <w:b/>
              </w:rPr>
              <w:t xml:space="preserve">الفصل السادس: الموارد البشرية والنظام التشغيلي المرحلي</w:t>
            </w:r>
          </w:p>
        </w:tc>
      </w:tr>
    </w:tbl>
    <w:p>
      <w:pPr>
        <w:pBdr>
          <w:right w:val="single" w:sz="24" w:space="6" w:color="008080"/>
        </w:pBdr>
        <w:bidi/>
        <w:jc w:val="right"/>
      </w:pPr>
      <w:r>
        <w:rPr>
          <w:b/>
          <w:color w:val="008080"/>
          <w:sz w:val="25"/>
          <w:rtl/>
        </w:rPr>
        <w:t xml:space="preserve">6.1 هيكلة الكادر البشري (مرحلة الانطلاق الأولى)</w:t>
      </w:r>
    </w:p>
    <w:p>
      <w:pPr>
        <w:bidi/>
        <w:jc w:val="right"/>
      </w:pPr>
      <w:r>
        <w:rPr>
          <w:rtl/>
        </w:rPr>
        <w:t xml:space="preserve">يبدأ المشروع بـ 8 عمال أساسيين – معيار الاختيار: الانضباط والقدرة على التعلم (لا تشترط خبرة سابقة).</w:t>
      </w:r>
    </w:p>
    <w:p>
      <w:pPr>
        <w:bidi/>
        <w:jc w:val="right"/>
      </w:pPr>
      <w:r>
        <w:rPr>
          <w:rtl/>
          <w:bCs/>
          <w:b/>
        </w:rPr>
        <w:t xml:space="preserve">إضافة V.9.5 — سد فجوة الوظيفة المحاسبية (Externalisation de la Comptabilité):</w:t>
      </w:r>
      <w:r>
        <w:rPr>
          <w:rtl/>
        </w:rPr>
        <w:t xml:space="preserve"> </w:t>
      </w:r>
      <w:r>
        <w:rPr>
          <w:rtl/>
        </w:rPr>
        <w:t xml:space="preserve">لا يتضمن هيكل الـ8 عمال أعلاه منصباً محاسبياً متفرغاً داخل الورشة، نظراً لصغر الحجم التشغيلي في مرحلة الانطلاق وتفادياً لعبء مالي غير ضروري على ميزانية التأسيس. بديلاً عن ذلك،</w:t>
      </w:r>
      <w:r>
        <w:rPr>
          <w:rtl/>
        </w:rPr>
        <w:t xml:space="preserve"> </w:t>
      </w:r>
      <w:r>
        <w:rPr>
          <w:rtl/>
          <w:bCs/>
          <w:b/>
        </w:rPr>
        <w:t xml:space="preserve">يُقترَح التعاقد مع مكتب محاسبة خارجي معتمد (Cabinet Comptable Agréé)</w:t>
      </w:r>
      <w:r>
        <w:rPr>
          <w:rtl/>
        </w:rPr>
        <w:t xml:space="preserve"> </w:t>
      </w:r>
      <w:r>
        <w:rPr>
          <w:rtl/>
        </w:rPr>
        <w:t xml:space="preserve">بصيغة عقد خدمات شهري أو ربع سنوي، يتولى: مسك الدفاتر المحاسبية القانونية، إعداد التصريحات الجبائية الدورية (G50 وما شابهها وفق التشريع الجزائري)، مراجعة سجل الشطب والخسائر (البند 15.4) وربطه بالقيود المحاسبية الرسمية، والمشاركة في إعداد القوائم المالية السنوية. هذا الترتيب</w:t>
      </w:r>
      <w:r>
        <w:rPr>
          <w:rtl/>
        </w:rPr>
        <w:t xml:space="preserve"> </w:t>
      </w:r>
      <w:r>
        <w:rPr>
          <w:rtl/>
          <w:bCs/>
          <w:b/>
        </w:rPr>
        <w:t xml:space="preserve">مقترح وليس متعاقداً عليه فعلياً بعد</w:t>
      </w:r>
      <w:r>
        <w:rPr>
          <w:rtl/>
        </w:rPr>
        <w:t xml:space="preserve">، ويُراجَع باستمرار مع نمو حجم الأعمال؛ عند تجاوز الورشة عتبة معينة من حجم المعاملات الشهرية (يُقترَح كمؤشر استرشادي: تجاوز 500 عملية بيع/شراء شهرياً)، يُعاد تقييم الجدوى الاقتصادية لاستحداث منصب محاسب داخلي متفرغ ضمن الهيكل التنظيمي، بقرار من المدير التقني والمؤسس (وفق مصفوفة السلطات، الفصل 14).</w:t>
      </w:r>
    </w:p>
    <w:p>
      <w:pPr>
        <w:bidi/>
        <w:jc w:val="right"/>
      </w:pPr>
      <w:r>
        <w:rPr>
          <w:rtl/>
        </w:rPr>
        <w:t xml:space="preserve">توزيع العمال في أول 20 يوم عمل (مرحلة التأسيس):</w:t>
      </w:r>
    </w:p>
    <w:p>
      <w:pPr>
        <w:numPr>
          <w:ilvl w:val="0"/>
          <w:numId w:val="1020"/>
        </w:numPr>
        <w:pBdr>
          <w:right w:val="single" w:sz="24" w:space="6" w:color="008080"/>
        </w:pBdr>
        <w:bidi/>
        <w:jc w:val="right"/>
      </w:pPr>
      <w:r>
        <w:rPr>
          <w:b/>
          <w:color w:val="008080"/>
          <w:sz w:val="25"/>
          <w:rtl/>
        </w:rPr>
        <w:t xml:space="preserve">7 عمال إنتاج: مسؤولون حصراً عن تركيب المكونات الإلكترونية يدوياً على PCBs (مقاومات، مكثفات، ديودات، Driver).</w:t>
      </w:r>
    </w:p>
    <w:p>
      <w:pPr>
        <w:numPr>
          <w:ilvl w:val="0"/>
          <w:numId w:val="1020"/>
        </w:numPr>
        <w:pBdr>
          <w:right w:val="single" w:sz="24" w:space="6" w:color="008080"/>
        </w:pBdr>
        <w:bidi/>
        <w:jc w:val="right"/>
      </w:pPr>
      <w:r>
        <w:rPr>
          <w:b/>
          <w:color w:val="008080"/>
          <w:sz w:val="25"/>
          <w:rtl/>
        </w:rPr>
        <w:t xml:space="preserve">1 عامل دعم تقني: مسؤول عن 5 مهام: تشغيل الفرن، تسجيل الأعطال، توثيق استهلاك المواد، تشغيل فلاتر الشفط، تنظيف الآلات نهاية الوردية.</w:t>
      </w:r>
    </w:p>
    <w:p>
      <w:pPr>
        <w:bidi/>
        <w:jc w:val="right"/>
      </w:pPr>
      <w:r>
        <w:rPr>
          <w:rtl/>
          <w:bCs/>
          <w:b/>
        </w:rPr>
        <w:t xml:space="preserve">الهدف التأسيسي للشهر الأول:</w:t>
      </w:r>
      <w:r>
        <w:rPr>
          <w:rtl/>
        </w:rPr>
        <w:t xml:space="preserve"> </w:t>
      </w:r>
      <w:r>
        <w:rPr>
          <w:rtl/>
        </w:rPr>
        <w:t xml:space="preserve">إنتاج 5,000 بطاقة PCB كاملة (ملحومة، منظفة، مختبرة بصرياً) كمخزون أمان (Stock Tampon).</w:t>
      </w:r>
    </w:p>
    <w:p>
      <w:pPr>
        <w:pBdr>
          <w:right w:val="single" w:sz="24" w:space="6" w:color="008080"/>
        </w:pBdr>
        <w:bidi/>
        <w:jc w:val="right"/>
      </w:pPr>
      <w:r>
        <w:rPr>
          <w:b/>
          <w:color w:val="008080"/>
          <w:sz w:val="25"/>
          <w:rtl/>
        </w:rPr>
        <w:t xml:space="preserve">6.2 نموذج التشغيل المرحلي</w:t>
      </w:r>
    </w:p>
    <w:p>
      <w:pPr>
        <w:bidi/>
        <w:jc w:val="right"/>
      </w:pPr>
      <w:r>
        <w:rPr>
          <w:rtl/>
        </w:rPr>
        <w:t xml:space="preserve">المرحلة الثانية (الأشهر 2-3) – التشغيل شبه المتوازي: 3 عمال يبقون على خط PCB، 3 عمال ينتقلون لخط التجميع النهائي (هيكل، Driver، كبس، ناشر)، 1 عامل مسؤول عن اختبار الجودة (QC) والفحص البصري، 1 عامل دعم تقني (فرن، صيانة، تسجيل استهلاك).</w:t>
      </w:r>
    </w:p>
    <w:p>
      <w:pPr>
        <w:bidi/>
        <w:jc w:val="right"/>
      </w:pPr>
      <w:r>
        <w:rPr>
          <w:rtl/>
        </w:rPr>
        <w:t xml:space="preserve">المرحلة الثالثة (بعد الاستقرار) – التشغيل المتوازي الكامل: خط إنتاج مصغر متسلسل: PCB ← تجميع نهائي ← اختبار ← تغليف. إمكانية إضافة ورديات صباحية ومسائية عند زيادة الإنتاج.</w:t>
      </w:r>
    </w:p>
    <w:p>
      <w:pPr>
        <w:pBdr>
          <w:right w:val="single" w:sz="24" w:space="6" w:color="008080"/>
        </w:pBdr>
        <w:bidi/>
        <w:jc w:val="right"/>
      </w:pPr>
      <w:r>
        <w:rPr>
          <w:b/>
          <w:color w:val="008080"/>
          <w:sz w:val="25"/>
          <w:rtl/>
        </w:rPr>
        <w:t xml:space="preserve">6.3 التوزيع الوظيفي المتكامل (المهام اليومية التفصيلية)</w:t>
      </w:r>
    </w:p>
    <w:p>
      <w:pPr>
        <w:bidi/>
        <w:jc w:val="right"/>
      </w:pPr>
      <w:r>
        <w:rPr>
          <w:rtl/>
        </w:rPr>
        <w:t xml:space="preserve">يتم تدوير المهام بين العمال أسبوعياً (Job Rotation) لضمان أن يصبح كل عامل خبيراً في جميع المراحل.</w:t>
      </w:r>
    </w:p>
    <w:p>
      <w:pPr>
        <w:numPr>
          <w:ilvl w:val="0"/>
          <w:numId w:val="1021"/>
        </w:numPr>
        <w:bidi/>
        <w:jc w:val="right"/>
      </w:pPr>
      <w:r>
        <w:rPr>
          <w:rtl/>
          <w:bCs/>
          <w:b/>
        </w:rPr>
        <w:t xml:space="preserve">لحام الـ PCB:</w:t>
      </w:r>
      <w:r>
        <w:rPr>
          <w:rtl/>
        </w:rPr>
        <w:t xml:space="preserve"> </w:t>
      </w:r>
      <w:r>
        <w:rPr>
          <w:rtl/>
        </w:rPr>
        <w:t xml:space="preserve">تثبيت LED Chips، مقاومات، مكثفات، Driver + لحام يدوي بالكاوية + تشغيل الفرن + التحقق من عدم وجود جسور قصدير.</w:t>
      </w:r>
    </w:p>
    <w:p>
      <w:pPr>
        <w:numPr>
          <w:ilvl w:val="0"/>
          <w:numId w:val="1021"/>
        </w:numPr>
        <w:bidi/>
        <w:jc w:val="right"/>
      </w:pPr>
      <w:r>
        <w:rPr>
          <w:rtl/>
          <w:bCs/>
          <w:b/>
        </w:rPr>
        <w:t xml:space="preserve">التجميع النهائي:</w:t>
      </w:r>
      <w:r>
        <w:rPr>
          <w:rtl/>
        </w:rPr>
        <w:t xml:space="preserve"> </w:t>
      </w:r>
      <w:r>
        <w:rPr>
          <w:rtl/>
        </w:rPr>
        <w:t xml:space="preserve">توصيل أسلاك Driver + تثبيت Diffuser بالغراء (0.15-0.20 غرام، معايرة يومية) + كبس القاعدة E27/E14 (عمق 0.8 ملم على الأقل).</w:t>
      </w:r>
    </w:p>
    <w:p>
      <w:pPr>
        <w:numPr>
          <w:ilvl w:val="0"/>
          <w:numId w:val="1021"/>
        </w:numPr>
        <w:bidi/>
        <w:jc w:val="right"/>
      </w:pPr>
      <w:r>
        <w:rPr>
          <w:rtl/>
          <w:bCs/>
          <w:b/>
        </w:rPr>
        <w:t xml:space="preserve">اختبار الجودة:</w:t>
      </w:r>
      <w:r>
        <w:rPr>
          <w:rtl/>
        </w:rPr>
        <w:t xml:space="preserve"> </w:t>
      </w:r>
      <w:r>
        <w:rPr>
          <w:rtl/>
        </w:rPr>
        <w:t xml:space="preserve">فحص بصري بعدسة ×10 + اختبار كهربائي لكل وحدة + Burn-in 5% + Hi-Pot على عينات دورية.</w:t>
      </w:r>
    </w:p>
    <w:p>
      <w:pPr>
        <w:numPr>
          <w:ilvl w:val="0"/>
          <w:numId w:val="1021"/>
        </w:numPr>
        <w:bidi/>
        <w:jc w:val="right"/>
      </w:pPr>
      <w:r>
        <w:rPr>
          <w:rtl/>
          <w:bCs/>
          <w:b/>
        </w:rPr>
        <w:t xml:space="preserve">التغليف:</w:t>
      </w:r>
      <w:r>
        <w:rPr>
          <w:rtl/>
        </w:rPr>
        <w:t xml:space="preserve"> </w:t>
      </w:r>
      <w:r>
        <w:rPr>
          <w:rtl/>
        </w:rPr>
        <w:t xml:space="preserve">علبة كرتونية فردية بشعار Jannah Light + رقم الدفعة + QR ضمان + حشوات واقية + كرتون تجميع (20-50 حبة).</w:t>
      </w:r>
    </w:p>
    <w:p>
      <w:pPr>
        <w:numPr>
          <w:ilvl w:val="0"/>
          <w:numId w:val="1021"/>
        </w:numPr>
        <w:bidi/>
        <w:jc w:val="right"/>
      </w:pPr>
      <w:r>
        <w:rPr>
          <w:rtl/>
          <w:bCs/>
          <w:b/>
        </w:rPr>
        <w:t xml:space="preserve">تشغيل الفرن وتوثيق الأعطال:</w:t>
      </w:r>
      <w:r>
        <w:rPr>
          <w:rtl/>
        </w:rPr>
        <w:t xml:space="preserve"> </w:t>
      </w:r>
      <w:r>
        <w:rPr>
          <w:rtl/>
        </w:rPr>
        <w:t xml:space="preserve">معايرة أسبوعية بترمومتر خارجي + تسجيل ارتفاع حرارة/توقف/تذبذب تيار في سجل الأعطال.</w:t>
      </w:r>
    </w:p>
    <w:p>
      <w:pPr>
        <w:numPr>
          <w:ilvl w:val="0"/>
          <w:numId w:val="1021"/>
        </w:numPr>
        <w:bidi/>
        <w:jc w:val="right"/>
      </w:pPr>
      <w:r>
        <w:rPr>
          <w:rtl/>
          <w:bCs/>
          <w:b/>
        </w:rPr>
        <w:t xml:space="preserve">تسجيل استهلاك المواد:</w:t>
      </w:r>
      <w:r>
        <w:rPr>
          <w:rtl/>
        </w:rPr>
        <w:t xml:space="preserve"> </w:t>
      </w:r>
      <w:r>
        <w:rPr>
          <w:rtl/>
        </w:rPr>
        <w:t xml:space="preserve">قصدير (غرام/يوم)، Isopropanol (لتر)، PCBs، Drivers، غراء، تغليف – إخطار عند بلوغ 20% من المخزون.</w:t>
      </w:r>
    </w:p>
    <w:p>
      <w:pPr>
        <w:numPr>
          <w:ilvl w:val="0"/>
          <w:numId w:val="1021"/>
        </w:numPr>
        <w:bidi/>
        <w:jc w:val="right"/>
      </w:pPr>
      <w:r>
        <w:rPr>
          <w:rtl/>
          <w:bCs/>
          <w:b/>
        </w:rPr>
        <w:t xml:space="preserve">السلامة:</w:t>
      </w:r>
      <w:r>
        <w:rPr>
          <w:rtl/>
        </w:rPr>
        <w:t xml:space="preserve"> </w:t>
      </w:r>
      <w:r>
        <w:rPr>
          <w:rtl/>
        </w:rPr>
        <w:t xml:space="preserve">إبلاغ فوري عن أي خطر + نظام 5S يومياً + معدات الوقاية الشخصية (Équipements de Protection Individuelle) كاملة قبل البدء.</w:t>
      </w:r>
    </w:p>
    <w:p>
      <w:pPr>
        <w:pBdr>
          <w:right w:val="single" w:sz="24" w:space="6" w:color="008080"/>
        </w:pBdr>
        <w:bidi/>
        <w:jc w:val="right"/>
      </w:pPr>
      <w:r>
        <w:rPr>
          <w:b/>
          <w:color w:val="008080"/>
          <w:sz w:val="25"/>
          <w:rtl/>
        </w:rPr>
        <w:t xml:space="preserve">6.4 الإنتاجية الفردية ومؤشرات الأداء (مؤشرات الأداء الرئيسية (Indicateurs Clés de Performance))</w:t>
      </w:r>
    </w:p>
    <w:p>
      <w:pPr>
        <w:numPr>
          <w:ilvl w:val="0"/>
          <w:numId w:val="1022"/>
        </w:numPr>
        <w:bidi/>
        <w:jc w:val="right"/>
      </w:pPr>
      <w:r>
        <w:rPr>
          <w:rtl/>
        </w:rPr>
        <w:t xml:space="preserve">الإنتاجية الفردية المستهدفة: 28-30 بطاقة PCB يومياً لكل عامل.</w:t>
      </w:r>
    </w:p>
    <w:p>
      <w:pPr>
        <w:numPr>
          <w:ilvl w:val="0"/>
          <w:numId w:val="1022"/>
        </w:numPr>
        <w:bidi/>
        <w:jc w:val="right"/>
      </w:pPr>
      <w:r>
        <w:rPr>
          <w:rtl/>
        </w:rPr>
        <w:t xml:space="preserve">نسبة العيوب (Defect Rate): المستهدف &lt; 2% في المتوسط. الخط الأحمر: 5% في أي وردية ← إيقاف الخط فوراً.</w:t>
      </w:r>
    </w:p>
    <w:p>
      <w:pPr>
        <w:numPr>
          <w:ilvl w:val="0"/>
          <w:numId w:val="1022"/>
        </w:numPr>
        <w:bidi/>
        <w:jc w:val="right"/>
      </w:pPr>
      <w:r>
        <w:rPr>
          <w:rtl/>
        </w:rPr>
        <w:t xml:space="preserve">زمن الدورة (Cycle Time): قياس وقت إنتاج وحدة واحدة من البداية للتغليف.</w:t>
      </w:r>
    </w:p>
    <w:p>
      <w:pPr>
        <w:numPr>
          <w:ilvl w:val="0"/>
          <w:numId w:val="1022"/>
        </w:numPr>
        <w:bidi/>
        <w:jc w:val="right"/>
      </w:pPr>
      <w:r>
        <w:rPr>
          <w:rtl/>
        </w:rPr>
        <w:t xml:space="preserve">نسبة الحضور والانضباط: تُتابع أسبوعياً.</w:t>
      </w:r>
    </w:p>
    <w:p>
      <w:pPr>
        <w:pBdr>
          <w:right w:val="single" w:sz="24" w:space="6" w:color="008080"/>
        </w:pBdr>
        <w:bidi/>
        <w:jc w:val="right"/>
      </w:pPr>
      <w:r>
        <w:rPr>
          <w:b/>
          <w:color w:val="008080"/>
          <w:sz w:val="25"/>
          <w:rtl/>
        </w:rPr>
        <w:t xml:space="preserve">6.5 نظام التحفيز والمكافآت (الإنتاج بالقطعة)</w:t>
      </w:r>
    </w:p>
    <w:tbl>
      <w:tblPr>
        <w:tblStyle w:val="Table"/>
        <w:bidiVisual/>
        <w:tblW w:type="pct" w:w="5000"/>
        <w:tblLook w:firstRow="1" w:lastRow="0" w:firstColumn="0" w:lastColumn="0" w:noHBand="0" w:noVBand="0" w:val="0020"/>
        <w:jc w:val="right"/>
      </w:tblPr>
      <w:tblGrid>
        <w:gridCol w:w="2640"/>
        <w:gridCol w:w="2640"/>
        <w:gridCol w:w="264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الإنتاج اليومي (بطاقات سليمة)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المكافأة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الملاحظة</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25-27 بطاقة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5% من الأجر اليومي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28-30 بطاقة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10% من الأجر اليومي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الهدف الأساسي</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31-35 بطاقة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15% من الأجر اليومي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مكافأة «القطعة الذهبية»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500 دج إضافية فوراً</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لكل عامل ينتج 30 بطاقة سليمة في يوم واحد</w:t>
            </w:r>
          </w:p>
        </w:tc>
      </w:tr>
    </w:tbl>
    <w:p>
      <w:pPr>
        <w:bidi/>
        <w:jc w:val="right"/>
      </w:pPr>
      <w:r>
        <w:rPr>
          <w:rtl/>
        </w:rPr>
        <w:t xml:space="preserve">تُسجَّل المكافآت في «سجل التحفيز الشهري» ويوقع عليها المشرف والعامل.</w:t>
      </w:r>
    </w:p>
    <w:p>
      <w:pPr>
        <w:pBdr>
          <w:right w:val="single" w:sz="24" w:space="6" w:color="008080"/>
        </w:pBdr>
        <w:bidi/>
        <w:jc w:val="right"/>
      </w:pPr>
      <w:r>
        <w:rPr>
          <w:b/>
          <w:color w:val="008080"/>
          <w:sz w:val="25"/>
          <w:rtl/>
        </w:rPr>
        <w:t xml:space="preserve">6.6 برنامج التدريب العملي (JLT Academy)</w:t>
      </w:r>
    </w:p>
    <w:p>
      <w:pPr>
        <w:numPr>
          <w:ilvl w:val="0"/>
          <w:numId w:val="1023"/>
        </w:numPr>
        <w:bidi/>
        <w:jc w:val="right"/>
      </w:pPr>
      <w:r>
        <w:rPr>
          <w:rtl/>
        </w:rPr>
        <w:t xml:space="preserve">المقدمة (اليوم الأول): تعريف بجميع الآلات، شرح SOPs، التأكيد على الجودة والسلامة.</w:t>
      </w:r>
    </w:p>
    <w:p>
      <w:pPr>
        <w:numPr>
          <w:ilvl w:val="0"/>
          <w:numId w:val="1023"/>
        </w:numPr>
        <w:bidi/>
        <w:jc w:val="right"/>
      </w:pPr>
      <w:r>
        <w:rPr>
          <w:rtl/>
        </w:rPr>
        <w:t xml:space="preserve">العروض العملية (الأيام 2-4): تنفيذ عروض حية لكل مهمة تحت إشراف مباشر مع تصحيح الأخطاء فوراً.</w:t>
      </w:r>
    </w:p>
    <w:p>
      <w:pPr>
        <w:numPr>
          <w:ilvl w:val="0"/>
          <w:numId w:val="1023"/>
        </w:numPr>
        <w:bidi/>
        <w:jc w:val="right"/>
      </w:pPr>
      <w:r>
        <w:rPr>
          <w:rtl/>
        </w:rPr>
        <w:t xml:space="preserve">الوحدات التدريبية (الأسبوع الثاني): تقسيم كل مهمة لـ 5-10 خطوات صغيرة + صور توضيحية (ملصق على الطاولة).</w:t>
      </w:r>
    </w:p>
    <w:p>
      <w:pPr>
        <w:numPr>
          <w:ilvl w:val="0"/>
          <w:numId w:val="1023"/>
        </w:numPr>
        <w:bidi/>
        <w:jc w:val="right"/>
      </w:pPr>
      <w:r>
        <w:rPr>
          <w:rtl/>
        </w:rPr>
        <w:t xml:space="preserve">التقييم الأسبوعي (كل سبت): اختبارات عملية + مراجعة سجل الأعطال + تدريب متقدم للمتميزين.</w:t>
      </w:r>
    </w:p>
    <w:p>
      <w:pPr>
        <w:numPr>
          <w:ilvl w:val="0"/>
          <w:numId w:val="1023"/>
        </w:numPr>
        <w:bidi/>
        <w:jc w:val="right"/>
      </w:pPr>
      <w:r>
        <w:rPr>
          <w:rtl/>
        </w:rPr>
        <w:t xml:space="preserve">التدريب بين الزملاء (Shadowing): العمال ذوو الخبرة (بعد 3 أشهر) يدربون العمال الجدد. مكافأة 2,000 دج للمدرِّب عند إتقان العامل الجديد.</w:t>
      </w:r>
    </w:p>
    <w:p>
      <w:pPr>
        <w:pBdr>
          <w:right w:val="single" w:sz="24" w:space="6" w:color="008080"/>
        </w:pBdr>
        <w:bidi/>
        <w:jc w:val="right"/>
      </w:pPr>
      <w:r>
        <w:rPr>
          <w:b/>
          <w:color w:val="008080"/>
          <w:sz w:val="25"/>
          <w:rtl/>
        </w:rPr>
        <w:t xml:space="preserve">6.6. ب الجدول التفصيلي لبرنامج JLT Academy (المدة، المحتوى، التقييم)</w:t>
      </w:r>
    </w:p>
    <w:p>
      <w:pPr>
        <w:bidi/>
        <w:jc w:val="right"/>
      </w:pPr>
      <w:r>
        <w:rPr>
          <w:rtl/>
        </w:rPr>
        <w:t xml:space="preserve">يفصّل الجدول التالي برنامج تدريب العامل الجديد على مدى أسبوعين كاملين (10 أيام عمل)، بما يشمل المدة الزمنية لكل مرحلة، محتواها التفصيلي، وطريقة التقييم المعتمدة لقبول العامل في خط الإنتاج الفعلي.</w:t>
      </w:r>
    </w:p>
    <w:tbl>
      <w:tblPr>
        <w:tblStyle w:val="Table"/>
        <w:bidiVisual/>
        <w:tblW w:type="pct" w:w="5000"/>
        <w:tblLook w:firstRow="1" w:lastRow="0" w:firstColumn="0" w:lastColumn="0" w:noHBand="0" w:noVBand="0" w:val="0020"/>
        <w:jc w:val="right"/>
      </w:tblPr>
      <w:tblGrid>
        <w:gridCol w:w="1980"/>
        <w:gridCol w:w="1980"/>
        <w:gridCol w:w="1980"/>
        <w:gridCol w:w="198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اليوم / المرحلة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المدة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المحتوى التفصيلي</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طريقة التقييم</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اليوم 1</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8 ساعات</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تعريف بجميع الآلات الست + شرح SOPs + قواعد السلامة (معدات الوقاية الشخصية (Équipements de Protection Individuelle)، التفريغ الكهربائي الساكن (Décharge Électrostatique)، إخلاء الحريق) + جولة ميدانية كاملة بالورشة.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اختبار شفوي قصير (10 أسئلة) في نهاية اليوم.</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اليوم 2</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8 ساعات</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مراقبة فقط (Shadowing) لعامل خبير على محطة تركيب PCB دون أي تدخل يدوي.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تقرير ملاحظة مكتوب يُسلَّم للمشرف.</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اليوم 3</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8 ساعات</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تنفيذ أول 5 بطاقات PCB تحت إشراف مباشر، مع تصحيح فوري للأخطاء.</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نسبة العيوب في الـ 5 بطاقات (يجب ≤ 40%).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الأيام 4-5</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16 ساعة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تكرار العملية تدريجياً بمعدل 10-15 بطاقة/يوم، تقليل التدخل المباشر للمدرِّب.</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نسبة العيوب (يجب ≤ 20% بنهاية اليوم 5).</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الأسبوع 2 (أيام 6-9)</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32 ساعة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تقسيم كل مهمة لـ 5-10 خطوات صغيرة مع صور توضيحية على الطاولة + تدريب على محطة ثانية (تجميع نهائي أو اختبار).</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إنتاجية يومية تصل تدريجياً إلى 20-25 بطاقة سليمة/يوم.</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اليوم 10 (السبت)</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4 ساعات</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التقييم الأسبوعي النهائي: اختبار عملي كامل + مراجعة سجل الأعطال الشخصي + مقابلة قصيرة مع المشرف.</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معيار القبول النهائي: 25 بطاقة سليمة/يوم بنسبة عيوب ≤ 10%.</w:t>
            </w:r>
          </w:p>
        </w:tc>
      </w:tr>
    </w:tbl>
    <w:p>
      <w:pPr>
        <w:bidi/>
        <w:jc w:val="right"/>
      </w:pPr>
    </w:p>
    <w:tbl>
      <w:tblPr>
        <w:tblStyle w:val="Table"/>
        <w:bidiVisual/>
        <w:tblW w:type="pct" w:w="500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FFE5E5"/>
          </w:tcPr>
          <w:p>
            <w:pPr>
              <w:pStyle w:val="Compact"/>
              <w:pBdr>
                <w:top w:val="single" w:sz="16" w:space="4" w:color="D90429"/>
                <w:left w:val="single" w:sz="16" w:space="4" w:color="D90429"/>
                <w:bottom w:val="single" w:sz="16" w:space="4" w:color="D90429"/>
                <w:right w:val="single" w:sz="16" w:space="4" w:color="D90429"/>
              </w:pBdr>
              <w:bidi/>
              <w:jc w:val="right"/>
            </w:pPr>
            <w:r>
              <w:rPr>
                <w:b/>
                <w:color w:val="8A0216"/>
                <w:sz w:val="22"/>
                <w:rtl/>
              </w:rPr>
              <w:t xml:space="preserve">⚠ العامل الذي لا يحقق معيار القبول النهائي (25 بطاقة/يوم، عيوب ≤ 10%) في اليوم 10 يُمدَّد تدريبه أسبوعاً إضافياً مع مدرِّب مختلف قبل اتخاذ قرار نهائي بشأن استمراريته.</w:t>
            </w:r>
          </w:p>
        </w:tc>
      </w:tr>
    </w:tbl>
    <w:p>
      <w:pPr>
        <w:pBdr>
          <w:right w:val="single" w:sz="24" w:space="6" w:color="008080"/>
        </w:pBdr>
        <w:bidi/>
        <w:jc w:val="right"/>
      </w:pPr>
      <w:r>
        <w:rPr>
          <w:b/>
          <w:color w:val="008080"/>
          <w:sz w:val="25"/>
          <w:rtl/>
        </w:rPr>
        <w:t xml:space="preserve">6.7 حقيبة التدريب السريع (JLT FastTrack)</w:t>
      </w:r>
    </w:p>
    <w:p>
      <w:pPr>
        <w:numPr>
          <w:ilvl w:val="0"/>
          <w:numId w:val="1024"/>
        </w:numPr>
        <w:bidi/>
        <w:jc w:val="right"/>
      </w:pPr>
      <w:r>
        <w:rPr>
          <w:rtl/>
        </w:rPr>
        <w:t xml:space="preserve">لتأهيل عامل جديد في حالة طوارئ (مرض/إجازة مفاجئة) خلال يومين فقط.</w:t>
      </w:r>
    </w:p>
    <w:p>
      <w:pPr>
        <w:numPr>
          <w:ilvl w:val="0"/>
          <w:numId w:val="1024"/>
        </w:numPr>
        <w:bidi/>
        <w:jc w:val="right"/>
      </w:pPr>
      <w:r>
        <w:rPr>
          <w:rtl/>
        </w:rPr>
        <w:t xml:space="preserve">تتضمن: فيديوهات 3-5 دقائق لكل مهمة + دليل مطبوع A4 بأهم 8 نقاط لكل آلة.</w:t>
      </w:r>
    </w:p>
    <w:p>
      <w:pPr>
        <w:numPr>
          <w:ilvl w:val="0"/>
          <w:numId w:val="1024"/>
        </w:numPr>
        <w:bidi/>
        <w:jc w:val="right"/>
      </w:pPr>
      <w:r>
        <w:rPr>
          <w:rtl/>
        </w:rPr>
        <w:t xml:space="preserve">اليوم الأول: مراقبة فقط (ظل) + تدريب على محطة واحدة.</w:t>
      </w:r>
    </w:p>
    <w:p>
      <w:pPr>
        <w:numPr>
          <w:ilvl w:val="0"/>
          <w:numId w:val="1024"/>
        </w:numPr>
        <w:bidi/>
        <w:jc w:val="right"/>
      </w:pPr>
      <w:r>
        <w:rPr>
          <w:rtl/>
        </w:rPr>
        <w:t xml:space="preserve">اليوم الثاني: تنفيذ تحت إشراف مباشر مع تصحيح الأخطاء فوراً.</w:t>
      </w:r>
    </w:p>
    <w:p>
      <w:pPr>
        <w:pBdr>
          <w:right w:val="single" w:sz="24" w:space="6" w:color="008080"/>
        </w:pBdr>
        <w:bidi/>
        <w:jc w:val="right"/>
      </w:pPr>
      <w:r>
        <w:rPr>
          <w:b/>
          <w:color w:val="008080"/>
          <w:sz w:val="25"/>
          <w:rtl/>
        </w:rPr>
        <w:t xml:space="preserve">6.8 صندوق الولاء والقرض الحسن</w:t>
      </w:r>
    </w:p>
    <w:p>
      <w:pPr>
        <w:numPr>
          <w:ilvl w:val="0"/>
          <w:numId w:val="1025"/>
        </w:numPr>
        <w:bidi/>
        <w:jc w:val="right"/>
      </w:pPr>
      <w:r>
        <w:rPr>
          <w:rtl/>
        </w:rPr>
        <w:t xml:space="preserve">يُستقطع 0.5% من صافي أرباح الورشة الشهرية (من حصة المالك) ويُودع في الصندوق.</w:t>
      </w:r>
    </w:p>
    <w:p>
      <w:pPr>
        <w:numPr>
          <w:ilvl w:val="0"/>
          <w:numId w:val="1025"/>
        </w:numPr>
        <w:bidi/>
        <w:jc w:val="right"/>
      </w:pPr>
      <w:r>
        <w:rPr>
          <w:rtl/>
        </w:rPr>
        <w:t xml:space="preserve">يحق للعامل (بعد 6 أشهر عمل متواصل) اقتراض مبلغ بلا فوائد في حالات الطوارئ.</w:t>
      </w:r>
    </w:p>
    <w:p>
      <w:pPr>
        <w:numPr>
          <w:ilvl w:val="0"/>
          <w:numId w:val="1025"/>
        </w:numPr>
        <w:bidi/>
        <w:jc w:val="right"/>
      </w:pPr>
      <w:r>
        <w:rPr>
          <w:rtl/>
        </w:rPr>
        <w:t xml:space="preserve">السداد: أقساط شهرية لا تتجاوز 6 أشهر.</w:t>
      </w:r>
    </w:p>
    <w:p>
      <w:pPr>
        <w:numPr>
          <w:ilvl w:val="0"/>
          <w:numId w:val="1025"/>
        </w:numPr>
        <w:bidi/>
        <w:jc w:val="right"/>
      </w:pPr>
      <w:r>
        <w:rPr>
          <w:rtl/>
        </w:rPr>
        <w:t xml:space="preserve">الإدارة: لجنة داخلية (3 عمال + المشرف) – تُسجَّل كل العمليات في «سجل صندوق الولاء».</w:t>
      </w:r>
    </w:p>
    <w:p>
      <w:pPr>
        <w:pBdr>
          <w:right w:val="single" w:sz="24" w:space="6" w:color="008080"/>
        </w:pBdr>
        <w:bidi/>
        <w:jc w:val="right"/>
      </w:pPr>
      <w:r>
        <w:rPr>
          <w:b/>
          <w:color w:val="008080"/>
          <w:sz w:val="25"/>
          <w:rtl/>
        </w:rPr>
        <w:t xml:space="preserve">6.9 السلامة المهنية وإدارة الطوارئ البشرية</w:t>
      </w:r>
    </w:p>
    <w:p>
      <w:pPr>
        <w:bidi/>
        <w:jc w:val="right"/>
      </w:pPr>
      <w:r>
        <w:rPr>
          <w:rtl/>
        </w:rPr>
        <w:t xml:space="preserve">معدات الوقاية الشخصية (Équipements de Protection Individuelle) الإلزامية للجميع: قفازات حرارية، نظارات واقية، كمامات كربونية، مآزر قطنية، نظارات الليزر، أساور التفريغ الكهربائي الساكن (Décharge Électrostatique).</w:t>
      </w:r>
    </w:p>
    <w:p>
      <w:pPr>
        <w:bidi/>
        <w:jc w:val="right"/>
      </w:pPr>
      <w:r>
        <w:rPr>
          <w:rtl/>
          <w:bCs/>
          <w:b/>
        </w:rPr>
        <w:t xml:space="preserve">بروتوكولات السلامة اليومية:</w:t>
      </w:r>
      <w:r>
        <w:rPr>
          <w:rtl/>
        </w:rPr>
        <w:t xml:space="preserve"> </w:t>
      </w:r>
      <w:r>
        <w:rPr>
          <w:rtl/>
        </w:rPr>
        <w:t xml:space="preserve">تشغيل شفط الأبخرة قبل الفرن أو اللحام. فحص أعين السوائل والأسلاك يومياً. أرضية الورشة خالية من الزيوت. إغلاق جميع الآلات وفصل التيار نهاية كل وردية.</w:t>
      </w:r>
    </w:p>
    <w:p>
      <w:pPr>
        <w:pBdr>
          <w:right w:val="single" w:sz="16" w:space="6" w:color="008080"/>
        </w:pBdr>
        <w:bidi/>
        <w:jc w:val="right"/>
      </w:pPr>
      <w:r>
        <w:rPr>
          <w:color w:val="008080"/>
          <w:sz w:val="23"/>
          <w:rtl/>
          <w:bCs/>
          <w:b/>
        </w:rPr>
        <w:t xml:space="preserve">خطة الطوارئ البشرية:</w:t>
      </w:r>
    </w:p>
    <w:p>
      <w:pPr>
        <w:numPr>
          <w:ilvl w:val="0"/>
          <w:numId w:val="1026"/>
        </w:numPr>
        <w:bidi/>
        <w:jc w:val="right"/>
      </w:pPr>
      <w:r>
        <w:rPr>
          <w:rtl/>
        </w:rPr>
        <w:t xml:space="preserve">عطل الفرن &gt; نصف يوم: التحول فوراً للتجميع النهائي + لحام يدوي (30-40 وحدة/يوم).</w:t>
      </w:r>
    </w:p>
    <w:p>
      <w:pPr>
        <w:numPr>
          <w:ilvl w:val="0"/>
          <w:numId w:val="1026"/>
        </w:numPr>
        <w:bidi/>
        <w:jc w:val="right"/>
      </w:pPr>
      <w:r>
        <w:rPr>
          <w:rtl/>
        </w:rPr>
        <w:t xml:space="preserve">نقص عاملين+: إعادة توزيع المهام بالتناوب + استدعاء عامل خارجي مؤقت (تدريب يومين).</w:t>
      </w:r>
    </w:p>
    <w:p>
      <w:pPr>
        <w:numPr>
          <w:ilvl w:val="0"/>
          <w:numId w:val="1026"/>
        </w:numPr>
        <w:bidi/>
        <w:jc w:val="right"/>
      </w:pPr>
      <w:r>
        <w:rPr>
          <w:rtl/>
        </w:rPr>
        <w:t xml:space="preserve">انقطاع التيار: مولد (10 KVA) ← إنتاج يدوي 50 وحدة/يوم ← مخزون أمان 5,000 وحدة.</w:t>
      </w:r>
    </w:p>
    <w:p>
      <w:pPr>
        <w:pBdr>
          <w:right w:val="single" w:sz="24" w:space="6" w:color="008080"/>
        </w:pBdr>
        <w:bidi/>
        <w:jc w:val="right"/>
      </w:pPr>
      <w:r>
        <w:rPr>
          <w:b/>
          <w:color w:val="008080"/>
          <w:sz w:val="25"/>
          <w:rtl/>
        </w:rPr>
        <w:t xml:space="preserve">6.10 نمط الحوكمة في المرحلة التأسيسية</w:t>
      </w:r>
    </w:p>
    <w:p>
      <w:pPr>
        <w:numPr>
          <w:ilvl w:val="0"/>
          <w:numId w:val="1027"/>
        </w:numPr>
        <w:bidi/>
        <w:jc w:val="right"/>
      </w:pPr>
      <w:r>
        <w:rPr>
          <w:rtl/>
        </w:rPr>
        <w:t xml:space="preserve">السنة الأولى: إدارة ميدانية مباشرة – المالك أو المشرف 4 ساعات يومياً في الورشة.</w:t>
      </w:r>
    </w:p>
    <w:p>
      <w:pPr>
        <w:numPr>
          <w:ilvl w:val="0"/>
          <w:numId w:val="1027"/>
        </w:numPr>
        <w:bidi/>
        <w:jc w:val="right"/>
      </w:pPr>
      <w:r>
        <w:rPr>
          <w:rtl/>
        </w:rPr>
        <w:t xml:space="preserve">بعد 12 شهراً: الانتقال لنمط «تفويض المهام» – تعيين مشرف إنتاج من العمال المتميزين.</w:t>
      </w:r>
    </w:p>
    <w:p>
      <w:pPr>
        <w:numPr>
          <w:ilvl w:val="0"/>
          <w:numId w:val="1027"/>
        </w:numPr>
        <w:bidi/>
        <w:jc w:val="right"/>
      </w:pPr>
      <w:r>
        <w:rPr>
          <w:rtl/>
        </w:rPr>
        <w:t xml:space="preserve">تقليل التدخل المباشر للمالك مع التركيز على التخطيط ومراقبة الأداء العام.</w:t>
      </w:r>
    </w:p>
    <w:tbl>
      <w:tblPr>
        <w:tblStyle w:val="Table"/>
        <w:bidiVisual/>
        <w:tblW w:type="auto" w:w="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E9EDF2"/>
          </w:tcPr>
          <w:p>
            <w:pPr>
              <w:pStyle w:val="Compact"/>
              <w:bidi/>
              <w:jc w:val="right"/>
            </w:pPr>
            <w:r>
              <w:rPr>
                <w:color w:val="0D3B66"/>
                <w:sz w:val="29"/>
                <w:rtl/>
                <w:bCs/>
                <w:b/>
              </w:rPr>
              <w:t xml:space="preserve">الفصل السابع: استراتيجية الإنتاج والجدول الزمني والمالي</w:t>
            </w:r>
          </w:p>
        </w:tc>
      </w:tr>
    </w:tbl>
    <w:p>
      <w:pPr>
        <w:pBdr>
          <w:right w:val="single" w:sz="24" w:space="6" w:color="008080"/>
        </w:pBdr>
        <w:bidi/>
        <w:jc w:val="right"/>
      </w:pPr>
      <w:r>
        <w:rPr>
          <w:b/>
          <w:color w:val="008080"/>
          <w:sz w:val="25"/>
          <w:rtl/>
        </w:rPr>
        <w:t xml:space="preserve">7.1 الروتين الإنتاجي اليومي (الوردية الواحدة)</w:t>
      </w:r>
    </w:p>
    <w:p>
      <w:pPr>
        <w:bidi/>
        <w:jc w:val="right"/>
      </w:pPr>
      <w:r>
        <w:rPr>
          <w:rtl/>
        </w:rPr>
        <w:t xml:space="preserve">يبدأ العمل في الوردية الصباحية (08:00–17:00 مع استراحة 12:00–13:00):</w:t>
      </w:r>
    </w:p>
    <w:p>
      <w:pPr>
        <w:numPr>
          <w:ilvl w:val="0"/>
          <w:numId w:val="1028"/>
        </w:numPr>
        <w:bidi/>
        <w:jc w:val="right"/>
      </w:pPr>
      <w:r>
        <w:rPr>
          <w:rtl/>
        </w:rPr>
        <w:t xml:space="preserve">اجتماع الوقوف (15 دقيقة): أهداف اليوم، توزيع الأدوار، فتح سجل الأعطال، التذكير بالسلامة.</w:t>
      </w:r>
    </w:p>
    <w:p>
      <w:pPr>
        <w:numPr>
          <w:ilvl w:val="0"/>
          <w:numId w:val="1028"/>
        </w:numPr>
        <w:bidi/>
        <w:jc w:val="right"/>
      </w:pPr>
      <w:r>
        <w:rPr>
          <w:rtl/>
        </w:rPr>
        <w:t xml:space="preserve">تجهيز المحطات: تنظيف الطاولات، تجهيز الصواني بالمكونات، تشغيل الفرن قبل 20 دقيقة.</w:t>
      </w:r>
    </w:p>
    <w:p>
      <w:pPr>
        <w:numPr>
          <w:ilvl w:val="0"/>
          <w:numId w:val="1028"/>
        </w:numPr>
        <w:bidi/>
        <w:jc w:val="right"/>
      </w:pPr>
      <w:r>
        <w:rPr>
          <w:rtl/>
        </w:rPr>
        <w:t xml:space="preserve">تنفيذ الإنتاج: تركيب مكونات PCB ← لحام ← تنظيف كيميائي (30 دقيقة من الفرن) ← تجميع نهائي ← اختبار أولي ← اختبار العينة ← تغليف.</w:t>
      </w:r>
    </w:p>
    <w:p>
      <w:pPr>
        <w:numPr>
          <w:ilvl w:val="0"/>
          <w:numId w:val="1028"/>
        </w:numPr>
        <w:bidi/>
        <w:jc w:val="right"/>
      </w:pPr>
      <w:r>
        <w:rPr>
          <w:rtl/>
        </w:rPr>
        <w:t xml:space="preserve">نهاية الوردية: تسجيل الأعطال واستهلاك المواد.</w:t>
      </w:r>
    </w:p>
    <w:p>
      <w:pPr>
        <w:numPr>
          <w:ilvl w:val="0"/>
          <w:numId w:val="1028"/>
        </w:numPr>
        <w:bidi/>
        <w:jc w:val="right"/>
      </w:pPr>
      <w:r>
        <w:rPr>
          <w:rtl/>
        </w:rPr>
        <w:t xml:space="preserve">تنظيف الآلات وإغلاقها وتجهيزها لليوم التالي.</w:t>
      </w:r>
    </w:p>
    <w:p>
      <w:pPr>
        <w:numPr>
          <w:ilvl w:val="0"/>
          <w:numId w:val="1028"/>
        </w:numPr>
        <w:bidi/>
        <w:jc w:val="right"/>
      </w:pPr>
      <w:r>
        <w:rPr>
          <w:rtl/>
        </w:rPr>
        <w:t xml:space="preserve">نظام الوردات القصيرة (Sprints): عمل 2 ساعة + راحة 15 دقيقة إجبارية.</w:t>
      </w:r>
    </w:p>
    <w:p>
      <w:pPr>
        <w:pBdr>
          <w:right w:val="single" w:sz="24" w:space="6" w:color="008080"/>
        </w:pBdr>
        <w:bidi/>
        <w:jc w:val="right"/>
      </w:pPr>
      <w:r>
        <w:rPr>
          <w:b/>
          <w:color w:val="008080"/>
          <w:sz w:val="25"/>
          <w:rtl/>
        </w:rPr>
        <w:t xml:space="preserve">7.2 المرونة في الإنتاج وتلبية الطلبات الخاصة</w:t>
      </w:r>
    </w:p>
    <w:p>
      <w:pPr>
        <w:bidi/>
        <w:jc w:val="right"/>
      </w:pPr>
      <w:r>
        <w:rPr>
          <w:rtl/>
          <w:bCs/>
          <w:b/>
        </w:rPr>
        <w:t xml:space="preserve">الحصة المتاحة:</w:t>
      </w:r>
      <w:r>
        <w:rPr>
          <w:rtl/>
        </w:rPr>
        <w:t xml:space="preserve"> </w:t>
      </w:r>
      <w:r>
        <w:rPr>
          <w:rtl/>
        </w:rPr>
        <w:t xml:space="preserve">10% من الطاقة الإنتاجية (600-900 وحدة شهرياً) للطلبات الخاصة (شرائط LED، كشافات خارجية، قدرات نادرة).</w:t>
      </w:r>
    </w:p>
    <w:p>
      <w:pPr>
        <w:numPr>
          <w:ilvl w:val="0"/>
          <w:numId w:val="1029"/>
        </w:numPr>
        <w:bidi/>
        <w:jc w:val="right"/>
      </w:pPr>
      <w:r>
        <w:rPr>
          <w:rtl/>
        </w:rPr>
        <w:t xml:space="preserve">≤ 300 وحدة: نصف يوم عمل (الجمعة/السبت).</w:t>
      </w:r>
    </w:p>
    <w:p>
      <w:pPr>
        <w:numPr>
          <w:ilvl w:val="0"/>
          <w:numId w:val="1029"/>
        </w:numPr>
        <w:bidi/>
        <w:jc w:val="right"/>
      </w:pPr>
      <w:r>
        <w:rPr>
          <w:rtl/>
        </w:rPr>
        <w:t xml:space="preserve">300-500 وحدة: يوم كامل + إخطار زبون 5-7 أيام.</w:t>
      </w:r>
    </w:p>
    <w:p>
      <w:pPr>
        <w:numPr>
          <w:ilvl w:val="0"/>
          <w:numId w:val="1029"/>
        </w:numPr>
        <w:pStyle w:val="BlockText"/>
        <w:pBdr>
          <w:right w:val="single" w:sz="24" w:space="6" w:color="008080"/>
        </w:pBdr>
        <w:bidi/>
        <w:jc w:val="right"/>
      </w:pPr>
      <w:r>
        <w:rPr>
          <w:b/>
          <w:color w:val="008080"/>
          <w:sz w:val="25"/>
          <w:rtl/>
        </w:rPr>
        <w:t xml:space="preserve">500 وحدة: لا تُقبل قبل بلوغ 50,000 وحدة أساسية.</w:t>
      </w:r>
    </w:p>
    <w:p>
      <w:pPr>
        <w:pBdr>
          <w:right w:val="single" w:sz="24" w:space="6" w:color="008080"/>
        </w:pBdr>
        <w:bidi/>
        <w:jc w:val="right"/>
      </w:pPr>
      <w:r>
        <w:rPr>
          <w:b/>
          <w:color w:val="008080"/>
          <w:sz w:val="25"/>
          <w:rtl/>
        </w:rPr>
        <w:t xml:space="preserve">7.3 خطة التوسع وتطوير المنتجات (السنوات 1-5)</w:t>
      </w:r>
    </w:p>
    <w:p>
      <w:pPr>
        <w:numPr>
          <w:ilvl w:val="0"/>
          <w:numId w:val="1030"/>
        </w:numPr>
        <w:bidi/>
        <w:jc w:val="right"/>
      </w:pPr>
      <w:r>
        <w:rPr>
          <w:rtl/>
        </w:rPr>
        <w:t xml:space="preserve">السنة 1: LED Bulbs كروية 9-24W.</w:t>
      </w:r>
    </w:p>
    <w:p>
      <w:pPr>
        <w:numPr>
          <w:ilvl w:val="0"/>
          <w:numId w:val="1030"/>
        </w:numPr>
        <w:bidi/>
        <w:jc w:val="right"/>
      </w:pPr>
      <w:r>
        <w:rPr>
          <w:rtl/>
        </w:rPr>
        <w:t xml:space="preserve">السنة 2: LED Strip 5-20W/m + Panel Lights 12-40W.</w:t>
      </w:r>
    </w:p>
    <w:p>
      <w:pPr>
        <w:numPr>
          <w:ilvl w:val="0"/>
          <w:numId w:val="1030"/>
        </w:numPr>
        <w:bidi/>
        <w:jc w:val="right"/>
      </w:pPr>
      <w:r>
        <w:rPr>
          <w:rtl/>
        </w:rPr>
        <w:t xml:space="preserve">السنة 3: Floodlights IP65 10-50W + LED Tubes + دراسة PIR Motion Sensors.</w:t>
      </w:r>
    </w:p>
    <w:p>
      <w:pPr>
        <w:numPr>
          <w:ilvl w:val="0"/>
          <w:numId w:val="1030"/>
        </w:numPr>
        <w:bidi/>
        <w:jc w:val="right"/>
      </w:pPr>
      <w:r>
        <w:rPr>
          <w:rtl/>
        </w:rPr>
        <w:t xml:space="preserve">السنة 4-5: Smart Lighting (WiFi/BT) + Emergency LED + High Bay للمصانع + Street Lighting عند التوسع.</w:t>
      </w:r>
    </w:p>
    <w:p>
      <w:pPr>
        <w:pBdr>
          <w:right w:val="single" w:sz="24" w:space="6" w:color="008080"/>
        </w:pBdr>
        <w:bidi/>
        <w:jc w:val="right"/>
      </w:pPr>
      <w:r>
        <w:rPr>
          <w:b/>
          <w:color w:val="008080"/>
          <w:sz w:val="25"/>
          <w:rtl/>
        </w:rPr>
        <w:t xml:space="preserve">7.4 الهندسة المالية (الحسابات والأرقام الثابتة)</w:t>
      </w:r>
    </w:p>
    <w:tbl>
      <w:tblPr>
        <w:tblStyle w:val="Table"/>
        <w:bidiVisual/>
        <w:tblW w:type="pct" w:w="5000"/>
        <w:tblLook w:firstRow="1" w:lastRow="0" w:firstColumn="0" w:lastColumn="0" w:noHBand="0" w:noVBand="0" w:val="0020"/>
        <w:jc w:val="right"/>
      </w:tblPr>
      <w:tblGrid>
        <w:gridCol w:w="3960"/>
        <w:gridCol w:w="396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البند</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القيمة</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تكلفة الوحدة (تراجع كل 3 أشهر)</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575 دج (مواد خام + عمالة + كهرباء + تغليف + هامش أمان 10% + هالك 3-5%)</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سعر البيع للجملة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1,000 دج (ثابت طوال السنة الأولى عدا ظروف قاهرة)</w:t>
            </w:r>
          </w:p>
        </w:tc>
      </w:tr>
      <w:tr>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هامش الربح الصافي المستهدف</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 31% (حوالي 18,500,000 دج عند بيع 60,000 وحدة). ملاحظة: هامش الربح الإجمالي قبل المصاريف الإدارية والضرائب يبلغ حوالي 42.5%، يُخصم منه 11.5% لتغطية الأعباء الإدارية والتسويقية والضريبية، فينتج صافي ≈ 31%.</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إعادة الاستثمار (قاعدة 20%)</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20% من صافي الربح الشهري → «حساب تطوير الآلات» (صندوق منفصل)</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هامش الأمان المالي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10% مضمَّن في سعر التكلفة لمواجهة تقلبات الصرف والشحن</w:t>
            </w:r>
          </w:p>
        </w:tc>
      </w:tr>
    </w:tbl>
    <w:p>
      <w:pPr>
        <w:pBdr>
          <w:right w:val="single" w:sz="24" w:space="6" w:color="008080"/>
        </w:pBdr>
        <w:bidi/>
        <w:jc w:val="right"/>
      </w:pPr>
      <w:r>
        <w:rPr>
          <w:b/>
          <w:color w:val="008080"/>
          <w:sz w:val="25"/>
          <w:rtl/>
        </w:rPr>
        <w:t xml:space="preserve">7.4. أ هيكلة التمويل الثلاثي</w:t>
      </w:r>
    </w:p>
    <w:p>
      <w:pPr>
        <w:bidi/>
        <w:jc w:val="right"/>
      </w:pPr>
      <w:r>
        <w:rPr>
          <w:rtl/>
        </w:rPr>
        <w:t xml:space="preserve">الإجمالي العام لتكلفة تأسيس المشروع (الآلات + قطع الغيار + المكونات + المعدات المساندة + السلامة + التغليف + تكاليف التشغيل الأولية + التأسيس والتراخيص) =</w:t>
      </w:r>
      <w:r>
        <w:rPr>
          <w:rtl/>
        </w:rPr>
        <w:t xml:space="preserve"> </w:t>
      </w:r>
      <w:r>
        <w:rPr>
          <w:rtl/>
          <w:bCs/>
          <w:b/>
        </w:rPr>
        <w:t xml:space="preserve">8,956,392 دج</w:t>
      </w:r>
      <w:r>
        <w:rPr>
          <w:rtl/>
        </w:rPr>
        <w:t xml:space="preserve">، يقع تحت سقف التمويل المصرح به البالغ</w:t>
      </w:r>
      <w:r>
        <w:rPr>
          <w:rtl/>
        </w:rPr>
        <w:t xml:space="preserve"> </w:t>
      </w:r>
      <w:r>
        <w:rPr>
          <w:rtl/>
          <w:bCs/>
          <w:b/>
        </w:rPr>
        <w:t xml:space="preserve">10,000,000 دج</w:t>
      </w:r>
      <w:r>
        <w:rPr>
          <w:rtl/>
        </w:rPr>
        <w:t xml:space="preserve">، بهامش أمان متبقٍ</w:t>
      </w:r>
      <w:r>
        <w:rPr>
          <w:rtl/>
        </w:rPr>
        <w:t xml:space="preserve"> </w:t>
      </w:r>
      <w:r>
        <w:rPr>
          <w:rtl/>
          <w:bCs/>
          <w:b/>
        </w:rPr>
        <w:t xml:space="preserve">1,043,608 دج</w:t>
      </w:r>
      <w:r>
        <w:rPr>
          <w:rtl/>
        </w:rPr>
        <w:t xml:space="preserve">.</w:t>
      </w:r>
    </w:p>
    <w:tbl>
      <w:tblPr>
        <w:tblStyle w:val="Table"/>
        <w:bidiVisual/>
        <w:tblW w:type="pct" w:w="5000"/>
        <w:tblLook w:firstRow="1" w:lastRow="0" w:firstColumn="0" w:lastColumn="0" w:noHBand="0" w:noVBand="0" w:val="0020"/>
        <w:jc w:val="right"/>
      </w:tblPr>
      <w:tblGrid>
        <w:gridCol w:w="2640"/>
        <w:gridCol w:w="2640"/>
        <w:gridCol w:w="264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مصدر التمويل</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النسبة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القيمة (دج)</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مساهمة شخصية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5%</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447,820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قرض NESDA بدون فائدة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25%</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2,239,098</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قرض بنكي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70%</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6,269,474</w:t>
            </w:r>
          </w:p>
        </w:tc>
      </w:tr>
      <w:tr>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إجمالي التمويل</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8,956,392 دج</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الهامش المتبقي (احتياطي طوارئ تحت سقف 10,000,000 دج)</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1,043,608 دج</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p>
        </w:tc>
      </w:tr>
    </w:tbl>
    <w:p>
      <w:pPr>
        <w:pBdr>
          <w:right w:val="single" w:sz="16" w:space="6" w:color="008080"/>
        </w:pBdr>
        <w:bidi/>
        <w:jc w:val="right"/>
      </w:pPr>
      <w:r>
        <w:rPr>
          <w:color w:val="008080"/>
          <w:sz w:val="23"/>
          <w:rtl/>
          <w:bCs/>
          <w:b/>
        </w:rPr>
        <w:t xml:space="preserve">تثبيت الأرقام المالية النهائية لملف التمويل NESDA (V.9.5) — استثناء صريح من قاعدة الصياغة التخطيطية:</w:t>
      </w:r>
    </w:p>
    <w:p>
      <w:pPr>
        <w:bidi/>
        <w:jc w:val="right"/>
      </w:pPr>
      <w:r>
        <w:rPr>
          <w:rtl/>
        </w:rPr>
        <w:t xml:space="preserve">خلافاً لبقية الأرقام التشغيلية في هذا الدليل (المذكورة كأهداف تخطيطية قابلة للمراجعة)، فإن الأرقام المالية والاستثمارية التالية</w:t>
      </w:r>
      <w:r>
        <w:rPr>
          <w:rtl/>
        </w:rPr>
        <w:t xml:space="preserve"> </w:t>
      </w:r>
      <w:r>
        <w:rPr>
          <w:rtl/>
          <w:bCs/>
          <w:b/>
        </w:rPr>
        <w:t xml:space="preserve">معتمدة ونهائية وغير قابلة للتغيير</w:t>
      </w:r>
      <w:r>
        <w:rPr>
          <w:rtl/>
        </w:rPr>
        <w:t xml:space="preserve">، باعتبارها جزءاً لا يتجزأ من ملف التمويل الرسمي المقدَّم لوكالة NESDA:</w:t>
      </w:r>
    </w:p>
    <w:tbl>
      <w:tblPr>
        <w:tblStyle w:val="Table"/>
        <w:bidiVisual/>
        <w:tblW w:type="pct" w:w="5000"/>
        <w:tblLook w:firstRow="1" w:lastRow="0" w:firstColumn="0" w:lastColumn="0" w:noHBand="0" w:noVBand="0" w:val="0020"/>
        <w:jc w:val="right"/>
      </w:tblPr>
      <w:tblGrid>
        <w:gridCol w:w="3960"/>
        <w:gridCol w:w="396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البند المالي المعتمد</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القيمة النهائية (دج)</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عتاد وآلات الخط الإنتاجي (الآلات الست الرئيسية)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3,378,500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مصاريف التشغيل والمواد وقطع الغيار والتجهيز والتأسيس (كل ما عدا الآلات)</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5,577,892</w:t>
            </w:r>
          </w:p>
        </w:tc>
      </w:tr>
      <w:tr>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color w:val="1A1A1A"/>
                <w:rtl/>
                <w:bCs/>
                <w:b/>
              </w:rPr>
              <w:t xml:space="preserve">الإجمالي العام المنسَّق (مطابق تماماً لمجموع البندين أعلاه)</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color w:val="1A1A1A"/>
                <w:rtl/>
                <w:bCs/>
                <w:b/>
              </w:rPr>
              <w:t xml:space="preserve">8,956,392</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الفائض الأمني في الحساب (احتياطي طوارئ ضمن سقف التمويل 10,000,000 دج)</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1,043,608</w:t>
            </w:r>
          </w:p>
        </w:tc>
      </w:tr>
    </w:tbl>
    <w:p>
      <w:pPr>
        <w:bidi/>
        <w:jc w:val="right"/>
      </w:pPr>
      <w:r>
        <w:rPr>
          <w:rtl/>
        </w:rPr>
        <w:t xml:space="preserve">يُلاحَظ أن 3,378,500 + 5,577,892 = 8,956,392 دج بالضبط، بلا أي تقريب أو تعديل. أي فارق طفيف يظهر لاحقاً بين سعر تقديري لبند فرعي واحد ضمن التفصيل الداخلي لهذه المجاميع (كسعر آلة أو مكوّن بعينه يتغيّر عند عرض السعر الرسمي النهائي) يُمتَص بالكامل ضمن الهامش الأمني 1,043,608 دج المذكور أعلاه، ولا يُغيِّر بأي حال الإجمالي العام المعتمد 8,956,392 دج ولا أياً من الأرقام الأربعة الواردة في هذا الجدول.</w:t>
      </w:r>
    </w:p>
    <w:p>
      <w:pPr>
        <w:pBdr>
          <w:right w:val="single" w:sz="24" w:space="6" w:color="008080"/>
        </w:pBdr>
        <w:bidi/>
        <w:jc w:val="right"/>
      </w:pPr>
      <w:r>
        <w:rPr>
          <w:b/>
          <w:color w:val="008080"/>
          <w:sz w:val="25"/>
          <w:rtl/>
        </w:rPr>
        <w:t xml:space="preserve">7.4. ب تحليل نقطة التعادل (Break-even) والربح لكل واط</w:t>
      </w:r>
    </w:p>
    <w:p>
      <w:pPr>
        <w:bidi/>
        <w:jc w:val="right"/>
      </w:pPr>
      <w:r>
        <w:rPr>
          <w:rtl/>
        </w:rPr>
        <w:t xml:space="preserve">حساب نقطة التعادل (Break-even Point):</w:t>
      </w:r>
    </w:p>
    <w:p>
      <w:pPr>
        <w:numPr>
          <w:ilvl w:val="0"/>
          <w:numId w:val="1031"/>
        </w:numPr>
        <w:bidi/>
        <w:jc w:val="right"/>
      </w:pPr>
      <w:r>
        <w:rPr>
          <w:rtl/>
        </w:rPr>
        <w:t xml:space="preserve">هامش المساهمة للوحدة (Contribution Margin) = سعر البيع − تكلفة الوحدة المتغيرة = 1,000 − 575 = 425 دج/وحدة.</w:t>
      </w:r>
    </w:p>
    <w:p>
      <w:pPr>
        <w:numPr>
          <w:ilvl w:val="0"/>
          <w:numId w:val="1031"/>
        </w:numPr>
        <w:bidi/>
        <w:jc w:val="right"/>
      </w:pPr>
      <w:r>
        <w:rPr>
          <w:rtl/>
        </w:rPr>
        <w:t xml:space="preserve">بافتراض تغطية الأعباء الثابتة السنوية (أقساط التمويل، الصيانة الدورية، الرواتب الثابتة للإدارة) من هامش المساهمة، تُقدَّر نقطة التعادل التشغيلية بـ ≈ 28,000 وحدة/سنة (≈ 2,333 وحدة/شهر في المتوسط).</w:t>
      </w:r>
    </w:p>
    <w:p>
      <w:pPr>
        <w:numPr>
          <w:ilvl w:val="0"/>
          <w:numId w:val="1031"/>
        </w:numPr>
        <w:bidi/>
        <w:jc w:val="right"/>
      </w:pPr>
      <w:r>
        <w:rPr>
          <w:rtl/>
        </w:rPr>
        <w:t xml:space="preserve">أي إنتاج وبيع يتجاوز هذا الحد (28,000 وحدة) يدخل مباشرة في منطقة الربح الصافي المتراكم.</w:t>
      </w:r>
    </w:p>
    <w:p>
      <w:pPr>
        <w:numPr>
          <w:ilvl w:val="0"/>
          <w:numId w:val="1031"/>
        </w:numPr>
        <w:bidi/>
        <w:jc w:val="right"/>
      </w:pPr>
      <w:r>
        <w:rPr>
          <w:rtl/>
        </w:rPr>
        <w:t xml:space="preserve">بما أن الهدف السنوي هو 60,000 وحدة، فإن المشروع يتجاوز نقطة التعادل بنسبة تزيد عن 114%، وهو هامش أمان تشغيلي مريح.</w:t>
      </w:r>
    </w:p>
    <w:p>
      <w:pPr>
        <w:bidi/>
        <w:jc w:val="right"/>
      </w:pPr>
      <w:r>
        <w:rPr>
          <w:rtl/>
        </w:rPr>
        <w:t xml:space="preserve">الربح المتوقع لكل واط (Profit per Watt) — مرجع تسعير للمنتجات الجديدة:</w:t>
      </w:r>
    </w:p>
    <w:tbl>
      <w:tblPr>
        <w:tblStyle w:val="Table"/>
        <w:bidiVisual/>
        <w:tblW w:type="pct" w:w="5000"/>
        <w:tblLook w:firstRow="1" w:lastRow="0" w:firstColumn="0" w:lastColumn="0" w:noHBand="0" w:noVBand="0" w:val="0020"/>
        <w:jc w:val="right"/>
      </w:tblPr>
      <w:tblGrid>
        <w:gridCol w:w="2640"/>
        <w:gridCol w:w="2640"/>
        <w:gridCol w:w="264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المؤشر</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منتج 9W (المرجعي)</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الصيغة</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سعر البيع للوحدة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1,000 دج</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تكلفة الوحدة المتغيرة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575 دج</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مواد + عمالة + كهرباء + تغليف + هامش أمان 10% + هالك 3-5%</w:t>
            </w:r>
          </w:p>
        </w:tc>
      </w:tr>
      <w:tr>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هامش المساهمة (إجمالي)</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425 دج</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سعر البيع − تكلفة الوحدة</w:t>
            </w:r>
          </w:p>
        </w:tc>
      </w:tr>
      <w:tr>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الربح الإجمالي لكل واط</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 47.2 دج/واط</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425 دج ÷ 9W</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الربح الصافي لكل واط (بعد خصم 11.5% أعباء إدارية وضريبية)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 34.4 دج/واط</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(1,000 × 31%) ÷ 9W</w:t>
            </w:r>
          </w:p>
        </w:tc>
      </w:tr>
    </w:tbl>
    <w:p>
      <w:pPr>
        <w:bidi/>
        <w:jc w:val="right"/>
      </w:pPr>
      <w:r>
        <w:rPr>
          <w:rtl/>
        </w:rPr>
        <w:t xml:space="preserve">يُستخدم مؤشر</w:t>
      </w:r>
      <w:r>
        <w:rPr>
          <w:rtl/>
        </w:rPr>
        <w:t xml:space="preserve"> </w:t>
      </w:r>
      <w:r>
        <w:rPr>
          <w:rtl/>
        </w:rPr>
        <w:t xml:space="preserve">“</w:t>
      </w:r>
      <w:r>
        <w:rPr>
          <w:rtl/>
        </w:rPr>
        <w:t xml:space="preserve">الربح لكل واط</w:t>
      </w:r>
      <w:r>
        <w:rPr>
          <w:rtl/>
        </w:rPr>
        <w:t xml:space="preserve">”</w:t>
      </w:r>
      <w:r>
        <w:rPr>
          <w:rtl/>
        </w:rPr>
        <w:t xml:space="preserve"> </w:t>
      </w:r>
      <w:r>
        <w:rPr>
          <w:rtl/>
        </w:rPr>
        <w:t xml:space="preserve">كأداة مرجعية سريعة عند تسعير القدرات الأخرى (5W، 12W، 18W) أو أي منتج جديد يدخل خط الإنتاج، على افتراض أن تكلفة المواد تتناسب تقريباً مع زيادة القدرة الكهربائية للمنتج.</w:t>
      </w:r>
    </w:p>
    <w:p>
      <w:pPr>
        <w:bidi/>
        <w:jc w:val="right"/>
      </w:pPr>
      <w:r>
        <w:rPr>
          <w:rtl/>
          <w:bCs/>
          <w:b/>
        </w:rPr>
        <w:t xml:space="preserve">7.4.ج تصنيف الإنفاق: استثمار ثابت / مخزون أولي / رأس مال عامل (Classification des Dépenses : Investissement Fixe / Stock Initial / Besoin en Fonds de Roulement)</w:t>
      </w:r>
    </w:p>
    <w:p>
      <w:pPr>
        <w:bidi/>
        <w:jc w:val="right"/>
      </w:pPr>
      <w:r>
        <w:rPr>
          <w:rtl/>
        </w:rPr>
        <w:t xml:space="preserve">إعادة هيكلة الإجمالي العام (8,956,392 دج، البند 2.1 من ملخص التكاليف) إلى ثلاث فئات مالية مستقلة، دون تغيير أي رقم أساسي — فقط إعادة تصنيف لنفس البنود الواردة أصلاً في ملخص التكاليف:</w:t>
      </w:r>
    </w:p>
    <w:tbl>
      <w:tblPr>
        <w:tblStyle w:val="Table"/>
        <w:bidiVisual/>
        <w:tblW w:type="pct" w:w="5000"/>
        <w:tblLook w:firstRow="1" w:lastRow="0" w:firstColumn="0" w:lastColumn="0" w:noHBand="0" w:noVBand="0" w:val="0020"/>
        <w:jc w:val="right"/>
      </w:tblPr>
      <w:tblGrid>
        <w:gridCol w:w="2640"/>
        <w:gridCol w:w="2640"/>
        <w:gridCol w:w="264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الفئة المالية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البنود المكوِّنة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القيمة (دج)</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الاستثمارات الثابتة (Investissements Physiques)</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الآلات الأساسية (3,378,500) + قطع الغيار (315,000) + المعدات المساندة (1,347,892) + معدات السلامة والطوارئ (370,000)</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5,411,392</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مخزون التشغيل الأولي (Stock Initial)</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المكونات الإلكترونية والمواد الخام لـ 6 أشهر (1,790,000) + مواد التغليف (900,000)</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2,690,000</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رأس المال العامل (Besoin en Fonds de Roulement – BFR)</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تكاليف التشغيل والإنتاج التجريبي (805,000) + مصاريف التأسيس والتراخيص (50,000)</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855,000</w:t>
            </w:r>
          </w:p>
        </w:tc>
      </w:tr>
      <w:tr>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color w:val="1A1A1A"/>
                <w:rtl/>
                <w:bCs/>
                <w:b/>
              </w:rPr>
              <w:t xml:space="preserve">المجموع (مطابق تماماً للإجمالي العام)</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color w:val="1A1A1A"/>
                <w:rtl/>
                <w:bCs/>
                <w:b/>
              </w:rPr>
              <w:t xml:space="preserve">8,956,392</w:t>
            </w:r>
          </w:p>
        </w:tc>
      </w:tr>
    </w:tbl>
    <w:p>
      <w:pPr>
        <w:bidi/>
        <w:jc w:val="right"/>
      </w:pPr>
      <w:r>
        <w:rPr>
          <w:rtl/>
        </w:rPr>
        <w:t xml:space="preserve">هذا التصنيف يوضّح أن نحو 60% من التمويل (5.41 مليون دج) يذهب لأصول ثابتة قابلة للاستهلاك المحاسبي على عدة سنوات، بينما 30% (2.69 مليون دج) مخزون قابل للتحول السريع لمبيعات خلال السنة الأولى، و10% فقط (855 ألف دج) سيولة تشغيلية صرفة لأول 2-3 أشهر — وهو توزيع نمطي وصحي لمشروع صناعي ناشئ من هذا الحجم.</w:t>
      </w:r>
    </w:p>
    <w:p>
      <w:pPr>
        <w:pBdr>
          <w:right w:val="single" w:sz="24" w:space="6" w:color="008080"/>
        </w:pBdr>
        <w:bidi/>
        <w:jc w:val="right"/>
      </w:pPr>
      <w:r>
        <w:rPr>
          <w:b/>
          <w:color w:val="008080"/>
          <w:sz w:val="25"/>
          <w:rtl/>
        </w:rPr>
        <w:t xml:space="preserve">7.5 إدارة المخاطر وخطة الطوارئ</w:t>
      </w:r>
    </w:p>
    <w:tbl>
      <w:tblPr>
        <w:tblStyle w:val="Table"/>
        <w:bidiVisual/>
        <w:tblW w:type="pct" w:w="5000"/>
        <w:tblLook w:firstRow="1" w:lastRow="0" w:firstColumn="0" w:lastColumn="0" w:noHBand="0" w:noVBand="0" w:val="0020"/>
        <w:jc w:val="right"/>
      </w:tblPr>
      <w:tblGrid>
        <w:gridCol w:w="2640"/>
        <w:gridCol w:w="2640"/>
        <w:gridCol w:w="264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نوع المخاطرة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التفاصيل</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الحلول والإجراءات الوقائية</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تقنية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أعطال الفرن، المكبس، الليزر، الشفط</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صيانة دورية + قطع غيار استراتيجية + عمل يدوي فوري + استدعاء فني خارجي</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بشرية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غياب عمال بسبب مرض/إجازة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تدوير المهام + FastTrack + صندوق الولاء لتقليل الترك</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مالية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ارتفاع أسعار المواد الخام أو الشحن</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تنويع الموردين + عقود 6-12 شهراً + هامش أمان 10%</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سوقية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منافسة بأسعار منخفضة أو منتجات رديئة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جودة + ضمان 24 شهراً + «صنع في الجزائر» + ابتكار تدريجي</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كهربائية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انقطاع أو تذبذب حاد في الجهد</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مولد (10 KVA) + Stabilizer + نظام الإمداد المتواصل بالطاقة (Alimentation Sans Interruption) Online Double Conversion</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بيئية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رطوبة وغبار يتلفان المكونات</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Moisture Barrier + Silica Gel + شفط مستمر + تنظيف يومي</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استمرارية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توقف المورد لأكثر من شهر</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مخزون استراتيجي 60 يوماً + موردون بديلون محليون وأتراك</w:t>
            </w:r>
          </w:p>
        </w:tc>
      </w:tr>
    </w:tbl>
    <w:p>
      <w:pPr>
        <w:bidi/>
        <w:jc w:val="right"/>
      </w:pPr>
    </w:p>
    <w:tbl>
      <w:tblPr>
        <w:tblStyle w:val="Table"/>
        <w:bidiVisual/>
        <w:tblW w:type="auto" w:w="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E9EDF2"/>
          </w:tcPr>
          <w:p>
            <w:pPr>
              <w:pStyle w:val="Compact"/>
              <w:bidi/>
              <w:jc w:val="right"/>
            </w:pPr>
            <w:r>
              <w:rPr>
                <w:color w:val="0D3B66"/>
                <w:sz w:val="29"/>
                <w:rtl/>
                <w:bCs/>
                <w:b/>
              </w:rPr>
              <w:t xml:space="preserve">الفصل الثامن: مراقبة الجودة وضبط الأداء</w:t>
            </w:r>
          </w:p>
        </w:tc>
      </w:tr>
    </w:tbl>
    <w:p>
      <w:pPr>
        <w:pBdr>
          <w:right w:val="single" w:sz="24" w:space="6" w:color="008080"/>
        </w:pBdr>
        <w:bidi/>
        <w:jc w:val="right"/>
      </w:pPr>
      <w:r>
        <w:rPr>
          <w:b/>
          <w:color w:val="008080"/>
          <w:sz w:val="25"/>
          <w:rtl/>
        </w:rPr>
        <w:t xml:space="preserve">8.1 بروتوكول «الفحص الثلاثي» المتكامل</w:t>
      </w:r>
    </w:p>
    <w:p>
      <w:pPr>
        <w:bidi/>
        <w:jc w:val="right"/>
      </w:pPr>
      <w:r>
        <w:rPr>
          <w:rtl/>
        </w:rPr>
        <w:t xml:space="preserve">يتم اعتماد بروتوكول فحص من 3 مراحل لضمان جودة المنتج وتقليل المرتجعات لأقل من 1%:</w:t>
      </w:r>
    </w:p>
    <w:p>
      <w:pPr>
        <w:numPr>
          <w:ilvl w:val="0"/>
          <w:numId w:val="1032"/>
        </w:numPr>
        <w:bidi/>
        <w:jc w:val="right"/>
      </w:pPr>
      <w:r>
        <w:rPr>
          <w:rtl/>
        </w:rPr>
        <w:t xml:space="preserve">المرحلة 1 – الفحص البصري (بعد اللحام والتنظيف مباشرة): فحص كل PCB بعدسة مكبرة ×10 على الأقل. العيوب المستهدفة: جسور قصدير بين Pads متجاورة، لحام بارد (سطح باهت/متشقق)، مكونات منزاحة &gt; 0.5 مم، كرات قصدير مجهرية. معيار القبول: لا يُقبل أي PCB بأي من هذه العيوب. إصلاح يدوي أو استبعاد. التوثيق: تسجيل أي عيب في «سجل الفحص البصري» مع اسم العامل المسؤول.</w:t>
      </w:r>
    </w:p>
    <w:p>
      <w:pPr>
        <w:numPr>
          <w:ilvl w:val="0"/>
          <w:numId w:val="1032"/>
        </w:numPr>
        <w:bidi/>
        <w:jc w:val="right"/>
      </w:pPr>
      <w:r>
        <w:rPr>
          <w:rtl/>
        </w:rPr>
        <w:t xml:space="preserve">المرحلة 2 – الاختبار الكهربائي (قبل الإغلاق النهائي للهيكل): اختبار التشغيل السريع على 220-240V (يجب الإضاءة فوراً بدون وميض). اختبار الاستهلاك (Watt Meter): ضمن ±10% من القدرة المكتوبة (مثال: لمبة 12W → 10.8-13.2W؛ عند التجاوز ← فحص Driver). اختبار العزل (Hi-Pot): 5% من كل دفعة – 1440V لـ 3 ثوانٍ. القبول: عزل &gt; 2MΩ وتسرب &lt; 5mA.</w:t>
      </w:r>
    </w:p>
    <w:p>
      <w:pPr>
        <w:numPr>
          <w:ilvl w:val="0"/>
          <w:numId w:val="1032"/>
        </w:numPr>
        <w:bidi/>
        <w:jc w:val="right"/>
      </w:pPr>
      <w:r>
        <w:rPr>
          <w:rtl/>
        </w:rPr>
        <w:t xml:space="preserve">المرحلة 3 – اختبار الحرق (Burn-in) والإجهاد: عينة عشوائية 5% من كل دفعة: 265V ساعتين + 170V ساعتين + Switching 500 دورة + Drop Test.</w:t>
      </w:r>
    </w:p>
    <w:p>
      <w:pPr>
        <w:pBdr>
          <w:right w:val="single" w:sz="24" w:space="6" w:color="008080"/>
        </w:pBdr>
        <w:bidi/>
        <w:jc w:val="right"/>
      </w:pPr>
      <w:r>
        <w:rPr>
          <w:b/>
          <w:color w:val="008080"/>
          <w:sz w:val="25"/>
          <w:rtl/>
        </w:rPr>
        <w:t xml:space="preserve">8.2 مؤشرات الأداء الرئيسية (مؤشرات الأداء الرئيسية (Indicateurs Clés de Performance)) للجودة</w:t>
      </w:r>
    </w:p>
    <w:p>
      <w:pPr>
        <w:numPr>
          <w:ilvl w:val="0"/>
          <w:numId w:val="1033"/>
        </w:numPr>
        <w:bidi/>
        <w:jc w:val="right"/>
      </w:pPr>
      <w:r>
        <w:rPr>
          <w:rtl/>
        </w:rPr>
        <w:t xml:space="preserve">الإنتاجية: 28-30 بطاقة PCB سليمة/يوم لكل عامل.</w:t>
      </w:r>
    </w:p>
    <w:p>
      <w:pPr>
        <w:numPr>
          <w:ilvl w:val="0"/>
          <w:numId w:val="1033"/>
        </w:numPr>
        <w:bidi/>
        <w:jc w:val="right"/>
      </w:pPr>
      <w:r>
        <w:rPr>
          <w:rtl/>
        </w:rPr>
        <w:t xml:space="preserve">Defect Rate: المستهدف &lt; 2%. الخط الأحمر: 5% في أي وردية → إيقاف فوري.</w:t>
      </w:r>
    </w:p>
    <w:p>
      <w:pPr>
        <w:numPr>
          <w:ilvl w:val="0"/>
          <w:numId w:val="1033"/>
        </w:numPr>
        <w:bidi/>
        <w:jc w:val="right"/>
      </w:pPr>
      <w:r>
        <w:rPr>
          <w:rtl/>
        </w:rPr>
        <w:t xml:space="preserve">Returns Rate: &lt; 1% خلال فترة الضمان (24 شهراً).</w:t>
      </w:r>
    </w:p>
    <w:p>
      <w:pPr>
        <w:numPr>
          <w:ilvl w:val="0"/>
          <w:numId w:val="1033"/>
        </w:numPr>
        <w:bidi/>
        <w:jc w:val="right"/>
      </w:pPr>
      <w:r>
        <w:rPr>
          <w:rtl/>
        </w:rPr>
        <w:t xml:space="preserve">معدل الالتزام بالفحص الثلاثي: 100%.</w:t>
      </w:r>
    </w:p>
    <w:p>
      <w:pPr>
        <w:numPr>
          <w:ilvl w:val="0"/>
          <w:numId w:val="1033"/>
        </w:numPr>
        <w:bidi/>
        <w:jc w:val="right"/>
      </w:pPr>
      <w:r>
        <w:rPr>
          <w:rtl/>
        </w:rPr>
        <w:t xml:space="preserve">CSAT (رضا العملاء): ≥ 85% بعد السنة الأولى (استبيان).</w:t>
      </w:r>
    </w:p>
    <w:p>
      <w:pPr>
        <w:numPr>
          <w:ilvl w:val="0"/>
          <w:numId w:val="1033"/>
        </w:numPr>
        <w:bidi/>
        <w:jc w:val="right"/>
      </w:pPr>
      <w:r>
        <w:rPr>
          <w:rtl/>
        </w:rPr>
        <w:t xml:space="preserve">معامل الطاقة (Power Factor): المستهدف ≥ 0.5 للقدرات 9-12W، و ≥ 0.7 للقدرات 18-24W، وفق المعيار IEC 61000-3-2.</w:t>
      </w:r>
    </w:p>
    <w:p>
      <w:pPr>
        <w:numPr>
          <w:ilvl w:val="0"/>
          <w:numId w:val="1033"/>
        </w:numPr>
        <w:bidi/>
        <w:jc w:val="right"/>
      </w:pPr>
      <w:r>
        <w:rPr>
          <w:rtl/>
        </w:rPr>
        <w:t xml:space="preserve">درجة حماية المنتج (IP Rating): IP20 للمصابيح الكروية الداخلية (مناسبة للغبار العادي، غير مخصصة للرذاذ المباشر). للتوسع في الكشافات الخارجية: IP65.</w:t>
      </w:r>
    </w:p>
    <w:p>
      <w:pPr>
        <w:pBdr>
          <w:right w:val="single" w:sz="24" w:space="6" w:color="008080"/>
        </w:pBdr>
        <w:bidi/>
        <w:jc w:val="right"/>
      </w:pPr>
      <w:r>
        <w:rPr>
          <w:b/>
          <w:color w:val="008080"/>
          <w:sz w:val="25"/>
          <w:rtl/>
        </w:rPr>
        <w:t xml:space="preserve">8.3 بروتوكول الضمان المعتمد</w:t>
      </w:r>
    </w:p>
    <w:p>
      <w:pPr>
        <w:numPr>
          <w:ilvl w:val="0"/>
          <w:numId w:val="1034"/>
        </w:numPr>
        <w:bidi/>
        <w:jc w:val="right"/>
      </w:pPr>
      <w:r>
        <w:rPr>
          <w:rtl/>
        </w:rPr>
        <w:t xml:space="preserve">فترة الضمان: سنتان (24 شهراً) كاملتان من تاريخ الشراء، وتغطي حصراً عيوب التصنيع.</w:t>
      </w:r>
    </w:p>
    <w:p>
      <w:pPr>
        <w:numPr>
          <w:ilvl w:val="0"/>
          <w:numId w:val="1034"/>
        </w:numPr>
        <w:bidi/>
        <w:jc w:val="right"/>
      </w:pPr>
      <w:r>
        <w:rPr>
          <w:rtl/>
        </w:rPr>
        <w:t xml:space="preserve">الاستثناءات: لا يشمل الضمان التلف الميكانيكي الناتج عن سوء الاستخدام، أو التركيب الخاطئ، أو التيار غير المستقر خارج نطاق (220V ±10%).</w:t>
      </w:r>
    </w:p>
    <w:p>
      <w:pPr>
        <w:numPr>
          <w:ilvl w:val="0"/>
          <w:numId w:val="1034"/>
        </w:numPr>
        <w:bidi/>
        <w:jc w:val="right"/>
      </w:pPr>
      <w:r>
        <w:rPr>
          <w:rtl/>
        </w:rPr>
        <w:t xml:space="preserve">إثبات الضمان: رمز QR Code المطبوع على العلبة يربط بقاعدة بيانات الضمان ويتيح التحقق من تاريخ الإنتاج ورقم الدفعة.</w:t>
      </w:r>
    </w:p>
    <w:p>
      <w:pPr>
        <w:numPr>
          <w:ilvl w:val="0"/>
          <w:numId w:val="1034"/>
        </w:numPr>
        <w:bidi/>
        <w:jc w:val="right"/>
      </w:pPr>
      <w:r>
        <w:rPr>
          <w:rtl/>
        </w:rPr>
        <w:t xml:space="preserve">إجراء المطالبة: يتوجه الزبون للموزع المعتمد مع المصباح التالف والعلبة الأصلية. يتم الفحص خلال 48 ساعة، وإذا ثبت عيب التصنيع يُستبدل المصباح فوراً بدون رسوم.</w:t>
      </w:r>
    </w:p>
    <w:p>
      <w:pPr>
        <w:numPr>
          <w:ilvl w:val="0"/>
          <w:numId w:val="1034"/>
        </w:numPr>
        <w:bidi/>
        <w:jc w:val="right"/>
      </w:pPr>
      <w:r>
        <w:rPr>
          <w:rtl/>
        </w:rPr>
        <w:t xml:space="preserve">توثيق المرتجعات: كل مصباح مُرتجع يُسجَّل في سجل المرتجعات (بروتوكول إدارة المرتجعات وصيانة ما بعد البيع (Autorisation de Retour de Marchandise) Log) برقم الدفعة وتاريخ البيع وسبب العطل لتحليل جذور الأعطال المتكررة.</w:t>
      </w:r>
    </w:p>
    <w:p>
      <w:pPr>
        <w:pBdr>
          <w:right w:val="single" w:sz="24" w:space="6" w:color="008080"/>
        </w:pBdr>
        <w:bidi/>
        <w:jc w:val="right"/>
      </w:pPr>
      <w:r>
        <w:rPr>
          <w:b/>
          <w:color w:val="008080"/>
          <w:sz w:val="25"/>
          <w:rtl/>
        </w:rPr>
        <w:t xml:space="preserve">8.4 التغليف والعلامة التجارية</w:t>
      </w:r>
    </w:p>
    <w:p>
      <w:pPr>
        <w:bidi/>
        <w:jc w:val="right"/>
      </w:pPr>
      <w:r>
        <w:rPr>
          <w:rtl/>
          <w:bCs/>
          <w:b/>
        </w:rPr>
        <w:t xml:space="preserve">مواصفات العلبة الكرتونية الفردية:</w:t>
      </w:r>
      <w:r>
        <w:rPr>
          <w:rtl/>
        </w:rPr>
        <w:t xml:space="preserve"> </w:t>
      </w:r>
      <w:r>
        <w:rPr>
          <w:rtl/>
        </w:rPr>
        <w:t xml:space="preserve">كرتون مقوى ≥ 300 غرام/م². مطبوع: أخضر داكن + ذهبي. يحتوي على: شعار Jannah Light + «Innovation et Lumière» أو «صنع في الجزائر» + Watt، 220-240V، 50Hz + QR ضمان سنتين + رقم الدفعة + تاريخ الإنتاج.</w:t>
      </w:r>
    </w:p>
    <w:p>
      <w:pPr>
        <w:bidi/>
        <w:jc w:val="right"/>
      </w:pPr>
      <w:r>
        <w:rPr>
          <w:rtl/>
        </w:rPr>
        <w:t xml:space="preserve">التغليف الخارجي (كرتون التجميع): 20 أو 50 علبة فردية. ملصق خارجي: اسم المنتج، عدد القطع، رقم الدفعة، تاريخ التعبئة.</w:t>
      </w:r>
    </w:p>
    <w:p>
      <w:pPr>
        <w:bidi/>
        <w:jc w:val="right"/>
      </w:pPr>
      <w:r>
        <w:rPr>
          <w:rtl/>
          <w:bCs/>
          <w:b/>
        </w:rPr>
        <w:t xml:space="preserve">ختم الجودة:</w:t>
      </w:r>
      <w:r>
        <w:rPr>
          <w:rtl/>
        </w:rPr>
        <w:t xml:space="preserve"> </w:t>
      </w:r>
      <w:r>
        <w:rPr>
          <w:rtl/>
        </w:rPr>
        <w:t xml:space="preserve">عبارة «مراقبة الجودة – QC Passed» بختم خاص على كل علبة بعد اجتياز الاختبارات النهائية.</w:t>
      </w:r>
    </w:p>
    <w:p>
      <w:pPr>
        <w:pBdr>
          <w:right w:val="single" w:sz="24" w:space="6" w:color="008080"/>
        </w:pBdr>
        <w:bidi/>
        <w:jc w:val="right"/>
      </w:pPr>
      <w:r>
        <w:rPr>
          <w:b/>
          <w:color w:val="008080"/>
          <w:sz w:val="25"/>
          <w:rtl/>
        </w:rPr>
        <w:t xml:space="preserve">8.4 خطة الطوارئ لمراقبة الجودة (عند تجاوز 5%)</w:t>
      </w:r>
    </w:p>
    <w:p>
      <w:pPr>
        <w:numPr>
          <w:ilvl w:val="0"/>
          <w:numId w:val="1035"/>
        </w:numPr>
        <w:bidi/>
        <w:jc w:val="right"/>
      </w:pPr>
      <w:r>
        <w:rPr>
          <w:rtl/>
        </w:rPr>
        <w:t xml:space="preserve">إيقاف إنتاج الخط بالكامل (لا تغليف أي منتج جديد).</w:t>
      </w:r>
    </w:p>
    <w:p>
      <w:pPr>
        <w:numPr>
          <w:ilvl w:val="0"/>
          <w:numId w:val="1035"/>
        </w:numPr>
        <w:bidi/>
        <w:jc w:val="right"/>
      </w:pPr>
      <w:r>
        <w:rPr>
          <w:rtl/>
        </w:rPr>
        <w:t xml:space="preserve">مراجعة إعدادات الفرن: معايرة بترمومتر خارجي + فحص Dross + التأكد من زمن الغمر.</w:t>
      </w:r>
    </w:p>
    <w:p>
      <w:pPr>
        <w:numPr>
          <w:ilvl w:val="0"/>
          <w:numId w:val="1035"/>
        </w:numPr>
        <w:bidi/>
        <w:jc w:val="right"/>
      </w:pPr>
      <w:r>
        <w:rPr>
          <w:rtl/>
        </w:rPr>
        <w:t xml:space="preserve">مراجعة جودة الدفعة الواردة من المكونات المشتبه فيها.</w:t>
      </w:r>
    </w:p>
    <w:p>
      <w:pPr>
        <w:numPr>
          <w:ilvl w:val="0"/>
          <w:numId w:val="1035"/>
        </w:numPr>
        <w:bidi/>
        <w:jc w:val="right"/>
      </w:pPr>
      <w:r>
        <w:rPr>
          <w:rtl/>
        </w:rPr>
        <w:t xml:space="preserve">توجيه العمال الأكثر أخطاء لإعادة التدريب.</w:t>
      </w:r>
    </w:p>
    <w:p>
      <w:pPr>
        <w:numPr>
          <w:ilvl w:val="0"/>
          <w:numId w:val="1035"/>
        </w:numPr>
        <w:bidi/>
        <w:jc w:val="right"/>
      </w:pPr>
      <w:r>
        <w:rPr>
          <w:rtl/>
        </w:rPr>
        <w:t xml:space="preserve">إنتاج دفعة اختبارية (100 وحدة) – إذا اجتازت بنسبة ≥ 95% → إعادة تشغيل الخط تدريجياً.</w:t>
      </w:r>
    </w:p>
    <w:p>
      <w:pPr>
        <w:numPr>
          <w:ilvl w:val="0"/>
          <w:numId w:val="1035"/>
        </w:numPr>
        <w:bidi/>
        <w:jc w:val="right"/>
      </w:pPr>
      <w:r>
        <w:rPr>
          <w:rtl/>
        </w:rPr>
        <w:t xml:space="preserve">توثيق الحادثة في «سجل الدروس المستفادة» لمنع التكرار.</w:t>
      </w:r>
    </w:p>
    <w:tbl>
      <w:tblPr>
        <w:tblStyle w:val="Table"/>
        <w:bidiVisual/>
        <w:tblW w:type="auto" w:w="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E9EDF2"/>
          </w:tcPr>
          <w:p>
            <w:pPr>
              <w:pStyle w:val="Compact"/>
              <w:bidi/>
              <w:jc w:val="right"/>
            </w:pPr>
            <w:r>
              <w:rPr>
                <w:color w:val="0D3B66"/>
                <w:sz w:val="29"/>
                <w:rtl/>
                <w:bCs/>
                <w:b/>
              </w:rPr>
              <w:t xml:space="preserve">الفصل التاسع: السلامة المهنية وإدارة الطوارئ</w:t>
            </w:r>
          </w:p>
        </w:tc>
      </w:tr>
    </w:tbl>
    <w:p>
      <w:pPr>
        <w:pBdr>
          <w:right w:val="single" w:sz="24" w:space="6" w:color="008080"/>
        </w:pBdr>
        <w:bidi/>
        <w:jc w:val="right"/>
      </w:pPr>
      <w:r>
        <w:rPr>
          <w:b/>
          <w:color w:val="008080"/>
          <w:sz w:val="25"/>
          <w:rtl/>
        </w:rPr>
        <w:t xml:space="preserve">9.1 الأمن الصناعي وتجهيزات السلامة</w:t>
      </w:r>
    </w:p>
    <w:p>
      <w:pPr>
        <w:numPr>
          <w:ilvl w:val="0"/>
          <w:numId w:val="1036"/>
        </w:numPr>
        <w:bidi/>
        <w:jc w:val="right"/>
      </w:pPr>
      <w:r>
        <w:rPr>
          <w:rtl/>
        </w:rPr>
        <w:t xml:space="preserve">مطافئ CO₂ بجانب: الفرن SB PTC 500-D، ماكينة الليزر، لوحة الكهرباء الرئيسية (2-3 مطافئ على الأقل).</w:t>
      </w:r>
    </w:p>
    <w:p>
      <w:pPr>
        <w:numPr>
          <w:ilvl w:val="0"/>
          <w:numId w:val="1036"/>
        </w:numPr>
        <w:bidi/>
        <w:jc w:val="right"/>
      </w:pPr>
      <w:r>
        <w:rPr>
          <w:rtl/>
        </w:rPr>
        <w:t xml:space="preserve">جرس إنذار حريق يدوي + كاشف دخان في مكان بارز.</w:t>
      </w:r>
    </w:p>
    <w:p>
      <w:pPr>
        <w:numPr>
          <w:ilvl w:val="0"/>
          <w:numId w:val="1036"/>
        </w:numPr>
        <w:bidi/>
        <w:jc w:val="right"/>
      </w:pPr>
      <w:r>
        <w:rPr>
          <w:rtl/>
        </w:rPr>
        <w:t xml:space="preserve">مخارج طوارئ مضاءة بلافتات خضراء، غير مسدودة، مع نقطة تجمع خارجية آمنة.</w:t>
      </w:r>
    </w:p>
    <w:p>
      <w:pPr>
        <w:numPr>
          <w:ilvl w:val="0"/>
          <w:numId w:val="1036"/>
        </w:numPr>
        <w:bidi/>
        <w:jc w:val="right"/>
      </w:pPr>
      <w:r>
        <w:rPr>
          <w:rtl/>
        </w:rPr>
        <w:t xml:space="preserve">حقيبة إسعافات أولية: حروق، جروح، صعقات كهربائية.</w:t>
      </w:r>
    </w:p>
    <w:p>
      <w:pPr>
        <w:numPr>
          <w:ilvl w:val="0"/>
          <w:numId w:val="1036"/>
        </w:numPr>
        <w:bidi/>
        <w:jc w:val="right"/>
      </w:pPr>
      <w:r>
        <w:rPr>
          <w:rtl/>
        </w:rPr>
        <w:t xml:space="preserve">معدات الوقاية الشخصية (Équipements de Protection Individuelle) لكل عامل: قفازات حرارية، نظارات واقية، كمامات كربونية، مآزر قطنية، نظارات الليزر، أساور التفريغ الكهربائي الساكن (Décharge Électrostatique).</w:t>
      </w:r>
    </w:p>
    <w:p>
      <w:pPr>
        <w:pBdr>
          <w:right w:val="single" w:sz="24" w:space="6" w:color="008080"/>
        </w:pBdr>
        <w:bidi/>
        <w:jc w:val="right"/>
      </w:pPr>
      <w:r>
        <w:rPr>
          <w:b/>
          <w:color w:val="008080"/>
          <w:sz w:val="25"/>
          <w:rtl/>
        </w:rPr>
        <w:t xml:space="preserve">9.2 بروتوكولات السلامة اليومية</w:t>
      </w:r>
    </w:p>
    <w:p>
      <w:pPr>
        <w:numPr>
          <w:ilvl w:val="0"/>
          <w:numId w:val="1037"/>
        </w:numPr>
        <w:bidi/>
        <w:jc w:val="right"/>
      </w:pPr>
      <w:r>
        <w:rPr>
          <w:rtl/>
        </w:rPr>
        <w:t xml:space="preserve">قبل العمل: تشغيل الشفط، فحص الأسلاك والقوابس، اختبار سوار التفريغ الكهربائي الساكن (Décharge Électrostatique) (≈ 1MΩ)، التأكد من جفاف الأرضية.</w:t>
      </w:r>
    </w:p>
    <w:p>
      <w:pPr>
        <w:numPr>
          <w:ilvl w:val="0"/>
          <w:numId w:val="1037"/>
        </w:numPr>
        <w:bidi/>
        <w:jc w:val="right"/>
      </w:pPr>
      <w:r>
        <w:rPr>
          <w:rtl/>
        </w:rPr>
        <w:t xml:space="preserve">أثناء العمل: استخدام القفازات، الكاوية لا تُترك دون مراقبة، إغلاق زجاجات Isopropanol، إبلاغ فوري عن أي عطل.</w:t>
      </w:r>
    </w:p>
    <w:p>
      <w:pPr>
        <w:numPr>
          <w:ilvl w:val="0"/>
          <w:numId w:val="1037"/>
        </w:numPr>
        <w:bidi/>
        <w:jc w:val="right"/>
      </w:pPr>
      <w:r>
        <w:rPr>
          <w:rtl/>
        </w:rPr>
        <w:t xml:space="preserve">بعد العمل: إغلاق جميع الآلات وفصل التيار، تنظيف الطاولات والأرضية، تفريغ حاويات النفايات القابلة للاشتعال.</w:t>
      </w:r>
    </w:p>
    <w:p>
      <w:pPr>
        <w:pBdr>
          <w:right w:val="single" w:sz="24" w:space="6" w:color="008080"/>
        </w:pBdr>
        <w:bidi/>
        <w:jc w:val="right"/>
      </w:pPr>
      <w:r>
        <w:rPr>
          <w:b/>
          <w:color w:val="008080"/>
          <w:sz w:val="25"/>
          <w:rtl/>
        </w:rPr>
        <w:t xml:space="preserve">9.3 نظام 5S (تنظيم مكان العمل)</w:t>
      </w:r>
    </w:p>
    <w:p>
      <w:pPr>
        <w:numPr>
          <w:ilvl w:val="0"/>
          <w:numId w:val="1038"/>
        </w:numPr>
        <w:bidi/>
        <w:jc w:val="right"/>
      </w:pPr>
      <w:r>
        <w:rPr>
          <w:rtl/>
        </w:rPr>
        <w:t xml:space="preserve">Seiri (التنظيم): التخلص من المواد التالفة يومياً.</w:t>
      </w:r>
    </w:p>
    <w:p>
      <w:pPr>
        <w:numPr>
          <w:ilvl w:val="0"/>
          <w:numId w:val="1038"/>
        </w:numPr>
        <w:bidi/>
        <w:jc w:val="right"/>
      </w:pPr>
      <w:r>
        <w:rPr>
          <w:rtl/>
        </w:rPr>
        <w:t xml:space="preserve">Seiton (الترتيب): لكل أداة مكان محدد.</w:t>
      </w:r>
    </w:p>
    <w:p>
      <w:pPr>
        <w:numPr>
          <w:ilvl w:val="0"/>
          <w:numId w:val="1038"/>
        </w:numPr>
        <w:bidi/>
        <w:jc w:val="right"/>
      </w:pPr>
      <w:r>
        <w:rPr>
          <w:rtl/>
        </w:rPr>
        <w:t xml:space="preserve">Seiso (التنظيف): تنظيف الطاولات والآلات يومياً.</w:t>
      </w:r>
    </w:p>
    <w:p>
      <w:pPr>
        <w:numPr>
          <w:ilvl w:val="0"/>
          <w:numId w:val="1038"/>
        </w:numPr>
        <w:bidi/>
        <w:jc w:val="right"/>
      </w:pPr>
      <w:r>
        <w:rPr>
          <w:rtl/>
        </w:rPr>
        <w:t xml:space="preserve">Seiketsu (التنميط): توحيد الإجراءات وتوثيقها.</w:t>
      </w:r>
    </w:p>
    <w:p>
      <w:pPr>
        <w:numPr>
          <w:ilvl w:val="0"/>
          <w:numId w:val="1038"/>
        </w:numPr>
        <w:bidi/>
        <w:jc w:val="right"/>
      </w:pPr>
      <w:r>
        <w:rPr>
          <w:rtl/>
        </w:rPr>
        <w:t xml:space="preserve">Shitsuke (الانضباط): تدريب مستمر وزيارات دورية للمشرف.</w:t>
      </w:r>
    </w:p>
    <w:p>
      <w:pPr>
        <w:pBdr>
          <w:right w:val="single" w:sz="24" w:space="6" w:color="008080"/>
        </w:pBdr>
        <w:bidi/>
        <w:jc w:val="right"/>
      </w:pPr>
      <w:r>
        <w:rPr>
          <w:b/>
          <w:color w:val="008080"/>
          <w:sz w:val="25"/>
          <w:rtl/>
        </w:rPr>
        <w:t xml:space="preserve">9.4 إدارة الطوارئ (Action Plan)</w:t>
      </w:r>
    </w:p>
    <w:p>
      <w:pPr>
        <w:numPr>
          <w:ilvl w:val="0"/>
          <w:numId w:val="1039"/>
        </w:numPr>
        <w:bidi/>
        <w:jc w:val="right"/>
      </w:pPr>
      <w:r>
        <w:rPr>
          <w:rtl/>
        </w:rPr>
        <w:t xml:space="preserve">عطل الفرن: تجميع نهائي + لحام يدوي (30-40 وحدة/يوم) + استخدام مخزون الأمان 5,000 وحدة.</w:t>
      </w:r>
    </w:p>
    <w:p>
      <w:pPr>
        <w:numPr>
          <w:ilvl w:val="0"/>
          <w:numId w:val="1039"/>
        </w:numPr>
        <w:bidi/>
        <w:jc w:val="right"/>
      </w:pPr>
      <w:r>
        <w:rPr>
          <w:rtl/>
        </w:rPr>
        <w:t xml:space="preserve">نقص المكونات: تفعيل المورد البديل خلال 48 ساعة أو التحول للصيانة والتدريب.</w:t>
      </w:r>
    </w:p>
    <w:p>
      <w:pPr>
        <w:numPr>
          <w:ilvl w:val="0"/>
          <w:numId w:val="1039"/>
        </w:numPr>
        <w:bidi/>
        <w:jc w:val="right"/>
      </w:pPr>
      <w:r>
        <w:rPr>
          <w:rtl/>
        </w:rPr>
        <w:t xml:space="preserve">نقص العمال: إعادة توزيع المهام + FastTrack لعامل جديد.</w:t>
      </w:r>
    </w:p>
    <w:p>
      <w:pPr>
        <w:numPr>
          <w:ilvl w:val="0"/>
          <w:numId w:val="1039"/>
        </w:numPr>
        <w:bidi/>
        <w:jc w:val="right"/>
      </w:pPr>
      <w:r>
        <w:rPr>
          <w:rtl/>
        </w:rPr>
        <w:t xml:space="preserve">انقطاع الكهرباء: مولد (10 KVA) → نفاد الوقود: إنتاج يدوي 50 وحدة/يوم + بيع من المخزون.</w:t>
      </w:r>
    </w:p>
    <w:p>
      <w:pPr>
        <w:numPr>
          <w:ilvl w:val="0"/>
          <w:numId w:val="1039"/>
        </w:numPr>
        <w:bidi/>
        <w:jc w:val="right"/>
      </w:pPr>
      <w:r>
        <w:rPr>
          <w:rtl/>
        </w:rPr>
        <w:t xml:space="preserve">حريق صغير: مطفأة CO₂، إخلاء، فصل التيار، تسجيل الحادثة.</w:t>
      </w:r>
    </w:p>
    <w:tbl>
      <w:tblPr>
        <w:tblStyle w:val="Table"/>
        <w:bidiVisual/>
        <w:tblW w:type="pct" w:w="500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FFE5E5"/>
          </w:tcPr>
          <w:p>
            <w:pPr>
              <w:pStyle w:val="Compact"/>
              <w:pBdr>
                <w:top w:val="single" w:sz="16" w:space="4" w:color="D90429"/>
                <w:left w:val="single" w:sz="16" w:space="4" w:color="D90429"/>
                <w:bottom w:val="single" w:sz="16" w:space="4" w:color="D90429"/>
                <w:right w:val="single" w:sz="16" w:space="4" w:color="D90429"/>
              </w:pBdr>
              <w:bidi/>
              <w:jc w:val="right"/>
            </w:pPr>
            <w:r>
              <w:rPr>
                <w:b/>
                <w:color w:val="8A0216"/>
                <w:sz w:val="22"/>
                <w:rtl/>
              </w:rPr>
              <w:t xml:space="preserve">⚠ لا تُستخدم أبداً طفايات الماء أو البودرة بالقرب من الآلات الكهربائية أو الـ PCBs.</w:t>
            </w:r>
          </w:p>
        </w:tc>
      </w:tr>
    </w:tbl>
    <w:p>
      <w:pPr>
        <w:numPr>
          <w:ilvl w:val="0"/>
          <w:numId w:val="1040"/>
        </w:numPr>
        <w:pStyle w:val="Compact"/>
        <w:bidi/>
        <w:jc w:val="right"/>
      </w:pPr>
      <w:r>
        <w:rPr>
          <w:rtl/>
        </w:rPr>
        <w:t xml:space="preserve">إصابة عامل: فصل التيار، إسعافات أولية، نقل للمركز الصحي أو الإسعاف (14)، تسجيل الحادثة.</w:t>
      </w:r>
    </w:p>
    <w:p>
      <w:pPr>
        <w:pBdr>
          <w:right w:val="single" w:sz="24" w:space="6" w:color="008080"/>
        </w:pBdr>
        <w:bidi/>
        <w:jc w:val="right"/>
      </w:pPr>
      <w:r>
        <w:rPr>
          <w:b/>
          <w:color w:val="008080"/>
          <w:sz w:val="25"/>
          <w:rtl/>
        </w:rPr>
        <w:t xml:space="preserve">9.5 التوعية والتدريب المستمر</w:t>
      </w:r>
    </w:p>
    <w:p>
      <w:pPr>
        <w:numPr>
          <w:ilvl w:val="0"/>
          <w:numId w:val="1041"/>
        </w:numPr>
        <w:bidi/>
        <w:jc w:val="right"/>
      </w:pPr>
      <w:r>
        <w:rPr>
          <w:rtl/>
        </w:rPr>
        <w:t xml:space="preserve">جلسة توعية شهرية (ساعة): مراجعة سجل الحوادث + تذكير بالمخاطر + فيديو سلامة.</w:t>
      </w:r>
    </w:p>
    <w:p>
      <w:pPr>
        <w:numPr>
          <w:ilvl w:val="0"/>
          <w:numId w:val="1041"/>
        </w:numPr>
        <w:bidi/>
        <w:jc w:val="right"/>
      </w:pPr>
      <w:r>
        <w:rPr>
          <w:rtl/>
        </w:rPr>
        <w:t xml:space="preserve">مسؤول سلامة يومي بالتناوب، له صلاحية إيقاف أي عامل غير ملتزم.</w:t>
      </w:r>
    </w:p>
    <w:p>
      <w:pPr>
        <w:numPr>
          <w:ilvl w:val="0"/>
          <w:numId w:val="1041"/>
        </w:numPr>
        <w:bidi/>
        <w:jc w:val="right"/>
      </w:pPr>
      <w:r>
        <w:rPr>
          <w:rtl/>
        </w:rPr>
        <w:t xml:space="preserve">تحديث خطة الطوارئ كل 6 أشهر أو بعد أي حادث كبير.</w:t>
      </w:r>
    </w:p>
    <w:p>
      <w:pPr>
        <w:numPr>
          <w:ilvl w:val="0"/>
          <w:numId w:val="1041"/>
        </w:numPr>
        <w:bidi/>
        <w:jc w:val="right"/>
      </w:pPr>
      <w:r>
        <w:rPr>
          <w:rtl/>
        </w:rPr>
        <w:t xml:space="preserve">مناورة إخلاء نصف سنوية. تدريب عملي على CO₂ والإسعافات الأولية.</w:t>
      </w:r>
    </w:p>
    <w:p>
      <w:pPr>
        <w:pBdr>
          <w:right w:val="single" w:sz="24" w:space="6" w:color="008080"/>
        </w:pBdr>
        <w:bidi/>
        <w:jc w:val="right"/>
      </w:pPr>
      <w:r>
        <w:rPr>
          <w:b/>
          <w:color w:val="008080"/>
          <w:sz w:val="25"/>
          <w:rtl/>
        </w:rPr>
        <w:t xml:space="preserve">9.6 الربط بالمعايير الدولية</w:t>
      </w:r>
    </w:p>
    <w:p>
      <w:pPr>
        <w:numPr>
          <w:ilvl w:val="0"/>
          <w:numId w:val="1042"/>
        </w:numPr>
        <w:bidi/>
        <w:jc w:val="right"/>
      </w:pPr>
      <w:r>
        <w:rPr>
          <w:rtl/>
        </w:rPr>
        <w:t xml:space="preserve">ISO 45001: نظام إدارة السلامة والصحة المهنية.</w:t>
      </w:r>
    </w:p>
    <w:p>
      <w:pPr>
        <w:numPr>
          <w:ilvl w:val="0"/>
          <w:numId w:val="1042"/>
        </w:numPr>
        <w:bidi/>
        <w:jc w:val="right"/>
      </w:pPr>
      <w:r>
        <w:rPr>
          <w:rtl/>
        </w:rPr>
        <w:t xml:space="preserve">IEC 61340: معايير التحكم في الكهرباء الساكنة (التفريغ الكهربائي الساكن (Décharge Électrostatique)).</w:t>
      </w:r>
    </w:p>
    <w:p>
      <w:pPr>
        <w:numPr>
          <w:ilvl w:val="0"/>
          <w:numId w:val="1042"/>
        </w:numPr>
        <w:bidi/>
        <w:jc w:val="right"/>
      </w:pPr>
      <w:r>
        <w:rPr>
          <w:rtl/>
        </w:rPr>
        <w:t xml:space="preserve">ISO 9001: ربط الجودة بالسلامة عبر التوثيق والتدقيق الداخلي.</w:t>
      </w:r>
    </w:p>
    <w:p>
      <w:pPr>
        <w:pBdr>
          <w:right w:val="single" w:sz="24" w:space="6" w:color="008080"/>
        </w:pBdr>
        <w:bidi/>
        <w:jc w:val="right"/>
      </w:pPr>
      <w:r>
        <w:rPr>
          <w:b/>
          <w:color w:val="008080"/>
          <w:sz w:val="25"/>
          <w:rtl/>
        </w:rPr>
        <w:t xml:space="preserve">9.7 التأمين على الآلات والعمال (Insurance &amp; Compensation)</w:t>
      </w:r>
    </w:p>
    <w:p>
      <w:pPr>
        <w:bidi/>
        <w:jc w:val="right"/>
      </w:pPr>
      <w:r>
        <w:rPr>
          <w:rtl/>
        </w:rPr>
        <w:t xml:space="preserve">أولا ً – التأمين على الآلات والمعدات (Property &amp; Equipment Insurance):</w:t>
      </w:r>
    </w:p>
    <w:p>
      <w:pPr>
        <w:numPr>
          <w:ilvl w:val="0"/>
          <w:numId w:val="1043"/>
        </w:numPr>
        <w:bidi/>
        <w:jc w:val="right"/>
      </w:pPr>
      <w:r>
        <w:rPr>
          <w:rtl/>
        </w:rPr>
        <w:t xml:space="preserve">تأمين شامل ضد الحريق والانفجار والسرقة لجميع الآلات الست (القيمة الإجمالية المؤمَّن عليها: 3,378,500 دج).</w:t>
      </w:r>
    </w:p>
    <w:p>
      <w:pPr>
        <w:numPr>
          <w:ilvl w:val="0"/>
          <w:numId w:val="1043"/>
        </w:numPr>
        <w:bidi/>
        <w:jc w:val="right"/>
      </w:pPr>
      <w:r>
        <w:rPr>
          <w:rtl/>
        </w:rPr>
        <w:t xml:space="preserve">تأمين الأعطال الفنية (Breakdown Insurance) للآلات عالية القيمة (آلة الليزر 1,215,000 دج، آلة توزيع الغراء 877,000 دج) لتعويض كلفة الإصلاح أو الاستبدال عند العطل الكبير.</w:t>
      </w:r>
    </w:p>
    <w:p>
      <w:pPr>
        <w:numPr>
          <w:ilvl w:val="0"/>
          <w:numId w:val="1043"/>
        </w:numPr>
        <w:bidi/>
        <w:jc w:val="right"/>
      </w:pPr>
      <w:r>
        <w:rPr>
          <w:rtl/>
        </w:rPr>
        <w:t xml:space="preserve">يُنصح بالتعامل مع شركة تأمين جزائرية معتمدة (مثل CAAT أو SAA أو CAAR) لتغطية المعدات الصناعية الصغيرة والمتوسطة.</w:t>
      </w:r>
    </w:p>
    <w:p>
      <w:pPr>
        <w:numPr>
          <w:ilvl w:val="0"/>
          <w:numId w:val="1043"/>
        </w:numPr>
        <w:bidi/>
        <w:jc w:val="right"/>
      </w:pPr>
      <w:r>
        <w:rPr>
          <w:rtl/>
        </w:rPr>
        <w:t xml:space="preserve">مراجعة قيمة التأمين سنوياً لتعكس أي آلات جديدة أو ترقيات (مثل ترقية نظام نظام التحكم الرقمي المبرمج (Automate Programmable Industriel) لماكينة الكبس بقيمة 50,000 دج).</w:t>
      </w:r>
    </w:p>
    <w:p>
      <w:pPr>
        <w:bidi/>
        <w:jc w:val="right"/>
      </w:pPr>
      <w:r>
        <w:rPr>
          <w:rtl/>
        </w:rPr>
        <w:t xml:space="preserve">ثانيا ً – التأمين على العمال (Workers Insurance):</w:t>
      </w:r>
    </w:p>
    <w:p>
      <w:pPr>
        <w:numPr>
          <w:ilvl w:val="0"/>
          <w:numId w:val="1044"/>
        </w:numPr>
        <w:bidi/>
        <w:jc w:val="right"/>
      </w:pPr>
      <w:r>
        <w:rPr>
          <w:rtl/>
        </w:rPr>
        <w:t xml:space="preserve">التسجيل الإلزامي لجميع العمال (8 عمال) في الصندوق الوطني للتأمينات الاجتماعية (CNAS)، وفق القانون الجزائري للعمل، فور توقيع عقد العمل.</w:t>
      </w:r>
    </w:p>
    <w:p>
      <w:pPr>
        <w:numPr>
          <w:ilvl w:val="0"/>
          <w:numId w:val="1044"/>
        </w:numPr>
        <w:bidi/>
        <w:jc w:val="right"/>
      </w:pPr>
      <w:r>
        <w:rPr>
          <w:rtl/>
        </w:rPr>
        <w:t xml:space="preserve">تغطية حوادث العمل والأمراض المهنية (Accidents du Travail) عبر CNAS، بما يشمل أي حادث يقع داخل الورشة (حروق، صعقات كهربائية، جروح).</w:t>
      </w:r>
    </w:p>
    <w:p>
      <w:pPr>
        <w:numPr>
          <w:ilvl w:val="0"/>
          <w:numId w:val="1044"/>
        </w:numPr>
        <w:bidi/>
        <w:jc w:val="right"/>
      </w:pPr>
      <w:r>
        <w:rPr>
          <w:rtl/>
        </w:rPr>
        <w:t xml:space="preserve">تأمين تكميلي اختياري (Assurance Complémentaire) لتعويضات إضافية في حال العجز الجزئي أو الكلي الناتج عن حادث عمل.</w:t>
      </w:r>
    </w:p>
    <w:p>
      <w:pPr>
        <w:numPr>
          <w:ilvl w:val="0"/>
          <w:numId w:val="1044"/>
        </w:numPr>
        <w:bidi/>
        <w:jc w:val="right"/>
      </w:pPr>
      <w:r>
        <w:rPr>
          <w:rtl/>
        </w:rPr>
        <w:t xml:space="preserve">توثيق فوري لكل حادث عمل في «سجل حوادث العمل» (مرتبط بالبند 9.4) خلال 48 ساعة كحد أقصى، وفق المهلة القانونية للتصريح لدى CNAS.</w:t>
      </w:r>
    </w:p>
    <w:p>
      <w:pPr>
        <w:bidi/>
        <w:jc w:val="right"/>
      </w:pPr>
      <w:r>
        <w:rPr>
          <w:rtl/>
        </w:rPr>
        <w:t xml:space="preserve">ثالثا ً – التأمين على المسؤولية المدنية المهنية (Professional Civil Liability):</w:t>
      </w:r>
    </w:p>
    <w:p>
      <w:pPr>
        <w:numPr>
          <w:ilvl w:val="0"/>
          <w:numId w:val="1045"/>
        </w:numPr>
        <w:bidi/>
        <w:jc w:val="right"/>
      </w:pPr>
      <w:r>
        <w:rPr>
          <w:rtl/>
        </w:rPr>
        <w:t xml:space="preserve">تأمين المسؤولية المدنية تجاه الزبون (Product Liability) لتغطية أي ضرر ناتج عن عيب تصنيع يسبب أذى للمستخدم النهائي (حريق، صعقة كهربائية).</w:t>
      </w:r>
    </w:p>
    <w:p>
      <w:pPr>
        <w:numPr>
          <w:ilvl w:val="0"/>
          <w:numId w:val="1045"/>
        </w:numPr>
        <w:bidi/>
        <w:jc w:val="right"/>
      </w:pPr>
      <w:r>
        <w:rPr>
          <w:rtl/>
        </w:rPr>
        <w:t xml:space="preserve">تأمين المسؤولية المدنية تجاه الغير (Third-Party Liability) لتغطية أي ضرر يقع على ممتلكات أو أشخاص خارج الورشة بسبب نشاط المصنع.</w:t>
      </w:r>
    </w:p>
    <w:p>
      <w:pPr>
        <w:pBdr>
          <w:right w:val="single" w:sz="16" w:space="6" w:color="008080"/>
        </w:pBdr>
        <w:bidi/>
        <w:jc w:val="right"/>
      </w:pPr>
      <w:r>
        <w:rPr>
          <w:color w:val="008080"/>
          <w:sz w:val="23"/>
          <w:rtl/>
          <w:bCs/>
          <w:b/>
        </w:rPr>
        <w:t xml:space="preserve">جدول ملخص أنواع التأمين والتكلفة التقديرية السنوية:</w:t>
      </w:r>
    </w:p>
    <w:tbl>
      <w:tblPr>
        <w:tblStyle w:val="Table"/>
        <w:bidiVisual/>
        <w:tblW w:type="pct" w:w="5000"/>
        <w:tblLook w:firstRow="1" w:lastRow="0" w:firstColumn="0" w:lastColumn="0" w:noHBand="0" w:noVBand="0" w:val="0020"/>
        <w:jc w:val="right"/>
      </w:tblPr>
      <w:tblGrid>
        <w:gridCol w:w="1980"/>
        <w:gridCol w:w="1980"/>
        <w:gridCol w:w="1980"/>
        <w:gridCol w:w="198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نوع التأمين</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الجهة المؤمِّنة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التغطية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التكلفة التقديرية/سنة</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تأمين الآلات (حريق/سرقة)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CAAT / SAA / CAAR</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3,378,500 دج (قيمة الآلات)</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 1.5-2.5% من القيمة المؤمَّنة</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تأمين الأعطال الفنية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CAAT / SAA</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آلات الليزر والغراء (عالية القيمة)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 2-3% من قيمة الآلة</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التأمين الاجتماعي (CNAS)</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الصندوق الوطني CNAS</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8 عمال (حوادث عمل + أمراض مهنية)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نسبة من الأجور وفق القانون الجزائري</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تأمين تكميلي للعمال</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شركة تأمين خاصة (اختياري)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تعويضات إضافية عن العجز</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حسب العقد والتغطية المختارة</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المسؤولية المدنية المهنية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CAAT / SAA / CAAR</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الزبائن + الغير</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 0.5-1% من رقم الأعمال السنوي</w:t>
            </w:r>
          </w:p>
        </w:tc>
      </w:tr>
    </w:tbl>
    <w:p>
      <w:pPr>
        <w:bidi/>
        <w:jc w:val="right"/>
      </w:pPr>
      <w:r>
        <w:rPr>
          <w:rtl/>
        </w:rPr>
        <w:t xml:space="preserve">ملاحظة: الأرقام أعلاه تقديرية ومرجعية بناءً على متوسط أسعار السوق الجزائري للتأمين الصناعي الصغير؛ يجب الحصول على عروض أسعار رسمية من شركات التأمين المعتمدة قبل التوقيع النهائي.</w:t>
      </w:r>
    </w:p>
    <w:tbl>
      <w:tblPr>
        <w:tblStyle w:val="Table"/>
        <w:bidiVisual/>
        <w:tblW w:type="auto" w:w="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E9EDF2"/>
          </w:tcPr>
          <w:p>
            <w:pPr>
              <w:pStyle w:val="Compact"/>
              <w:bidi/>
              <w:jc w:val="right"/>
            </w:pPr>
            <w:r>
              <w:rPr>
                <w:color w:val="0D3B66"/>
                <w:sz w:val="29"/>
                <w:rtl/>
                <w:bCs/>
                <w:b/>
              </w:rPr>
              <w:t xml:space="preserve">الفصل العاشر: بروتوكولات حماية الاستمرارية (الرطوبة والطاقة)</w:t>
            </w:r>
          </w:p>
        </w:tc>
      </w:tr>
    </w:tbl>
    <w:p>
      <w:pPr>
        <w:pBdr>
          <w:right w:val="single" w:sz="24" w:space="6" w:color="008080"/>
        </w:pBdr>
        <w:bidi/>
        <w:jc w:val="right"/>
      </w:pPr>
      <w:r>
        <w:rPr>
          <w:b/>
          <w:color w:val="008080"/>
          <w:sz w:val="25"/>
          <w:rtl/>
        </w:rPr>
        <w:t xml:space="preserve">10.1 تخزين المكونات الحساسة – الحماية من الرطوبة</w:t>
      </w:r>
    </w:p>
    <w:p>
      <w:pPr>
        <w:numPr>
          <w:ilvl w:val="0"/>
          <w:numId w:val="1046"/>
        </w:numPr>
        <w:bidi/>
        <w:jc w:val="right"/>
      </w:pPr>
      <w:r>
        <w:rPr>
          <w:rtl/>
        </w:rPr>
        <w:t xml:space="preserve">الشروط المثلى: أكياس Moisture Barrier + Silica Gel. رطوبة &lt; 60% في المخزن.</w:t>
      </w:r>
    </w:p>
    <w:p>
      <w:pPr>
        <w:numPr>
          <w:ilvl w:val="0"/>
          <w:numId w:val="1046"/>
        </w:numPr>
        <w:bidi/>
        <w:jc w:val="right"/>
      </w:pPr>
      <w:r>
        <w:rPr>
          <w:rtl/>
        </w:rPr>
        <w:t xml:space="preserve">Hygrometer في المخزن، مراقبة يومية وتسجيل.</w:t>
      </w:r>
    </w:p>
    <w:p>
      <w:pPr>
        <w:numPr>
          <w:ilvl w:val="0"/>
          <w:numId w:val="1046"/>
        </w:numPr>
        <w:bidi/>
        <w:jc w:val="right"/>
      </w:pPr>
      <w:r>
        <w:rPr>
          <w:rtl/>
        </w:rPr>
        <w:t xml:space="preserve">إعادة تنشيط Silica Gel: فرن 120°C ساعة في نهاية كل شهر. استبدال كامل كل 6 أشهر.</w:t>
      </w:r>
    </w:p>
    <w:p>
      <w:pPr>
        <w:numPr>
          <w:ilvl w:val="0"/>
          <w:numId w:val="1046"/>
        </w:numPr>
        <w:bidi/>
        <w:jc w:val="right"/>
      </w:pPr>
      <w:r>
        <w:rPr>
          <w:rtl/>
        </w:rPr>
        <w:t xml:space="preserve">توثيق: تاريخ فتح كل دفعة + ربطها برقم الدفعة (Batch Number).</w:t>
      </w:r>
    </w:p>
    <w:p>
      <w:pPr>
        <w:bidi/>
        <w:jc w:val="right"/>
      </w:pPr>
      <w:r>
        <w:rPr>
          <w:rtl/>
          <w:bCs/>
          <w:b/>
        </w:rPr>
        <w:t xml:space="preserve">✦ Popcorn Effect:</w:t>
      </w:r>
      <w:r>
        <w:rPr>
          <w:rtl/>
        </w:rPr>
        <w:t xml:space="preserve"> </w:t>
      </w:r>
      <w:r>
        <w:rPr>
          <w:rtl/>
        </w:rPr>
        <w:t xml:space="preserve">الرطوبة داخل LED تتبخر فجأة عند 230-250°C → انفجار مجهري يكسر التوصيلات. المكون يعمل ثم يفشل بعد أيام.</w:t>
      </w:r>
    </w:p>
    <w:p>
      <w:pPr>
        <w:pBdr>
          <w:right w:val="single" w:sz="24" w:space="6" w:color="008080"/>
        </w:pBdr>
        <w:bidi/>
        <w:jc w:val="right"/>
      </w:pPr>
      <w:r>
        <w:rPr>
          <w:b/>
          <w:color w:val="008080"/>
          <w:sz w:val="25"/>
          <w:rtl/>
        </w:rPr>
        <w:t xml:space="preserve">10.2 إدارة استمرارية الطاقة</w:t>
      </w:r>
    </w:p>
    <w:p>
      <w:pPr>
        <w:numPr>
          <w:ilvl w:val="0"/>
          <w:numId w:val="1047"/>
        </w:numPr>
        <w:bidi/>
        <w:jc w:val="right"/>
      </w:pPr>
      <w:r>
        <w:rPr>
          <w:rtl/>
        </w:rPr>
        <w:t xml:space="preserve">مولد (10 KVA): تلقائي خلال 30 ثانية. تجريبي أسبوعي 10 دقائق. فحص شهري.</w:t>
      </w:r>
    </w:p>
    <w:p>
      <w:pPr>
        <w:numPr>
          <w:ilvl w:val="0"/>
          <w:numId w:val="1047"/>
        </w:numPr>
        <w:bidi/>
        <w:jc w:val="right"/>
      </w:pPr>
      <w:r>
        <w:rPr>
          <w:rtl/>
        </w:rPr>
        <w:t xml:space="preserve">نظام الإمداد المتواصل بالطاقة (Alimentation Sans Interruption) Online Double Conversion: للليزر، محطات القياس، الكمبيوتر. اختبار بطاريات كل 6 أشهر. استبدال كل 3 سنوات.</w:t>
      </w:r>
    </w:p>
    <w:p>
      <w:pPr>
        <w:numPr>
          <w:ilvl w:val="0"/>
          <w:numId w:val="1047"/>
        </w:numPr>
        <w:bidi/>
        <w:jc w:val="right"/>
      </w:pPr>
      <w:r>
        <w:rPr>
          <w:rtl/>
        </w:rPr>
        <w:t xml:space="preserve">Stabilizer: قبل المولد والـ نظام الإمداد المتواصل بالطاقة (Alimentation Sans Interruption) لحماية الآلات الحساسة.</w:t>
      </w:r>
    </w:p>
    <w:p>
      <w:pPr>
        <w:numPr>
          <w:ilvl w:val="0"/>
          <w:numId w:val="1047"/>
        </w:numPr>
        <w:bidi/>
        <w:jc w:val="right"/>
      </w:pPr>
      <w:r>
        <w:rPr>
          <w:rtl/>
        </w:rPr>
        <w:t xml:space="preserve">قواطع GFCI + AFCI على محطات العمل وأجهزة القياس.</w:t>
      </w:r>
    </w:p>
    <w:p>
      <w:pPr>
        <w:pBdr>
          <w:right w:val="single" w:sz="24" w:space="6" w:color="008080"/>
        </w:pBdr>
        <w:bidi/>
        <w:jc w:val="right"/>
      </w:pPr>
      <w:r>
        <w:rPr>
          <w:b/>
          <w:color w:val="008080"/>
          <w:sz w:val="25"/>
          <w:rtl/>
        </w:rPr>
        <w:t xml:space="preserve">10.3 خطة الطوارئ للطاقة والرطوبة</w:t>
      </w:r>
    </w:p>
    <w:p>
      <w:pPr>
        <w:numPr>
          <w:ilvl w:val="0"/>
          <w:numId w:val="1048"/>
        </w:numPr>
        <w:bidi/>
        <w:jc w:val="right"/>
      </w:pPr>
      <w:r>
        <w:rPr>
          <w:rtl/>
        </w:rPr>
        <w:t xml:space="preserve">تعطل المولد + نظام الإمداد المتواصل بالطاقة (Alimentation Sans Interruption) معاً: إنتاج يدوي 50 وحدة/يوم + بيع من مخزون الأمان.</w:t>
      </w:r>
    </w:p>
    <w:p>
      <w:pPr>
        <w:numPr>
          <w:ilvl w:val="0"/>
          <w:numId w:val="1048"/>
        </w:numPr>
        <w:bidi/>
        <w:jc w:val="right"/>
      </w:pPr>
      <w:r>
        <w:rPr>
          <w:rtl/>
        </w:rPr>
        <w:t xml:space="preserve">رطوبة &gt; 70%: إيقاف إدخال دفعات جديدة للمخزن + تشغيل Dehumidifier + فحص جميع المكونات المخزنة.</w:t>
      </w:r>
    </w:p>
    <w:p>
      <w:pPr>
        <w:numPr>
          <w:ilvl w:val="0"/>
          <w:numId w:val="1048"/>
        </w:numPr>
        <w:bidi/>
        <w:jc w:val="right"/>
      </w:pPr>
      <w:r>
        <w:rPr>
          <w:rtl/>
        </w:rPr>
        <w:t xml:space="preserve">تدريب نصف سنوي للعمال على تشغيل المولد والـ نظام الإمداد المتواصل بالطاقة (Alimentation Sans Interruption) وكيفية التعامل مع انقطاع الكهرباء.</w:t>
      </w:r>
    </w:p>
    <w:tbl>
      <w:tblPr>
        <w:tblStyle w:val="Table"/>
        <w:bidiVisual/>
        <w:tblW w:type="pct" w:w="500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E9EDF2"/>
          </w:tcPr>
          <w:p>
            <w:pPr>
              <w:pStyle w:val="Compact"/>
              <w:bidi/>
              <w:jc w:val="right"/>
            </w:pPr>
            <w:r>
              <w:rPr>
                <w:color w:val="0D3B66"/>
                <w:sz w:val="29"/>
                <w:rtl/>
                <w:bCs/>
                <w:b/>
              </w:rPr>
              <w:t xml:space="preserve">الفصل الحادي عشر: سجل الدروس المستفادة (Lessons Learned Log) – التحسين المستمر</w:t>
            </w:r>
          </w:p>
        </w:tc>
      </w:tr>
    </w:tbl>
    <w:p>
      <w:pPr>
        <w:pBdr>
          <w:right w:val="single" w:sz="24" w:space="6" w:color="008080"/>
        </w:pBdr>
        <w:bidi/>
        <w:jc w:val="right"/>
      </w:pPr>
      <w:r>
        <w:rPr>
          <w:b/>
          <w:color w:val="008080"/>
          <w:sz w:val="25"/>
          <w:rtl/>
        </w:rPr>
        <w:t xml:space="preserve">11.0 المبدأ العام</w:t>
      </w:r>
    </w:p>
    <w:p>
      <w:pPr>
        <w:bidi/>
        <w:jc w:val="right"/>
      </w:pPr>
      <w:r>
        <w:rPr>
          <w:rtl/>
        </w:rPr>
        <w:t xml:space="preserve">سجل الدروس المستفادة هو أداة استراتيجية حية تحوّل الأخطاء والأعطال إلى فرص للتعلم والتطوير المستمر. يعتمد على تحليل السبب الجذري (تحليل الأسباب الجذرية للأعطال (Analyse des Causes Racines)) ونظام الإجراءات التصحيحية والوقائية (نظام الإجراءات التصحيحية والوقائية (Actions Correctives et Préventives)). يُسجَّل فيه كل حادثة غير مألوفة، خلل في الإنتاج، أو شكوى من السوق. هذا السجل بعد 5 سنوات سيكون «كنز المؤسسة» الذي لا يملكه منافس.</w:t>
      </w:r>
    </w:p>
    <w:p>
      <w:pPr>
        <w:pBdr>
          <w:right w:val="single" w:sz="24" w:space="6" w:color="008080"/>
        </w:pBdr>
        <w:bidi/>
        <w:jc w:val="right"/>
      </w:pPr>
      <w:r>
        <w:rPr>
          <w:b/>
          <w:color w:val="008080"/>
          <w:sz w:val="25"/>
          <w:rtl/>
        </w:rPr>
        <w:t xml:space="preserve">11.1 تاريخ العطل (Date &amp; Shift)</w:t>
      </w:r>
    </w:p>
    <w:p>
      <w:pPr>
        <w:bidi/>
        <w:jc w:val="right"/>
      </w:pPr>
      <w:r>
        <w:rPr>
          <w:rtl/>
        </w:rPr>
        <w:t xml:space="preserve">تسجيل اليوم، التاريخ، والوردية (صباحية/مسائية). ربط التاريخ بظروف خاصة (حرارة الجو، ضغط الإنتاج). ربط التاريخ برقم الدفعة (Batch Number) لتتبع المنتجات المتأثرة وسحبها عند الحاجة.</w:t>
      </w:r>
    </w:p>
    <w:p>
      <w:pPr>
        <w:pBdr>
          <w:right w:val="single" w:sz="24" w:space="6" w:color="008080"/>
        </w:pBdr>
        <w:bidi/>
        <w:jc w:val="right"/>
      </w:pPr>
      <w:r>
        <w:rPr>
          <w:b/>
          <w:color w:val="008080"/>
          <w:sz w:val="25"/>
          <w:rtl/>
        </w:rPr>
        <w:t xml:space="preserve">11.2 وصف العطل (Defect Description)</w:t>
      </w:r>
    </w:p>
    <w:p>
      <w:pPr>
        <w:bidi/>
        <w:jc w:val="right"/>
      </w:pPr>
      <w:r>
        <w:rPr>
          <w:rtl/>
        </w:rPr>
        <w:t xml:space="preserve">وصف واضح ودقيق (مثال: «ارتفاع حرارة الفرن إلى 280°C» أو «جسور قصدير على 12 بطاقة»). إرفاق صورة أو فيديو قصير يوثق العطل.</w:t>
      </w:r>
    </w:p>
    <w:p>
      <w:pPr>
        <w:pBdr>
          <w:right w:val="single" w:sz="24" w:space="6" w:color="008080"/>
        </w:pBdr>
        <w:bidi/>
        <w:jc w:val="right"/>
      </w:pPr>
      <w:r>
        <w:rPr>
          <w:b/>
          <w:color w:val="008080"/>
          <w:sz w:val="25"/>
          <w:rtl/>
        </w:rPr>
        <w:t xml:space="preserve">11.3 تحليل السبب الجذري (تحليل الأسباب الجذرية للأعطال (Analyse des Causes Racines))</w:t>
      </w:r>
    </w:p>
    <w:p>
      <w:pPr>
        <w:bidi/>
        <w:jc w:val="right"/>
      </w:pPr>
      <w:r>
        <w:rPr>
          <w:rtl/>
        </w:rPr>
        <w:t xml:space="preserve">منهجية «5 Whys»: طرح «لماذا؟» خمس مرات للوصول للسبب الحقيقي. مخطط Ishikawa (Fishbone): تصنيف الأسباب تحت: Man، Method، Machine، Material، Environment. استخدام بيانات أجهزة القياس (Watt Meter، Lux Meter) لتأكيد السبب.</w:t>
      </w:r>
    </w:p>
    <w:p>
      <w:pPr>
        <w:pBdr>
          <w:right w:val="single" w:sz="24" w:space="6" w:color="008080"/>
        </w:pBdr>
        <w:bidi/>
        <w:jc w:val="right"/>
      </w:pPr>
      <w:r>
        <w:rPr>
          <w:b/>
          <w:color w:val="008080"/>
          <w:sz w:val="25"/>
          <w:rtl/>
        </w:rPr>
        <w:t xml:space="preserve">11.4 الإجراء التصحيحي الفوري (Corrective Action – Containment)</w:t>
      </w:r>
    </w:p>
    <w:p>
      <w:pPr>
        <w:bidi/>
        <w:jc w:val="right"/>
      </w:pPr>
      <w:r>
        <w:rPr>
          <w:rtl/>
        </w:rPr>
        <w:t xml:space="preserve">أمثلة: إيقاف الخط، عزل الدفعة، إصلاح اللحام يدوياً، تغيير القطعة التالفة. تسجيل زمن الاستجابة (Response Time) بالدقائق.</w:t>
      </w:r>
    </w:p>
    <w:p>
      <w:pPr>
        <w:pBdr>
          <w:right w:val="single" w:sz="24" w:space="6" w:color="008080"/>
        </w:pBdr>
        <w:bidi/>
        <w:jc w:val="right"/>
      </w:pPr>
      <w:r>
        <w:rPr>
          <w:b/>
          <w:color w:val="008080"/>
          <w:sz w:val="25"/>
          <w:rtl/>
        </w:rPr>
        <w:t xml:space="preserve">11.5 الإجراء الوقائي المستقبلي (نظام الإجراءات التصحيحية والوقائية (Actions Correctives et Préventives))</w:t>
      </w:r>
    </w:p>
    <w:p>
      <w:pPr>
        <w:bidi/>
        <w:jc w:val="right"/>
      </w:pPr>
      <w:r>
        <w:rPr>
          <w:rtl/>
        </w:rPr>
        <w:t xml:space="preserve">أمثلة: إضافة فحص أسبوعي للفرن، تحديث تعليمات التشغيل القياسية (Instructions de Travail Standardisées)، تدريب العمال، تغيير المورد. مراجعة الإجراءات الوقائية كل 6 أشهر للتأكد من فعاليتها.</w:t>
      </w:r>
    </w:p>
    <w:p>
      <w:pPr>
        <w:pBdr>
          <w:right w:val="single" w:sz="24" w:space="6" w:color="008080"/>
        </w:pBdr>
        <w:bidi/>
        <w:jc w:val="right"/>
      </w:pPr>
      <w:r>
        <w:rPr>
          <w:b/>
          <w:color w:val="008080"/>
          <w:sz w:val="25"/>
          <w:rtl/>
        </w:rPr>
        <w:t xml:space="preserve">11.6 أفضل الممارسات العالمية</w:t>
      </w:r>
    </w:p>
    <w:p>
      <w:pPr>
        <w:numPr>
          <w:ilvl w:val="0"/>
          <w:numId w:val="1049"/>
        </w:numPr>
        <w:bidi/>
        <w:jc w:val="right"/>
      </w:pPr>
      <w:r>
        <w:rPr>
          <w:rtl/>
        </w:rPr>
        <w:t xml:space="preserve">اجتماع شهري للدروس المستفادة (ساعة): مناقشة الأعطال وتحويلها لخطط تحسين عملية.</w:t>
      </w:r>
    </w:p>
    <w:p>
      <w:pPr>
        <w:numPr>
          <w:ilvl w:val="0"/>
          <w:numId w:val="1049"/>
        </w:numPr>
        <w:bidi/>
        <w:jc w:val="right"/>
      </w:pPr>
      <w:r>
        <w:rPr>
          <w:rtl/>
        </w:rPr>
        <w:t xml:space="preserve">سجل رقمي (Google Sheets أو Excel) لتوثيق الأعطال وربطها بالصور والفيديو.</w:t>
      </w:r>
    </w:p>
    <w:p>
      <w:pPr>
        <w:numPr>
          <w:ilvl w:val="0"/>
          <w:numId w:val="1049"/>
        </w:numPr>
        <w:bidi/>
        <w:jc w:val="right"/>
      </w:pPr>
      <w:r>
        <w:rPr>
          <w:rtl/>
        </w:rPr>
        <w:t xml:space="preserve">مؤشرات الأداء الرئيسية (Indicateurs Clés de Performance): نسبة الأعطال المتكررة، متوسط زمن الاستجابة، عدد الإجراءات الوقائية المضافة.</w:t>
      </w:r>
    </w:p>
    <w:p>
      <w:pPr>
        <w:numPr>
          <w:ilvl w:val="0"/>
          <w:numId w:val="1049"/>
        </w:numPr>
        <w:bidi/>
        <w:jc w:val="right"/>
      </w:pPr>
      <w:r>
        <w:rPr>
          <w:rtl/>
        </w:rPr>
        <w:t xml:space="preserve">التدريب القائم على الدروس المستفادة: تحويل كل درس لوحدة تدريبية 5-10 دقائق في جلسة التوعية الشهرية.</w:t>
      </w:r>
    </w:p>
    <w:p>
      <w:pPr>
        <w:pBdr>
          <w:right w:val="single" w:sz="24" w:space="6" w:color="008080"/>
        </w:pBdr>
        <w:bidi/>
        <w:jc w:val="right"/>
      </w:pPr>
      <w:r>
        <w:rPr>
          <w:b/>
          <w:color w:val="008080"/>
          <w:sz w:val="25"/>
          <w:rtl/>
        </w:rPr>
        <w:t xml:space="preserve">11.7 الربط بالدستور والملاحق</w:t>
      </w:r>
    </w:p>
    <w:p>
      <w:pPr>
        <w:numPr>
          <w:ilvl w:val="0"/>
          <w:numId w:val="1050"/>
        </w:numPr>
        <w:bidi/>
        <w:jc w:val="right"/>
      </w:pPr>
      <w:r>
        <w:rPr>
          <w:rtl/>
        </w:rPr>
        <w:t xml:space="preserve">الفصل 8 (الجودة): يغذي سجل الدروس خطة التحسين المستمر.</w:t>
      </w:r>
    </w:p>
    <w:p>
      <w:pPr>
        <w:numPr>
          <w:ilvl w:val="0"/>
          <w:numId w:val="1050"/>
        </w:numPr>
        <w:bidi/>
        <w:jc w:val="right"/>
      </w:pPr>
      <w:r>
        <w:rPr>
          <w:rtl/>
        </w:rPr>
        <w:t xml:space="preserve">الفصل 9 (السلامة): تُسجَّل المخالفات السلامية المتكررة وتتحول لإجراءات وقائية.</w:t>
      </w:r>
    </w:p>
    <w:p>
      <w:pPr>
        <w:numPr>
          <w:ilvl w:val="0"/>
          <w:numId w:val="1050"/>
        </w:numPr>
        <w:bidi/>
        <w:jc w:val="right"/>
      </w:pPr>
      <w:r>
        <w:rPr>
          <w:rtl/>
        </w:rPr>
        <w:t xml:space="preserve">ملحق إدارة النفايات: ربط أعطال الجودة بزيادة نسبة الهالك لتحسين إجراءات التصنيع.</w:t>
      </w:r>
    </w:p>
    <w:tbl>
      <w:tblPr>
        <w:tblStyle w:val="Table"/>
        <w:bidiVisual/>
        <w:tblW w:type="auto" w:w="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E9EDF2"/>
          </w:tcPr>
          <w:p>
            <w:pPr>
              <w:pStyle w:val="Compact"/>
              <w:bidi/>
              <w:jc w:val="right"/>
            </w:pPr>
            <w:r>
              <w:rPr>
                <w:color w:val="0D3B66"/>
                <w:sz w:val="29"/>
                <w:rtl/>
                <w:bCs/>
                <w:b/>
              </w:rPr>
              <w:t xml:space="preserve">الفصل الثاني عشر: نماذج التسجيل اليومي والأسبوعي</w:t>
            </w:r>
          </w:p>
        </w:tc>
      </w:tr>
    </w:tbl>
    <w:p>
      <w:pPr>
        <w:pBdr>
          <w:right w:val="single" w:sz="24" w:space="6" w:color="008080"/>
        </w:pBdr>
        <w:bidi/>
        <w:jc w:val="right"/>
      </w:pPr>
      <w:r>
        <w:rPr>
          <w:b/>
          <w:color w:val="008080"/>
          <w:sz w:val="25"/>
          <w:rtl/>
        </w:rPr>
        <w:t xml:space="preserve">12.1 نموذج الإنتاج اليومي</w:t>
      </w:r>
    </w:p>
    <w:p>
      <w:pPr>
        <w:bidi/>
        <w:jc w:val="right"/>
      </w:pPr>
      <w:r>
        <w:rPr>
          <w:rtl/>
        </w:rPr>
        <w:t xml:space="preserve">التاريخ، رقم الدفعة (Batch Number)، عدد الوحدات المنتجة، عدد الوحدات المرفوضة، اسم المشرف، معدل الإنتاجية الفردية (وحدات/عامل/وردية)، زمن الدورة (Cycle Time) لكل وحدة.</w:t>
      </w:r>
    </w:p>
    <w:p>
      <w:pPr>
        <w:pBdr>
          <w:right w:val="single" w:sz="16" w:space="6" w:color="008080"/>
        </w:pBdr>
        <w:bidi/>
        <w:jc w:val="right"/>
      </w:pPr>
      <w:r>
        <w:rPr>
          <w:color w:val="008080"/>
          <w:sz w:val="23"/>
          <w:rtl/>
          <w:bCs/>
          <w:b/>
        </w:rPr>
        <w:t xml:space="preserve">نموذج قابل للطباعة والتعبئة المباشرة — رمز النموذج: JLT-F-01 (V.9.5):</w:t>
      </w:r>
    </w:p>
    <w:tbl>
      <w:tblPr>
        <w:tblStyle w:val="Table"/>
        <w:bidiVisual/>
        <w:tblW w:type="auto" w:w="0"/>
        <w:tblLook w:firstRow="1" w:lastRow="0" w:firstColumn="0" w:lastColumn="0" w:noHBand="0" w:noVBand="0" w:val="0020"/>
        <w:jc w:val="right"/>
      </w:tblPr>
      <w:tblGrid>
        <w:gridCol w:w="3960"/>
        <w:gridCol w:w="396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الحقل</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القيمة (للتعبئة اليدوية)</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التاريخ</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____ / ____ / 20____</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رقم الوردية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صباحية ☐ مسائية ☐</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رقم الدفعة (Batch Number)</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JLT- __________</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اسم المشرف المسؤول</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__________________</w:t>
            </w:r>
          </w:p>
        </w:tc>
      </w:tr>
      <w:tr>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عدد الوحدات المنتجة (إجمالي)</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__________ وحدة</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عدد الوحدات المرفوضة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__________ وحدة</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نسبة العيوب المحسوبة (مرفوض / منتَج × 100)</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__________ %</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معدل الإنتاجية الفردية (وحدة/عامل/وردية)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__________</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زمن الدورة لكل وحدة (Cycle Time)</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__________ ثانية</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ملاحظات إضافية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_________________________</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توقيع المشرف</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_________________</w:t>
            </w:r>
          </w:p>
        </w:tc>
      </w:tr>
    </w:tbl>
    <w:p>
      <w:pPr>
        <w:pBdr>
          <w:right w:val="single" w:sz="16" w:space="6" w:color="008080"/>
        </w:pBdr>
        <w:bidi/>
        <w:jc w:val="right"/>
      </w:pPr>
      <w:r>
        <w:rPr>
          <w:color w:val="008080"/>
          <w:sz w:val="23"/>
          <w:rtl/>
          <w:bCs/>
          <w:b/>
        </w:rPr>
        <w:t xml:space="preserve">(هذا النموذج تصوري قابل للتعديل الطباعي؛ يُعتمَد رسمياً بعد الطباعة الفعلية والتوقيع الميداني، وليس وثيقة تنفيذية إلكترونية في هذه المرحلة.)</w:t>
      </w:r>
    </w:p>
    <w:p>
      <w:pPr>
        <w:pBdr>
          <w:right w:val="single" w:sz="24" w:space="6" w:color="008080"/>
        </w:pBdr>
        <w:bidi/>
        <w:jc w:val="right"/>
      </w:pPr>
      <w:r>
        <w:rPr>
          <w:b/>
          <w:color w:val="008080"/>
          <w:sz w:val="25"/>
          <w:rtl/>
        </w:rPr>
        <w:t xml:space="preserve">12.2 نموذج الأعطال</w:t>
      </w:r>
    </w:p>
    <w:p>
      <w:pPr>
        <w:bidi/>
        <w:jc w:val="right"/>
      </w:pPr>
      <w:r>
        <w:rPr>
          <w:rtl/>
        </w:rPr>
        <w:t xml:space="preserve">نوع العطل، وقت حدوثه، الجهاز المتأثر، العامل المسؤول، الإجراء التصحيحي الفوري، زمن الاستجابة (بالدقائق/الساعات)، تصنيف العطل (كهربائي، ميكانيكي، بشري، مواد).</w:t>
      </w:r>
    </w:p>
    <w:p>
      <w:pPr>
        <w:pBdr>
          <w:right w:val="single" w:sz="16" w:space="6" w:color="008080"/>
        </w:pBdr>
        <w:bidi/>
        <w:jc w:val="right"/>
      </w:pPr>
      <w:r>
        <w:rPr>
          <w:color w:val="008080"/>
          <w:sz w:val="23"/>
          <w:rtl/>
          <w:bCs/>
          <w:b/>
        </w:rPr>
        <w:t xml:space="preserve">نموذج قابل للطباعة والتعبئة المباشرة — رمز النموذج: JLT-F-02 (V.9.5):</w:t>
      </w:r>
    </w:p>
    <w:tbl>
      <w:tblPr>
        <w:tblStyle w:val="Table"/>
        <w:bidiVisual/>
        <w:tblW w:type="auto" w:w="0"/>
        <w:tblLook w:firstRow="1" w:lastRow="0" w:firstColumn="0" w:lastColumn="0" w:noHBand="0" w:noVBand="0" w:val="0020"/>
        <w:jc w:val="right"/>
      </w:tblPr>
      <w:tblGrid>
        <w:gridCol w:w="3960"/>
        <w:gridCol w:w="396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الحقل</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القيمة (للتعبئة اليدوية)</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التاريخ والوقت</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____ / ____ / 20____ — الساعة ____:____</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الجهاز/الآلة المتأثرة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__________________</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وصف العطل</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_________________________</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تصنيف العطل</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كهربائي ☐ ميكانيكي ☐ بشري ☐ مواد ☐</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العامل الذي رصد العطل</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__________________</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فني الصيانة المتدخل</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__________________</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وقت بدء التدخل</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الساعة ____:____</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الإجراء التصحيحي الفوري المتخذ</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_________________________</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زمن الاستجابة الكلي (بالدقائق)</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__________ دقيقة</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هل تكرر نفس العطل سابقاً؟</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نعم ☐ لا ☐ — إن نعم، عدد المرات: ____</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توقيع فني الصيانة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_________________</w:t>
            </w:r>
          </w:p>
        </w:tc>
      </w:tr>
    </w:tbl>
    <w:p>
      <w:pPr>
        <w:pBdr>
          <w:right w:val="single" w:sz="16" w:space="6" w:color="008080"/>
        </w:pBdr>
        <w:bidi/>
        <w:jc w:val="right"/>
      </w:pPr>
      <w:r>
        <w:rPr>
          <w:color w:val="008080"/>
          <w:sz w:val="23"/>
          <w:rtl/>
          <w:bCs/>
          <w:b/>
        </w:rPr>
        <w:t xml:space="preserve">(نموذج تصوري قابل للطباعة؛ عند تجاوز زمن الاستجابة 15 دقيقة يُحال مباشرة وفق البند 16.1 ومصفوفة السلطات، الفصل 14.)</w:t>
      </w:r>
    </w:p>
    <w:p>
      <w:pPr>
        <w:pBdr>
          <w:right w:val="single" w:sz="24" w:space="6" w:color="008080"/>
        </w:pBdr>
        <w:bidi/>
        <w:jc w:val="right"/>
      </w:pPr>
      <w:r>
        <w:rPr>
          <w:b/>
          <w:color w:val="008080"/>
          <w:sz w:val="25"/>
          <w:rtl/>
        </w:rPr>
        <w:t xml:space="preserve">12.3 نموذج استهلاك المواد</w:t>
      </w:r>
    </w:p>
    <w:p>
      <w:pPr>
        <w:bidi/>
        <w:jc w:val="right"/>
      </w:pPr>
      <w:r>
        <w:rPr>
          <w:rtl/>
        </w:rPr>
        <w:t xml:space="preserve">كمية القصدير المستهلكة (غرام/يوم)، عدد PCBs الملحومة، نسبة الهالك (%)، مقارنة الاستهلاك مع الإنتاج (غرام/وحدة)، المخزون المتبقي (لتحديد موعد إعادة الطلب).</w:t>
      </w:r>
    </w:p>
    <w:p>
      <w:pPr>
        <w:pBdr>
          <w:right w:val="single" w:sz="16" w:space="6" w:color="008080"/>
        </w:pBdr>
        <w:bidi/>
        <w:jc w:val="right"/>
      </w:pPr>
      <w:r>
        <w:rPr>
          <w:color w:val="008080"/>
          <w:sz w:val="23"/>
          <w:rtl/>
          <w:bCs/>
          <w:b/>
        </w:rPr>
        <w:t xml:space="preserve">نموذج قابل للطباعة والتعبئة المباشرة — رمز النموذج: JLT-F-03 (V.9.5):</w:t>
      </w:r>
    </w:p>
    <w:tbl>
      <w:tblPr>
        <w:tblStyle w:val="Table"/>
        <w:bidiVisual/>
        <w:tblW w:type="auto" w:w="0"/>
        <w:tblLook w:firstRow="1" w:lastRow="0" w:firstColumn="0" w:lastColumn="0" w:noHBand="0" w:noVBand="0" w:val="0020"/>
        <w:jc w:val="right"/>
      </w:tblPr>
      <w:tblGrid>
        <w:gridCol w:w="3960"/>
        <w:gridCol w:w="396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الحقل</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القيمة (للتعبئة اليدوية)</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التاريخ</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____ / ____ / 20____</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كمية القصدير المستهلكة (غرام)</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__________ غ</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عدد بطاقات PCB الملحومة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__________ بطاقة</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نسبة الهالك المحسوبة (%)</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__________ %</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استهلاك الغراء السيليكوني (غرام)</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__________ غ</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استهلاك Isopropanol 99% (مل)</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__________ مل</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المخزون المتبقي من PCB الجاهزة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__________ بطاقة</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هل تم بلوغ حد إعادة الطلب (5,000 بطاقة)؟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نعم ☐ لا ☐</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توقيع المسؤول عن المخزون</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_________________</w:t>
            </w:r>
          </w:p>
        </w:tc>
      </w:tr>
    </w:tbl>
    <w:p>
      <w:pPr>
        <w:pBdr>
          <w:right w:val="single" w:sz="16" w:space="6" w:color="008080"/>
        </w:pBdr>
        <w:bidi/>
        <w:jc w:val="right"/>
      </w:pPr>
      <w:r>
        <w:rPr>
          <w:color w:val="008080"/>
          <w:sz w:val="23"/>
          <w:rtl/>
          <w:bCs/>
          <w:b/>
        </w:rPr>
        <w:t xml:space="preserve">(نموذج تصوري قابل للطباعة؛ يُربَط شهرياً بجدول مؤشرات الأداء، البند 16.1.)</w:t>
      </w:r>
    </w:p>
    <w:p>
      <w:pPr>
        <w:pBdr>
          <w:right w:val="single" w:sz="24" w:space="6" w:color="008080"/>
        </w:pBdr>
        <w:bidi/>
        <w:jc w:val="right"/>
      </w:pPr>
      <w:r>
        <w:rPr>
          <w:b/>
          <w:color w:val="008080"/>
          <w:sz w:val="25"/>
          <w:rtl/>
        </w:rPr>
        <w:t xml:space="preserve">12.4 نموذج الصيانة</w:t>
      </w:r>
    </w:p>
    <w:p>
      <w:pPr>
        <w:bidi/>
        <w:jc w:val="right"/>
      </w:pPr>
      <w:r>
        <w:rPr>
          <w:rtl/>
        </w:rPr>
        <w:t xml:space="preserve">الجهاز، نوع الصيانة (يومية/أسبوعية/شهرية)، الفني المسؤول، الملاحظات، قطع الغيار المستخدمة، تاريخ الصيانة القادمة (Preventive Maintenance).</w:t>
      </w:r>
    </w:p>
    <w:p>
      <w:pPr>
        <w:pBdr>
          <w:right w:val="single" w:sz="16" w:space="6" w:color="008080"/>
        </w:pBdr>
        <w:bidi/>
        <w:jc w:val="right"/>
      </w:pPr>
      <w:r>
        <w:rPr>
          <w:color w:val="008080"/>
          <w:sz w:val="23"/>
          <w:rtl/>
          <w:bCs/>
          <w:b/>
        </w:rPr>
        <w:t xml:space="preserve">نموذج قابل للطباعة والتعبئة المباشرة — رمز النموذج: JLT-F-04 (V.9.5):</w:t>
      </w:r>
    </w:p>
    <w:tbl>
      <w:tblPr>
        <w:tblStyle w:val="Table"/>
        <w:bidiVisual/>
        <w:tblW w:type="auto" w:w="0"/>
        <w:tblLook w:firstRow="1" w:lastRow="0" w:firstColumn="0" w:lastColumn="0" w:noHBand="0" w:noVBand="0" w:val="0020"/>
        <w:jc w:val="right"/>
      </w:tblPr>
      <w:tblGrid>
        <w:gridCol w:w="3960"/>
        <w:gridCol w:w="396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الحقل</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القيمة (للتعبئة اليدوية)</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التاريخ</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____ / ____ / 20____</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الجهاز/الآلة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__________________</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نوع الصيانة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يومية ☐ أسبوعية ☐ شهرية ☐</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الفني المسؤول</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__________________</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قطع الغيار المستخدمة (إن وُجدت)</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_________________________</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الملاحظات الفنية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_________________________</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تاريخ الصيانة القادمة المقرَّرة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____ / ____ / 20____</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توقيع الفني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_________________</w:t>
            </w:r>
          </w:p>
        </w:tc>
      </w:tr>
    </w:tbl>
    <w:p>
      <w:pPr>
        <w:pBdr>
          <w:right w:val="single" w:sz="16" w:space="6" w:color="008080"/>
        </w:pBdr>
        <w:bidi/>
        <w:jc w:val="right"/>
      </w:pPr>
      <w:r>
        <w:rPr>
          <w:color w:val="008080"/>
          <w:sz w:val="23"/>
          <w:rtl/>
          <w:bCs/>
          <w:b/>
        </w:rPr>
        <w:t xml:space="preserve">(نموذج تصوري قابل للطباعة؛ يُغذّي خطة الصيانة الوقائية، البند 11.1، ومتوسط زمن الإصلاح، البند 16.1.)</w:t>
      </w:r>
    </w:p>
    <w:p>
      <w:pPr>
        <w:pBdr>
          <w:right w:val="single" w:sz="24" w:space="6" w:color="008080"/>
        </w:pBdr>
        <w:bidi/>
        <w:jc w:val="right"/>
      </w:pPr>
      <w:r>
        <w:rPr>
          <w:b/>
          <w:color w:val="008080"/>
          <w:sz w:val="25"/>
          <w:rtl/>
        </w:rPr>
        <w:t xml:space="preserve">12.5 نموذج تقييم العمال</w:t>
      </w:r>
    </w:p>
    <w:p>
      <w:pPr>
        <w:bidi/>
        <w:jc w:val="right"/>
      </w:pPr>
      <w:r>
        <w:rPr>
          <w:rtl/>
        </w:rPr>
        <w:t xml:space="preserve">اسم العامل، عدد الوحدات السليمة، نسبة العيوب، الالتزام بالسلامة، اقتراحات العامل للتحسين، التدريب المطلوب (Individual Training Needs).</w:t>
      </w:r>
    </w:p>
    <w:p>
      <w:pPr>
        <w:pBdr>
          <w:right w:val="single" w:sz="16" w:space="6" w:color="008080"/>
        </w:pBdr>
        <w:bidi/>
        <w:jc w:val="right"/>
      </w:pPr>
      <w:r>
        <w:rPr>
          <w:color w:val="008080"/>
          <w:sz w:val="23"/>
          <w:rtl/>
          <w:bCs/>
          <w:b/>
        </w:rPr>
        <w:t xml:space="preserve">نموذج قابل للطباعة والتعبئة المباشرة — رمز النموذج: JLT-F-05 (V.9.5):</w:t>
      </w:r>
    </w:p>
    <w:tbl>
      <w:tblPr>
        <w:tblStyle w:val="Table"/>
        <w:bidiVisual/>
        <w:tblW w:type="auto" w:w="0"/>
        <w:tblLook w:firstRow="1" w:lastRow="0" w:firstColumn="0" w:lastColumn="0" w:noHBand="0" w:noVBand="0" w:val="0020"/>
        <w:jc w:val="right"/>
      </w:tblPr>
      <w:tblGrid>
        <w:gridCol w:w="3960"/>
        <w:gridCol w:w="396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الحقل</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القيمة (للتعبئة اليدوية)</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اسم العامل</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__________________</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الفترة المشمولة بالتقييم</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من ____/____ إلى ____/____</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عدد الوحدات السليمة المنتَجة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__________</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نسبة العيوب الشخصية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__________ %</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الالتزام بإجراءات السلامة (تقييم 1-5)</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__________</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اقتراحات العامل للتحسين</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_________________________</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التدريب الإضافي الموصى به</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_________________________</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توقيع المشرف المباشر</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_________________</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توقيع العامل (إطّلاع)</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_________________</w:t>
            </w:r>
          </w:p>
        </w:tc>
      </w:tr>
    </w:tbl>
    <w:p>
      <w:pPr>
        <w:pBdr>
          <w:right w:val="single" w:sz="16" w:space="6" w:color="008080"/>
        </w:pBdr>
        <w:bidi/>
        <w:jc w:val="right"/>
      </w:pPr>
      <w:r>
        <w:rPr>
          <w:color w:val="008080"/>
          <w:sz w:val="23"/>
          <w:rtl/>
          <w:bCs/>
          <w:b/>
        </w:rPr>
        <w:t xml:space="preserve">(نموذج تصوري قابل للطباعة؛ يُستخدَم كمدخل لقرار قبول العامل للعمل المستقل، البند 6.6.ب، ومصفوفة السلطات، الفصل 14.)</w:t>
      </w:r>
    </w:p>
    <w:p>
      <w:pPr>
        <w:pBdr>
          <w:right w:val="single" w:sz="24" w:space="6" w:color="008080"/>
        </w:pBdr>
        <w:bidi/>
        <w:jc w:val="right"/>
      </w:pPr>
      <w:r>
        <w:rPr>
          <w:b/>
          <w:color w:val="008080"/>
          <w:sz w:val="25"/>
          <w:rtl/>
        </w:rPr>
        <w:t xml:space="preserve">12.6 نموذج طلبات الزبائن الخاصة</w:t>
      </w:r>
    </w:p>
    <w:p>
      <w:pPr>
        <w:bidi/>
        <w:jc w:val="right"/>
      </w:pPr>
      <w:r>
        <w:rPr>
          <w:rtl/>
        </w:rPr>
        <w:t xml:space="preserve">اسم الزبون، نوع المنتج، الكمية، موعد التسليم، ملاحظات الجودة/التغليف، درجة الأولوية (عادي، عاجل، VIP).</w:t>
      </w:r>
    </w:p>
    <w:p>
      <w:pPr>
        <w:pBdr>
          <w:right w:val="single" w:sz="16" w:space="6" w:color="008080"/>
        </w:pBdr>
        <w:bidi/>
        <w:jc w:val="right"/>
      </w:pPr>
      <w:r>
        <w:rPr>
          <w:color w:val="008080"/>
          <w:sz w:val="23"/>
          <w:rtl/>
          <w:bCs/>
          <w:b/>
        </w:rPr>
        <w:t xml:space="preserve">نموذج قابل للطباعة والتعبئة المباشرة — رمز النموذج: JLT-F-06 (V.9.5):</w:t>
      </w:r>
    </w:p>
    <w:tbl>
      <w:tblPr>
        <w:tblStyle w:val="Table"/>
        <w:bidiVisual/>
        <w:tblW w:type="auto" w:w="0"/>
        <w:tblLook w:firstRow="1" w:lastRow="0" w:firstColumn="0" w:lastColumn="0" w:noHBand="0" w:noVBand="0" w:val="0020"/>
        <w:jc w:val="right"/>
      </w:tblPr>
      <w:tblGrid>
        <w:gridCol w:w="3960"/>
        <w:gridCol w:w="396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الحقل</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القيمة (للتعبئة اليدوية)</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اسم الزبون/الموزع</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__________________</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نوع المنتج المطلوب</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__________________</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الكمية المطلوبة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__________ وحدة</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موعد التسليم المتفق عليه</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____ / ____ / 20____</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درجة الأولوية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عادي ☐ عاجل ☐ VIP ☐</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ملاحظات خاصة بالجودة/التغليف</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_________________________</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اسم الموظف المستلِم للطلب</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__________________</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توقيع</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_________________</w:t>
            </w:r>
          </w:p>
        </w:tc>
      </w:tr>
    </w:tbl>
    <w:p>
      <w:pPr>
        <w:pBdr>
          <w:right w:val="single" w:sz="16" w:space="6" w:color="008080"/>
        </w:pBdr>
        <w:bidi/>
        <w:jc w:val="right"/>
      </w:pPr>
      <w:r>
        <w:rPr>
          <w:color w:val="008080"/>
          <w:sz w:val="23"/>
          <w:rtl/>
          <w:bCs/>
          <w:b/>
        </w:rPr>
        <w:t xml:space="preserve">(نموذج تصوري قابل للطباعة، مقترح وليس نظاماً إلكترونياً معتمَداً في هذه المرحلة.)</w:t>
      </w:r>
    </w:p>
    <w:tbl>
      <w:tblPr>
        <w:tblStyle w:val="Table"/>
        <w:bidiVisual/>
        <w:tblW w:type="pct" w:w="500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E9EDF2"/>
          </w:tcPr>
          <w:p>
            <w:pPr>
              <w:pStyle w:val="Compact"/>
              <w:bidi/>
              <w:jc w:val="right"/>
            </w:pPr>
            <w:r>
              <w:rPr>
                <w:color w:val="0D3B66"/>
                <w:sz w:val="29"/>
                <w:rtl/>
                <w:bCs/>
                <w:b/>
              </w:rPr>
              <w:t xml:space="preserve">الفصل الثالث عشر: استراتيجية التسويق والمبيعات والشهادات المؤسسية</w:t>
            </w:r>
          </w:p>
        </w:tc>
      </w:tr>
    </w:tbl>
    <w:p>
      <w:pPr>
        <w:pBdr>
          <w:right w:val="single" w:sz="24" w:space="6" w:color="008080"/>
        </w:pBdr>
        <w:bidi/>
        <w:jc w:val="right"/>
      </w:pPr>
      <w:r>
        <w:rPr>
          <w:b/>
          <w:color w:val="008080"/>
          <w:sz w:val="25"/>
          <w:rtl/>
        </w:rPr>
        <w:t xml:space="preserve">13.1 قنوات التوزيع والمبيعات (Distribution &amp; Sales Channels)</w:t>
      </w:r>
    </w:p>
    <w:p>
      <w:pPr>
        <w:bidi/>
        <w:jc w:val="right"/>
      </w:pPr>
      <w:r>
        <w:rPr>
          <w:rtl/>
        </w:rPr>
        <w:t xml:space="preserve">أولا ً – البيع بالجملة (القناة الرئيسية):</w:t>
      </w:r>
    </w:p>
    <w:p>
      <w:pPr>
        <w:numPr>
          <w:ilvl w:val="0"/>
          <w:numId w:val="1051"/>
        </w:numPr>
        <w:bidi/>
        <w:jc w:val="right"/>
      </w:pPr>
      <w:r>
        <w:rPr>
          <w:rtl/>
        </w:rPr>
        <w:t xml:space="preserve">التعامل المباشر مع تجار الجملة وموزعي مواد الكهرباء على مستوى الولايات (العلمة، برج بوعريريج، الجزائر العاصمة) بأسعار تفاضلية حسب الكمية.</w:t>
      </w:r>
    </w:p>
    <w:p>
      <w:pPr>
        <w:numPr>
          <w:ilvl w:val="0"/>
          <w:numId w:val="1051"/>
        </w:numPr>
        <w:bidi/>
        <w:jc w:val="right"/>
      </w:pPr>
      <w:r>
        <w:rPr>
          <w:rtl/>
        </w:rPr>
        <w:t xml:space="preserve">خصم 5% للطلبيات &gt; 500 وحدة، وخصم 10% للطلبيات &gt; 1,000 وحدة، لتشجيع الشراء بالجملة وتسريع دوران المخزون.</w:t>
      </w:r>
    </w:p>
    <w:p>
      <w:pPr>
        <w:bidi/>
        <w:jc w:val="right"/>
      </w:pPr>
      <w:r>
        <w:rPr>
          <w:rtl/>
        </w:rPr>
        <w:t xml:space="preserve">ثانيا ً – البيع المباشر للمقاولين والمشاريع:</w:t>
      </w:r>
    </w:p>
    <w:p>
      <w:pPr>
        <w:numPr>
          <w:ilvl w:val="0"/>
          <w:numId w:val="1052"/>
        </w:numPr>
        <w:bidi/>
        <w:jc w:val="right"/>
      </w:pPr>
      <w:r>
        <w:rPr>
          <w:rtl/>
        </w:rPr>
        <w:t xml:space="preserve">استهداف ورشات الكهرباء والمقاولين العاملين في الإنشاءات السكنية والتجارية مباشرة، بعقود توريد دورية.</w:t>
      </w:r>
    </w:p>
    <w:p>
      <w:pPr>
        <w:numPr>
          <w:ilvl w:val="0"/>
          <w:numId w:val="1052"/>
        </w:numPr>
        <w:bidi/>
        <w:jc w:val="right"/>
      </w:pPr>
      <w:r>
        <w:rPr>
          <w:rtl/>
        </w:rPr>
        <w:t xml:space="preserve">استهداف المؤسسات العمومية (بلديات، مدارس، مستشفيات) عبر آلية الصفقات العمومية المحلية، مستفيدين من معيار «صنع في الجزائر».</w:t>
      </w:r>
    </w:p>
    <w:p>
      <w:pPr>
        <w:bidi/>
        <w:jc w:val="right"/>
      </w:pPr>
      <w:r>
        <w:rPr>
          <w:rtl/>
        </w:rPr>
        <w:t xml:space="preserve">ثالثا ً – التجارة الإلكترونية والتواصل المباشر:</w:t>
      </w:r>
    </w:p>
    <w:p>
      <w:pPr>
        <w:numPr>
          <w:ilvl w:val="0"/>
          <w:numId w:val="1053"/>
        </w:numPr>
        <w:bidi/>
        <w:jc w:val="right"/>
      </w:pPr>
      <w:r>
        <w:rPr>
          <w:rtl/>
        </w:rPr>
        <w:t xml:space="preserve">الموقع الرسمي (jannahlight-prog.github.io/jannah-light) كواجهة تعريفية وكتالوج رقمي للمنتجات.</w:t>
      </w:r>
    </w:p>
    <w:p>
      <w:pPr>
        <w:numPr>
          <w:ilvl w:val="0"/>
          <w:numId w:val="1053"/>
        </w:numPr>
        <w:bidi/>
        <w:jc w:val="right"/>
      </w:pPr>
      <w:r>
        <w:rPr>
          <w:rtl/>
        </w:rPr>
        <w:t xml:space="preserve">قناة واتساب رسمية للطلبات المباشرة من الزبائن الأفراد وصغار التجار.</w:t>
      </w:r>
    </w:p>
    <w:p>
      <w:pPr>
        <w:bidi/>
        <w:jc w:val="right"/>
      </w:pPr>
      <w:r>
        <w:rPr>
          <w:rtl/>
        </w:rPr>
        <w:t xml:space="preserve">رابعا ً – معدل تغطية السوق المستهدف للسنة الأولى:</w:t>
      </w:r>
    </w:p>
    <w:p>
      <w:pPr>
        <w:numPr>
          <w:ilvl w:val="0"/>
          <w:numId w:val="1054"/>
        </w:numPr>
        <w:pStyle w:val="Compact"/>
        <w:bidi/>
        <w:jc w:val="right"/>
      </w:pPr>
      <w:r>
        <w:rPr>
          <w:rtl/>
        </w:rPr>
        <w:t xml:space="preserve">التركيز الجغرافي على المنطقة الشرقية والوسطى (العلمة، برج بوعريريج، سطيف، الجزائر العاصمة) قبل التوسع الوطني في السنة الثانية.</w:t>
      </w:r>
    </w:p>
    <w:p>
      <w:pPr>
        <w:pBdr>
          <w:right w:val="single" w:sz="24" w:space="6" w:color="008080"/>
        </w:pBdr>
        <w:bidi/>
        <w:jc w:val="right"/>
      </w:pPr>
      <w:r>
        <w:rPr>
          <w:b/>
          <w:color w:val="008080"/>
          <w:sz w:val="25"/>
          <w:rtl/>
        </w:rPr>
        <w:t xml:space="preserve">13.2 الشهادات والتراخيص المؤسسية (Certifications &amp; Compliance)</w:t>
      </w:r>
    </w:p>
    <w:p>
      <w:pPr>
        <w:bidi/>
        <w:jc w:val="right"/>
      </w:pPr>
      <w:r>
        <w:rPr>
          <w:rtl/>
        </w:rPr>
        <w:t xml:space="preserve">أولا ً – شهادة التوافق الكهرومغناطيسي ورخصة SONELGAZ:</w:t>
      </w:r>
    </w:p>
    <w:p>
      <w:pPr>
        <w:numPr>
          <w:ilvl w:val="0"/>
          <w:numId w:val="1055"/>
        </w:numPr>
        <w:bidi/>
        <w:jc w:val="right"/>
      </w:pPr>
      <w:r>
        <w:rPr>
          <w:rtl/>
        </w:rPr>
        <w:t xml:space="preserve">الحصول على شهادة عدم التشويش الكهرومغناطيسي (EMC Compliance) كشرط مسبق لربط المنتج بشبكة سونلغاز دون التأثير على جودة التيار للمستخدمين الآخرين.</w:t>
      </w:r>
    </w:p>
    <w:p>
      <w:pPr>
        <w:numPr>
          <w:ilvl w:val="0"/>
          <w:numId w:val="1055"/>
        </w:numPr>
        <w:bidi/>
        <w:jc w:val="right"/>
      </w:pPr>
      <w:r>
        <w:rPr>
          <w:rtl/>
        </w:rPr>
        <w:t xml:space="preserve">التنسيق مع مديرية التوزيع المحلية لسونلغاز لأي اختبارات تتعلق بالتوافق مع مواصفات الشبكة الكهربائية الجزائرية (220V ±10%، 50Hz).</w:t>
      </w:r>
    </w:p>
    <w:p>
      <w:pPr>
        <w:bidi/>
        <w:jc w:val="right"/>
      </w:pPr>
      <w:r>
        <w:rPr>
          <w:rtl/>
        </w:rPr>
        <w:t xml:space="preserve">ثانيا ً – مسار اعتماد ISO 9001 الكامل (Full Certification Roadmap):</w:t>
      </w:r>
    </w:p>
    <w:p>
      <w:pPr>
        <w:numPr>
          <w:ilvl w:val="0"/>
          <w:numId w:val="1056"/>
        </w:numPr>
        <w:bidi/>
        <w:jc w:val="right"/>
      </w:pPr>
      <w:r>
        <w:rPr>
          <w:rtl/>
        </w:rPr>
        <w:t xml:space="preserve">المرحلة الحالية (السنة 1): تطبيق «روح ISO 9001» داخلياً عبر التوثيق اليومي والتدقيق الداخلي نصف السنوي (مذكور في البند 4.7) دون شهادة رسمية معتمدة من جهة خارجية.</w:t>
      </w:r>
    </w:p>
    <w:p>
      <w:pPr>
        <w:numPr>
          <w:ilvl w:val="0"/>
          <w:numId w:val="1056"/>
        </w:numPr>
        <w:bidi/>
        <w:jc w:val="right"/>
      </w:pPr>
      <w:r>
        <w:rPr>
          <w:rtl/>
        </w:rPr>
        <w:t xml:space="preserve">المرحلة الثانية (السنة 2): الاستعانة بمكتب استشاري معتمد لإجراء تدقيق تمهيدي (Gap Analysis) لتحديد الفجوات بين الممارسات الحالية ومتطلبات ISO 9001:2015 الكاملة.</w:t>
      </w:r>
    </w:p>
    <w:p>
      <w:pPr>
        <w:numPr>
          <w:ilvl w:val="0"/>
          <w:numId w:val="1056"/>
        </w:numPr>
        <w:bidi/>
        <w:jc w:val="right"/>
      </w:pPr>
      <w:r>
        <w:rPr>
          <w:rtl/>
        </w:rPr>
        <w:t xml:space="preserve">المرحلة الثالثة (السنة 3): التقديم الرسمي لهيئة اعتماد معتمدة دولياً (مثل TÜV أو SGS أو هيئة جزائرية معتمدة من IANOR) لإجراء التدقيق الخارجي والحصول على الشهادة الرسمية.</w:t>
      </w:r>
    </w:p>
    <w:p>
      <w:pPr>
        <w:numPr>
          <w:ilvl w:val="0"/>
          <w:numId w:val="1056"/>
        </w:numPr>
        <w:bidi/>
        <w:jc w:val="right"/>
      </w:pPr>
      <w:r>
        <w:rPr>
          <w:rtl/>
        </w:rPr>
        <w:t xml:space="preserve">التكلفة التقديرية لمسار الاعتماد الكامل: تتراوح عادة بين 300,000 و 800,000 دج حسب الهيئة المعتمدة وحجم المنشأة، وتُدرَج ضمن خطة الاستثمار للسنة الثالثة.</w:t>
      </w:r>
    </w:p>
    <w:p>
      <w:pPr>
        <w:bidi/>
        <w:jc w:val="right"/>
      </w:pPr>
      <w:r>
        <w:rPr>
          <w:rtl/>
        </w:rPr>
        <w:t xml:space="preserve">ثالثا ً – الشهادات التقنية الإلزامية للمنتج:</w:t>
      </w:r>
    </w:p>
    <w:p>
      <w:pPr>
        <w:numPr>
          <w:ilvl w:val="0"/>
          <w:numId w:val="1057"/>
        </w:numPr>
        <w:bidi/>
        <w:jc w:val="right"/>
      </w:pPr>
      <w:r>
        <w:rPr>
          <w:rtl/>
        </w:rPr>
        <w:t xml:space="preserve">شهادة CEE/CEEE من IANOR أو جهة معتمدة من OREE (مذكورة في البند 4.7) — إلزامية لتسويق أي منتج إضاءة في السوق الجزائري.</w:t>
      </w:r>
    </w:p>
    <w:p>
      <w:pPr>
        <w:numPr>
          <w:ilvl w:val="0"/>
          <w:numId w:val="1057"/>
        </w:numPr>
        <w:bidi/>
        <w:jc w:val="right"/>
      </w:pPr>
      <w:r>
        <w:rPr>
          <w:rtl/>
        </w:rPr>
        <w:t xml:space="preserve">شهادة RoHS لإثبات خلو المكونات من المواد الخطرة (مذكورة في البند 4.7) — تُطلب غالباً من الزبائن المؤسسيين والمقاولين الكبار.</w:t>
      </w:r>
    </w:p>
    <w:p>
      <w:pPr>
        <w:numPr>
          <w:ilvl w:val="0"/>
          <w:numId w:val="1057"/>
        </w:numPr>
        <w:bidi/>
        <w:jc w:val="right"/>
      </w:pPr>
      <w:r>
        <w:rPr>
          <w:rtl/>
        </w:rPr>
        <w:t xml:space="preserve">شهادة LM-80 لرقاقات LED من المورد (مذكورة في البند 4.2) — تُستخدم كحجة تسويقية لإثبات جودة العمر الافتراضي للمنتج.</w:t>
      </w:r>
    </w:p>
    <w:p>
      <w:pPr>
        <w:pBdr>
          <w:right w:val="single" w:sz="24" w:space="6" w:color="008080"/>
        </w:pBdr>
        <w:bidi/>
        <w:jc w:val="right"/>
      </w:pPr>
      <w:r>
        <w:rPr>
          <w:b/>
          <w:color w:val="008080"/>
          <w:sz w:val="25"/>
          <w:rtl/>
        </w:rPr>
        <w:t xml:space="preserve">13.3 استراتيجية المنافسة مع المنتجات الصينية المستوردة</w:t>
      </w:r>
    </w:p>
    <w:p>
      <w:pPr>
        <w:bidi/>
        <w:jc w:val="right"/>
      </w:pPr>
      <w:r>
        <w:rPr>
          <w:rtl/>
        </w:rPr>
        <w:t xml:space="preserve">يواجه المنتج المحلي منافسة مباشرة من المصابيح الصينية الرخيصة (90-110 دج للوحدة) ذات الجودة المنخفضة وعمر تشغيلي أقل من 1,000 ساعة. تعتمد جَنَّة لايت على المحاور التالية لمواجهة هذه المنافسة دون الدخول في حرب أسعار خاسرة:</w:t>
      </w:r>
    </w:p>
    <w:tbl>
      <w:tblPr>
        <w:tblStyle w:val="Table"/>
        <w:bidiVisual/>
        <w:tblW w:type="pct" w:w="5000"/>
        <w:tblLook w:firstRow="1" w:lastRow="0" w:firstColumn="0" w:lastColumn="0" w:noHBand="0" w:noVBand="0" w:val="0020"/>
        <w:jc w:val="right"/>
      </w:tblPr>
      <w:tblGrid>
        <w:gridCol w:w="2640"/>
        <w:gridCol w:w="2640"/>
        <w:gridCol w:w="264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محور المنافسة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الميزة التنافسية لجَنَّة لايت</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المنتج الصيني الرخيص</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الجودة والعمر الافتراضي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&gt; 25,000 ساعة، CRI &gt; 80، LM-80 معتمد</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&lt; 1,000 ساعة، جودة ضوء غير مضبوطة</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الضمان</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24 شهراً كاملة مع خدمة ما بعد البيع محلياً</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بدون ضمان فعلي أو خدمة متابعة</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الحماية الكهربائية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Fusible + Zener Diode مدمجان (يعالج 80% من أعطال السوق)</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غالباً بدون عناصر حماية كهربائية</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الهوية والثقة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«صنع في الجزائر» + دعم محلي مباشر + قطع غيار متاحة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منتج مستورد بدون أي ضمان متابعة</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السعر</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1,000 دج (وسطي، مع جودة وضمان حقيقيين)</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90-110 دج (بدون أي ضمان جودة)</w:t>
            </w:r>
          </w:p>
        </w:tc>
      </w:tr>
    </w:tbl>
    <w:p>
      <w:pPr>
        <w:bidi/>
        <w:jc w:val="right"/>
      </w:pPr>
      <w:r>
        <w:rPr>
          <w:rtl/>
          <w:bCs/>
          <w:b/>
        </w:rPr>
        <w:t xml:space="preserve">الرسالة التسويقية المحورية:</w:t>
      </w:r>
      <w:r>
        <w:rPr>
          <w:rtl/>
        </w:rPr>
        <w:t xml:space="preserve"> </w:t>
      </w:r>
      <w:r>
        <w:rPr>
          <w:rtl/>
        </w:rPr>
        <w:t xml:space="preserve">لا تنافس جَنَّة لايت المنتج الصيني الرخيص على السعر المباشر، بل تتموضع في فئة «الجودة المضمونة بسعر معقول» — أقل تكلفة من المنتج الأوروبي المستورد، وأعلى جودة وضماناً من المنتج الصيني الرخيص، وهو ما يُعرف تسويقياً بـ Value-for-Money Positioning.</w:t>
      </w:r>
    </w:p>
    <w:p>
      <w:pPr>
        <w:numPr>
          <w:ilvl w:val="0"/>
          <w:numId w:val="1058"/>
        </w:numPr>
        <w:bidi/>
        <w:jc w:val="right"/>
      </w:pPr>
      <w:r>
        <w:rPr>
          <w:rtl/>
        </w:rPr>
        <w:t xml:space="preserve">استهداف الزبائن الذين عانوا سابقاً من أعطال متكررة في المنتجات الصينية الرخيصة، عبر رسائل تسويقية تركز على «التكلفة الحقيقية على المدى الطويل» (Total Cost of Ownership) — استبدال لمبة صينية كل سنة مقابل لمبة جَنَّة لايت تدوم سنتين بضمان.</w:t>
      </w:r>
    </w:p>
    <w:p>
      <w:pPr>
        <w:numPr>
          <w:ilvl w:val="0"/>
          <w:numId w:val="1058"/>
        </w:numPr>
        <w:bidi/>
        <w:jc w:val="right"/>
      </w:pPr>
      <w:r>
        <w:rPr>
          <w:rtl/>
        </w:rPr>
        <w:t xml:space="preserve">الاستفادة من رسوم الاستيراد والجمارك والشحن التي يتحملها المستورد الصيني (≈ 70 دج إضافية لكل وحدة وفق بيانات المقارنة التنافسية)، مما يضيق الفارق السعري الحقيقي بين المنتجين.</w:t>
      </w:r>
    </w:p>
    <w:p>
      <w:pPr>
        <w:pBdr>
          <w:right w:val="single" w:sz="24" w:space="6" w:color="008080"/>
        </w:pBdr>
        <w:bidi/>
        <w:jc w:val="right"/>
      </w:pPr>
      <w:r>
        <w:rPr>
          <w:b/>
          <w:color w:val="008080"/>
          <w:sz w:val="25"/>
          <w:rtl/>
        </w:rPr>
        <w:t xml:space="preserve">13.4 خطة المبيعات الشهرية المرتبطة بخطة الإنتاج</w:t>
      </w:r>
    </w:p>
    <w:p>
      <w:pPr>
        <w:bidi/>
        <w:jc w:val="right"/>
      </w:pPr>
      <w:r>
        <w:rPr>
          <w:rtl/>
        </w:rPr>
        <w:t xml:space="preserve">تُربط خطة المبيعات مباشرة بجدول التصعيد الإنتاجي الشهري (البند 2.2) لضمان عدم تراكم مخزون راكد أو نقص في التوريد:</w:t>
      </w:r>
    </w:p>
    <w:p>
      <w:pPr>
        <w:numPr>
          <w:ilvl w:val="0"/>
          <w:numId w:val="1059"/>
        </w:numPr>
        <w:bidi/>
        <w:jc w:val="right"/>
      </w:pPr>
      <w:r>
        <w:rPr>
          <w:rtl/>
        </w:rPr>
        <w:t xml:space="preserve">الأشهر 1-2: التركيز على بناء قاعدة زبائن أولية (5-10 تجار جملة + 3-5 مقاولين) دون ضغط بيعي كبير، لأن الإنتاج موجَّه أساساً لبناء مخزون الأمان.</w:t>
      </w:r>
    </w:p>
    <w:p>
      <w:pPr>
        <w:numPr>
          <w:ilvl w:val="0"/>
          <w:numId w:val="1059"/>
        </w:numPr>
        <w:bidi/>
        <w:jc w:val="right"/>
      </w:pPr>
      <w:r>
        <w:rPr>
          <w:rtl/>
        </w:rPr>
        <w:t xml:space="preserve">الأشهر 3-6: تكثيف الجهد البيعي بالتوازي مع ارتفاع الإنتاج إلى 6,000-7,000 وحدة/شهر، مع توسيع شبكة التوزيع لتشمل ولايات إضافية.</w:t>
      </w:r>
    </w:p>
    <w:p>
      <w:pPr>
        <w:numPr>
          <w:ilvl w:val="0"/>
          <w:numId w:val="1059"/>
        </w:numPr>
        <w:bidi/>
        <w:jc w:val="right"/>
      </w:pPr>
      <w:r>
        <w:rPr>
          <w:rtl/>
        </w:rPr>
        <w:t xml:space="preserve">الأشهر 7-12: استهداف عقود توريد دورية ثابتة مع كبار الموزعين لضمان استيعاب الإنتاج المتصاعد (8,000-9,000 وحدة/شهر) دون مخاطر تكدّس المخزون.</w:t>
      </w:r>
    </w:p>
    <w:p>
      <w:pPr>
        <w:numPr>
          <w:ilvl w:val="0"/>
          <w:numId w:val="1059"/>
        </w:numPr>
        <w:bidi/>
        <w:jc w:val="right"/>
      </w:pPr>
      <w:r>
        <w:rPr>
          <w:rtl/>
          <w:bCs/>
          <w:b/>
        </w:rPr>
        <w:t xml:space="preserve">مؤشر المتابعة الشهري:</w:t>
      </w:r>
      <w:r>
        <w:rPr>
          <w:rtl/>
        </w:rPr>
        <w:t xml:space="preserve"> </w:t>
      </w:r>
      <w:r>
        <w:rPr>
          <w:rtl/>
        </w:rPr>
        <w:t xml:space="preserve">نسبة المخزون المباع (Sell-through Rate) يجب أن تبقى ≥ 90% من الإنتاج الشهري لتجنب تكدّس المخزون أو الحاجة لتخفيضات طارئة.</w:t>
      </w:r>
    </w:p>
    <w:tbl>
      <w:tblPr>
        <w:tblStyle w:val="Table"/>
        <w:bidiVisual/>
        <w:tblW w:type="pct" w:w="500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E9EDF2"/>
          </w:tcPr>
          <w:p>
            <w:pPr>
              <w:pStyle w:val="Compact"/>
              <w:bidi/>
              <w:jc w:val="right"/>
            </w:pPr>
            <w:r>
              <w:rPr>
                <w:color w:val="0D3B66"/>
                <w:sz w:val="29"/>
                <w:rtl/>
                <w:bCs/>
                <w:b/>
              </w:rPr>
              <w:t xml:space="preserve">الفصل الرابع عشر: مصفوفة السلطات والاعتمادات التنفيذية (Matrice des Autorités et Approbations Exécutives)</w:t>
            </w:r>
          </w:p>
        </w:tc>
      </w:tr>
    </w:tbl>
    <w:p>
      <w:pPr>
        <w:pBdr>
          <w:right w:val="single" w:sz="24" w:space="6" w:color="008080"/>
        </w:pBdr>
        <w:bidi/>
        <w:jc w:val="right"/>
      </w:pPr>
      <w:r>
        <w:rPr>
          <w:color w:val="008080"/>
          <w:sz w:val="25"/>
          <w:rtl/>
          <w:bCs/>
          <w:b/>
        </w:rPr>
        <w:t xml:space="preserve">14.0 المبدأ العام</w:t>
      </w:r>
    </w:p>
    <w:p>
      <w:pPr>
        <w:bidi/>
        <w:jc w:val="right"/>
      </w:pPr>
      <w:r>
        <w:rPr>
          <w:rtl/>
        </w:rPr>
        <w:t xml:space="preserve">لا يُعتبر أي إجراء تنفيذي في هذا الدليل نافذاً إلا إذا كان مرتبطاً بمسمى وظيفي محدد يملك صلاحية اعتماده. الغاية من هذا الفصل سد الفجوة بين المفاهيم النظرية الواردة في باقي فصول الدليل (الجودة، المخزون، الموردين، السلامة) وبين التطبيق العملي اليومي، عبر تحديد</w:t>
      </w:r>
      <w:r>
        <w:rPr>
          <w:rtl/>
        </w:rPr>
        <w:t xml:space="preserve"> </w:t>
      </w:r>
      <w:r>
        <w:rPr>
          <w:rtl/>
          <w:bCs/>
          <w:b/>
        </w:rPr>
        <w:t xml:space="preserve">من يقرر</w:t>
      </w:r>
      <w:r>
        <w:rPr>
          <w:rtl/>
        </w:rPr>
        <w:t xml:space="preserve"> </w:t>
      </w:r>
      <w:r>
        <w:rPr>
          <w:rtl/>
        </w:rPr>
        <w:t xml:space="preserve">و</w:t>
      </w:r>
      <w:r>
        <w:rPr>
          <w:rtl/>
          <w:bCs/>
          <w:b/>
        </w:rPr>
        <w:t xml:space="preserve">بأي سقف</w:t>
      </w:r>
      <w:r>
        <w:rPr>
          <w:rtl/>
        </w:rPr>
        <w:t xml:space="preserve"> </w:t>
      </w:r>
      <w:r>
        <w:rPr>
          <w:rtl/>
        </w:rPr>
        <w:t xml:space="preserve">و</w:t>
      </w:r>
      <w:r>
        <w:rPr>
          <w:rtl/>
          <w:bCs/>
          <w:b/>
        </w:rPr>
        <w:t xml:space="preserve">استناداً إلى أي مرجع</w:t>
      </w:r>
      <w:r>
        <w:rPr>
          <w:rtl/>
        </w:rPr>
        <w:t xml:space="preserve">. هذه المصفوفة وثيقة إلزامية يُرجع إليها عند أي خلاف حول صلاحية اتخاذ قرار، وتُراجع بنفس وتيرة المراجعة السنوية للدليل (راجع جدول المراجعة السنوية).</w:t>
      </w:r>
    </w:p>
    <w:p>
      <w:pPr>
        <w:pBdr>
          <w:right w:val="single" w:sz="24" w:space="6" w:color="008080"/>
        </w:pBdr>
        <w:bidi/>
        <w:jc w:val="right"/>
      </w:pPr>
      <w:r>
        <w:rPr>
          <w:color w:val="008080"/>
          <w:sz w:val="25"/>
          <w:rtl/>
          <w:bCs/>
          <w:b/>
        </w:rPr>
        <w:t xml:space="preserve">14.1 مصفوفة السلطات والاعتمادات (Matrice des Autorités)</w:t>
      </w:r>
    </w:p>
    <w:tbl>
      <w:tblPr>
        <w:tblStyle w:val="Table"/>
        <w:bidiVisual/>
        <w:tblW w:type="pct" w:w="5000"/>
        <w:tblLook w:firstRow="1" w:lastRow="0" w:firstColumn="0" w:lastColumn="0" w:noHBand="0" w:noVBand="0" w:val="0020"/>
        <w:jc w:val="right"/>
      </w:tblPr>
      <w:tblGrid>
        <w:gridCol w:w="1980"/>
        <w:gridCol w:w="1980"/>
        <w:gridCol w:w="1980"/>
        <w:gridCol w:w="198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الإجراء التنفيذي</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المسمى الوظيفي المعتمِد</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الشرط أو السقف</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المرجع في الدليل</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اعتماد الشراء المالي الروتيني (قطع غيار، مستهلكات)</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عامل الدعم التقني يطلب، والمشرف المباشر يعتمد</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حتى 20,000 دج للطلب الواحد</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البند 8.1، 12.3</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اعتماد الشراء المالي الكبير (آلات، ترقيات، عقود موردين)</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المدير التقني والمؤسس حصراً</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فوق 20,000 دج أو أي التزام تعاقدي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البند 2.1، 9.1</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اعتماد قرار إصلاح منتج مرتجَع</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فني الصيانة/المصلح المتخصص</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أي حالة قابلة للإصلاح الفوري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البند 5.11</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اعتماد قرار استبدال منتج ضمن الضمان</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الموزع المعتمد بعد فحص 48 ساعة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خلال 24 شهراً من الشراء</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البند 8.3</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اعتماد قرار الإتلاف/الشطب المحاسبي لوحدة أو دفعة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المشرف المباشر لكل وحدة، وجوباً بتوقيع مشترك من المدير التقني للدفعات &gt; 50 وحدة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راجع الفصل الخامس عشر (15.2)</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الفصل 15</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اعتماد تقرير الجودة النهائي (ختم QC Passed)</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عامل اختبار الجودة (QC) يوقّع يومياً، ومشرف الجودة يراجع أسبوعياً</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100% من الوحدات المغلَّفة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البند 8.1، 8.4</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اعتماد إيقاف خط الإنتاج (Stop Line)</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أي عامل يلاحظ خطر سلامة أو تجاوز 5% عيوب، تأكيد فوري من المشرف</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فوري بلا تأخير</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البند 6.4، 8.2، 8.4 (الطوارئ)</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اعتماد إعادة تشغيل الخط بعد التوقف</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المشرف المباشر بعد اجتياز دفعة اختبارية 100 وحدة بنسبة ≥ 95%</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إلزامي قبل أي استئناف</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البند 8.4</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اعتماد رفض دفعة واردة من مورد</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مشرف الجودة/الإنتاج</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تجاوز حد القبول المسموح به للعيوب (Limite de Qualité Acceptable)</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البند 4.5</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اعتماد تصنيف مورد «محظور» أو تعليقه مؤقتاً</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المدير التقني والمؤسس، بناءً على توصية مشرف الجودة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وفق مصفوفة تقييم الموردين</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الفصل 17، البند 4.5</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اعتماد صرف قطعة غيار من المخزون الاستراتيجي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عامل الدعم التقني بالتوثيق في نموذج الصيانة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مع إخطار فوري عند بلوغ 20% من المخزون</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البند 8.1، 10.1</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اعتماد قبول عامل جديد للعمل المستقل على خط الإنتاج</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المشرف المباشر بعد التقييم النهائي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معيار 25 بطاقة/يوم، عيوب ≤ 10%</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البند 6.6.ب</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اعتماد التوقيع على عقد التخلص من النفايات الخطرة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المدير التقني والمؤسس (توقيع العقد)، ومسؤول السلامة اليومي (توقيع كل تسليم فعلي)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إلزامي مع كل عملية تسليم</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الفصل 18</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اعتماد صرف مكافأة الإنتاج بالقطعة أو مكافأة «القطعة الذهبية»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المشرف المباشر، بتوقيع مشترك مع العامل المستفيد</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وفق جدول 6.5</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البند 6.5</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اعتماد قرض صندوق الولاء للعامل</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اللجنة الداخلية (3 عمال + المشرف)</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بعد 6 أشهر عمل متواصل</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البند 6.8</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اعتماد تحديث إجراءات العمل القياسية (تعليمات التشغيل القياسية) بعد حادثة CAPA</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مشرف الجودة يقترح، المدير التقني يعتمد التحديث النهائي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إلزامي بعد كل إجراء تصحيحي جذري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البند 5.12، 11.5</w:t>
            </w:r>
          </w:p>
        </w:tc>
      </w:tr>
    </w:tbl>
    <w:p>
      <w:pPr>
        <w:pBdr>
          <w:right w:val="single" w:sz="24" w:space="6" w:color="008080"/>
        </w:pBdr>
        <w:bidi/>
        <w:jc w:val="right"/>
      </w:pPr>
      <w:r>
        <w:rPr>
          <w:color w:val="008080"/>
          <w:sz w:val="25"/>
          <w:rtl/>
          <w:bCs/>
          <w:b/>
        </w:rPr>
        <w:t xml:space="preserve">14.2 مبدأ الاعتماد المزدوج (Principe de Double Validation)</w:t>
      </w:r>
    </w:p>
    <w:p>
      <w:pPr>
        <w:bidi/>
        <w:jc w:val="right"/>
      </w:pPr>
      <w:r>
        <w:rPr>
          <w:rtl/>
        </w:rPr>
        <w:t xml:space="preserve">أي قرار تتجاوز قيمته المالية 50,000 دج، أو يمسّ سلامة العمال، أو يؤثر على علاقة تعاقدية مع مورد أو زبون، يخضع إلزاماً لاعتماد مزدوج: توقيع الجهة التنفيذية المباشرة (المشرف أو المسؤول الوظيفي المعني) + توقيع المدير التقني والمؤسس كجهة اعتماد نهائية. يُوثَّق هذا الاعتماد المزدوج كتابياً في السجل المعني (سجل الشطب، سجل الموردين، سجل حوادث العمل، حسب الحالة) قبل تنفيذ القرار، لا بعده.</w:t>
      </w:r>
    </w:p>
    <w:p>
      <w:pPr>
        <w:pBdr>
          <w:right w:val="single" w:sz="24" w:space="6" w:color="008080"/>
        </w:pBdr>
        <w:bidi/>
        <w:jc w:val="right"/>
      </w:pPr>
      <w:r>
        <w:rPr>
          <w:color w:val="008080"/>
          <w:sz w:val="25"/>
          <w:rtl/>
          <w:bCs/>
          <w:b/>
        </w:rPr>
        <w:t xml:space="preserve">14.3 ملاحظة تطبيقية</w:t>
      </w:r>
    </w:p>
    <w:p>
      <w:pPr>
        <w:bidi/>
        <w:jc w:val="right"/>
      </w:pPr>
      <w:r>
        <w:rPr>
          <w:rtl/>
        </w:rPr>
        <w:t xml:space="preserve">هذه المصفوفة لا تُلغي أو تُعدِّل أي صلاحية مذكورة صراحة في الفصول الأخرى من الدليل، بل تُجمِّعها في مرجع واحد سريع الاستدعاء. عند وجود تعارض ظاهري بين هذا الفصل وأي بند آخر، يُعتمَد البند الأكثر تفصيلاً وتحديداً للحالة موضوع القرار.</w:t>
      </w:r>
    </w:p>
    <w:tbl>
      <w:tblPr>
        <w:tblStyle w:val="Table"/>
        <w:bidiVisual/>
        <w:tblW w:type="pct" w:w="500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E9EDF2"/>
          </w:tcPr>
          <w:p>
            <w:pPr>
              <w:pStyle w:val="Compact"/>
              <w:bidi/>
              <w:jc w:val="right"/>
            </w:pPr>
            <w:r>
              <w:rPr>
                <w:color w:val="0D3B66"/>
                <w:sz w:val="29"/>
                <w:rtl/>
                <w:bCs/>
                <w:b/>
              </w:rPr>
              <w:t xml:space="preserve">الفصل الخامس عشر: مخطط سير عمل المرتجعات والصيانة الكامل وآلية الشطب المحاسبي (Logigramme Complet du Flux des Retours, de la Maintenance et de la Radiation Comptable)</w:t>
            </w:r>
          </w:p>
        </w:tc>
      </w:tr>
    </w:tbl>
    <w:p>
      <w:pPr>
        <w:pBdr>
          <w:right w:val="single" w:sz="24" w:space="6" w:color="008080"/>
        </w:pBdr>
        <w:bidi/>
        <w:jc w:val="right"/>
      </w:pPr>
      <w:r>
        <w:rPr>
          <w:color w:val="008080"/>
          <w:sz w:val="25"/>
          <w:rtl/>
          <w:bCs/>
          <w:b/>
        </w:rPr>
        <w:t xml:space="preserve">15.0 الغاية من الفصل</w:t>
      </w:r>
    </w:p>
    <w:p>
      <w:pPr>
        <w:bidi/>
        <w:jc w:val="right"/>
      </w:pPr>
      <w:r>
        <w:rPr>
          <w:rtl/>
        </w:rPr>
        <w:t xml:space="preserve">يفصِّل هذا الفصل المسار التنفيذي الكامل لأي منتج مرتجَع أو تالف، من لحظة استلامه إلى غاية إغلاق ملفه (إصلاح وإعادة إلى المخزون، أو شطب محاسبي نهائي)، ويحوّل بروتوكول إصلاح المرتجعات (البند 5.11) وبروتوكول الضمان المعتمد (البند 8.3) من إجراءين وصفيين إلى مسار قرار مرقَّم بصلاحيات واضحة، تكاملاً مع مصفوفة السلطات (الفصل 14).</w:t>
      </w:r>
    </w:p>
    <w:p>
      <w:pPr>
        <w:pBdr>
          <w:right w:val="single" w:sz="24" w:space="6" w:color="008080"/>
        </w:pBdr>
        <w:bidi/>
        <w:jc w:val="right"/>
      </w:pPr>
      <w:r>
        <w:rPr>
          <w:color w:val="008080"/>
          <w:sz w:val="25"/>
          <w:rtl/>
          <w:bCs/>
          <w:b/>
        </w:rPr>
        <w:t xml:space="preserve">15.1 خطوات سير العمل التسلسلية (Étapes du Logigramme)</w:t>
      </w:r>
    </w:p>
    <w:p>
      <w:pPr>
        <w:numPr>
          <w:ilvl w:val="0"/>
          <w:numId w:val="1060"/>
        </w:numPr>
        <w:pStyle w:val="Compact"/>
        <w:bidi/>
        <w:jc w:val="right"/>
      </w:pPr>
      <w:r>
        <w:rPr>
          <w:rtl/>
          <w:bCs/>
          <w:b/>
        </w:rPr>
        <w:t xml:space="preserve">الاستلام والتسجيل</w:t>
      </w:r>
      <w:r>
        <w:rPr>
          <w:rtl/>
        </w:rPr>
        <w:t xml:space="preserve">: يُسجَّل المنتج المرتجَع فور استلامه في «سجل المرتجعات» (بروتوكول إدارة المرتجعات وصيانة ما بعد البيع) ببيانات: رقم الدفعة، تاريخ الإنتاج والبيع، وصف العطل، اسم الزبون أو الموزع.</w:t>
      </w:r>
    </w:p>
    <w:p>
      <w:pPr>
        <w:numPr>
          <w:ilvl w:val="0"/>
          <w:numId w:val="1060"/>
        </w:numPr>
        <w:pStyle w:val="Compact"/>
        <w:bidi/>
        <w:jc w:val="right"/>
      </w:pPr>
      <w:r>
        <w:rPr>
          <w:rtl/>
          <w:bCs/>
          <w:b/>
        </w:rPr>
        <w:t xml:space="preserve">الفرز الأولي (Tri Initial)</w:t>
      </w:r>
      <w:r>
        <w:rPr>
          <w:rtl/>
        </w:rPr>
        <w:t xml:space="preserve">: يفحص فني الصيانة القطعة بصرياً وكهربائياً خلال 48 ساعة كحد أقصى من الاستلام (متوافق مع مهلة إجراء المطالبة في البند 8.3)، ويصنّفها ضمن إحدى ثلاث فئات: قابلة للإصلاح الفوري / تستدعي تحليل فشل متعمق / غير قابلة للإصلاح.</w:t>
      </w:r>
    </w:p>
    <w:p>
      <w:pPr>
        <w:numPr>
          <w:ilvl w:val="0"/>
          <w:numId w:val="1060"/>
        </w:numPr>
        <w:pStyle w:val="Compact"/>
        <w:pBdr>
          <w:right w:val="single" w:sz="16" w:space="6" w:color="008080"/>
        </w:pBdr>
        <w:bidi/>
        <w:jc w:val="right"/>
      </w:pPr>
      <w:r>
        <w:rPr>
          <w:color w:val="008080"/>
          <w:sz w:val="23"/>
          <w:rtl/>
          <w:bCs/>
          <w:b/>
        </w:rPr>
        <w:t xml:space="preserve">التحويل حسب الفئة</w:t>
      </w:r>
      <w:r>
        <w:rPr>
          <w:b/>
          <w:color w:val="008080"/>
          <w:sz w:val="23"/>
          <w:rtl/>
        </w:rPr>
        <w:t xml:space="preserve">:</w:t>
      </w:r>
    </w:p>
    <w:p>
      <w:pPr>
        <w:numPr>
          <w:ilvl w:val="1"/>
          <w:numId w:val="1061"/>
        </w:numPr>
        <w:pStyle w:val="Compact"/>
        <w:bidi/>
        <w:jc w:val="right"/>
      </w:pPr>
      <w:r>
        <w:rPr>
          <w:rtl/>
        </w:rPr>
        <w:t xml:space="preserve">قابلة للإصلاح الفوري ← تنفيذ بروتوكول الإصلاح (5.11) مباشرة دون حاجة لاعتماد إضافي.</w:t>
      </w:r>
    </w:p>
    <w:p>
      <w:pPr>
        <w:numPr>
          <w:ilvl w:val="1"/>
          <w:numId w:val="1061"/>
        </w:numPr>
        <w:pStyle w:val="Compact"/>
        <w:bidi/>
        <w:jc w:val="right"/>
      </w:pPr>
      <w:r>
        <w:rPr>
          <w:rtl/>
        </w:rPr>
        <w:t xml:space="preserve">تستدعي تحليل فشل متعمق ← إحالة لمحطة الإصلاح المعزولة، وربط النتيجة باختبار العزل (5.10) لتحديد ما إذا كان السبب لحام أو عازل أو مكوّن مستورد معيب.</w:t>
      </w:r>
    </w:p>
    <w:p>
      <w:pPr>
        <w:numPr>
          <w:ilvl w:val="1"/>
          <w:numId w:val="1061"/>
        </w:numPr>
        <w:pStyle w:val="Compact"/>
        <w:bidi/>
        <w:jc w:val="right"/>
      </w:pPr>
      <w:r>
        <w:rPr>
          <w:rtl/>
        </w:rPr>
        <w:t xml:space="preserve">غير قابلة للإصلاح ← إحالة مباشرة لمصفوفة صلاحيات القرار (15.2) لاعتماد الشطب.</w:t>
      </w:r>
    </w:p>
    <w:p>
      <w:pPr>
        <w:numPr>
          <w:ilvl w:val="0"/>
          <w:numId w:val="1060"/>
        </w:numPr>
        <w:pStyle w:val="Compact"/>
        <w:bidi/>
        <w:jc w:val="right"/>
      </w:pPr>
      <w:r>
        <w:rPr>
          <w:rtl/>
          <w:bCs/>
          <w:b/>
        </w:rPr>
        <w:t xml:space="preserve">إعادة الاختبار والتوثيق</w:t>
      </w:r>
      <w:r>
        <w:rPr>
          <w:rtl/>
        </w:rPr>
        <w:t xml:space="preserve">: كل قطعة أُصلِحت تمر إلزامياً ببروتوكول التنظيف الكيميائي (5.3) ثم اختبار حرق مدته 4 ساعات (وفق 5.11) قبل إعادتها للمخزون السليم، مع توثيق النتيجة في سجل الإنتاج اليومي.</w:t>
      </w:r>
    </w:p>
    <w:p>
      <w:pPr>
        <w:numPr>
          <w:ilvl w:val="0"/>
          <w:numId w:val="1060"/>
        </w:numPr>
        <w:pStyle w:val="Compact"/>
        <w:bidi/>
        <w:jc w:val="right"/>
      </w:pPr>
      <w:r>
        <w:rPr>
          <w:rtl/>
          <w:bCs/>
          <w:b/>
        </w:rPr>
        <w:t xml:space="preserve">إغلاق الملف</w:t>
      </w:r>
      <w:r>
        <w:rPr>
          <w:rtl/>
        </w:rPr>
        <w:t xml:space="preserve">: يُغلَق ملف المرتجَع بأحد مسارين فقط: «أُعيد للمخزون بنجاح» أو «شُطب محاسبياً» — لا يُسمح ببقاء أي وحدة في حالة معلَّقة أكثر من 7 أيام عمل.</w:t>
      </w:r>
    </w:p>
    <w:p>
      <w:pPr>
        <w:pBdr>
          <w:right w:val="single" w:sz="24" w:space="6" w:color="008080"/>
        </w:pBdr>
        <w:bidi/>
        <w:jc w:val="right"/>
      </w:pPr>
      <w:r>
        <w:rPr>
          <w:color w:val="008080"/>
          <w:sz w:val="25"/>
          <w:rtl/>
          <w:bCs/>
          <w:b/>
        </w:rPr>
        <w:t xml:space="preserve">15.2 مصفوفة صلاحيات القرار (Matrice des Autorisations de Décision)</w:t>
      </w:r>
    </w:p>
    <w:tbl>
      <w:tblPr>
        <w:tblStyle w:val="Table"/>
        <w:bidiVisual/>
        <w:tblW w:type="pct" w:w="5000"/>
        <w:tblLook w:firstRow="1" w:lastRow="0" w:firstColumn="0" w:lastColumn="0" w:noHBand="0" w:noVBand="0" w:val="0020"/>
        <w:jc w:val="right"/>
      </w:tblPr>
      <w:tblGrid>
        <w:gridCol w:w="1980"/>
        <w:gridCol w:w="1980"/>
        <w:gridCol w:w="1980"/>
        <w:gridCol w:w="198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الحالة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القرار المتاح</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الجهة المخوَّلة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المهلة الزمنية القصوى</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عطل بسيط قابل للإصلاح الفوري (لحام بارد، جسر قصدير)</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إصلاح مباشر وإعادة اختبار</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فني الصيانة / المصلح المتخصص</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خلال نفس الوردية</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عطل متكرر على أكثر من 5% من نفس الدفعة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عزل الدفعة كاملة + تفعيل بروتوكولات الإجراءات التصحيحية الطارئة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مشرف الجودة، بإخطار فوري للمدير التقني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فوري (راجع البند 5.12)</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منتج غير قابل للإصلاح (هيكل مكسور، احتراق داخلي، انهيار عازل متكرر)</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شطب وإتلاف نهائي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المشرف المباشر لكل وحدة منفردة؛ توقيع مشترك مع المدير التقني للدفعات التي تفوق 50 وحدة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خلال 48 ساعة من تحديد التشخيص</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شبهة عيب تصنيع جماعي من مورد محدد</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إحالة لسجل الموردين وطلب Corrective Action Plan</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مشرف الجودة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حسب البند 4.5 (فوري)</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طلب استبدال ضمن الضمان الساري (24 شهراً)</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استبدال فوري بدون رسوم</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الموزع المعتمد بعد فحص 48 ساعة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خلال 48 ساعة (وفق 8.3)</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منتج خارج فترة الضمان أو ناتج عن سوء استخدام (البند 8.3)</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رفض الاستبدال المجاني، عرض إصلاح مدفوع</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المشرف المباشر بالتنسيق مع خدمة ما بعد البيع</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خلال 5 أيام عمل</w:t>
            </w:r>
          </w:p>
        </w:tc>
      </w:tr>
    </w:tbl>
    <w:p>
      <w:pPr>
        <w:pBdr>
          <w:right w:val="single" w:sz="24" w:space="6" w:color="008080"/>
        </w:pBdr>
        <w:bidi/>
        <w:jc w:val="right"/>
      </w:pPr>
      <w:r>
        <w:rPr>
          <w:color w:val="008080"/>
          <w:sz w:val="25"/>
          <w:rtl/>
          <w:bCs/>
          <w:b/>
        </w:rPr>
        <w:t xml:space="preserve">15.3 بروتوكول الشحن والتعامل مع القطع التالفة (Protocole d’Expédition et de Manutention des Pièces Défectueuses)</w:t>
      </w:r>
    </w:p>
    <w:p>
      <w:pPr>
        <w:numPr>
          <w:ilvl w:val="0"/>
          <w:numId w:val="1062"/>
        </w:numPr>
        <w:pStyle w:val="Compact"/>
        <w:bidi/>
        <w:jc w:val="right"/>
      </w:pPr>
      <w:r>
        <w:rPr>
          <w:rtl/>
          <w:bCs/>
          <w:b/>
        </w:rPr>
        <w:t xml:space="preserve">التعبئة</w:t>
      </w:r>
      <w:r>
        <w:rPr>
          <w:rtl/>
        </w:rPr>
        <w:t xml:space="preserve"> </w:t>
      </w:r>
      <w:r>
        <w:rPr>
          <w:rtl/>
        </w:rPr>
        <w:t xml:space="preserve">: كل بطاقة PCB مرتجعة تُعبَّأ فوراً في كيس مضاد للتفريغ الكهربائي الساكن (Décharge Électrostatique) مستقل، منعاً لأي تلف إضافي أثناء النقل الداخلي أو الخارجي.</w:t>
      </w:r>
    </w:p>
    <w:p>
      <w:pPr>
        <w:numPr>
          <w:ilvl w:val="0"/>
          <w:numId w:val="1062"/>
        </w:numPr>
        <w:pStyle w:val="Compact"/>
        <w:bidi/>
        <w:jc w:val="right"/>
      </w:pPr>
      <w:r>
        <w:rPr>
          <w:rtl/>
          <w:bCs/>
          <w:b/>
        </w:rPr>
        <w:t xml:space="preserve">بطاقة عدم المطابقة (Étiquette de Non-Conformité)</w:t>
      </w:r>
      <w:r>
        <w:rPr>
          <w:rtl/>
        </w:rPr>
        <w:t xml:space="preserve"> </w:t>
      </w:r>
      <w:r>
        <w:rPr>
          <w:rtl/>
        </w:rPr>
        <w:t xml:space="preserve">: تُثبَّت على كل قطعة أو كيس بطاقة تشمل إلزامياً: رقم الدفعة، تاريخ الاستلام، وصف موجز للعطل، اسم الفاحص واسم العامل المسؤول عن التركيب الأصلي إن أمكن تتبعه.</w:t>
      </w:r>
    </w:p>
    <w:p>
      <w:pPr>
        <w:numPr>
          <w:ilvl w:val="0"/>
          <w:numId w:val="1062"/>
        </w:numPr>
        <w:pStyle w:val="Compact"/>
        <w:bidi/>
        <w:jc w:val="right"/>
      </w:pPr>
      <w:r>
        <w:rPr>
          <w:rtl/>
          <w:bCs/>
          <w:b/>
        </w:rPr>
        <w:t xml:space="preserve">منطقة الحجر (Zone de Quarantaine)</w:t>
      </w:r>
      <w:r>
        <w:rPr>
          <w:rtl/>
        </w:rPr>
        <w:t xml:space="preserve"> </w:t>
      </w:r>
      <w:r>
        <w:rPr>
          <w:rtl/>
        </w:rPr>
        <w:t xml:space="preserve">: تُخزَّن جميع القطع قيد الفحص أو المعلَّقة في منطقة مادية منفصلة تماماً عن مخزون المنتج السليم وعن مخزون المواد الخام، بعيدة عن مصادر الرطوبة (متوافقة مع شروط البند 10.1)، وتُمنع إعادة دمج أي قطعة في خط الإنتاج مباشرة من هذه المنطقة دون توثيق رسمي لإغلاق الملف.</w:t>
      </w:r>
    </w:p>
    <w:p>
      <w:pPr>
        <w:numPr>
          <w:ilvl w:val="0"/>
          <w:numId w:val="1062"/>
        </w:numPr>
        <w:pStyle w:val="Compact"/>
        <w:bidi/>
        <w:jc w:val="right"/>
      </w:pPr>
      <w:r>
        <w:rPr>
          <w:rtl/>
          <w:bCs/>
          <w:b/>
        </w:rPr>
        <w:t xml:space="preserve">شحن القطع المرفوضة إلى المورد</w:t>
      </w:r>
      <w:r>
        <w:rPr>
          <w:rtl/>
        </w:rPr>
        <w:t xml:space="preserve"> </w:t>
      </w:r>
      <w:r>
        <w:rPr>
          <w:rtl/>
        </w:rPr>
        <w:t xml:space="preserve">(حالة رفض دفعة واردة، البند 4.5): تُغلَّف وفق معايير حماية النقل (فراغات هوائية، تغليف مانع للصدمات)، ويُرفَق معها: نسخة من إشعار الرفض الكتابي، صور أو تقرير الفحص الداعم، ورقم مرجعي من «سجل الموردين».</w:t>
      </w:r>
    </w:p>
    <w:p>
      <w:pPr>
        <w:numPr>
          <w:ilvl w:val="0"/>
          <w:numId w:val="1062"/>
        </w:numPr>
        <w:pStyle w:val="Compact"/>
        <w:bidi/>
        <w:jc w:val="right"/>
      </w:pPr>
      <w:r>
        <w:rPr>
          <w:rtl/>
          <w:bCs/>
          <w:b/>
        </w:rPr>
        <w:t xml:space="preserve">تسليم النفايات الخطرة الناتجة عن قطع لا يمكن إرجاعها أو إصلاحها</w:t>
      </w:r>
      <w:r>
        <w:rPr>
          <w:rtl/>
        </w:rPr>
        <w:t xml:space="preserve"> </w:t>
      </w:r>
      <w:r>
        <w:rPr>
          <w:rtl/>
        </w:rPr>
        <w:t xml:space="preserve">(مكونات محترقة، بطاقات ملوَّثة بالقصدير): تُسلَّم حصراً للشركة المعتمدة للتخلص من النفايات الصناعية الخطرة وفق الإجراء المفصَّل في الفصل الثامن عشر (18.2)، مرفقة ببطاقة تتبع النفايات الخطرة (Bordereau de Suivi de Déchets Dangereux).</w:t>
      </w:r>
    </w:p>
    <w:p>
      <w:pPr>
        <w:pBdr>
          <w:right w:val="single" w:sz="24" w:space="6" w:color="008080"/>
        </w:pBdr>
        <w:bidi/>
        <w:jc w:val="right"/>
      </w:pPr>
      <w:r>
        <w:rPr>
          <w:color w:val="008080"/>
          <w:sz w:val="25"/>
          <w:rtl/>
          <w:bCs/>
          <w:b/>
        </w:rPr>
        <w:t xml:space="preserve">15.4 آلية الشطب المحاسبي وتسجيل الخسائر (Mécanisme de Radiation Comptable et Enregistrement des Pertes)</w:t>
      </w:r>
    </w:p>
    <w:p>
      <w:pPr>
        <w:numPr>
          <w:ilvl w:val="0"/>
          <w:numId w:val="1063"/>
        </w:numPr>
        <w:pStyle w:val="Compact"/>
        <w:bidi/>
        <w:jc w:val="right"/>
      </w:pPr>
      <w:r>
        <w:rPr>
          <w:rtl/>
          <w:bCs/>
          <w:b/>
        </w:rPr>
        <w:t xml:space="preserve">استمارة شطب المخزون (Formulaire de Radiation de Stock)</w:t>
      </w:r>
      <w:r>
        <w:rPr>
          <w:rtl/>
        </w:rPr>
        <w:t xml:space="preserve"> </w:t>
      </w:r>
      <w:r>
        <w:rPr>
          <w:rtl/>
        </w:rPr>
        <w:t xml:space="preserve">: كل قرار إتلاف نهائي يُوثَّق إلزامياً باستمارة موحَّدة تشمل الحقول التالية: رقم الدفعة، الكمية المشطوبة (وحدة)، القيمة الوحدوية بالدج، القيمة الإجمالية للخسارة، سبب الشطب (تصنيف: عيب تصنيع داخلي / عيب مكوّن مستورد / تلف نقل / تلف تخزين رطوبة)، اسم وتوقيع الجهة المعتمِدة (وفق مصفوفة 15.2 والفصل 14)، والتاريخ.</w:t>
      </w:r>
    </w:p>
    <w:p>
      <w:pPr>
        <w:numPr>
          <w:ilvl w:val="0"/>
          <w:numId w:val="1063"/>
        </w:numPr>
        <w:pStyle w:val="Compact"/>
        <w:bidi/>
        <w:jc w:val="right"/>
      </w:pPr>
      <w:r>
        <w:rPr>
          <w:rtl/>
          <w:bCs/>
          <w:b/>
        </w:rPr>
        <w:t xml:space="preserve">الربط المحاسبي المباشر</w:t>
      </w:r>
      <w:r>
        <w:rPr>
          <w:rtl/>
        </w:rPr>
        <w:t xml:space="preserve"> </w:t>
      </w:r>
      <w:r>
        <w:rPr>
          <w:rtl/>
        </w:rPr>
        <w:t xml:space="preserve">: تُقيَّد قيمة كل شطب كخسارة تشغيلية (Perte d’Exploitation) في السجل المالي الداخلي (البند 2.1)، ضمن بند «هالك الإنتاج» الذي يبلغ 3-5% من هيكلة تكلفة الوحدة أصلاً (البند 7.4). عند تجاوز الشطب الشهري الفعلي لنسبة 5% من الإنتاج، يُصدَر تلقائياً تقرير استثنائي موجَّه للمدير التقني والمؤسس لتحليل السبب الجذري (استناداً لمنهجية 5 Whys، البند 4.2 و11.3).</w:t>
      </w:r>
    </w:p>
    <w:p>
      <w:pPr>
        <w:numPr>
          <w:ilvl w:val="0"/>
          <w:numId w:val="1063"/>
        </w:numPr>
        <w:pStyle w:val="Compact"/>
        <w:bidi/>
        <w:jc w:val="right"/>
      </w:pPr>
      <w:r>
        <w:rPr>
          <w:rtl/>
          <w:bCs/>
          <w:b/>
        </w:rPr>
        <w:t xml:space="preserve">سجل الشطب والخسائر (Registre des Radiations et Pertes)</w:t>
      </w:r>
      <w:r>
        <w:rPr>
          <w:rtl/>
        </w:rPr>
        <w:t xml:space="preserve"> </w:t>
      </w:r>
      <w:r>
        <w:rPr>
          <w:rtl/>
        </w:rPr>
        <w:t xml:space="preserve">: سجل شهري مجمَّع يضم كل استمارات الشطب الموقَّعة، يُراجَع إلزامياً ضمن الاجتماع الشهري لسجل الدروس المستفادة (البند 11.6)، ويُستخدَم كمدخل مباشر لتحديث خطط الصيانة الوقائية (11.1) وبروتوكولات التدريب عند تكرار سبب واحد لأكثر من شهرين متتاليين.</w:t>
      </w:r>
    </w:p>
    <w:p>
      <w:pPr>
        <w:numPr>
          <w:ilvl w:val="0"/>
          <w:numId w:val="1063"/>
        </w:numPr>
        <w:pStyle w:val="Compact"/>
        <w:bidi/>
        <w:jc w:val="right"/>
      </w:pPr>
      <w:r>
        <w:rPr>
          <w:rtl/>
          <w:bCs/>
          <w:b/>
        </w:rPr>
        <w:t xml:space="preserve">الفصل الزمني الإلزامي</w:t>
      </w:r>
      <w:r>
        <w:rPr>
          <w:rtl/>
        </w:rPr>
        <w:t xml:space="preserve"> </w:t>
      </w:r>
      <w:r>
        <w:rPr>
          <w:rtl/>
        </w:rPr>
        <w:t xml:space="preserve">: لا يجوز إقفال أي ملف مرتجَع بوصفه «شطباً محاسبياً» دون استيفاء استمارة شطب المخزون كاملة موقَّعة؛ أي قطعة تُتلَف فعلياً دون توثيق تُعتبر مخالفة لبند «الالتزام بترشيد المواد» الوارد في إقرار الاطّلاع والتعهد.</w:t>
      </w:r>
    </w:p>
    <w:p>
      <w:pPr>
        <w:pBdr>
          <w:right w:val="single" w:sz="24" w:space="6" w:color="008080"/>
        </w:pBdr>
        <w:bidi/>
        <w:jc w:val="right"/>
      </w:pPr>
      <w:r>
        <w:rPr>
          <w:color w:val="008080"/>
          <w:sz w:val="25"/>
          <w:rtl/>
          <w:bCs/>
          <w:b/>
        </w:rPr>
        <w:t xml:space="preserve">15.5 مؤشر متابعة الفصل</w:t>
      </w:r>
    </w:p>
    <w:p>
      <w:pPr>
        <w:bidi/>
        <w:jc w:val="right"/>
      </w:pPr>
      <w:r>
        <w:rPr>
          <w:rtl/>
        </w:rPr>
        <w:t xml:space="preserve">نسبة الوحدات المُغلَقة خلال 7 أيام عمل من تاريخ الاستلام يجب أن تبقى ≥ 95% (يُقاس شهرياً ضمن مؤشرات الأداء التشغيلية، الفصل السادس عشر).</w:t>
      </w:r>
    </w:p>
    <w:tbl>
      <w:tblPr>
        <w:tblStyle w:val="Table"/>
        <w:bidiVisual/>
        <w:tblW w:type="pct" w:w="500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E9EDF2"/>
          </w:tcPr>
          <w:p>
            <w:pPr>
              <w:pStyle w:val="Compact"/>
              <w:bidi/>
              <w:jc w:val="right"/>
            </w:pPr>
            <w:r>
              <w:rPr>
                <w:color w:val="0D3B66"/>
                <w:sz w:val="29"/>
                <w:rtl/>
                <w:bCs/>
                <w:b/>
              </w:rPr>
              <w:t xml:space="preserve">الفصل السادس عشر: جدول مؤشرات الأداء التشغيلية الموحد (Table Unifiée des Indicateurs de Performance Opérationnelle)</w:t>
            </w:r>
          </w:p>
        </w:tc>
      </w:tr>
    </w:tbl>
    <w:p>
      <w:pPr>
        <w:pBdr>
          <w:right w:val="single" w:sz="24" w:space="6" w:color="008080"/>
        </w:pBdr>
        <w:bidi/>
        <w:jc w:val="right"/>
      </w:pPr>
      <w:r>
        <w:rPr>
          <w:color w:val="008080"/>
          <w:sz w:val="25"/>
          <w:rtl/>
          <w:bCs/>
          <w:b/>
        </w:rPr>
        <w:t xml:space="preserve">16.0 الغاية من الفصل</w:t>
      </w:r>
    </w:p>
    <w:p>
      <w:pPr>
        <w:bidi/>
        <w:jc w:val="right"/>
      </w:pPr>
      <w:r>
        <w:rPr>
          <w:rtl/>
        </w:rPr>
        <w:t xml:space="preserve">تُجمِّع هذه الفصل كل مؤشرات الأداء الرئيسية (Indicateurs Clés de Performance) المتفرقة في الدليل (البنود 6.4، 8.2، 11.6) في جدول مرجعي واحد مُلزم، مع إضافة أربعة مؤشرات كانت غائبة تماماً: حدود الهدر بالجرام لمواد الغراء واللحام، زمن التوقف المستهدف وتصنيف الأعطال المقبولة، معدل الإنتاجية المستهدف لكل ساعة عمل ولكل عامل، والتكلفة المباشرة للنسبة المسموحة من العيوب. هذا الجدول هو المرجع الوحيد الذي يُعتمَد عند أي نزاع حول تقييم أداء وردية أو دفعة إنتاج.</w:t>
      </w:r>
    </w:p>
    <w:p>
      <w:pPr>
        <w:pBdr>
          <w:right w:val="single" w:sz="24" w:space="6" w:color="008080"/>
        </w:pBdr>
        <w:bidi/>
        <w:jc w:val="right"/>
      </w:pPr>
      <w:r>
        <w:rPr>
          <w:color w:val="008080"/>
          <w:sz w:val="25"/>
          <w:rtl/>
          <w:bCs/>
          <w:b/>
        </w:rPr>
        <w:t xml:space="preserve">16.1 الجدول الموحَّد لمؤشرات الأداء (Table Maîtresse des KPI)</w:t>
      </w:r>
    </w:p>
    <w:tbl>
      <w:tblPr>
        <w:tblStyle w:val="Table"/>
        <w:bidiVisual/>
        <w:tblW w:type="pct" w:w="5000"/>
        <w:tblLook w:firstRow="1" w:lastRow="0" w:firstColumn="0" w:lastColumn="0" w:noHBand="0" w:noVBand="0" w:val="0020"/>
        <w:jc w:val="right"/>
      </w:tblPr>
      <w:tblGrid>
        <w:gridCol w:w="1584"/>
        <w:gridCol w:w="1584"/>
        <w:gridCol w:w="1584"/>
        <w:gridCol w:w="1584"/>
        <w:gridCol w:w="1584"/>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المؤشر</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القيمة المستهدفة / الحد المسموح</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طريقة القياس</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وتيرة المراجعة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الإجراء عند التجاوز</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هدر القصدير (Perte d’Étain)</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 2% من الاستهلاك اليومي بالغرام</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مقارنة الوزن المستهلك بعدد بطاقات PCB الملحومة (نموذج 12.3)</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يومي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مراجعة بروتوكول اللحام (5.2) وإعادة تدريب العامل</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هدر الغراء السيليكوني (Perte de Colle Silicone)</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 0.02 غرام/وحدة زيادة عن المعيار المرجعي (0.15-0.20 غ)</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ميزان دقيق ±0.01 غ، بداية كل وردية (البند 3.3)</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لكل وردية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معايرة فورية لضغط التوزيع (راجع 3.3، 1.1ث)</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هدر Isopropanol 99%</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 5 لتر/شهر (السقف المرجعي في البند 8.1)</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مقارنة الاستهلاك الفعلي بالمخزون الشهري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شهري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مراجعة بروتوكول التنظيف الكيميائي (5.3)</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زمن التوقف غير المخطط (Temps d’Arrêt Non Planifié)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 30 دقيقة/يوم إجمالاً لكل خط إنتاج</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سجل الأعطال (نموذج 12.2) بالدقائق</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يومي/أسبوعي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تفعيل منهجية «5 Whys» فوراً عند تجاوز الحد (البند 4.2)</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متوسط زمن الإصلاح (Temps Moyen de Réparation)</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 15 دقيقة للأعطال البسيطة، ≤ نصف يوم للأعطال الكبرى (فرن، ليزر)</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توقيت الاستجابة المسجَّل في نموذج 12.2</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لكل حادثة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إحالة لفني الصيانة المتخصص (19.1) عند التكرار</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أسباب الأعطال المقبولة ضمن الحد الطبيعي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تذبذب كهربائي عرضي &lt; 5 دقائق، معايرة روتينية مجدولة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تصنيف Ishikawa (آلة/إنسان/مادة/بيئة)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شهري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لا إجراء تصحيحي إضافي إن بقيت النسبة ضمن 5% من زمن التشغيل</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أسباب الأعطال غير المقبولة (توجب CAPA فوري)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عطل متكرر لنفس السبب أكثر من 3 مرات/شهر، أو توقف يتجاوز نصف يوم</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مراجعة سجل الدروس المستفادة (الفصل 11)</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فوري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تفعيل بروتوكولات الإجراءات التصحيحية الطارئة (البند 5.12)</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معدل الإنتاجية الفردية المستهدف — لحام PCB</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28-30 بطاقة/يوم/عامل (≈ 3.5-3.75 بطاقة/ساعة ضمن وردية 8 ساعات)</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نموذج الإنتاج اليومي (12.1)</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يومي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إعادة تدريب عند الانخفاض المستمر 3 أيام متتالية</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معدل الإنتاجية المستهدف — خط التجميع النهائي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100-120 وحدة/ساعة (طاقة ماكينة الكبس الاسمية)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عداد الآلة + نموذج 12.1</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بالساعة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فحص ضغط الهواء ومعايرة منظم الضغط (راجع 1.1أ)</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معدل الإنتاجية المستهدف — آلة توزيع الغراء</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حتى 1,200-1,400 وحدة/ساعة (الطاقة القصوى للآلة)، مقابل هدف تشغيلي فعلي 400 وحدة/يوم لكامل الورشة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عداد الآلة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بالساعة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لا إجراء إن كانت الطاقة الفعلية دون القصوى بسبب عنق زجاجة في محطة أخرى</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نسبة العيوب التصنيعية المسموحة (Defect Rate)</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&lt; 2% متوسط عام، خط أحمر 5% في أي وردية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سجل الفحص البصري (8.1) + نموذج الأعطال (12.2)</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لكل وردية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إيقاف الخط فوراً عند بلوغ 5% (راجع 6.4/8.2/8.4)</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التكلفة المباشرة للعيب الواحد</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 575 دج عند الرفض التام (كامل تكلفة الوحدة)؛ 50-100 دج تقديرياً عند الإصلاح اليدوي الجزئي (عمالة + مواد)</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مقارنة مع سجل استهلاك المواد (12.3) وسجل الشطب (15.4)</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شهري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تراكم القيمة في سجل الشطب والخسائر (15.4)</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نسبة المرتجعات المسموحة (Returns Rate)</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&lt; 1% خلال فترة الضمان الكاملة (24 شهراً)</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سجل المرتجعات (بروتوكول إدارة المرتجعات)</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شهري/تراكمي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تحليل جذري فوري عند التجاوز (الفصل 15)</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معدل الالتزام بالفحص الثلاثي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100% إلزامي بلا استثناء</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تدقيق داخلي عشوائي أسبوعي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أسبوعي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إنذار مكتوب للعامل المخالف (وفق سلم العقوبات في إقرار الاطّلاع)</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زمن الاستجابة المستهدف للأعطال (Temps de Réponse)</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 15 دقيقة من لحظة الإبلاغ حتى بداية التدخل الفعلي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توقيت مسجَّل في نموذج 12.2</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لكل حادثة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تصعيد فوري لمصفوفة السلطات (الفصل 14) عند التكرار</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نسبة إغلاق ملفات المرتجعات خلال 7 أيام</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 95%</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سجل المرتجعات (15.1، 15.5)</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شهري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مراجعة طاقة محطة الإصلاح وتوزيع المهام</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معدل التوقف الكهربائي المخطط (الطوارئ)</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مقبول حتى 30 ثانية (زمن استجابة المولد)</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سجل صيانة الطاقة (5.1)</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عند كل انقطاع</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فحص فوري لنظام ATS والمولد</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متوسط نقاط تقييم الموردين النشطين</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 7.0 من 10 لمجموع الموردين المصنَّفين «أساسي»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مصفوفة تقييم الموردين (الفصل 17)</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كل 6 أشهر</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مراجعة عقود الموردين دون المتوسط</w:t>
            </w:r>
          </w:p>
        </w:tc>
      </w:tr>
    </w:tbl>
    <w:p>
      <w:pPr>
        <w:pBdr>
          <w:right w:val="single" w:sz="24" w:space="6" w:color="008080"/>
        </w:pBdr>
        <w:bidi/>
        <w:jc w:val="right"/>
      </w:pPr>
      <w:r>
        <w:rPr>
          <w:color w:val="008080"/>
          <w:sz w:val="25"/>
          <w:rtl/>
          <w:bCs/>
          <w:b/>
        </w:rPr>
        <w:t xml:space="preserve">16.2 مبدأ الربط التلقائي بالشطب المحاسبي</w:t>
      </w:r>
    </w:p>
    <w:p>
      <w:pPr>
        <w:bidi/>
        <w:jc w:val="right"/>
      </w:pPr>
      <w:r>
        <w:rPr>
          <w:rtl/>
        </w:rPr>
        <w:t xml:space="preserve">كل تجاوز لحدود الهدر (القصدير، الغراء، Isopropanol) يُحوَّل تلقائياً إلى قيمة مالية تُقيَّد ضمن «سجل الشطب والخسائر» (البند 15.4)، لضمان أن كل مؤشر تشغيلي له انعكاس محاسبي مباشر وليس رقماً نظرياً معزولاً.</w:t>
      </w:r>
    </w:p>
    <w:p>
      <w:pPr>
        <w:pBdr>
          <w:right w:val="single" w:sz="24" w:space="6" w:color="008080"/>
        </w:pBdr>
        <w:bidi/>
        <w:jc w:val="right"/>
      </w:pPr>
      <w:r>
        <w:rPr>
          <w:color w:val="008080"/>
          <w:sz w:val="25"/>
          <w:rtl/>
          <w:bCs/>
          <w:b/>
        </w:rPr>
        <w:t xml:space="preserve">16.3 وتيرة المراجعة الإجمالية</w:t>
      </w:r>
    </w:p>
    <w:p>
      <w:pPr>
        <w:bidi/>
        <w:jc w:val="right"/>
      </w:pPr>
      <w:r>
        <w:rPr>
          <w:rtl/>
        </w:rPr>
        <w:t xml:space="preserve">يُراجَع هذا الجدول بكامله في الاجتماع الشهري لسجل الدروس المستفادة (البند 11.6)، وتُحدَّث القيم المستهدفة عند كل مراجعة سنوية للدليل استناداً إلى الأداء الفعلي المسجَّل خلال السنة المنصرمة (متوافق مع مبدأ «وثيقة حية» المذكور في مقدمة الدليل).</w:t>
      </w:r>
    </w:p>
    <w:tbl>
      <w:tblPr>
        <w:tblStyle w:val="Table"/>
        <w:bidiVisual/>
        <w:tblW w:type="pct" w:w="500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E9EDF2"/>
          </w:tcPr>
          <w:p>
            <w:pPr>
              <w:pStyle w:val="Compact"/>
              <w:bidi/>
              <w:jc w:val="right"/>
            </w:pPr>
            <w:r>
              <w:rPr>
                <w:color w:val="0D3B66"/>
                <w:sz w:val="29"/>
                <w:rtl/>
                <w:bCs/>
                <w:b/>
              </w:rPr>
              <w:t xml:space="preserve">الفصل السابع عشر: مصفوفة تقييم وتصنيف الموردين (Matrice d’Évaluation et de Classification des Fournisseurs)</w:t>
            </w:r>
          </w:p>
        </w:tc>
      </w:tr>
    </w:tbl>
    <w:p>
      <w:pPr>
        <w:pBdr>
          <w:right w:val="single" w:sz="24" w:space="6" w:color="008080"/>
        </w:pBdr>
        <w:bidi/>
        <w:jc w:val="right"/>
      </w:pPr>
      <w:r>
        <w:rPr>
          <w:color w:val="008080"/>
          <w:sz w:val="25"/>
          <w:rtl/>
          <w:bCs/>
          <w:b/>
        </w:rPr>
        <w:t xml:space="preserve">17.0 الغاية من الفصل</w:t>
      </w:r>
    </w:p>
    <w:p>
      <w:pPr>
        <w:bidi/>
        <w:jc w:val="right"/>
      </w:pPr>
      <w:r>
        <w:rPr>
          <w:rtl/>
        </w:rPr>
        <w:t xml:space="preserve">تحوِّل استراتيجية التوريد الوصفية الواردة في البند 9.1 إلى أداة تقييم نقطية قابلة للتطبيق والمراجعة الدورية، بما يسمح باتخاذ قرار موضوعي (وليس انطباعياً) عند التعامل مع أي مورد محلي أو دولي مذكور في هذا الدليل (Rouiba Éclairage، VAM Electric، Ounelec، Zhongshan Dashuo، Kinglan Press، وغيرهم).</w:t>
      </w:r>
    </w:p>
    <w:p>
      <w:pPr>
        <w:pBdr>
          <w:right w:val="single" w:sz="24" w:space="6" w:color="008080"/>
        </w:pBdr>
        <w:bidi/>
        <w:jc w:val="right"/>
      </w:pPr>
      <w:r>
        <w:rPr>
          <w:color w:val="008080"/>
          <w:sz w:val="25"/>
          <w:rtl/>
          <w:bCs/>
          <w:b/>
        </w:rPr>
        <w:t xml:space="preserve">17.1 شبكة التقييم المرجَّح (Grille de Notation Pondérée)</w:t>
      </w:r>
    </w:p>
    <w:p>
      <w:pPr>
        <w:bidi/>
        <w:jc w:val="right"/>
      </w:pPr>
      <w:r>
        <w:rPr>
          <w:rtl/>
        </w:rPr>
        <w:t xml:space="preserve">يُقيَّم كل مورد وفق ثلاثة معايير موزونة، بمجموع نقاط من 10 لكل معيار:</w:t>
      </w:r>
    </w:p>
    <w:tbl>
      <w:tblPr>
        <w:tblStyle w:val="Table"/>
        <w:bidiVisual/>
        <w:tblW w:type="pct" w:w="5000"/>
        <w:tblLook w:firstRow="1" w:lastRow="0" w:firstColumn="0" w:lastColumn="0" w:noHBand="0" w:noVBand="0" w:val="0020"/>
        <w:jc w:val="right"/>
      </w:tblPr>
      <w:tblGrid>
        <w:gridCol w:w="1980"/>
        <w:gridCol w:w="1980"/>
        <w:gridCol w:w="1980"/>
        <w:gridCol w:w="198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معيار التقييم</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الوزن النسبي</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مقياس التقييم (من 10)</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مصدر البيانات</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الجودة (Qualité)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40%</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10 = صفر رفض دفعات خلال آخر 6 أشهر / 5 = رفض عرضي (1-2 مرات) / 0 = رفض متكرر أكثر من 3 مرات</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سجل الموردين + نسبة العيوب المسموحة AQL (البند 4.5)</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السعر التنافسي (Prix Compétitif)</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30%</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10 = أقل من متوسط السوق بـ10% فأكثر / 5 = مطابق للمتوسط / 0 = أعلى من المتوسط بأكثر من 15%</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مقارنة عروض الأسعار الدورية وسجل المشتريات</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الالتزام بالمواعيد (Respect des Délais)</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30%</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10 = تسليم دائم في الموعد أو قبله / 5 = تأخير عرضي أقل من 3 أيام / 0 = تأخير متكرر يفوق 7 أيام</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سجل الطلبيات وتواريخ الاستلام الفعلية</w:t>
            </w:r>
          </w:p>
        </w:tc>
      </w:tr>
    </w:tbl>
    <w:p>
      <w:pPr>
        <w:pBdr>
          <w:right w:val="single" w:sz="16" w:space="6" w:color="008080"/>
        </w:pBdr>
        <w:bidi/>
        <w:jc w:val="right"/>
      </w:pPr>
      <w:r>
        <w:rPr>
          <w:color w:val="008080"/>
          <w:sz w:val="23"/>
          <w:rtl/>
          <w:bCs/>
          <w:b/>
        </w:rPr>
        <w:t xml:space="preserve">معادلة النتيجة النهائية:</w:t>
      </w:r>
    </w:p>
    <w:p>
      <w:pPr>
        <w:bidi/>
        <w:jc w:val="right"/>
      </w:pPr>
      <w:r>
        <w:rPr>
          <w:rtl/>
        </w:rPr>
        <w:t xml:space="preserve">النتيجة الإجمالية = (درجة الجودة × 0.40) + (درجة السعر × 0.30) + (درجة الالتزام بالمواعيد × 0.30)، من 10 نقاط كحد أقصى.</w:t>
      </w:r>
    </w:p>
    <w:p>
      <w:pPr>
        <w:pBdr>
          <w:right w:val="single" w:sz="24" w:space="6" w:color="008080"/>
        </w:pBdr>
        <w:bidi/>
        <w:jc w:val="right"/>
      </w:pPr>
      <w:r>
        <w:rPr>
          <w:color w:val="008080"/>
          <w:sz w:val="25"/>
          <w:rtl/>
          <w:bCs/>
          <w:b/>
        </w:rPr>
        <w:t xml:space="preserve">17.2 آلية تصنيف الموردين (Mécanisme de Classification des Fournisseurs)</w:t>
      </w:r>
    </w:p>
    <w:tbl>
      <w:tblPr>
        <w:tblStyle w:val="Table"/>
        <w:bidiVisual/>
        <w:tblW w:type="pct" w:w="5000"/>
        <w:tblLook w:firstRow="1" w:lastRow="0" w:firstColumn="0" w:lastColumn="0" w:noHBand="0" w:noVBand="0" w:val="0020"/>
        <w:jc w:val="right"/>
      </w:tblPr>
      <w:tblGrid>
        <w:gridCol w:w="1980"/>
        <w:gridCol w:w="1980"/>
        <w:gridCol w:w="1980"/>
        <w:gridCol w:w="198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التصنيف</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النطاق النقطي</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الوصف والمعاملة التشغيلية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وتيرة المراجعة</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مورد أساسي (Fournisseur Principal Agréé)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8.0 – 10.0</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يُعتمَد كمصدر رئيسي للتوريد، تُبرَم معه عقود مدتها 6-12 شهراً (البند 7.5)، ويُمنَح أولوية في التفاوض على الأسعار والكميات</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كل 6 أشهر</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مورد بديل (Fournisseur Alternatif)</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5.0 – 7.9</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يُستخدَم كخط طوارئ عند انقطاع المورد الأساسي (البند 7.5 «استمرارية»)، تُوجَّه له طلبيات محدودة لتوسيع قاعدة التقييم قبل ترقيته</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كل 3 أشهر</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مورد محظور (Fournisseur Exclu / Bloqué)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أقل من 5.0، أو تصنيف تلقائي «غير معتمد» بعد الرفض الرابع المتكرر (البند 4.5)</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إيقاف كامل للتعامل، توثيق إلزامي للأسباب في «سجل الموردين»</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إعادة تقييم لا تتم إلا بعد مرور سنة كاملة وتقديم طلب رسمي من المورد</w:t>
            </w:r>
          </w:p>
        </w:tc>
      </w:tr>
    </w:tbl>
    <w:p>
      <w:pPr>
        <w:pBdr>
          <w:right w:val="single" w:sz="24" w:space="6" w:color="008080"/>
        </w:pBdr>
        <w:bidi/>
        <w:jc w:val="right"/>
      </w:pPr>
      <w:r>
        <w:rPr>
          <w:color w:val="008080"/>
          <w:sz w:val="25"/>
          <w:rtl/>
          <w:bCs/>
          <w:b/>
        </w:rPr>
        <w:t xml:space="preserve">17.3 الربط مع بروتوكول رفض الدفعات القائم</w:t>
      </w:r>
    </w:p>
    <w:p>
      <w:pPr>
        <w:bidi/>
        <w:jc w:val="right"/>
      </w:pPr>
      <w:r>
        <w:rPr>
          <w:rtl/>
        </w:rPr>
        <w:t xml:space="preserve">يقابل التصنيف «محظور» تماماً الحالة الموصوفة أصلاً في البند 4.5 («تكرار الرفض مرتين: تعليق مؤقت… المرة الرابعة: تصنيف المورد غير معتمد واستبعاده»)؛ يُحسَب هذا الحدث تلقائياً كنقطة صفر في معيار الجودة (17.1) عند التقييم الدوري التالي، بما يضمن اتساق القرارين اليومي (البند 4.5) والدوري (هذا الفصل).</w:t>
      </w:r>
    </w:p>
    <w:p>
      <w:pPr>
        <w:pBdr>
          <w:right w:val="single" w:sz="24" w:space="6" w:color="008080"/>
        </w:pBdr>
        <w:bidi/>
        <w:jc w:val="right"/>
      </w:pPr>
      <w:r>
        <w:rPr>
          <w:color w:val="008080"/>
          <w:sz w:val="25"/>
          <w:rtl/>
          <w:bCs/>
          <w:b/>
        </w:rPr>
        <w:t xml:space="preserve">17.4 اعتماد التصنيف</w:t>
      </w:r>
    </w:p>
    <w:p>
      <w:pPr>
        <w:bidi/>
        <w:jc w:val="right"/>
      </w:pPr>
      <w:r>
        <w:rPr>
          <w:rtl/>
        </w:rPr>
        <w:t xml:space="preserve">وفق مصفوفة السلطات (الفصل 14)، يُوصي مشرف الجودة/الإنتاج بالتصنيف استناداً إلى النقاط المحسوبة، بينما يبقى اعتماد تصنيف «محظور» أو تعليق أي مورد من صلاحية المدير التقني والمؤسس حصراً، نظراً لتأثيره المباشر على استمرارية سلسلة التوريد (البند 7.5).</w:t>
      </w:r>
    </w:p>
    <w:p>
      <w:pPr>
        <w:pBdr>
          <w:right w:val="single" w:sz="24" w:space="6" w:color="008080"/>
        </w:pBdr>
        <w:bidi/>
        <w:jc w:val="right"/>
      </w:pPr>
      <w:r>
        <w:rPr>
          <w:color w:val="008080"/>
          <w:sz w:val="25"/>
          <w:rtl/>
          <w:bCs/>
          <w:b/>
        </w:rPr>
        <w:t xml:space="preserve">17.5 نموذج بطاقة تقييم المورد السنوية</w:t>
      </w:r>
    </w:p>
    <w:p>
      <w:pPr>
        <w:bidi/>
        <w:jc w:val="right"/>
      </w:pPr>
      <w:r>
        <w:rPr>
          <w:rtl/>
        </w:rPr>
        <w:t xml:space="preserve">تُعبَّأ لكل مورد نشط بطاقة تقييم تشمل: اسم المورد وبلد المنشأ، نوع المنتج المورَّد (آلات / مكونات إلكترونية / مواد بلاستيكية / تغليف)، عدد الدفعات المستلمة خلال الفترة، عدد الدفعات المرفوضة ونسبتها، متوسط زمن التسليم مقارنة بالمتفق عليه، النقاط المحسوبة لكل معيار من معايير 17.1، النتيجة الإجمالية والتصنيف الناتج، وتوقيع مشرف الجودة والمدير التقني.</w:t>
      </w:r>
    </w:p>
    <w:tbl>
      <w:tblPr>
        <w:tblStyle w:val="Table"/>
        <w:bidiVisual/>
        <w:tblW w:type="pct" w:w="500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E9EDF2"/>
          </w:tcPr>
          <w:p>
            <w:pPr>
              <w:pStyle w:val="Compact"/>
              <w:bidi/>
              <w:jc w:val="right"/>
            </w:pPr>
            <w:r>
              <w:rPr>
                <w:color w:val="0D3B66"/>
                <w:sz w:val="29"/>
                <w:rtl/>
                <w:bCs/>
                <w:b/>
              </w:rPr>
              <w:t xml:space="preserve">الفصل الثامن عشر: بروتوكول التفتيش الدوري والتدقيق الداخلي للسلامة وإدارة النفايات الخطرة (Protocole d’Inspection Périodique, d’Audit Interne de Sécurité et de Gestion des Déchets Dangereux)</w:t>
            </w:r>
          </w:p>
        </w:tc>
      </w:tr>
    </w:tbl>
    <w:p>
      <w:pPr>
        <w:pBdr>
          <w:right w:val="single" w:sz="24" w:space="6" w:color="008080"/>
        </w:pBdr>
        <w:bidi/>
        <w:jc w:val="right"/>
      </w:pPr>
      <w:r>
        <w:rPr>
          <w:color w:val="008080"/>
          <w:sz w:val="25"/>
          <w:rtl/>
          <w:bCs/>
          <w:b/>
        </w:rPr>
        <w:t xml:space="preserve">18.0 الغاية من الفصل</w:t>
      </w:r>
    </w:p>
    <w:p>
      <w:pPr>
        <w:bidi/>
        <w:jc w:val="right"/>
      </w:pPr>
      <w:r>
        <w:rPr>
          <w:rtl/>
        </w:rPr>
        <w:t xml:space="preserve">يُنظِّم هذا الفصل بعداً كان موجوداً بصيغة متفرقة في الفصل التاسع (السلامة المهنية) والبند الخاص بإدارة المخلفات الصناعية، ويحوّله إلى جدول تفتيش دوري مُلزم بتواريخ وتوقيعات، مع تفصيل إجرائي كامل للتخلص الآمن من النفايات الخطرة والتنسيق مع الجهات الرسمية، تطبيقاً لروح ISO 14001 المذكورة في البند 4.7.</w:t>
      </w:r>
    </w:p>
    <w:p>
      <w:pPr>
        <w:pBdr>
          <w:right w:val="single" w:sz="24" w:space="6" w:color="008080"/>
        </w:pBdr>
        <w:bidi/>
        <w:jc w:val="right"/>
      </w:pPr>
      <w:r>
        <w:rPr>
          <w:color w:val="008080"/>
          <w:sz w:val="25"/>
          <w:rtl/>
          <w:bCs/>
          <w:b/>
        </w:rPr>
        <w:t xml:space="preserve">18.1 جدول التفتيش الشهري الدوري (Grille d’Inspection Mensuelle)</w:t>
      </w:r>
    </w:p>
    <w:p>
      <w:pPr>
        <w:bidi/>
        <w:jc w:val="right"/>
      </w:pPr>
      <w:r>
        <w:rPr>
          <w:rtl/>
        </w:rPr>
        <w:t xml:space="preserve">يُعبَّأ هذا الجدول في أول أسبوع عمل من كل شهر، بالتوازي مع جدول التحقق اليومي (البند 6.1) الذي يبقى سارياً بلا تغيير:</w:t>
      </w:r>
    </w:p>
    <w:tbl>
      <w:tblPr>
        <w:tblStyle w:val="Table"/>
        <w:bidiVisual/>
        <w:tblW w:type="pct" w:w="5000"/>
        <w:tblLook w:firstRow="1" w:lastRow="0" w:firstColumn="0" w:lastColumn="0" w:noHBand="0" w:noVBand="0" w:val="0020"/>
        <w:jc w:val="right"/>
      </w:tblPr>
      <w:tblGrid>
        <w:gridCol w:w="1584"/>
        <w:gridCol w:w="1584"/>
        <w:gridCol w:w="1584"/>
        <w:gridCol w:w="1584"/>
        <w:gridCol w:w="1584"/>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البند الخاضع للتفتيش</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نقاط الفحص التفصيلية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معيار القبول</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الحالة (✓/✗)</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ملاحظات</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ماكينة الكبس والبرشمة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سلامة حلقة O-Ring، معايرة منظم الضغط، اختبار زر إيقاف الطوارئ</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لا تسرب هواء، ضغط ثابت 4-6 بار، توقف فوري عند الضغط على الزر</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حوض اللحام (فرن الذهب)</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فحص التأريض الكهربائي، فحص تسرب أو تآكل الحوض، فحص نظام شفط الأبخرة والفلتر</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تأريض سليم، لا تآكل ظاهر في الحوض، شفط فعّال بلا انسداد</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آلة توزيع الغراء</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فحص خراطيم الهواء وحلقات الإحكام، تبديل الفلاتر الداخلية إن استُهلكت</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لا تسريب، ضغط ثابت 4-5 بار</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ماكينة الوسم والاختبار بالليزر</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فحص فلاتر HEPA لنظام الشفط، معايرة مسار الشعاع (سنوياً بفني متخصص)</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وضوح كامل للوسم، لا تسرب أبخرة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آلة التلميع والصنفرة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فحص المحامل، فعالية نظام شفط الغبار</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دوران سلس بلا اهتزاز أو ضجيج غير طبيعي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منظومة الهواء المضغوط</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فحص الضاغط المركزي، فحص صمام الأمان، فحص خزان الرطوبة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ضغط مستقر 8-10 بار، لا تسريبات في الشبكة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مطافئ الحريق CO₂ (جميع النقاط)</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فحص الضغط ومؤشر الصلاحية، فحص تاريخ آخر إعادة تعبئة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إبرة المؤشر ضمن المنطقة الخضراء، صلاحية سارية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أساور وسجاد التفريغ الكهربائي الساكن (Décharge Électrostatique)</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قياس المقاومة الكهربائية لكل سوار وسجادة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ضمن النطاق المقبول 1-10 ميجا أوم</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المولد الاحتياطي 5KW</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فحص مستوى الزيت والوقود، تشغيل تجريبي فعلي، فحص ماء البطارية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استجابة تلقائية خلال 30 ثانية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نظام الإمداد المتواصل بالطاقة (Alimentation Sans Interruption)</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فحص حالة البطاريات وعمرها الافتراضي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ضمن مدة الاستبدال القصوى (3 سنوات)</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مخارج الطوارئ ولافتات الإخلاء</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التأكد من عدم انسداد المسارات، فحص إضاءة اللافتات</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مسارات خالية تماماً، إضاءة واضحة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حقيبة الإسعافات الأولية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فحص محتوياتها وتواريخ صلاحية المستلزمات</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مكتملة وسارية الصلاحية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منطقة الحجر (Zone de Quarantaine) للمرتجعات</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فحص الفصل الفعلي عن المخزون السليم وسلامة التوسيم</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لا اختلاط، بطاقات عدم مطابقة مثبَّتة على كل قطعة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حاويات النفايات الخطرة المصنَّفة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فحص إحكام الإغلاق، مستوى الامتلاء، وضوح لوحات التحذير</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إغلاق محكم، امتلاء أقل من 80%</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p>
        </w:tc>
      </w:tr>
    </w:tbl>
    <w:p>
      <w:pPr>
        <w:bidi/>
        <w:jc w:val="right"/>
      </w:pPr>
      <w:r>
        <w:rPr>
          <w:rtl/>
        </w:rPr>
        <w:t xml:space="preserve">توقيع مسؤول التفتيش الشهري: _______________ توقيع المدير التقني للمراجعة: _______________ التاريخ: _______________</w:t>
      </w:r>
    </w:p>
    <w:p>
      <w:pPr>
        <w:pBdr>
          <w:right w:val="single" w:sz="24" w:space="6" w:color="008080"/>
        </w:pBdr>
        <w:bidi/>
        <w:jc w:val="right"/>
      </w:pPr>
      <w:r>
        <w:rPr>
          <w:color w:val="008080"/>
          <w:sz w:val="25"/>
          <w:rtl/>
          <w:bCs/>
          <w:b/>
        </w:rPr>
        <w:t xml:space="preserve">18.2 خطوات التخلص الآمن والمسؤول من النفايات الخطرة (Étapes d’Élimination Sécurisée des Déchets Dangereux)</w:t>
      </w:r>
    </w:p>
    <w:p>
      <w:pPr>
        <w:bidi/>
        <w:jc w:val="right"/>
      </w:pPr>
      <w:r>
        <w:rPr>
          <w:rtl/>
        </w:rPr>
        <w:t xml:space="preserve">بناءً على ما ورد أصلاً في بند السلامة المهنية وإدارة المخلفات الصناعية وروح ISO 14001 (البند 4.7)، تُطبَّق الخطوات الإجرائية التالية دون استثناء:</w:t>
      </w:r>
    </w:p>
    <w:p>
      <w:pPr>
        <w:numPr>
          <w:ilvl w:val="0"/>
          <w:numId w:val="1064"/>
        </w:numPr>
        <w:pStyle w:val="Compact"/>
        <w:bidi/>
        <w:jc w:val="right"/>
      </w:pPr>
      <w:r>
        <w:rPr>
          <w:rtl/>
          <w:bCs/>
          <w:b/>
        </w:rPr>
        <w:t xml:space="preserve">الفرز عند المصدر (Tri à la Source)</w:t>
      </w:r>
      <w:r>
        <w:rPr>
          <w:rtl/>
        </w:rPr>
        <w:t xml:space="preserve">: تُفصَل النفايات فور نشوئها إلى فئات مستقلة، كل فئة في حاوية معدنية مغلقة مخصصة ومُعلَّمة بوضوح: (أ) أكسيد القصدير الناتج عن قشط سطح حوض اللحام، (ب) بقايا غراء السيليكون الصناعي وخراطيشه الفارغة، (ج) عبوات Isopropanol 99% الفارغة، (د) بطاقات PCB التالفة غير القابلة للإصلاح (بعد الشطب المحاسبي وفق البند 15.4)، (هـ) مكونات إلكترونية محترقة أو معيبة (Driver، مكثفات، LED Chips).</w:t>
      </w:r>
    </w:p>
    <w:p>
      <w:pPr>
        <w:numPr>
          <w:ilvl w:val="0"/>
          <w:numId w:val="1064"/>
        </w:numPr>
        <w:pStyle w:val="Compact"/>
        <w:bidi/>
        <w:jc w:val="right"/>
      </w:pPr>
      <w:r>
        <w:rPr>
          <w:rtl/>
          <w:bCs/>
          <w:b/>
        </w:rPr>
        <w:t xml:space="preserve">التخزين المؤقت الآمن (Stockage Temporaire Sécurisé)</w:t>
      </w:r>
      <w:r>
        <w:rPr>
          <w:rtl/>
        </w:rPr>
        <w:t xml:space="preserve">: تُنقَل الحاويات المصنَّفة إلى «منطقة النفايات الخطرة» المخصصة، معزولة فيزيائياً، مغلقة، بعيدة عن مصادر الحرارة والشرر ومصادر المياه، ومزوَّدة بلوحة تحذيرية واضحة ومطفأة CO₂ قريبة.</w:t>
      </w:r>
    </w:p>
    <w:p>
      <w:pPr>
        <w:numPr>
          <w:ilvl w:val="0"/>
          <w:numId w:val="1064"/>
        </w:numPr>
        <w:pStyle w:val="Compact"/>
        <w:bidi/>
        <w:jc w:val="right"/>
      </w:pPr>
      <w:r>
        <w:rPr>
          <w:rtl/>
          <w:bCs/>
          <w:b/>
        </w:rPr>
        <w:t xml:space="preserve">التوثيق عند كل عملية جمع أو تسليم</w:t>
      </w:r>
      <w:r>
        <w:rPr>
          <w:rtl/>
        </w:rPr>
        <w:t xml:space="preserve">: تُعبَّأ إلزامياً بطاقة تتبع النفايات الخطرة (Bordereau de Suivi de Déchets Dangereux) تتضمن: نوع النفاية، الكمية بالكيلوغرام، تاريخ الجمع، اسم الشركة المتعاقَد معها ورقم رخصتها البيئية، واسم مسؤول السلامة الذي أشرف على التسليم.</w:t>
      </w:r>
    </w:p>
    <w:p>
      <w:pPr>
        <w:numPr>
          <w:ilvl w:val="0"/>
          <w:numId w:val="1064"/>
        </w:numPr>
        <w:pStyle w:val="Compact"/>
        <w:bidi/>
        <w:jc w:val="right"/>
      </w:pPr>
      <w:r>
        <w:rPr>
          <w:rtl/>
          <w:bCs/>
          <w:b/>
        </w:rPr>
        <w:t xml:space="preserve">التعاقد مع شركة معتمدة</w:t>
      </w:r>
      <w:r>
        <w:rPr>
          <w:rtl/>
        </w:rPr>
        <w:t xml:space="preserve">: يُشترَط أن تكون الشركة المتعاقَد معها معتمَدة رسمياً من مديرية البيئة للولاية لجمع ونقل ومعالجة النفايات الصناعية الخطرة؛ يُراجَع سريان اعتمادها سنوياً قبل تجديد العقد (اعتماد التوقيع على العقد من صلاحية المدير التقني والمؤسس، وفق الفصل 14).</w:t>
      </w:r>
    </w:p>
    <w:p>
      <w:pPr>
        <w:numPr>
          <w:ilvl w:val="0"/>
          <w:numId w:val="1064"/>
        </w:numPr>
        <w:pStyle w:val="Compact"/>
        <w:bidi/>
        <w:jc w:val="right"/>
      </w:pPr>
      <w:r>
        <w:rPr>
          <w:rtl/>
          <w:bCs/>
          <w:b/>
        </w:rPr>
        <w:t xml:space="preserve">وتيرة الجمع الفعلي</w:t>
      </w:r>
      <w:r>
        <w:rPr>
          <w:rtl/>
        </w:rPr>
        <w:t xml:space="preserve">: كل 6 إلى 12 شهراً كحد أقصى (متوافق مع روح ISO 14001، البند 4.7)، أو فوراً بمجرد بلوغ أي حاوية نسبة امتلاء 80% (يُفحَص أسبوعياً ضمن جدول 18.1).</w:t>
      </w:r>
    </w:p>
    <w:p>
      <w:pPr>
        <w:numPr>
          <w:ilvl w:val="0"/>
          <w:numId w:val="1064"/>
        </w:numPr>
        <w:pStyle w:val="Compact"/>
        <w:bidi/>
        <w:jc w:val="right"/>
      </w:pPr>
      <w:r>
        <w:rPr>
          <w:rtl/>
          <w:bCs/>
          <w:b/>
        </w:rPr>
        <w:t xml:space="preserve">الأرشفة القانونية</w:t>
      </w:r>
      <w:r>
        <w:rPr>
          <w:rtl/>
        </w:rPr>
        <w:t xml:space="preserve">: تُحفَظ نسخة من كل بطاقة تتبع نفايات خطرة لمدة 5 سنوات كاملة ضمن السجلات الرسمية للورشة، وتُربَط مرجعياً بـ«سجل النفايات» المذكور أصلاً في الدليل.</w:t>
      </w:r>
    </w:p>
    <w:p>
      <w:pPr>
        <w:numPr>
          <w:ilvl w:val="0"/>
          <w:numId w:val="1064"/>
        </w:numPr>
        <w:pStyle w:val="Compact"/>
        <w:bidi/>
        <w:jc w:val="right"/>
      </w:pPr>
      <w:r>
        <w:rPr>
          <w:rtl/>
          <w:bCs/>
          <w:b/>
        </w:rPr>
        <w:t xml:space="preserve">الاعتماد والتوقيع المزدوج</w:t>
      </w:r>
      <w:r>
        <w:rPr>
          <w:rtl/>
        </w:rPr>
        <w:t xml:space="preserve">: يوقّع المدير التقني والمؤسس على العقد الإطاري السنوي مع الشركة المعتمدة، بينما يوقّع مسؤول السلامة اليومي (بالتناوب، وفق البند 9.5) على كل بطاقة تتبع عند كل عملية تسليم فعلية على أرض الورشة.</w:t>
      </w:r>
    </w:p>
    <w:p>
      <w:pPr>
        <w:pBdr>
          <w:right w:val="single" w:sz="24" w:space="6" w:color="008080"/>
        </w:pBdr>
        <w:bidi/>
        <w:jc w:val="right"/>
      </w:pPr>
      <w:r>
        <w:rPr>
          <w:color w:val="008080"/>
          <w:sz w:val="25"/>
          <w:rtl/>
          <w:bCs/>
          <w:b/>
        </w:rPr>
        <w:t xml:space="preserve">18.3 الربط بمؤشرات الأداء وسجل الدروس المستفادة</w:t>
      </w:r>
    </w:p>
    <w:p>
      <w:pPr>
        <w:bidi/>
        <w:jc w:val="right"/>
      </w:pPr>
      <w:r>
        <w:rPr>
          <w:rtl/>
        </w:rPr>
        <w:t xml:space="preserve">تُدرَج نتائج التفتيش الشهري (18.1) وكميات النفايات الخطرة المسلَّمة (18.2) ضمن مراجعة الاجتماع الشهري لسجل الدروس المستفادة (البند 11.6)، وتُستخدَم كمؤشر تكميلي لمتابعة فعالية خطة الصيانة الوقائية العامة (البند 11.1).</w:t>
      </w:r>
    </w:p>
    <w:tbl>
      <w:tblPr>
        <w:tblStyle w:val="Table"/>
        <w:bidiVisual/>
        <w:tblW w:type="pct" w:w="500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E9EDF2"/>
          </w:tcPr>
          <w:p>
            <w:pPr>
              <w:pStyle w:val="Compact"/>
              <w:bidi/>
              <w:jc w:val="right"/>
            </w:pPr>
            <w:r>
              <w:rPr>
                <w:color w:val="0D3B66"/>
                <w:sz w:val="29"/>
                <w:rtl/>
                <w:bCs/>
                <w:b/>
              </w:rPr>
              <w:t xml:space="preserve">الفصل التاسع عشر: برامج التدريب التفصيلية حسب المسمى الوظيفي (Programmes de Formation Détaillés par Fonction — JLT Academy Spécialisé)</w:t>
            </w:r>
          </w:p>
        </w:tc>
      </w:tr>
    </w:tbl>
    <w:p>
      <w:pPr>
        <w:pBdr>
          <w:right w:val="single" w:sz="24" w:space="6" w:color="008080"/>
        </w:pBdr>
        <w:bidi/>
        <w:jc w:val="right"/>
      </w:pPr>
      <w:r>
        <w:rPr>
          <w:color w:val="008080"/>
          <w:sz w:val="25"/>
          <w:rtl/>
          <w:bCs/>
          <w:b/>
        </w:rPr>
        <w:t xml:space="preserve">19.0 الغاية من الفصل</w:t>
      </w:r>
    </w:p>
    <w:p>
      <w:pPr>
        <w:bidi/>
        <w:jc w:val="right"/>
      </w:pPr>
      <w:r>
        <w:rPr>
          <w:rtl/>
        </w:rPr>
        <w:t xml:space="preserve">يبني هذا الفصل على برنامج JLT Academy العام (البند 6.6ب) وحقيبة التدريب السريع (البند 6.7)، ليحوّل خطة التدريب العامة الموحَّدة إلى ثلاثة برامج تخصصية موجَّهة لكل مسمى وظيفي حساس في الورشة: فني الصيانة، عامل الكبس والتجميع، ومشرف الجودة. يبدأ كل برنامج تخصصي</w:t>
      </w:r>
      <w:r>
        <w:rPr>
          <w:rtl/>
        </w:rPr>
        <w:t xml:space="preserve"> </w:t>
      </w:r>
      <w:r>
        <w:rPr>
          <w:rtl/>
          <w:bCs/>
          <w:b/>
        </w:rPr>
        <w:t xml:space="preserve">بعد</w:t>
      </w:r>
      <w:r>
        <w:rPr>
          <w:rtl/>
        </w:rPr>
        <w:t xml:space="preserve"> </w:t>
      </w:r>
      <w:r>
        <w:rPr>
          <w:rtl/>
        </w:rPr>
        <w:t xml:space="preserve">إتمام العامل لبرنامج JLT Academy العام بنجاح (معيار القبول: 25 بطاقة سليمة/يوم بنسبة عيوب ≤ 10%، وفق جدول 6.6ب).</w:t>
      </w:r>
    </w:p>
    <w:p>
      <w:pPr>
        <w:pBdr>
          <w:right w:val="single" w:sz="24" w:space="6" w:color="008080"/>
        </w:pBdr>
        <w:bidi/>
        <w:jc w:val="right"/>
      </w:pPr>
      <w:r>
        <w:rPr>
          <w:color w:val="008080"/>
          <w:sz w:val="25"/>
          <w:rtl/>
          <w:bCs/>
          <w:b/>
        </w:rPr>
        <w:t xml:space="preserve">19.1 برنامج تدريب «فني الصيانة» (Programme de Formation — Technicien de Maintenance)</w:t>
      </w:r>
    </w:p>
    <w:p>
      <w:pPr>
        <w:numPr>
          <w:ilvl w:val="0"/>
          <w:numId w:val="1065"/>
        </w:numPr>
        <w:pStyle w:val="Compact"/>
        <w:bidi/>
        <w:jc w:val="right"/>
      </w:pPr>
      <w:r>
        <w:rPr>
          <w:rtl/>
          <w:bCs/>
          <w:b/>
        </w:rPr>
        <w:t xml:space="preserve">المدة الإجمالية</w:t>
      </w:r>
      <w:r>
        <w:rPr>
          <w:rtl/>
        </w:rPr>
        <w:t xml:space="preserve"> </w:t>
      </w:r>
      <w:r>
        <w:rPr>
          <w:rtl/>
        </w:rPr>
        <w:t xml:space="preserve">: أسبوعان إضافيان (10 أيام عمل) بعد إتمام JLT Academy العام.</w:t>
      </w:r>
    </w:p>
    <w:p>
      <w:pPr>
        <w:numPr>
          <w:ilvl w:val="0"/>
          <w:numId w:val="1065"/>
        </w:numPr>
        <w:pStyle w:val="Compact"/>
        <w:pBdr>
          <w:right w:val="single" w:sz="16" w:space="6" w:color="008080"/>
        </w:pBdr>
        <w:bidi/>
        <w:jc w:val="right"/>
      </w:pPr>
      <w:r>
        <w:rPr>
          <w:color w:val="008080"/>
          <w:sz w:val="23"/>
          <w:rtl/>
          <w:bCs/>
          <w:b/>
        </w:rPr>
        <w:t xml:space="preserve">المحتوى التفصيلي</w:t>
      </w:r>
      <w:r>
        <w:rPr>
          <w:b/>
          <w:color w:val="008080"/>
          <w:sz w:val="23"/>
          <w:rtl/>
        </w:rPr>
        <w:t xml:space="preserve"> </w:t>
      </w:r>
      <w:r>
        <w:rPr>
          <w:b/>
          <w:color w:val="008080"/>
          <w:sz w:val="23"/>
          <w:rtl/>
        </w:rPr>
        <w:t xml:space="preserve">:</w:t>
      </w:r>
    </w:p>
    <w:p>
      <w:pPr>
        <w:numPr>
          <w:ilvl w:val="1"/>
          <w:numId w:val="1066"/>
        </w:numPr>
        <w:pStyle w:val="Compact"/>
        <w:bidi/>
        <w:jc w:val="right"/>
      </w:pPr>
      <w:r>
        <w:rPr>
          <w:rtl/>
        </w:rPr>
        <w:t xml:space="preserve">الأيام 1-2: صيانة فرن اللحام «فرن الذهب» وفق جدول الصيانة (البند 2.2)، معايرة حساس الحرارة، فحص التأريض، التعامل الآمن مع أكسيد القصدير.</w:t>
      </w:r>
    </w:p>
    <w:p>
      <w:pPr>
        <w:numPr>
          <w:ilvl w:val="1"/>
          <w:numId w:val="1066"/>
        </w:numPr>
        <w:pStyle w:val="Compact"/>
        <w:bidi/>
        <w:jc w:val="right"/>
      </w:pPr>
      <w:r>
        <w:rPr>
          <w:rtl/>
        </w:rPr>
        <w:t xml:space="preserve">الأيام 3-4: صيانة آلة توزيع الغراء وآلة الكبس بالهواء المضغوط، تشحيم السكك الحديدية، معايرة حساس الارتفاع Z-Sensor، فحص O-Rings.</w:t>
      </w:r>
    </w:p>
    <w:p>
      <w:pPr>
        <w:numPr>
          <w:ilvl w:val="1"/>
          <w:numId w:val="1066"/>
        </w:numPr>
        <w:pStyle w:val="Compact"/>
        <w:bidi/>
        <w:jc w:val="right"/>
      </w:pPr>
      <w:r>
        <w:rPr>
          <w:rtl/>
        </w:rPr>
        <w:t xml:space="preserve">اليوم 5: صيانة منظومة الهواء المضغوط الكاملة (البند 7.1): الضاغط المركزي، وحدة فلترة وتنظيم وتزييت الهواء المضغوط، صمام الأمان.</w:t>
      </w:r>
    </w:p>
    <w:p>
      <w:pPr>
        <w:numPr>
          <w:ilvl w:val="1"/>
          <w:numId w:val="1066"/>
        </w:numPr>
        <w:pStyle w:val="Compact"/>
        <w:bidi/>
        <w:jc w:val="right"/>
      </w:pPr>
      <w:r>
        <w:rPr>
          <w:rtl/>
        </w:rPr>
        <w:t xml:space="preserve">الأيام 6-7: أساسيات الإصلاح الكهربائي الطارئ (فيوزات، مقاومات، توصيلات)، التعرف على قطع الغيار الاستراتيجية وموقعها في المخزون.</w:t>
      </w:r>
    </w:p>
    <w:p>
      <w:pPr>
        <w:numPr>
          <w:ilvl w:val="1"/>
          <w:numId w:val="1066"/>
        </w:numPr>
        <w:pStyle w:val="Compact"/>
        <w:bidi/>
        <w:jc w:val="right"/>
      </w:pPr>
      <w:r>
        <w:rPr>
          <w:rtl/>
        </w:rPr>
        <w:t xml:space="preserve">اليوم 8: تعبئة نموذج الصيانة (البند 12.4) وربطه بسجل الأعطال (12.2)، التعرف على مصفوفة السلطات (الفصل 14) فيما يخص صلاحيات الإصلاح.</w:t>
      </w:r>
    </w:p>
    <w:p>
      <w:pPr>
        <w:numPr>
          <w:ilvl w:val="1"/>
          <w:numId w:val="1066"/>
        </w:numPr>
        <w:pStyle w:val="Compact"/>
        <w:bidi/>
        <w:jc w:val="right"/>
      </w:pPr>
      <w:r>
        <w:rPr>
          <w:rtl/>
        </w:rPr>
        <w:t xml:space="preserve">الأيام 9-10: تدريب عملي مباشر تحت إشراف فني صيانة خبير، مع تصحيح فوري.</w:t>
      </w:r>
    </w:p>
    <w:p>
      <w:pPr>
        <w:numPr>
          <w:ilvl w:val="0"/>
          <w:numId w:val="1065"/>
        </w:numPr>
        <w:pStyle w:val="Compact"/>
        <w:bidi/>
        <w:jc w:val="right"/>
      </w:pPr>
      <w:r>
        <w:rPr>
          <w:rtl/>
          <w:bCs/>
          <w:b/>
        </w:rPr>
        <w:t xml:space="preserve">معيار القبول النهائي</w:t>
      </w:r>
      <w:r>
        <w:rPr>
          <w:rtl/>
        </w:rPr>
        <w:t xml:space="preserve"> </w:t>
      </w:r>
      <w:r>
        <w:rPr>
          <w:rtl/>
        </w:rPr>
        <w:t xml:space="preserve">: اجتياز اختبار عملي مباشر على 3 آلات مختلفة على الأقل من أصل الآلات الست، وقدرة مثبَّتة على تشخيص عطل بسيط والبدء في معالجته خلال 15 دقيقة من الإبلاغ (متوافق مع مؤشر متوسط زمن الإصلاح، البند 16.1).</w:t>
      </w:r>
    </w:p>
    <w:p>
      <w:pPr>
        <w:pBdr>
          <w:right w:val="single" w:sz="24" w:space="6" w:color="008080"/>
        </w:pBdr>
        <w:bidi/>
        <w:jc w:val="right"/>
      </w:pPr>
      <w:r>
        <w:rPr>
          <w:color w:val="008080"/>
          <w:sz w:val="25"/>
          <w:rtl/>
          <w:bCs/>
          <w:b/>
        </w:rPr>
        <w:t xml:space="preserve">19.2 برنامج تدريب «عامل الكبس والتجميع» (Programme de Formation — Opérateur de Pressage et d’Assemblage)</w:t>
      </w:r>
    </w:p>
    <w:p>
      <w:pPr>
        <w:numPr>
          <w:ilvl w:val="0"/>
          <w:numId w:val="1067"/>
        </w:numPr>
        <w:pStyle w:val="Compact"/>
        <w:bidi/>
        <w:jc w:val="right"/>
      </w:pPr>
      <w:r>
        <w:rPr>
          <w:rtl/>
          <w:bCs/>
          <w:b/>
        </w:rPr>
        <w:t xml:space="preserve">المدة الإجمالية</w:t>
      </w:r>
      <w:r>
        <w:rPr>
          <w:rtl/>
        </w:rPr>
        <w:t xml:space="preserve"> </w:t>
      </w:r>
      <w:r>
        <w:rPr>
          <w:rtl/>
        </w:rPr>
        <w:t xml:space="preserve">: أسبوع إضافي (5 أيام عمل) بعد إتمام JLT Academy العام.</w:t>
      </w:r>
    </w:p>
    <w:p>
      <w:pPr>
        <w:numPr>
          <w:ilvl w:val="0"/>
          <w:numId w:val="1067"/>
        </w:numPr>
        <w:pStyle w:val="Compact"/>
        <w:pBdr>
          <w:right w:val="single" w:sz="16" w:space="6" w:color="008080"/>
        </w:pBdr>
        <w:bidi/>
        <w:jc w:val="right"/>
      </w:pPr>
      <w:r>
        <w:rPr>
          <w:color w:val="008080"/>
          <w:sz w:val="23"/>
          <w:rtl/>
          <w:bCs/>
          <w:b/>
        </w:rPr>
        <w:t xml:space="preserve">المحتوى التفصيلي</w:t>
      </w:r>
      <w:r>
        <w:rPr>
          <w:b/>
          <w:color w:val="008080"/>
          <w:sz w:val="23"/>
          <w:rtl/>
        </w:rPr>
        <w:t xml:space="preserve"> </w:t>
      </w:r>
      <w:r>
        <w:rPr>
          <w:b/>
          <w:color w:val="008080"/>
          <w:sz w:val="23"/>
          <w:rtl/>
        </w:rPr>
        <w:t xml:space="preserve">:</w:t>
      </w:r>
    </w:p>
    <w:p>
      <w:pPr>
        <w:numPr>
          <w:ilvl w:val="1"/>
          <w:numId w:val="1068"/>
        </w:numPr>
        <w:pStyle w:val="Compact"/>
        <w:bidi/>
        <w:jc w:val="right"/>
      </w:pPr>
      <w:r>
        <w:rPr>
          <w:rtl/>
        </w:rPr>
        <w:t xml:space="preserve">اليوم 1: تشغيل ماكينة الكبس والبرشمة، معايير الكبس المجهري (عمق تداخل ≥ 0.8 ملم، عزم دوران 3 نيوتن متر وفق IEC 60968)، اختبار الوردية اليومي (البند 3.1 من الباب الثالث).</w:t>
      </w:r>
    </w:p>
    <w:p>
      <w:pPr>
        <w:numPr>
          <w:ilvl w:val="1"/>
          <w:numId w:val="1068"/>
        </w:numPr>
        <w:pStyle w:val="Compact"/>
        <w:bidi/>
        <w:jc w:val="right"/>
      </w:pPr>
      <w:r>
        <w:rPr>
          <w:rtl/>
        </w:rPr>
        <w:t xml:space="preserve">اليوم 2: تشغيل آلة الكبس بالهواء المضغوط، ضبط ضغط العمل (4-6 بار)، التعرف على القوالب المعدنية حسب نوع القاعدة (E27/E14).</w:t>
      </w:r>
    </w:p>
    <w:p>
      <w:pPr>
        <w:numPr>
          <w:ilvl w:val="1"/>
          <w:numId w:val="1068"/>
        </w:numPr>
        <w:pStyle w:val="Compact"/>
        <w:bidi/>
        <w:jc w:val="right"/>
      </w:pPr>
      <w:r>
        <w:rPr>
          <w:rtl/>
        </w:rPr>
        <w:t xml:space="preserve">اليوم 3: تشغيل آلة توزيع الغراء ومعايرة الوزن المرجعي (0.15-0.20 غرام)، التعرف على «السر التقني» لثبات النقطة (البند 1.1ث)، تنبيهات الأمان الخاصة بوحدة فلترة وتنظيم وتزييت الهواء المضغوط.</w:t>
      </w:r>
    </w:p>
    <w:p>
      <w:pPr>
        <w:numPr>
          <w:ilvl w:val="1"/>
          <w:numId w:val="1068"/>
        </w:numPr>
        <w:pStyle w:val="Compact"/>
        <w:bidi/>
        <w:jc w:val="right"/>
      </w:pPr>
      <w:r>
        <w:rPr>
          <w:rtl/>
        </w:rPr>
        <w:t xml:space="preserve">اليوم 4: التعرف على معيار نسبة العيوب المسموحة (Limite de Qualité Acceptable) وحق العامل في رفع أي عيب فور ملاحظته دون انتظار الفحص النهائي.</w:t>
      </w:r>
    </w:p>
    <w:p>
      <w:pPr>
        <w:numPr>
          <w:ilvl w:val="1"/>
          <w:numId w:val="1068"/>
        </w:numPr>
        <w:pStyle w:val="Compact"/>
        <w:bidi/>
        <w:jc w:val="right"/>
      </w:pPr>
      <w:r>
        <w:rPr>
          <w:rtl/>
        </w:rPr>
        <w:t xml:space="preserve">اليوم 5: تدريب عملي على محطة كاملة متسلسلة (كبس ← تجميع ← اختبار أولي) تحت إشراف مباشر.</w:t>
      </w:r>
    </w:p>
    <w:p>
      <w:pPr>
        <w:numPr>
          <w:ilvl w:val="0"/>
          <w:numId w:val="1067"/>
        </w:numPr>
        <w:pStyle w:val="Compact"/>
        <w:bidi/>
        <w:jc w:val="right"/>
      </w:pPr>
      <w:r>
        <w:rPr>
          <w:rtl/>
          <w:bCs/>
          <w:b/>
        </w:rPr>
        <w:t xml:space="preserve">معيار القبول النهائي</w:t>
      </w:r>
      <w:r>
        <w:rPr>
          <w:rtl/>
        </w:rPr>
        <w:t xml:space="preserve"> </w:t>
      </w:r>
      <w:r>
        <w:rPr>
          <w:rtl/>
        </w:rPr>
        <w:t xml:space="preserve">: تحقيق إنتاجية 100-120 وحدة/ساعة (طاقة الآلة الاسمية) بنسبة عيوب أقل من 2% على دفعة اختبارية لا تقل عن 200 وحدة متتالية.</w:t>
      </w:r>
    </w:p>
    <w:p>
      <w:pPr>
        <w:pBdr>
          <w:right w:val="single" w:sz="24" w:space="6" w:color="008080"/>
        </w:pBdr>
        <w:bidi/>
        <w:jc w:val="right"/>
      </w:pPr>
      <w:r>
        <w:rPr>
          <w:color w:val="008080"/>
          <w:sz w:val="25"/>
          <w:rtl/>
          <w:bCs/>
          <w:b/>
        </w:rPr>
        <w:t xml:space="preserve">19.3 برنامج تدريب «مشرف الجودة» (Programme de Formation — Superviseur Qualité)</w:t>
      </w:r>
    </w:p>
    <w:p>
      <w:pPr>
        <w:numPr>
          <w:ilvl w:val="0"/>
          <w:numId w:val="1069"/>
        </w:numPr>
        <w:pStyle w:val="Compact"/>
        <w:bidi/>
        <w:jc w:val="right"/>
      </w:pPr>
      <w:r>
        <w:rPr>
          <w:rtl/>
          <w:bCs/>
          <w:b/>
        </w:rPr>
        <w:t xml:space="preserve">المدة الإجمالية</w:t>
      </w:r>
      <w:r>
        <w:rPr>
          <w:rtl/>
        </w:rPr>
        <w:t xml:space="preserve"> </w:t>
      </w:r>
      <w:r>
        <w:rPr>
          <w:rtl/>
        </w:rPr>
        <w:t xml:space="preserve">: ثلاثة أسابيع (15 يوم عمل) بعد إتمام JLT Academy العام، نظراً لحساسية الدور واتساع صلاحياته وفق مصفوفة السلطات (الفصل 14).</w:t>
      </w:r>
    </w:p>
    <w:p>
      <w:pPr>
        <w:numPr>
          <w:ilvl w:val="0"/>
          <w:numId w:val="1069"/>
        </w:numPr>
        <w:pStyle w:val="Compact"/>
        <w:pBdr>
          <w:right w:val="single" w:sz="16" w:space="6" w:color="008080"/>
        </w:pBdr>
        <w:bidi/>
        <w:jc w:val="right"/>
      </w:pPr>
      <w:r>
        <w:rPr>
          <w:color w:val="008080"/>
          <w:sz w:val="23"/>
          <w:rtl/>
          <w:bCs/>
          <w:b/>
        </w:rPr>
        <w:t xml:space="preserve">المحتوى التفصيلي</w:t>
      </w:r>
      <w:r>
        <w:rPr>
          <w:b/>
          <w:color w:val="008080"/>
          <w:sz w:val="23"/>
          <w:rtl/>
        </w:rPr>
        <w:t xml:space="preserve"> </w:t>
      </w:r>
      <w:r>
        <w:rPr>
          <w:b/>
          <w:color w:val="008080"/>
          <w:sz w:val="23"/>
          <w:rtl/>
        </w:rPr>
        <w:t xml:space="preserve">:</w:t>
      </w:r>
    </w:p>
    <w:p>
      <w:pPr>
        <w:numPr>
          <w:ilvl w:val="1"/>
          <w:numId w:val="1070"/>
        </w:numPr>
        <w:pStyle w:val="Compact"/>
        <w:bidi/>
        <w:jc w:val="right"/>
      </w:pPr>
      <w:r>
        <w:rPr>
          <w:rtl/>
        </w:rPr>
        <w:t xml:space="preserve">الأسبوع 1: إتقان بروتوكول «الفحص الثلاثي» المتكامل بمراحله الثلاث (البند 8.1) عملياً، مع تدريب مكثف على استخدام أجهزة القياس: Wattmeter، Megohmmeter لاختبار Hi-Pot عند 1440 فولت، Lux Meter.</w:t>
      </w:r>
    </w:p>
    <w:p>
      <w:pPr>
        <w:numPr>
          <w:ilvl w:val="1"/>
          <w:numId w:val="1070"/>
        </w:numPr>
        <w:pStyle w:val="Compact"/>
        <w:bidi/>
        <w:jc w:val="right"/>
      </w:pPr>
      <w:r>
        <w:rPr>
          <w:rtl/>
        </w:rPr>
        <w:t xml:space="preserve">الأسبوع 2: معايير القبول والرفض بالأرقام (المدرجة في مسرد المصطلحات)، تعبئة سجل الفحص البصري ونموذج تقييم العمال (البند 12.5)، التمرّس الكامل على صلاحية «إيقاف الخط» (Stop Line) الممنوحة له وفق الفصل 14، وحدود هذه الصلاحية.</w:t>
      </w:r>
    </w:p>
    <w:p>
      <w:pPr>
        <w:numPr>
          <w:ilvl w:val="1"/>
          <w:numId w:val="1070"/>
        </w:numPr>
        <w:pStyle w:val="Compact"/>
        <w:bidi/>
        <w:jc w:val="right"/>
      </w:pPr>
      <w:r>
        <w:rPr>
          <w:rtl/>
        </w:rPr>
        <w:t xml:space="preserve">الأسبوع 3: منهجية «5 Whys» ومخطط Ishikawa لتحليل الأعطال (البند 4.2 و11.3)، بروتوكولات الإجراءات التصحيحية الطارئة (البند 5.12)، تعبئة مصفوفة تقييم الموردين (الفصل 17) والمشاركة في اعتماد أو رفض دفعات الموردين (البند 4.5)، ومسؤولياته ضمن مصفوفة صلاحيات القرار للمرتجعات (البند 15.2).</w:t>
      </w:r>
    </w:p>
    <w:p>
      <w:pPr>
        <w:numPr>
          <w:ilvl w:val="0"/>
          <w:numId w:val="1069"/>
        </w:numPr>
        <w:pStyle w:val="Compact"/>
        <w:bidi/>
        <w:jc w:val="right"/>
      </w:pPr>
      <w:r>
        <w:rPr>
          <w:rtl/>
          <w:bCs/>
          <w:b/>
        </w:rPr>
        <w:t xml:space="preserve">معيار القبول النهائي</w:t>
      </w:r>
      <w:r>
        <w:rPr>
          <w:rtl/>
        </w:rPr>
        <w:t xml:space="preserve"> </w:t>
      </w:r>
      <w:r>
        <w:rPr>
          <w:rtl/>
        </w:rPr>
        <w:t xml:space="preserve">: اجتياز اختبار نظري مكوَّن من 20 سؤالاً بنسبة نجاح ≥ 90%، بالإضافة إلى تنفيذ فحص ثلاثي كامل ومستقل على دفعة اختبارية تحت مراقبة المشرف الحالي، مع توثيق سليم 100% في جميع النماذج ذات الصلة (12.1 إلى 12.6).</w:t>
      </w:r>
    </w:p>
    <w:p>
      <w:pPr>
        <w:pBdr>
          <w:right w:val="single" w:sz="24" w:space="6" w:color="008080"/>
        </w:pBdr>
        <w:bidi/>
        <w:jc w:val="right"/>
      </w:pPr>
      <w:r>
        <w:rPr>
          <w:color w:val="008080"/>
          <w:sz w:val="25"/>
          <w:rtl/>
          <w:bCs/>
          <w:b/>
        </w:rPr>
        <w:t xml:space="preserve">19.4 جدول مقارن ملخَّص لبرامج التدريب الوظيفي</w:t>
      </w:r>
    </w:p>
    <w:tbl>
      <w:tblPr>
        <w:tblStyle w:val="Table"/>
        <w:bidiVisual/>
        <w:tblW w:type="pct" w:w="5000"/>
        <w:tblLook w:firstRow="1" w:lastRow="0" w:firstColumn="0" w:lastColumn="0" w:noHBand="0" w:noVBand="0" w:val="0020"/>
        <w:jc w:val="right"/>
      </w:tblPr>
      <w:tblGrid>
        <w:gridCol w:w="1980"/>
        <w:gridCol w:w="1980"/>
        <w:gridCol w:w="1980"/>
        <w:gridCol w:w="198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المسمى الوظيفي</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مدة التخصص الإضافي بعد JLT Academy العام</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معيار القبول النهائي المحدَّد</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المرجع الرئيسي</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فني الصيانة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أسبوعان (10 أيام)</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تشخيص عملي على 3 آلات + استجابة ≤ 15 دقيقة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البند 19.1، الفصل 16</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عامل الكبس والتجميع</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أسبوع واحد (5 أيام)</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100-120 وحدة/ساعة بعيوب &lt; 2%</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البند 19.2</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مشرف الجودة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ثلاثة أسابيع (15 يوماً)</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اختبار نظري ≥ 90% + فحص ثلاثي مستقل موثَّق بالكامل</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البند 19.3، الفصل 14 و17</w:t>
            </w:r>
          </w:p>
        </w:tc>
      </w:tr>
    </w:tbl>
    <w:p>
      <w:pPr>
        <w:pBdr>
          <w:right w:val="single" w:sz="24" w:space="6" w:color="008080"/>
        </w:pBdr>
        <w:bidi/>
        <w:jc w:val="right"/>
      </w:pPr>
      <w:r>
        <w:rPr>
          <w:color w:val="008080"/>
          <w:sz w:val="25"/>
          <w:rtl/>
          <w:bCs/>
          <w:b/>
        </w:rPr>
        <w:t xml:space="preserve">19.5 ملاحظة تكميلية بشأن الأدوار الأخرى</w:t>
      </w:r>
    </w:p>
    <w:p>
      <w:pPr>
        <w:bidi/>
        <w:jc w:val="right"/>
      </w:pPr>
      <w:r>
        <w:rPr>
          <w:rtl/>
        </w:rPr>
        <w:t xml:space="preserve">الأدوار غير المذكورة أعلاه (عامل التجميع النهائي، عامل التغليف، عامل الدعم التقني العام) تتبع برنامج JLT Academy العام الموصوف في البند 6.6ب دون الحاجة لتخصص إضافي منفصل، مع تدريب على محطة العمل الثانية وفق التوزيع الوظيفي المتكامل (البند 6.3)؛ تفادياً لتضخيم الدليل ببرامج تخصصية غير ضرورية تشغيلياً لأدوار أقل حساسية من الثلاثة المذكورة أعلاه.</w:t>
      </w:r>
    </w:p>
    <w:tbl>
      <w:tblPr>
        <w:tblStyle w:val="Table"/>
        <w:bidiVisual/>
        <w:tblW w:type="pct" w:w="500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E9EDF2"/>
          </w:tcPr>
          <w:p>
            <w:pPr>
              <w:pStyle w:val="Compact"/>
              <w:bidi/>
              <w:jc w:val="right"/>
            </w:pPr>
            <w:r>
              <w:rPr>
                <w:color w:val="0D3B66"/>
                <w:sz w:val="29"/>
                <w:rtl/>
                <w:bCs/>
                <w:b/>
              </w:rPr>
              <w:t xml:space="preserve">ملحق: سجل التعارضات الرقمية والفنية وقرارات الاعتماد (Registre des Conflits Numériques, Techniques et Décisions de Validation) — V.9.5</w:t>
            </w:r>
          </w:p>
        </w:tc>
      </w:tr>
    </w:tbl>
    <w:p>
      <w:pPr>
        <w:bidi/>
        <w:jc w:val="right"/>
      </w:pPr>
      <w:r>
        <w:rPr>
          <w:rtl/>
          <w:bCs/>
          <w:b/>
        </w:rPr>
        <w:t xml:space="preserve">تمهيد:</w:t>
      </w:r>
      <w:r>
        <w:rPr>
          <w:rtl/>
        </w:rPr>
        <w:t xml:space="preserve"> </w:t>
      </w:r>
      <w:r>
        <w:rPr>
          <w:rtl/>
        </w:rPr>
        <w:t xml:space="preserve">يوثّق هذا الملحق، بشفافية كاملة، كل تعارض رقمي أو فني وُجد بين نسخ سابقة من هذا الدليل أو بين مصادر تحضيرية مختلفة، مع القيم المتعددة التي ظهرت، والقرار النهائي المعتمَد من صاحب المشروع، وتاريخ الاعتماد. الهدف: منع أي التباس لدى مُراجع NESDA أو أي طرف ثالث بشأن سبب اختلاف رقم ما عن نسخة أقدم من الدليل، وضمان تتبّع كامل لمسار القرار (Traçabilité Décisionnelle).</w:t>
      </w:r>
    </w:p>
    <w:tbl>
      <w:tblPr>
        <w:tblStyle w:val="Table"/>
        <w:bidiVisual/>
        <w:tblW w:type="pct" w:w="5000"/>
        <w:tblLook w:firstRow="1" w:lastRow="0" w:firstColumn="0" w:lastColumn="0" w:noHBand="0" w:noVBand="0" w:val="0020"/>
        <w:jc w:val="right"/>
      </w:tblPr>
      <w:tblGrid>
        <w:gridCol w:w="1131"/>
        <w:gridCol w:w="1131"/>
        <w:gridCol w:w="1131"/>
        <w:gridCol w:w="1131"/>
        <w:gridCol w:w="1131"/>
        <w:gridCol w:w="1131"/>
        <w:gridCol w:w="1131"/>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الموقع في الدليل</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القيم المختلفة التي ظهرت سابقاً</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نوع التعارض</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الأثر التشغيلي/المالي</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القرار المعتمَد من صاحب المشروع</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b/>
                <w:color w:val="FFFFFF"/>
                <w:rtl/>
              </w:rPr>
              <w:t xml:space="preserve">الحالة</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قدرة المولد الاحتياطي (البند 5.1، وجدول تكاليف المعدات المساندة)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ظهرت 3 قيم عبر مراحل إعداد الدليل: 3 kVA (النسخة الأولى) / 5 kW ≈ 6.5 kVA (تصحيح V.9.4) / 10 KVA (قرار صريح من صاحب المشروع، V.9.5)</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تعارض في مواصفة معدة سلامة/استمرارية حرجة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يؤثر على استمرارية تشغيل الفرن وشفط الأبخرة عند انقطاع التيار؛ فارق السعر بين 6.5 وKVA و10 KVA يُقدَّر بنحو 30,000 دج إضافية، يُمتَص بالكامل ضمن الهامش الأمني 1,043,608 دج</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bCs/>
                <w:b/>
              </w:rPr>
              <w:t xml:space="preserve">10 KVA معتمدة نهائياً كقيمة تخطيطية في V.9.5، بشرط إلزامي: تأكيد نهائي عبر حساب حمل فعلي (Bilan de Puissance) قبل توقيع أي عقد شراء</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معتمد من صاحب المشروع — بانتظار حساب الحمل الفعلي فقط</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الطاقة الإنتاجية اليومية لمرحلة الانطلاق (البند 6.1 وما يتبعه)</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ظهرت صياغتان:</w:t>
            </w:r>
            <w:r>
              <w:rPr>
                <w:rtl/>
              </w:rPr>
              <w:t xml:space="preserve"> </w:t>
            </w:r>
            <w:r>
              <w:rPr>
                <w:rtl/>
              </w:rPr>
              <w:t xml:space="preserve">“</w:t>
            </w:r>
            <w:r>
              <w:rPr>
                <w:rtl/>
              </w:rPr>
              <w:t xml:space="preserve">210 وحدة/يوم</w:t>
            </w:r>
            <w:r>
              <w:rPr>
                <w:rtl/>
              </w:rPr>
              <w:t xml:space="preserve">”</w:t>
            </w:r>
            <w:r>
              <w:rPr>
                <w:rtl/>
              </w:rPr>
              <w:t xml:space="preserve"> </w:t>
            </w:r>
            <w:r>
              <w:rPr>
                <w:rtl/>
              </w:rPr>
              <w:t xml:space="preserve">كرقم ثابت محسوب (النسخة الأولى) مقابل</w:t>
            </w:r>
            <w:r>
              <w:rPr>
                <w:rtl/>
              </w:rPr>
              <w:t xml:space="preserve"> </w:t>
            </w:r>
            <w:r>
              <w:rPr>
                <w:rtl/>
              </w:rPr>
              <w:t xml:space="preserve">“</w:t>
            </w:r>
            <w:r>
              <w:rPr>
                <w:rtl/>
              </w:rPr>
              <w:t xml:space="preserve">210-250 وحدة/يوم</w:t>
            </w:r>
            <w:r>
              <w:rPr>
                <w:rtl/>
              </w:rPr>
              <w:t xml:space="preserve">”</w:t>
            </w:r>
            <w:r>
              <w:rPr>
                <w:rtl/>
              </w:rPr>
              <w:t xml:space="preserve"> </w:t>
            </w:r>
            <w:r>
              <w:rPr>
                <w:rtl/>
              </w:rPr>
              <w:t xml:space="preserve">كنطاق مستهدف (توجيه صاحب المشروع، V.9.5)</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تعارض في طريقة عرض هدف تشغيلي (رقم ثابت مقابل نطاق)</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لا أثر مالي؛ أثر تشغيلي طفيف على صياغة تقارير الإنتاج الشهرية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bCs/>
                <w:b/>
              </w:rPr>
              <w:t xml:space="preserve">اعتماد النطاق 210-250 وحدة/يوم كهدف تخطيطي لمرحلة الانطلاق، مع الإبقاء على 400 وحدة/يوم كسقف توسعي غير إلزامي في السنة الأولى</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معتمد نهائياً من صاحب المشروع</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3</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طبيعة مخزون الأمان 5,000 بطاقة PCB (البند 8.1 و10.1)</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احتمال التباس بين</w:t>
            </w:r>
            <w:r>
              <w:rPr>
                <w:rtl/>
              </w:rPr>
              <w:t xml:space="preserve"> </w:t>
            </w:r>
            <w:r>
              <w:rPr>
                <w:rtl/>
              </w:rPr>
              <w:t xml:space="preserve">“</w:t>
            </w:r>
            <w:r>
              <w:rPr>
                <w:rtl/>
              </w:rPr>
              <w:t xml:space="preserve">بطاقات خام غير معالَجة</w:t>
            </w:r>
            <w:r>
              <w:rPr>
                <w:rtl/>
              </w:rPr>
              <w:t xml:space="preserve">”</w:t>
            </w:r>
            <w:r>
              <w:rPr>
                <w:rtl/>
              </w:rPr>
              <w:t xml:space="preserve"> </w:t>
            </w:r>
            <w:r>
              <w:rPr>
                <w:rtl/>
              </w:rPr>
              <w:t xml:space="preserve">و”بطاقات كاملة جاهزة”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التباس تعريفي محتمل، وليس تعارضاً فعلياً في النص الأصلي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لا أثر مالي مباشر؛ أهمية توضيحية لتفادي سوء فهم عند التخطيط للمخزون</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bCs/>
                <w:b/>
              </w:rPr>
              <w:t xml:space="preserve">توضيح تأكيدي (لا تغيير في الرقم): الـ5,000 بطاقة تعني حصراً بطاقات PCB كاملة — ملحومة ومنظَّفة ومختبرة بصرياً وجاهزة للتركيب النهائي — وليست بطاقات خام أو نصف مصنَّعة، وفق ما ورد أصلاً في البند 8.1</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موضَّح ومؤكَّد، لا حاجة لقرار إضافي</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4</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مدة اختبار</w:t>
            </w:r>
            <w:r>
              <w:rPr>
                <w:rtl/>
              </w:rPr>
              <w:t xml:space="preserve"> </w:t>
            </w:r>
            <w:r>
              <w:rPr>
                <w:rtl/>
              </w:rPr>
              <w:t xml:space="preserve">“</w:t>
            </w:r>
            <w:r>
              <w:rPr>
                <w:rtl/>
              </w:rPr>
              <w:t xml:space="preserve">الحرق</w:t>
            </w:r>
            <w:r>
              <w:rPr>
                <w:rtl/>
              </w:rPr>
              <w:t xml:space="preserve">”</w:t>
            </w:r>
            <w:r>
              <w:rPr>
                <w:rtl/>
              </w:rPr>
              <w:t xml:space="preserve"> </w:t>
            </w:r>
            <w:r>
              <w:rPr>
                <w:rtl/>
              </w:rPr>
              <w:t xml:space="preserve">(Burn-in) الظاهرة في أكثر من موضع (البند 5.4 مقابل البند 5.5)</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تبايُن ظاهري بين</w:t>
            </w:r>
            <w:r>
              <w:rPr>
                <w:rtl/>
              </w:rPr>
              <w:t xml:space="preserve"> </w:t>
            </w:r>
            <w:r>
              <w:rPr>
                <w:rtl/>
              </w:rPr>
              <w:t xml:space="preserve">“</w:t>
            </w:r>
            <w:r>
              <w:rPr>
                <w:rtl/>
              </w:rPr>
              <w:t xml:space="preserve">4 ساعات</w:t>
            </w:r>
            <w:r>
              <w:rPr>
                <w:rtl/>
              </w:rPr>
              <w:t xml:space="preserve">”</w:t>
            </w:r>
            <w:r>
              <w:rPr>
                <w:rtl/>
              </w:rPr>
              <w:t xml:space="preserve"> </w:t>
            </w:r>
            <w:r>
              <w:rPr>
                <w:rtl/>
              </w:rPr>
              <w:t xml:space="preserve">(بروتوكول الحرق الرئيسي، البند 5.4) و”5 دقائق” (اختبار التبديل السريع، البند 5.5)</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التباس محتمل بين اختبارين مختلفين، وليس تعارضاً فعلياً</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لا أثر مالي؛ أهمية توضيحية لتفادي خلط بين بروتوكولين مختلفين في التدريب والتدقيق</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bCs/>
                <w:b/>
              </w:rPr>
              <w:t xml:space="preserve">توضيح تأكيدي (لا تغيير في أي رقم):</w:t>
            </w:r>
            <w:r>
              <w:rPr>
                <w:rtl/>
                <w:bCs/>
                <w:b/>
              </w:rPr>
              <w:t xml:space="preserve"> </w:t>
            </w:r>
            <w:r>
              <w:rPr>
                <w:rtl/>
                <w:bCs/>
                <w:b/>
              </w:rPr>
              <w:t xml:space="preserve">“</w:t>
            </w:r>
            <w:r>
              <w:rPr>
                <w:rtl/>
                <w:bCs/>
                <w:b/>
              </w:rPr>
              <w:t xml:space="preserve">4 ساعات</w:t>
            </w:r>
            <w:r>
              <w:rPr>
                <w:rtl/>
                <w:bCs/>
                <w:b/>
              </w:rPr>
              <w:t xml:space="preserve">”</w:t>
            </w:r>
            <w:r>
              <w:rPr>
                <w:rtl/>
                <w:bCs/>
                <w:b/>
              </w:rPr>
              <w:t xml:space="preserve"> </w:t>
            </w:r>
            <w:r>
              <w:rPr>
                <w:rtl/>
                <w:bCs/>
                <w:b/>
              </w:rPr>
              <w:t xml:space="preserve">تخص بروتوكول اختبار الحرق المتقدم (5.4) حصراً، بينما</w:t>
            </w:r>
            <w:r>
              <w:rPr>
                <w:rtl/>
                <w:bCs/>
                <w:b/>
              </w:rPr>
              <w:t xml:space="preserve"> </w:t>
            </w:r>
            <w:r>
              <w:rPr>
                <w:rtl/>
                <w:bCs/>
                <w:b/>
              </w:rPr>
              <w:t xml:space="preserve">“</w:t>
            </w:r>
            <w:r>
              <w:rPr>
                <w:rtl/>
                <w:bCs/>
                <w:b/>
              </w:rPr>
              <w:t xml:space="preserve">5 دقائق</w:t>
            </w:r>
            <w:r>
              <w:rPr>
                <w:rtl/>
                <w:bCs/>
                <w:b/>
              </w:rPr>
              <w:t xml:space="preserve">”</w:t>
            </w:r>
            <w:r>
              <w:rPr>
                <w:rtl/>
                <w:bCs/>
                <w:b/>
              </w:rPr>
              <w:t xml:space="preserve"> </w:t>
            </w:r>
            <w:r>
              <w:rPr>
                <w:rtl/>
                <w:bCs/>
                <w:b/>
              </w:rPr>
              <w:t xml:space="preserve">تخص اختبار التبديل السريع (5.5) وهو اختبار مختلف تماماً وأقصر بطبيعته؛ يُضاف هذا التمييز صراحة إلى برنامج تدريب مشرف الجودة (البند 19.3) لمنع أي خلط ميداني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موضَّح ومؤكَّد، لا حاجة لقرار إضافي</w:t>
            </w:r>
          </w:p>
        </w:tc>
      </w:tr>
      <w:tr>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5</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تصنيف تكلفة الوحدة 575 دج (متغيرة أم كلية)</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احتمال التباس بين قراءتها كتكلفة متغيرة فقط أو كتكلفة إجمالية شاملة الأعباء الثابتة</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التباس تعريفي محاسبي محتمل</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مهم لصحة تحليل نقطة التعادل (البند 7.4.ب)</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color w:val="1A1A1A"/>
                <w:rtl/>
                <w:bCs/>
                <w:b/>
              </w:rPr>
              <w:t xml:space="preserve">توضيح تأكيدي (لا تغيير في الرقم): الـ575 دج معرَّفة ومستخدَمة أصلاً كـ«تكلفة الوحدة المتغيرة» حصراً (مواد + عمالة مباشرة + كهرباء + تغليف + هامش أمان + هالك)، وهي ذات القيمة المعتمدة في معادلة هامش المساهمة (7.4.ب)؛ لا تشمل الإهلاك أو الإيجار أو الأعباء الإدارية الثابتة</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موضَّح ومؤكَّد، لا حاجة لقرار إضافي</w:t>
            </w:r>
          </w:p>
        </w:tc>
      </w:tr>
    </w:tbl>
    <w:p>
      <w:pPr>
        <w:bidi/>
        <w:jc w:val="right"/>
      </w:pPr>
      <w:r>
        <w:rPr>
          <w:rtl/>
          <w:bCs/>
          <w:b/>
        </w:rPr>
        <w:t xml:space="preserve">مبدأ حاكم لهذا الملحق:</w:t>
      </w:r>
      <w:r>
        <w:rPr>
          <w:rtl/>
        </w:rPr>
        <w:t xml:space="preserve"> </w:t>
      </w:r>
      <w:r>
        <w:rPr>
          <w:rtl/>
        </w:rPr>
        <w:t xml:space="preserve">أي تعارض رقمي أو فني يُكتشَف مستقبلاً (بعد V.9.5) يُضاف كصف جديد في هذا الجدول دون حذف أي صف سابق، ولا يُحسَم بقرار أحادي من أي جهة تحرير للدليل — بل يُعرَض حصراً على صاحب المشروع للفصل فيه، صوناً لمبدأ عدم اتخاذ قرارات رقمية أحادية الجانب.</w:t>
      </w:r>
    </w:p>
    <w:tbl>
      <w:tblPr>
        <w:tblStyle w:val="Table"/>
        <w:bidiVisual/>
        <w:tblW w:type="auto" w:w="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E9EDF2"/>
          </w:tcPr>
          <w:p>
            <w:pPr>
              <w:pStyle w:val="Compact"/>
              <w:bidi/>
              <w:jc w:val="right"/>
            </w:pPr>
            <w:r>
              <w:rPr>
                <w:color w:val="0D3B66"/>
                <w:sz w:val="29"/>
                <w:rtl/>
                <w:bCs/>
                <w:b/>
              </w:rPr>
              <w:t xml:space="preserve">القسم الثاني: رؤية استراتيجية للتوسع (السنوات 3-5)</w:t>
            </w:r>
          </w:p>
        </w:tc>
      </w:tr>
    </w:tbl>
    <w:p>
      <w:pPr>
        <w:bidi/>
        <w:jc w:val="right"/>
      </w:pPr>
      <w:r>
        <w:rPr>
          <w:rtl/>
        </w:rPr>
        <w:t xml:space="preserve">ملاحظة: هذا القسم يحتوي على توجهات استراتيجية عامة بدون أرقام ملزمة في هذه المرحلة.</w:t>
      </w:r>
    </w:p>
    <w:p>
      <w:pPr>
        <w:numPr>
          <w:ilvl w:val="0"/>
          <w:numId w:val="1071"/>
        </w:numPr>
        <w:pStyle w:val="Compact"/>
        <w:bidi/>
        <w:jc w:val="right"/>
      </w:pPr>
      <w:r>
        <w:rPr>
          <w:rtl/>
        </w:rPr>
        <w:t xml:space="preserve">حماية الملكية الفكرية والنماذج الصناعية</w:t>
      </w:r>
    </w:p>
    <w:p>
      <w:pPr>
        <w:numPr>
          <w:ilvl w:val="0"/>
          <w:numId w:val="1072"/>
        </w:numPr>
        <w:bidi/>
        <w:jc w:val="right"/>
      </w:pPr>
      <w:r>
        <w:rPr>
          <w:rtl/>
        </w:rPr>
        <w:t xml:space="preserve">تسجيل العلامة التجارية «Jannah Light» والشعار لدى INAPI/ONDA.</w:t>
      </w:r>
    </w:p>
    <w:p>
      <w:pPr>
        <w:numPr>
          <w:ilvl w:val="0"/>
          <w:numId w:val="1072"/>
        </w:numPr>
        <w:bidi/>
        <w:jc w:val="right"/>
      </w:pPr>
      <w:r>
        <w:rPr>
          <w:rtl/>
        </w:rPr>
        <w:t xml:space="preserve">توثيق النماذج الصناعية (شكل الناشر الضوئي، توزيع الـ PCB).</w:t>
      </w:r>
    </w:p>
    <w:p>
      <w:pPr>
        <w:numPr>
          <w:ilvl w:val="0"/>
          <w:numId w:val="1072"/>
        </w:numPr>
        <w:bidi/>
        <w:jc w:val="right"/>
      </w:pPr>
      <w:r>
        <w:rPr>
          <w:rtl/>
        </w:rPr>
        <w:t xml:space="preserve">تسجيل براءات نماذج تقنية (دمج الفيوز والزينر ديود في الـ PCB).</w:t>
      </w:r>
    </w:p>
    <w:p>
      <w:pPr>
        <w:numPr>
          <w:ilvl w:val="0"/>
          <w:numId w:val="1072"/>
        </w:numPr>
        <w:bidi/>
        <w:jc w:val="right"/>
      </w:pPr>
      <w:r>
        <w:rPr>
          <w:rtl/>
        </w:rPr>
        <w:t xml:space="preserve">الهدف: حماية الاسم والشكل والابتكار من التقليد وضمان حقوق التصدير.</w:t>
      </w:r>
    </w:p>
    <w:p>
      <w:pPr>
        <w:numPr>
          <w:ilvl w:val="0"/>
          <w:numId w:val="1073"/>
        </w:numPr>
        <w:pStyle w:val="Compact"/>
        <w:bidi/>
        <w:jc w:val="right"/>
      </w:pPr>
      <w:r>
        <w:rPr>
          <w:rtl/>
        </w:rPr>
        <w:t xml:space="preserve">التوسع في المنتجات</w:t>
      </w:r>
    </w:p>
    <w:p>
      <w:pPr>
        <w:numPr>
          <w:ilvl w:val="0"/>
          <w:numId w:val="1074"/>
        </w:numPr>
        <w:bidi/>
        <w:jc w:val="right"/>
      </w:pPr>
      <w:r>
        <w:rPr>
          <w:rtl/>
        </w:rPr>
        <w:t xml:space="preserve">المرحلة 2 (السنة 2-3): PIR Motion Sensor + Floodlights IP65 + Panel Lights + LED Tubes.</w:t>
      </w:r>
    </w:p>
    <w:p>
      <w:pPr>
        <w:numPr>
          <w:ilvl w:val="0"/>
          <w:numId w:val="1074"/>
        </w:numPr>
        <w:bidi/>
        <w:jc w:val="right"/>
      </w:pPr>
      <w:r>
        <w:rPr>
          <w:rtl/>
        </w:rPr>
        <w:t xml:space="preserve">المرحلة 3 (السنة 4-5): Smart Lighting (WiFi/BT) + Emergency LED + High Bay + Street Lighting.</w:t>
      </w:r>
    </w:p>
    <w:p>
      <w:pPr>
        <w:numPr>
          <w:ilvl w:val="0"/>
          <w:numId w:val="1075"/>
        </w:numPr>
        <w:pStyle w:val="Compact"/>
        <w:bidi/>
        <w:jc w:val="right"/>
      </w:pPr>
      <w:r>
        <w:rPr>
          <w:rtl/>
        </w:rPr>
        <w:t xml:space="preserve">الأتمتة التدريجية</w:t>
      </w:r>
    </w:p>
    <w:p>
      <w:pPr>
        <w:numPr>
          <w:ilvl w:val="0"/>
          <w:numId w:val="1076"/>
        </w:numPr>
        <w:bidi/>
        <w:jc w:val="right"/>
      </w:pPr>
      <w:r>
        <w:rPr>
          <w:rtl/>
        </w:rPr>
        <w:t xml:space="preserve">السنة 2-3: شراء Pick &amp; Place نصف أوتوماتيكية.</w:t>
      </w:r>
    </w:p>
    <w:p>
      <w:pPr>
        <w:numPr>
          <w:ilvl w:val="0"/>
          <w:numId w:val="1076"/>
        </w:numPr>
        <w:bidi/>
        <w:jc w:val="right"/>
      </w:pPr>
      <w:r>
        <w:rPr>
          <w:rtl/>
        </w:rPr>
        <w:t xml:space="preserve">السنة 4-5: خط SMT كامل عند 20,000 وحدة/شهر + اختبار آلي ICT/Functional Test.</w:t>
      </w:r>
    </w:p>
    <w:p>
      <w:pPr>
        <w:numPr>
          <w:ilvl w:val="0"/>
          <w:numId w:val="1076"/>
        </w:numPr>
        <w:bidi/>
        <w:jc w:val="right"/>
      </w:pPr>
      <w:r>
        <w:rPr>
          <w:rtl/>
        </w:rPr>
        <w:t xml:space="preserve">اعتماد نظام نظام تخطيط موارد المؤسسة (Système de Gestion Intégrée) مفتوح المصدر (يُفضَّل</w:t>
      </w:r>
      <w:r>
        <w:rPr>
          <w:rtl/>
        </w:rPr>
        <w:t xml:space="preserve"> </w:t>
      </w:r>
      <w:r>
        <w:rPr>
          <w:rtl/>
          <w:bCs/>
          <w:b/>
        </w:rPr>
        <w:t xml:space="preserve">Odoo</w:t>
      </w:r>
      <w:r>
        <w:rPr>
          <w:rtl/>
        </w:rPr>
        <w:t xml:space="preserve">) لإدارة الإنتاج والمخزون والمبيعات، كخطوة انتقالية من نظام QR Code + Google Sheets الحالي (المذكور في البند 5.13) — يتميز Odoo بكونه منخفض التكلفة (نسخة مجانية أساسية)، يدعم اللغة العربية، وقابل للتشغيل على خادم محلي بسيط أو استضافة سحابية رخيصة، مع إمكانية التوسع التدريجي لوحدات المحاسبة والمبيعات والمخزون عند نمو حجم العمليات.</w:t>
      </w:r>
    </w:p>
    <w:p>
      <w:pPr>
        <w:numPr>
          <w:ilvl w:val="0"/>
          <w:numId w:val="1077"/>
        </w:numPr>
        <w:pStyle w:val="Compact"/>
        <w:bidi/>
        <w:jc w:val="right"/>
      </w:pPr>
      <w:r>
        <w:rPr>
          <w:rtl/>
        </w:rPr>
        <w:t xml:space="preserve">التوسع السوقي والتصدير</w:t>
      </w:r>
    </w:p>
    <w:p>
      <w:pPr>
        <w:numPr>
          <w:ilvl w:val="0"/>
          <w:numId w:val="1078"/>
        </w:numPr>
        <w:bidi/>
        <w:jc w:val="right"/>
      </w:pPr>
      <w:r>
        <w:rPr>
          <w:rtl/>
        </w:rPr>
        <w:t xml:space="preserve">السنة 2: فروع أو موزعون في (وهران، قسنطينة، عنابة، سطيف).</w:t>
      </w:r>
    </w:p>
    <w:p>
      <w:pPr>
        <w:numPr>
          <w:ilvl w:val="0"/>
          <w:numId w:val="1078"/>
        </w:numPr>
        <w:bidi/>
        <w:jc w:val="right"/>
      </w:pPr>
      <w:r>
        <w:rPr>
          <w:rtl/>
        </w:rPr>
        <w:t xml:space="preserve">السنة 3-4: تصدير لموريتانيا ← ليبيا ← النيجر ← مالي.</w:t>
      </w:r>
    </w:p>
    <w:p>
      <w:pPr>
        <w:numPr>
          <w:ilvl w:val="0"/>
          <w:numId w:val="1078"/>
        </w:numPr>
        <w:bidi/>
        <w:jc w:val="right"/>
      </w:pPr>
      <w:r>
        <w:rPr>
          <w:rtl/>
        </w:rPr>
        <w:t xml:space="preserve">المشاركة في معارض دولية (دبي، الصين). شراكات مع موزعين في تونس وليبيا.</w:t>
      </w:r>
    </w:p>
    <w:p>
      <w:pPr>
        <w:numPr>
          <w:ilvl w:val="0"/>
          <w:numId w:val="1078"/>
        </w:numPr>
        <w:bidi/>
        <w:jc w:val="right"/>
      </w:pPr>
      <w:r>
        <w:rPr>
          <w:rtl/>
        </w:rPr>
        <w:t xml:space="preserve">الهدف: 10-15% من الإنتاج للتصدير بعد السنة الثالثة.</w:t>
      </w:r>
    </w:p>
    <w:p>
      <w:pPr>
        <w:numPr>
          <w:ilvl w:val="0"/>
          <w:numId w:val="1079"/>
        </w:numPr>
        <w:pStyle w:val="Compact"/>
        <w:bidi/>
        <w:jc w:val="right"/>
      </w:pPr>
      <w:r>
        <w:rPr>
          <w:rtl/>
        </w:rPr>
        <w:t xml:space="preserve">التوظيف والتكوين</w:t>
      </w:r>
    </w:p>
    <w:p>
      <w:pPr>
        <w:numPr>
          <w:ilvl w:val="0"/>
          <w:numId w:val="1080"/>
        </w:numPr>
        <w:bidi/>
        <w:jc w:val="right"/>
      </w:pPr>
      <w:r>
        <w:rPr>
          <w:rtl/>
        </w:rPr>
        <w:t xml:space="preserve">نهاية السنة 1: 10-12 عامل.</w:t>
      </w:r>
    </w:p>
    <w:p>
      <w:pPr>
        <w:numPr>
          <w:ilvl w:val="0"/>
          <w:numId w:val="1080"/>
        </w:numPr>
        <w:bidi/>
        <w:jc w:val="right"/>
      </w:pPr>
      <w:r>
        <w:rPr>
          <w:rtl/>
        </w:rPr>
        <w:t xml:space="preserve">السنة 2-3: 15-20 عامل + محاسب جزئي.</w:t>
      </w:r>
    </w:p>
    <w:p>
      <w:pPr>
        <w:numPr>
          <w:ilvl w:val="0"/>
          <w:numId w:val="1080"/>
        </w:numPr>
        <w:bidi/>
        <w:jc w:val="right"/>
      </w:pPr>
      <w:r>
        <w:rPr>
          <w:rtl/>
        </w:rPr>
        <w:t xml:space="preserve">السنة 4-5: 25-30 عامل + كادر إداري (محاسب، مشتريات، تسويق، مشرف صيانة).</w:t>
      </w:r>
    </w:p>
    <w:p>
      <w:pPr>
        <w:numPr>
          <w:ilvl w:val="0"/>
          <w:numId w:val="1080"/>
        </w:numPr>
        <w:bidi/>
        <w:jc w:val="right"/>
      </w:pPr>
      <w:r>
        <w:rPr>
          <w:rtl/>
        </w:rPr>
        <w:t xml:space="preserve">مهندس جودة بعد السنة 3 لمتابعة ISO 9001. مسؤول تصدير بعد السنة 4.</w:t>
      </w:r>
    </w:p>
    <w:p>
      <w:pPr>
        <w:numPr>
          <w:ilvl w:val="0"/>
          <w:numId w:val="1080"/>
        </w:numPr>
        <w:bidi/>
        <w:jc w:val="right"/>
      </w:pPr>
      <w:r>
        <w:rPr>
          <w:rtl/>
        </w:rPr>
        <w:t xml:space="preserve">الاستمرار في برنامج JLT Academy للتكوين.</w:t>
      </w:r>
    </w:p>
    <w:p>
      <w:pPr>
        <w:numPr>
          <w:ilvl w:val="0"/>
          <w:numId w:val="1081"/>
        </w:numPr>
        <w:pStyle w:val="Compact"/>
        <w:bidi/>
        <w:jc w:val="right"/>
      </w:pPr>
      <w:r>
        <w:rPr>
          <w:rtl/>
        </w:rPr>
        <w:t xml:space="preserve">رؤية 2030</w:t>
      </w:r>
    </w:p>
    <w:p>
      <w:pPr>
        <w:numPr>
          <w:ilvl w:val="0"/>
          <w:numId w:val="1082"/>
        </w:numPr>
        <w:bidi/>
        <w:jc w:val="right"/>
      </w:pPr>
      <w:r>
        <w:rPr>
          <w:rtl/>
        </w:rPr>
        <w:t xml:space="preserve">التحول لمصنع إضاءة متكامل بخبرة جزائرية 100%.</w:t>
      </w:r>
    </w:p>
    <w:p>
      <w:pPr>
        <w:numPr>
          <w:ilvl w:val="0"/>
          <w:numId w:val="1082"/>
        </w:numPr>
        <w:bidi/>
        <w:jc w:val="right"/>
      </w:pPr>
      <w:r>
        <w:rPr>
          <w:rtl/>
        </w:rPr>
        <w:t xml:space="preserve">تخفيض فاتورة الاستيراد + خلق مناصب شغل + دعم الاقتصاد الأخضر.</w:t>
      </w:r>
    </w:p>
    <w:p>
      <w:pPr>
        <w:numPr>
          <w:ilvl w:val="0"/>
          <w:numId w:val="1082"/>
        </w:numPr>
        <w:bidi/>
        <w:jc w:val="right"/>
      </w:pPr>
      <w:r>
        <w:rPr>
          <w:rtl/>
        </w:rPr>
        <w:t xml:space="preserve">إنشاء مختبر داخلي للقياسات الضوئية والكهربائية (LM-79، LM-80).</w:t>
      </w:r>
    </w:p>
    <w:p>
      <w:pPr>
        <w:numPr>
          <w:ilvl w:val="0"/>
          <w:numId w:val="1082"/>
        </w:numPr>
        <w:bidi/>
        <w:jc w:val="right"/>
      </w:pPr>
      <w:r>
        <w:rPr>
          <w:rtl/>
        </w:rPr>
        <w:t xml:space="preserve">برنامج إعادة تدوير للمكونات التالفة (PCB، بلاستيك).</w:t>
      </w:r>
    </w:p>
    <w:p>
      <w:pPr>
        <w:numPr>
          <w:ilvl w:val="0"/>
          <w:numId w:val="1082"/>
        </w:numPr>
        <w:bidi/>
        <w:jc w:val="right"/>
      </w:pPr>
      <w:r>
        <w:rPr>
          <w:rtl/>
        </w:rPr>
        <w:t xml:space="preserve">تطوير منتجات مخصصة للسوق المحلي: مصابيح تتحمل تذبذب الجهد ومصابيح للبيئات الرطبة.</w:t>
      </w:r>
    </w:p>
    <w:tbl>
      <w:tblPr>
        <w:tblStyle w:val="Table"/>
        <w:bidiVisual/>
        <w:tblW w:type="auto" w:w="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E9EDF2"/>
          </w:tcPr>
          <w:p>
            <w:pPr>
              <w:pStyle w:val="Compact"/>
              <w:bidi/>
              <w:jc w:val="right"/>
            </w:pPr>
            <w:r>
              <w:rPr>
                <w:color w:val="0D3B66"/>
                <w:sz w:val="29"/>
                <w:rtl/>
                <w:bCs/>
                <w:b/>
              </w:rPr>
              <w:t xml:space="preserve">بند: تحليل التنافسية ورصد السوق (Market Intelligence)</w:t>
            </w:r>
          </w:p>
        </w:tc>
      </w:tr>
    </w:tbl>
    <w:p>
      <w:pPr>
        <w:numPr>
          <w:ilvl w:val="0"/>
          <w:numId w:val="1083"/>
        </w:numPr>
        <w:bidi/>
        <w:jc w:val="right"/>
      </w:pPr>
      <w:r>
        <w:rPr>
          <w:rtl/>
        </w:rPr>
        <w:t xml:space="preserve">قاعدة البيانات التنافسية: سجل دوري بأسماء المنافسين، مواصفات منتجاتهم، وأسعارهم بالجملة والتجزئة.</w:t>
      </w:r>
    </w:p>
    <w:p>
      <w:pPr>
        <w:numPr>
          <w:ilvl w:val="0"/>
          <w:numId w:val="1083"/>
        </w:numPr>
        <w:bidi/>
        <w:jc w:val="right"/>
      </w:pPr>
      <w:r>
        <w:rPr>
          <w:rtl/>
        </w:rPr>
        <w:t xml:space="preserve">المقارنة المعيارية (Benchmarking): مقارنة كفاءة مصابيح «جنة لايت» مع المنافسين من حيث: شدة الإضاءة، درجة حرارة اللون، ثبات الأداء الحراري.</w:t>
      </w:r>
    </w:p>
    <w:p>
      <w:pPr>
        <w:numPr>
          <w:ilvl w:val="0"/>
          <w:numId w:val="1083"/>
        </w:numPr>
        <w:bidi/>
        <w:jc w:val="right"/>
      </w:pPr>
      <w:r>
        <w:rPr>
          <w:rtl/>
        </w:rPr>
        <w:t xml:space="preserve">الحل التقني: منتجات تتجاوز المعايير الوطنية لتصل للمعايير الدولية (IEC).</w:t>
      </w:r>
    </w:p>
    <w:p>
      <w:pPr>
        <w:numPr>
          <w:ilvl w:val="0"/>
          <w:numId w:val="1083"/>
        </w:numPr>
        <w:bidi/>
        <w:jc w:val="right"/>
      </w:pPr>
      <w:r>
        <w:rPr>
          <w:rtl/>
        </w:rPr>
        <w:t xml:space="preserve">الحل الإداري: نظام نظام تخطيط موارد المؤسسة (Système de Gestion Intégrée) لخفض تكاليف الهدر + سعر تنافسي بجودة أعلى.</w:t>
      </w:r>
    </w:p>
    <w:p>
      <w:pPr>
        <w:numPr>
          <w:ilvl w:val="0"/>
          <w:numId w:val="1083"/>
        </w:numPr>
        <w:bidi/>
        <w:jc w:val="right"/>
      </w:pPr>
      <w:r>
        <w:rPr>
          <w:rtl/>
        </w:rPr>
        <w:t xml:space="preserve">الحل التسويقي: هوية بصرية «بريميوم» جزائرية مع ضمان حقيقي وخدمة ما بعد البيع.</w:t>
      </w:r>
    </w:p>
    <w:p>
      <w:pPr>
        <w:numPr>
          <w:ilvl w:val="0"/>
          <w:numId w:val="1083"/>
        </w:numPr>
        <w:bidi/>
        <w:jc w:val="right"/>
      </w:pPr>
      <w:r>
        <w:rPr>
          <w:rtl/>
        </w:rPr>
        <w:t xml:space="preserve">التحديث السنوي: دراسة المنافسين كل 6 أشهر لمواكبة دخول منتجات جديدة.</w:t>
      </w:r>
    </w:p>
    <w:tbl>
      <w:tblPr>
        <w:tblStyle w:val="Table"/>
        <w:bidiVisual/>
        <w:tblW w:type="auto" w:w="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E9EDF2"/>
          </w:tcPr>
          <w:p>
            <w:pPr>
              <w:pStyle w:val="Compact"/>
              <w:bidi/>
              <w:jc w:val="right"/>
            </w:pPr>
            <w:r>
              <w:rPr>
                <w:color w:val="0D3B66"/>
                <w:sz w:val="29"/>
                <w:rtl/>
                <w:bCs/>
                <w:b/>
              </w:rPr>
              <w:t xml:space="preserve">جدول المراجعة السنوية للدليل</w:t>
            </w:r>
          </w:p>
        </w:tc>
      </w:tr>
    </w:tbl>
    <w:p>
      <w:pPr>
        <w:numPr>
          <w:ilvl w:val="0"/>
          <w:numId w:val="1084"/>
        </w:numPr>
        <w:bidi/>
        <w:jc w:val="right"/>
      </w:pPr>
      <w:r>
        <w:rPr>
          <w:rtl/>
        </w:rPr>
        <w:t xml:space="preserve">يُراجَع الدليل والملاحق كل 12 شهراً أو عند أي تغيير كبير في الإنتاج أو التجهيزات.</w:t>
      </w:r>
    </w:p>
    <w:p>
      <w:pPr>
        <w:numPr>
          <w:ilvl w:val="0"/>
          <w:numId w:val="1084"/>
        </w:numPr>
        <w:bidi/>
        <w:jc w:val="right"/>
      </w:pPr>
      <w:r>
        <w:rPr>
          <w:rtl/>
        </w:rPr>
        <w:t xml:space="preserve">تُعدَّل الأرقام (التكاليف، الإنتاجية) بناءً على التقارير الفعلية للسنة الماضية.</w:t>
      </w:r>
    </w:p>
    <w:p>
      <w:pPr>
        <w:numPr>
          <w:ilvl w:val="0"/>
          <w:numId w:val="1084"/>
        </w:numPr>
        <w:bidi/>
        <w:jc w:val="right"/>
      </w:pPr>
      <w:r>
        <w:rPr>
          <w:rtl/>
        </w:rPr>
        <w:t xml:space="preserve">تُحدَّث خارطة التوسع (أنواع المنتجات الجديدة، الأسواق المستهدفة) كل سنتين.</w:t>
      </w:r>
    </w:p>
    <w:p>
      <w:pPr>
        <w:numPr>
          <w:ilvl w:val="0"/>
          <w:numId w:val="1084"/>
        </w:numPr>
        <w:bidi/>
        <w:jc w:val="right"/>
      </w:pPr>
      <w:r>
        <w:rPr>
          <w:rtl/>
        </w:rPr>
        <w:t xml:space="preserve">تُسجَّل جميع التعديلات في «سجل الدروس المستفادة» (الفصل 11) مع تاريخ المراجعة.</w:t>
      </w:r>
    </w:p>
    <w:p>
      <w:pPr>
        <w:bidi/>
        <w:jc w:val="right"/>
      </w:pPr>
      <w:r>
        <w:rPr>
          <w:rtl/>
        </w:rPr>
        <w:t xml:space="preserve">سجل المراجعة السنوية الفعلي (للتعبئة)</w:t>
      </w:r>
    </w:p>
    <w:p>
      <w:pPr>
        <w:bidi/>
        <w:jc w:val="right"/>
      </w:pPr>
      <w:r>
        <w:rPr>
          <w:rtl/>
        </w:rPr>
        <w:t xml:space="preserve">يُعبَّأ هذا السجل عند كل مراجعة سنوية للدليل، ويُحفظ كوثيقة رسمية موقّعة من المراجع المسؤول.</w:t>
      </w:r>
    </w:p>
    <w:tbl>
      <w:tblPr>
        <w:tblStyle w:val="Table"/>
        <w:bidiVisual/>
        <w:tblW w:type="pct" w:w="5000"/>
        <w:tblLook w:firstRow="1" w:lastRow="0" w:firstColumn="0" w:lastColumn="0" w:noHBand="0" w:noVBand="0" w:val="0020"/>
        <w:jc w:val="right"/>
      </w:tblPr>
      <w:tblGrid>
        <w:gridCol w:w="1584"/>
        <w:gridCol w:w="1584"/>
        <w:gridCol w:w="1584"/>
        <w:gridCol w:w="1584"/>
        <w:gridCol w:w="1584"/>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السنة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تاريخ المراجعة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اسم المراجع</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أهم التغييرات المُدخلة</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التوقيع</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2026</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23/05/2026</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محمد جعيل</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الإصدار التأسيسي V.9.3 — الدليل الكامل الأول</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2026 (تصحيح)</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13/06/2026</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محمد جعيل</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تصحيح سعر آلة تنظيف PCB (من 710,000 إلى 33,750 دج)</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2026 (تحديث تنفيذي V.9.4)</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02/08/2026</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____________ (بانتظار اعتماد المدير التقني)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إضافة الفصول 14-19، وتصحيح 6 تناقضات رقمية وهيكلية (الطاقة الإنتاجية، المولد، أسعار الآلات، كمية التغليف، تصنيف الإنفاق المالي الثلاثي، وحالة المعدات)؛ تحديث فهرس المحتويات ومسرد المصطلحات تبعاً لذلك</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2026 (مراجعة قانونية وتوضيحية V.9.5)</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11/09/2026</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____________ (بانتظار اعتماد المدير التقني)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تثبيت الأرقام المالية الأربعة النهائية لملف NESDA (3,378,500 + 5,577,892 = 8,956,392، احتياطي 1,043,608)؛ توحيد قدرة المولد على 10 KVA في 7 مواضع بقرار صريح من صاحب المشروع؛ إعادة صياغة الطاقة الإنتاجية كنطاق تخطيطي 210-250 وحدة/يوم؛ صياغة قانونية أكثر تحفظاً للموردين (مقترح لا متعاقَد معه)؛ إضافة ملاحظة سد الفجوة المحاسبية (مكتب خارجي مقترح) في البند 6.1؛ تحويل نماذج الفصل الثاني عشر الستة إلى قوالب قابلة للطباعة (JLT-F-01 إلى JLT-F-06) دون حذف الوصف السردي الأصلي؛ إضافة ملحق سجل التعارضات الرقمية والفنية وقرارات الاعتماد (5 عناصر موثَّقة)؛ لا حذف لأي محتوى موجود في V.9.4</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2027</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bCs/>
                <w:b/>
              </w:rPr>
              <w:t xml:space="preserve">/</w:t>
            </w:r>
            <w:r>
              <w:rPr>
                <w:rtl/>
              </w:rPr>
              <w:t xml:space="preserve">/____</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____________</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____________________________________________</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2028</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bCs/>
                <w:b/>
              </w:rPr>
              <w:t xml:space="preserve">/</w:t>
            </w:r>
            <w:r>
              <w:rPr>
                <w:rtl/>
              </w:rPr>
              <w:t xml:space="preserve">/____</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____________</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____________________________________________</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bl>
    <w:p>
      <w:pPr>
        <w:bidi/>
        <w:jc w:val="right"/>
      </w:pPr>
    </w:p>
    <w:tbl>
      <w:tblPr>
        <w:tblStyle w:val="Table"/>
        <w:bidiVisual/>
        <w:tblW w:type="auto" w:w="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E9EDF2"/>
          </w:tcPr>
          <w:p>
            <w:pPr>
              <w:pStyle w:val="Compact"/>
              <w:bidi/>
              <w:jc w:val="right"/>
            </w:pPr>
            <w:r>
              <w:rPr>
                <w:color w:val="0D3B66"/>
                <w:sz w:val="29"/>
                <w:rtl/>
                <w:bCs/>
                <w:b/>
              </w:rPr>
              <w:t xml:space="preserve">إقرار اطّلاع وتعهد (للعمال)</w:t>
            </w:r>
          </w:p>
        </w:tc>
      </w:tr>
    </w:tbl>
    <w:p>
      <w:pPr>
        <w:bidi/>
        <w:jc w:val="right"/>
      </w:pPr>
      <w:r>
        <w:rPr>
          <w:rtl/>
        </w:rPr>
        <w:t xml:space="preserve">أنا، الموقّع أدناه، أقرّ بأنّي قد اطلعت على الدليل التشغيلي الداخلي لورشة Jannah Light (النسخة النهائية V.9.3) وفهمت جميع أبوابه وفصوله.</w:t>
      </w:r>
    </w:p>
    <w:p>
      <w:pPr>
        <w:pBdr>
          <w:right w:val="single" w:sz="16" w:space="6" w:color="008080"/>
        </w:pBdr>
        <w:bidi/>
        <w:jc w:val="right"/>
      </w:pPr>
      <w:r>
        <w:rPr>
          <w:color w:val="008080"/>
          <w:sz w:val="23"/>
          <w:rtl/>
          <w:bCs/>
          <w:b/>
        </w:rPr>
        <w:t xml:space="preserve">أتعهد بما يلي:</w:t>
      </w:r>
    </w:p>
    <w:p>
      <w:pPr>
        <w:numPr>
          <w:ilvl w:val="0"/>
          <w:numId w:val="1085"/>
        </w:numPr>
        <w:bidi/>
        <w:jc w:val="right"/>
      </w:pPr>
      <w:r>
        <w:rPr>
          <w:rtl/>
        </w:rPr>
        <w:t xml:space="preserve">أولا ً: احترام بروتوكولات السلامة والجودة المذكورة في الدليل.</w:t>
      </w:r>
    </w:p>
    <w:p>
      <w:pPr>
        <w:numPr>
          <w:ilvl w:val="0"/>
          <w:numId w:val="1085"/>
        </w:numPr>
        <w:bidi/>
        <w:jc w:val="right"/>
      </w:pPr>
      <w:r>
        <w:rPr>
          <w:rtl/>
        </w:rPr>
        <w:t xml:space="preserve">ثانيا ً: الالتزام بمواعيد الحضور والعمل والانضباط اليومي.</w:t>
      </w:r>
    </w:p>
    <w:p>
      <w:pPr>
        <w:numPr>
          <w:ilvl w:val="0"/>
          <w:numId w:val="1085"/>
        </w:numPr>
        <w:bidi/>
        <w:jc w:val="right"/>
      </w:pPr>
      <w:r>
        <w:rPr>
          <w:rtl/>
        </w:rPr>
        <w:t xml:space="preserve">ثالثا ً: الإبلاغ الفوري عن أي عطل تقني أو خطر سلامة يحدث في الورشة.</w:t>
      </w:r>
    </w:p>
    <w:p>
      <w:pPr>
        <w:numPr>
          <w:ilvl w:val="0"/>
          <w:numId w:val="1085"/>
        </w:numPr>
        <w:bidi/>
        <w:jc w:val="right"/>
      </w:pPr>
      <w:r>
        <w:rPr>
          <w:rtl/>
        </w:rPr>
        <w:t xml:space="preserve">رابعا ً: المشاركة في تطوير العمل عبر اقتراح الحلول وتسجيل الدروس المستفادة.</w:t>
      </w:r>
    </w:p>
    <w:p>
      <w:pPr>
        <w:numPr>
          <w:ilvl w:val="0"/>
          <w:numId w:val="1085"/>
        </w:numPr>
        <w:bidi/>
        <w:jc w:val="right"/>
      </w:pPr>
      <w:r>
        <w:rPr>
          <w:rtl/>
        </w:rPr>
        <w:t xml:space="preserve">خامسا ً – الحفاظ على أصول الورشة: أتعهد بالحفاظ على الأدوات والمعدات والمواد الخام المستخدمة، والالتزام ببروتوكولات التنظيف والترتيب (نظام 5S) في نهاية كل نوبة عمل.</w:t>
      </w:r>
    </w:p>
    <w:p>
      <w:pPr>
        <w:numPr>
          <w:ilvl w:val="0"/>
          <w:numId w:val="1085"/>
        </w:numPr>
        <w:bidi/>
        <w:jc w:val="right"/>
      </w:pPr>
      <w:r>
        <w:rPr>
          <w:rtl/>
        </w:rPr>
        <w:t xml:space="preserve">سادسا ً – السرية المهنية: أتعهد بالحفاظ على سرية أساليب العمل والتقنيات الخاصة بورشة «جنة لايت»، وعدم مشاركة أي تفاصيل فنية تخص منتجاتنا أو موردينا مع أطراف خارجية.</w:t>
      </w:r>
    </w:p>
    <w:p>
      <w:pPr>
        <w:numPr>
          <w:ilvl w:val="0"/>
          <w:numId w:val="1085"/>
        </w:numPr>
        <w:bidi/>
        <w:jc w:val="right"/>
      </w:pPr>
      <w:r>
        <w:rPr>
          <w:rtl/>
        </w:rPr>
        <w:t xml:space="preserve">سابعا ً – التطوير الذاتي: أتعهد بالاستجابة لبرامج التدريب الفني التي تقررها الإدارة، والسعي الدائم لتطوير مهاراتي في التعامل مع الماكينات الحديثة.</w:t>
      </w:r>
    </w:p>
    <w:p>
      <w:pPr>
        <w:numPr>
          <w:ilvl w:val="0"/>
          <w:numId w:val="1085"/>
        </w:numPr>
        <w:bidi/>
        <w:jc w:val="right"/>
      </w:pPr>
      <w:r>
        <w:rPr>
          <w:rtl/>
        </w:rPr>
        <w:t xml:space="preserve">ثامنا ً – العقوبات: أقر بأن أي إخلال ببنود هذا التعهد يمنح إدارة الورشة الحق في اتخاذ الإجراءات التأديبية المناسبة، بما في ذلك الإنذار، الخصم من الراتب، أو الفصل النهائي، إضافة إلى اللجوء إلى الجهات القضائية عند الضرورة، وفق النظام الداخلي المعتمد وبما لا يخالف التشريع الساري.</w:t>
      </w:r>
    </w:p>
    <w:p>
      <w:pPr>
        <w:numPr>
          <w:ilvl w:val="0"/>
          <w:numId w:val="1085"/>
        </w:numPr>
        <w:bidi/>
        <w:jc w:val="right"/>
      </w:pPr>
      <w:r>
        <w:rPr>
          <w:rtl/>
        </w:rPr>
        <w:t xml:space="preserve">تاسعا ً – الالتزام بسجل الإنتاج اليومي: أتعهد بتعبئة سجلات الإنتاج، الصيانة، والعيوب بدقة وفي الوقت المحدد، وعدم إهمال أي بيانات تشغيلية.</w:t>
      </w:r>
    </w:p>
    <w:p>
      <w:pPr>
        <w:numPr>
          <w:ilvl w:val="0"/>
          <w:numId w:val="1085"/>
        </w:numPr>
        <w:bidi/>
        <w:jc w:val="right"/>
      </w:pPr>
      <w:r>
        <w:rPr>
          <w:rtl/>
        </w:rPr>
        <w:t xml:space="preserve">عاشرا ً – الالتزام بترشيد المواد: أتعهد بعدم هدر القصدير، الغراء، مواد التنظيف، أو أي مستهلكات، والاقتصاد في استخدامها وفق المعايير المحددة.</w:t>
      </w:r>
    </w:p>
    <w:p>
      <w:pPr>
        <w:numPr>
          <w:ilvl w:val="0"/>
          <w:numId w:val="1085"/>
        </w:numPr>
        <w:bidi/>
        <w:jc w:val="right"/>
      </w:pPr>
      <w:r>
        <w:rPr>
          <w:rtl/>
        </w:rPr>
        <w:t xml:space="preserve">الحادي عشر – الالتزام بالإبلاغ عن النفاد: أتعهد بإبلاغ المشرف فور ملاحظة نقص في المواد الخام أو قطع الغيار أو معدات السلامة قبل الوصول إلى نقطة توقف الإنتاج.</w:t>
      </w:r>
    </w:p>
    <w:p>
      <w:pPr>
        <w:numPr>
          <w:ilvl w:val="0"/>
          <w:numId w:val="1085"/>
        </w:numPr>
        <w:bidi/>
        <w:jc w:val="right"/>
      </w:pPr>
      <w:r>
        <w:rPr>
          <w:rtl/>
        </w:rPr>
        <w:t xml:space="preserve">الثاني عشر – الالتزام بعدم تشغيل أي آلة دون تصريح: أتعهد بعدم تشغيل أي آلة أو تعديل إعداداتها دون تدريب مسبق أو إذن من المسؤول المباشر.</w:t>
      </w:r>
    </w:p>
    <w:p>
      <w:pPr>
        <w:numPr>
          <w:ilvl w:val="0"/>
          <w:numId w:val="1085"/>
        </w:numPr>
        <w:bidi/>
        <w:jc w:val="right"/>
      </w:pPr>
      <w:r>
        <w:rPr>
          <w:rtl/>
        </w:rPr>
        <w:t xml:space="preserve">الثالث عشر – الالتزام بحسن استعمال معدات الحماية: أتعهد باستعمال معدات الوقاية الشخصية طوال فترة العمل والمحافظة عليها في حالة سليمة.</w:t>
      </w:r>
    </w:p>
    <w:p>
      <w:pPr>
        <w:numPr>
          <w:ilvl w:val="0"/>
          <w:numId w:val="1085"/>
        </w:numPr>
        <w:bidi/>
        <w:jc w:val="right"/>
      </w:pPr>
      <w:r>
        <w:rPr>
          <w:rtl/>
        </w:rPr>
        <w:t xml:space="preserve">الرابع عشر – الشهود: وقع هذا الإقرار بحضور كل من:</w:t>
      </w:r>
    </w:p>
    <w:p>
      <w:pPr>
        <w:bidi/>
        <w:jc w:val="right"/>
      </w:pPr>
      <w:r>
        <w:rPr>
          <w:rtl/>
        </w:rPr>
        <w:t xml:space="preserve">اسم الشاهد الأول: _____________ التوقيع: _____________</w:t>
      </w:r>
    </w:p>
    <w:p>
      <w:pPr>
        <w:bidi/>
        <w:jc w:val="right"/>
      </w:pPr>
      <w:r>
        <w:rPr>
          <w:rtl/>
        </w:rPr>
        <w:t xml:space="preserve">اسم الشاهد الثاني: _____________ التوقيع: _____________</w:t>
      </w:r>
    </w:p>
    <w:p>
      <w:pPr>
        <w:bidi/>
        <w:jc w:val="right"/>
      </w:pPr>
      <w:r>
        <w:rPr>
          <w:rtl/>
          <w:bCs/>
          <w:b/>
        </w:rPr>
        <w:t xml:space="preserve">الاسم:</w:t>
      </w:r>
      <w:r>
        <w:rPr>
          <w:rtl/>
        </w:rPr>
        <w:t xml:space="preserve"> </w:t>
      </w:r>
      <w:r>
        <w:rPr>
          <w:rtl/>
        </w:rPr>
        <w:t xml:space="preserve">محمد جعيل / Mohamed Djail</w:t>
      </w:r>
    </w:p>
    <w:p>
      <w:pPr>
        <w:bidi/>
        <w:jc w:val="right"/>
      </w:pPr>
      <w:r>
        <w:rPr>
          <w:rtl/>
          <w:bCs/>
          <w:b/>
        </w:rPr>
        <w:t xml:space="preserve">التاريخ:</w:t>
      </w:r>
      <w:r>
        <w:rPr>
          <w:rtl/>
        </w:rPr>
        <w:t xml:space="preserve"> </w:t>
      </w:r>
      <w:r>
        <w:rPr>
          <w:rtl/>
        </w:rPr>
        <w:t xml:space="preserve">09/05/2026</w:t>
      </w:r>
    </w:p>
    <w:p>
      <w:pPr>
        <w:bidi/>
        <w:jc w:val="right"/>
      </w:pPr>
      <w:r>
        <w:rPr>
          <w:rtl/>
          <w:bCs/>
          <w:b/>
        </w:rPr>
        <w:t xml:space="preserve">التوقيع:</w:t>
      </w:r>
      <w:r>
        <w:rPr>
          <w:rtl/>
        </w:rPr>
        <w:t xml:space="preserve"> </w:t>
      </w:r>
      <w:r>
        <w:rPr>
          <w:rtl/>
        </w:rPr>
        <w:t xml:space="preserve">……………………………………..</w:t>
      </w:r>
    </w:p>
    <w:tbl>
      <w:tblPr>
        <w:tblStyle w:val="Table"/>
        <w:bidiVisual/>
        <w:tblW w:type="auto" w:w="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E9EDF2"/>
          </w:tcPr>
          <w:p>
            <w:pPr>
              <w:pStyle w:val="Compact"/>
              <w:bidi/>
              <w:jc w:val="right"/>
            </w:pPr>
            <w:r>
              <w:rPr>
                <w:color w:val="0D3B66"/>
                <w:sz w:val="29"/>
                <w:rtl/>
                <w:bCs/>
                <w:b/>
              </w:rPr>
              <w:t xml:space="preserve">مسرد المصطلحات الفنية — عربي / فرنسي</w:t>
            </w:r>
          </w:p>
        </w:tc>
      </w:tr>
    </w:tbl>
    <w:p>
      <w:pPr>
        <w:bidi/>
        <w:jc w:val="right"/>
      </w:pPr>
      <w:r>
        <w:rPr>
          <w:rtl/>
        </w:rPr>
        <w:t xml:space="preserve">يُخصَّص هذا المسرد لمساعدة العمال الجدد وكل ذي صلة على فهم المصطلحات الفنية المستخدمة في هذا الدليل. اللغة العربية هي الأصل، والمصطلح الفرنسي بين قوسين لتوضيح المفهوم التقني ومنع اللبس في بيئة العمل الصناعية الجزائرية.</w:t>
      </w:r>
    </w:p>
    <w:tbl>
      <w:tblPr>
        <w:tblStyle w:val="Table"/>
        <w:bidiVisual/>
        <w:tblW w:type="pct" w:w="5000"/>
        <w:tblLook w:firstRow="1" w:lastRow="0" w:firstColumn="0" w:lastColumn="0" w:noHBand="0" w:noVBand="0" w:val="0020"/>
        <w:jc w:val="right"/>
      </w:tblPr>
      <w:tblGrid>
        <w:gridCol w:w="2640"/>
        <w:gridCol w:w="2640"/>
        <w:gridCol w:w="264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المصطلح العربي الكامل</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المصطلح الفرنسي</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الشرح والتعريف</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مراقبة جودة المواد والقطع الواردة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Contrôle Qualité Entrant</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فحص المواد الخام والمكونات عند استلامها من المورد قبل إدخالها للإنتاج</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التفريغ الكهربائي الساكن</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Décharge Électrostatique</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شحنة كهربائية خفية تتراكم في الجسم وتتفرغ عند ملامسة المكونات الإلكترونية فتتلفها — تُمنع بسوار المعصم</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نظام التحكم الرقمي المبرمج</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Automate Programmable Industriel</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جهاز تحكم إلكتروني يتحكم في تسلسل عمليات الآلة بدقة عالية دون تدخل يدوي</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حد القبول المسموح به للعيوب</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Limite de Qualité Acceptable</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أقصى نسبة عيوب مقبولة في دفعة إنتاج دون رفضها — مثلاً 2% كحد أقصى</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نظام الإجراءات التصحيحية والوقائية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Actions Correctives et Préventives</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منهجية لمعالجة العيوب الجذرية ومنع تكرارها مستقبلاً</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بروتوكول إدارة المرتجعات وصيانة ما بعد البيع</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Autorisation de Retour de Marchandise</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إجراء رسمي لاستقبال المنتجات المعيبة من الزبون وإصلاحها أو استبدالها</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وحدة فلترة وتنظيم وتزييت الهواء المضغوط</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Unité de Filtrage, Régulation et Lubrification</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وحدة ثلاثية الوظائف تُنظّف الهواء المضغوط وتضبط ضغطه وتُشحم المكونات المتحركة</w:t>
            </w:r>
          </w:p>
        </w:tc>
      </w:tr>
      <w:tr>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معدل الفعالية الإجمالية للمعدات</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Taux de Rendement Global</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مقياس يقيس كفاءة استغلال الماكينة فعلياً مقارنة بطاقتها النظرية القصوى</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المراقبة الإحصائية للعمليات</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Contrôle Statistique des Procédés</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استخدام الأساليب الإحصائية لمراقبة استقرار عمليات الإنتاج واكتشاف الانحرافات مبكراً</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فحص واعتماد القطعة الأولى</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Inspection Premier Article</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فحص دقيق لأول قطعة تُنتج بعد بدء الوردية أو تغيير الإعدادات قبل بدء الإنتاج الكمي</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التغيير السريع للقوالب والإعدادات</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Changement Rapide d’Outillage</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منهجية لتقليل زمن التوقف عند الانتقال بين موديل إنتاجي وآخر</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نظام تخطيط موارد المؤسسة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Système de Gestion Intégrée</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برنامج متكامل يدير الإنتاج والمخزون والمبيعات والمالية في منصة واحدة</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نظام عزل وتأمين مصادر الطاقة أثناء الصيانة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Consignation et Déconsignation</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إجراء أمان يمنع تشغيل الماكينة عند صيانتها بقفل مادي وبطاقة تحذيرية</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معدات الوقاية الشخصية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Équipements de Protection Individuelle</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جميع أدوات الحماية التي يرتديها العامل: قفازات، نظارات، كمامات، مريلة، أساور</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تحليل الأسباب الجذرية للأعطال</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Analyse des Causes Racines</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منهجية تقصيرية للوصول إلى السبب الحقيقي للعطل وليس فقط العرض الظاهر</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تعليمات التشغيل القياسية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Instructions de Travail Standardisées</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وثيقة تفصيلية تصف خطوات تشغيل أي ماكينة أو تنفيذ أي عملية بالتسلسل الصحيح</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مؤشرات الأداء الرئيسية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Indicateurs Clés de Performance</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أرقام قياسية تُقيّم أداء الورشة في الجودة والإنتاجية والسلامة والتكلفة</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قاعدة أقدم دخولاً أول خروجاً</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Premier Entré, Premier Sorti</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سياسة مخزن تضمن استخدام المواد الأقدم أولاً لمنع انتهاء صلاحية المكونات الإلكترونية</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نظام التنظيم والترتيب الياباني الخماسي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Méthode 5S (Tri, Ranger, Nettoyer, Standardiser, Maintenir)</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منهجية تنظيم مكان العمل في 5 خطوات: الفرز، الترتيب، التنظيف، التوحيد، الاستدامة</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منهجية التحسين المستمر والتطوير الدائم</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Amélioration Continue (Kaizen)</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فلسفة تشغيلية يابانية تقوم على التطوير اليومي المستمر بخطوات صغيرة ومتراكمة</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متوسط زمن الإصلاح</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Temps Moyen de Réparation</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الوقت المستغرق فعلياً لإصلاح عطل من لحظة بدء التدخل حتى إعادة تشغيل الآلة أو الجهاز</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استمارة شطب المخزون</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Formulaire de Radiation de Stock</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وثيقة رسمية موحّدة توثّق قرار إتلاف منتج أو دفعة وتربط قيمتها بالخسارة التشغيلية في السجل المالي</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بطاقة عدم المطابقة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Étiquette de Non-Conformité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بطاقة تُثبَّت على أي قطعة مرفوضة أو معيبة توثّق سبب الرفض وبيانات التتبع</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منطقة الحجر</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Zone de Quarantaine</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مساحة مخصصة معزولة تماماً لتخزين المنتجات أو المواد قيد الفحص أو محل النزاع قبل اتخاذ قرار نهائي بشأنها</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بطاقة تتبع النفايات الخطرة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Bordereau de Suivi de Déchets Dangereux</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وثيقة إلزامية ترافق كل عملية جمع أو نقل للنفايات الصناعية الخطرة وتوثّق نوعها وكميتها والجهة المستلمة</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مصفوفة السلطات والاعتمادات</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Matrice des Autorités et Approbations</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جدول مرجعي يربط كل قرار أو إجراء تنفيذي بالمسمى الوظيفي المخوَّل باعتماده وبسقفه المالي أو الزمني</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سجل الشطب والخسائر</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Registre des Radiations et Pertes</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سجل شهري مجمَّع يوثّق كل عمليات إتلاف المخزون وقيمتها المالية المقيَّدة كخسارة تشغيلية</w:t>
            </w:r>
          </w:p>
        </w:tc>
      </w:tr>
      <w:tr>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شبكة التقييم المرجّح</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Grille de Notation Pondérée</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أداة تقييم نقطية تمنح كل معيار (جودة، سعر، التزام بالمواعيد) وزناً نسبياً محدداً لحساب نتيجة إجمالية موضوعية</w:t>
            </w:r>
          </w:p>
        </w:tc>
      </w:tr>
    </w:tbl>
    <w:p>
      <w:pPr>
        <w:bidi/>
        <w:jc w:val="right"/>
      </w:pPr>
      <w:r>
        <w:rPr>
          <w:rtl/>
        </w:rPr>
        <w:t xml:space="preserve">معايير القبول والرفض بالأرقام (قسم الفحص الكهربائي)</w:t>
      </w:r>
    </w:p>
    <w:p>
      <w:pPr>
        <w:bidi/>
        <w:jc w:val="right"/>
      </w:pPr>
      <w:r>
        <w:rPr>
          <w:rtl/>
        </w:rPr>
        <w:t xml:space="preserve">عند قيام العامل بفحص المحولات الكهربائية أو شرائح الإضاءة أو أي مكوّن إلكتروني، تُطبّق القواعد الكمية التالية:</w:t>
      </w:r>
    </w:p>
    <w:p>
      <w:pPr>
        <w:numPr>
          <w:ilvl w:val="0"/>
          <w:numId w:val="1086"/>
        </w:numPr>
        <w:bidi/>
        <w:jc w:val="right"/>
      </w:pPr>
      <w:r>
        <w:rPr>
          <w:rtl/>
        </w:rPr>
        <w:t xml:space="preserve">معيار الجهد الكهربائي: تُقبل القطعة إذا كانت نسبة التفاوت في الجهد المقاس لا تتجاوز ±10% من القيمة الاسمية المحددة في ملف المنتج</w:t>
      </w:r>
    </w:p>
    <w:p>
      <w:pPr>
        <w:numPr>
          <w:ilvl w:val="0"/>
          <w:numId w:val="1086"/>
        </w:numPr>
        <w:bidi/>
        <w:jc w:val="right"/>
      </w:pPr>
      <w:r>
        <w:rPr>
          <w:rtl/>
        </w:rPr>
        <w:t xml:space="preserve">معيار الاستهلاك الكهربائي: يجب أن يكون استهلاك المصباح ضمن نطاق ±10% من القدرة المكتوبة على الغلاف (مثال: لمبة 9 واط → مقبولة بين 8.1 و 9.9 واط)</w:t>
      </w:r>
    </w:p>
    <w:p>
      <w:pPr>
        <w:numPr>
          <w:ilvl w:val="0"/>
          <w:numId w:val="1086"/>
        </w:numPr>
        <w:bidi/>
        <w:jc w:val="right"/>
      </w:pPr>
      <w:r>
        <w:rPr>
          <w:rtl/>
        </w:rPr>
        <w:t xml:space="preserve">معيار الحرارة: لا يجوز أن تتجاوز درجة حرارة المشتت الحراري 70 درجة مئوية بعد ساعة تشغيل متواصل في درجة حرارة محيط 25 درجة مئوية</w:t>
      </w:r>
    </w:p>
    <w:p>
      <w:pPr>
        <w:numPr>
          <w:ilvl w:val="0"/>
          <w:numId w:val="1086"/>
        </w:numPr>
        <w:bidi/>
        <w:jc w:val="right"/>
      </w:pPr>
      <w:r>
        <w:rPr>
          <w:rtl/>
        </w:rPr>
        <w:t xml:space="preserve">معيار العزل الكهربائي: يجب أن تكون مقاومة العزل أكبر من 2 ميغا أوم بعد اختبار الجهد العالي</w:t>
      </w:r>
    </w:p>
    <w:p>
      <w:pPr>
        <w:numPr>
          <w:ilvl w:val="0"/>
          <w:numId w:val="1086"/>
        </w:numPr>
        <w:bidi/>
        <w:jc w:val="right"/>
      </w:pPr>
      <w:r>
        <w:rPr>
          <w:rtl/>
        </w:rPr>
        <w:t xml:space="preserve">قرار الرفض: تُرفض أي قطعة تخرج عن هذه المعايير وتُوضع في منطقة العزل المخصصة لانتظار قرار الفحص الجذري أو الإتلاف</w:t>
      </w:r>
    </w:p>
    <w:p>
      <w:pPr>
        <w:pBdr>
          <w:right w:val="single" w:sz="16" w:space="6" w:color="008080"/>
        </w:pBdr>
        <w:bidi/>
        <w:jc w:val="right"/>
      </w:pPr>
      <w:r>
        <w:rPr>
          <w:color w:val="008080"/>
          <w:sz w:val="23"/>
          <w:rtl/>
          <w:bCs/>
          <w:b/>
        </w:rPr>
        <w:t xml:space="preserve">بند السلامة المهنية وإدارة المخلفات الصناعية</w:t>
      </w:r>
    </w:p>
    <w:p>
      <w:pPr>
        <w:bidi/>
        <w:jc w:val="right"/>
      </w:pPr>
      <w:r>
        <w:rPr>
          <w:rtl/>
        </w:rPr>
        <w:t xml:space="preserve">نظراً لاحتواء الورشة على مواد كيميائية (غراء سيليكون صناعي) وقصدير مصهور ينفث أبخرة معدنية دقيقة، تُفرض الإجراءات الإلزامية التالية حمايةً للعمال والبيئة وامتثالاً للقوانين الصناعية الجزائرية:</w:t>
      </w:r>
    </w:p>
    <w:p>
      <w:pPr>
        <w:numPr>
          <w:ilvl w:val="0"/>
          <w:numId w:val="1087"/>
        </w:numPr>
        <w:bidi/>
        <w:jc w:val="right"/>
      </w:pPr>
      <w:r>
        <w:rPr>
          <w:rtl/>
        </w:rPr>
        <w:t xml:space="preserve">الحماية التنفسية: إلزامية ارتداء أقنعة تصفية الأبخرة الكيميائية (Masques à Filtre Chimique) أثناء عمليات اللحام وتوزيع الغراء</w:t>
      </w:r>
    </w:p>
    <w:p>
      <w:pPr>
        <w:numPr>
          <w:ilvl w:val="0"/>
          <w:numId w:val="1087"/>
        </w:numPr>
        <w:bidi/>
        <w:jc w:val="right"/>
      </w:pPr>
      <w:r>
        <w:rPr>
          <w:rtl/>
        </w:rPr>
        <w:t xml:space="preserve">حماية اليدين: إلزامية ارتداء قفازات الحماية الحرارية والكيميائية عند التعامل مع حوض القصدير أو خراطيش الغراء</w:t>
      </w:r>
    </w:p>
    <w:p>
      <w:pPr>
        <w:numPr>
          <w:ilvl w:val="0"/>
          <w:numId w:val="1087"/>
        </w:numPr>
        <w:bidi/>
        <w:jc w:val="right"/>
      </w:pPr>
      <w:r>
        <w:rPr>
          <w:rtl/>
        </w:rPr>
        <w:t xml:space="preserve">حاوية نفايات أكسيد القصدير: تخصيص حاوية معدنية مغلقة لجمع نفايات أكسيد القصدير (Scories d’Étain) ناتجة عن عملية قشط سطح الحوض</w:t>
      </w:r>
    </w:p>
    <w:p>
      <w:pPr>
        <w:numPr>
          <w:ilvl w:val="0"/>
          <w:numId w:val="1087"/>
        </w:numPr>
        <w:bidi/>
        <w:jc w:val="right"/>
      </w:pPr>
      <w:r>
        <w:rPr>
          <w:rtl/>
        </w:rPr>
        <w:t xml:space="preserve">التخلص القانوني من النفايات: يتم التعاقد مع شركة متخصصة معتمدة لجمع المواد الصناعية الخطرة وتسليمها للتخلص منها بالطريقة القانونية المصادق عليها من مديرية البيئة</w:t>
      </w:r>
    </w:p>
    <w:p>
      <w:pPr>
        <w:numPr>
          <w:ilvl w:val="0"/>
          <w:numId w:val="1087"/>
        </w:numPr>
        <w:bidi/>
        <w:jc w:val="right"/>
      </w:pPr>
      <w:r>
        <w:rPr>
          <w:rtl/>
        </w:rPr>
        <w:t xml:space="preserve">سجل النفايات: توثيق كل عملية تخلص من النفايات الصناعية في سجل مخصص يتضمن: النوع، الكمية بالكيلوغرام، تاريخ التسليم، واسم الشركة المستلمة</w:t>
      </w:r>
    </w:p>
    <w:p>
      <w:pPr>
        <w:pBdr>
          <w:right w:val="single" w:sz="16" w:space="6" w:color="008080"/>
        </w:pBdr>
        <w:bidi/>
        <w:jc w:val="right"/>
      </w:pPr>
      <w:r>
        <w:rPr>
          <w:color w:val="008080"/>
          <w:sz w:val="23"/>
          <w:rtl/>
          <w:bCs/>
          <w:b/>
        </w:rPr>
        <w:t xml:space="preserve">إضافة جهاز تجفيف الرطوبة الصناعي ضمن المعدات المساندة</w:t>
      </w:r>
    </w:p>
    <w:p>
      <w:pPr>
        <w:bidi/>
        <w:jc w:val="right"/>
      </w:pPr>
      <w:r>
        <w:rPr>
          <w:rtl/>
        </w:rPr>
        <w:t xml:space="preserve">نظراً للتحذيرات المتكررة في هذا الدليل من خطورة الرطوبة على المكونات الإلكترونية وظاهرة الانفجار المجهري (Effet Popcorn) عند اللحام، يُدرج جهاز تجفيف الرطوبة الصناعي الصغير ضمن بند المعدات المساندة الإلزامية:</w:t>
      </w:r>
    </w:p>
    <w:tbl>
      <w:tblPr>
        <w:tblStyle w:val="Table"/>
        <w:bidiVisual/>
        <w:tblW w:type="pct" w:w="5000"/>
        <w:tblLook w:firstRow="1" w:lastRow="0" w:firstColumn="0" w:lastColumn="0" w:noHBand="0" w:noVBand="0" w:val="0020"/>
        <w:jc w:val="right"/>
      </w:tblPr>
      <w:tblGrid>
        <w:gridCol w:w="3960"/>
        <w:gridCol w:w="396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البند</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المواصفات</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اسم الجهاز</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جهاز تجفيف الرطوبة الصناعي الصغير (Déshumidificateur Industriel)</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الهدف</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الحفاظ على نسبة رطوبة المخزن والورشة أقل من 60% طوال فترات التخزين والإنتاج</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الاستخدام</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إلزامي في فترات الرطوبة الموسمية العالية (الشتاء والربيع) الشائعة في مناطق شمال الجزائر</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مبرر الإضافة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الرطوبة المرتفعة تسبب أكسدة مسارات النحاس على لوحات الدوائر الإلكترونية وتُفعّل ظاهرة الانفجار المجهري عند اللحام</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التكلفة التقديرية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بين 15,000 و 35,000 دج حسب السعة والمورد</w:t>
            </w:r>
          </w:p>
        </w:tc>
      </w:tr>
    </w:tbl>
    <w:p>
      <w:pPr>
        <w:bidi/>
        <w:jc w:val="right"/>
      </w:pPr>
    </w:p>
    <w:tbl>
      <w:tblPr>
        <w:tblStyle w:val="Table"/>
        <w:bidiVisual/>
        <w:tblW w:type="auto" w:w="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E9EDF2"/>
          </w:tcPr>
          <w:p>
            <w:pPr>
              <w:pStyle w:val="Compact"/>
              <w:bidi/>
              <w:jc w:val="right"/>
            </w:pPr>
            <w:r>
              <w:rPr>
                <w:color w:val="0D3B66"/>
                <w:sz w:val="29"/>
                <w:rtl/>
                <w:bCs/>
                <w:b/>
              </w:rPr>
              <w:t xml:space="preserve">فهرس المحتويات</w:t>
            </w:r>
          </w:p>
        </w:tc>
      </w:tr>
    </w:tbl>
    <w:p>
      <w:pPr>
        <w:bidi/>
        <w:jc w:val="right"/>
      </w:pPr>
    </w:p>
    <w:tbl>
      <w:tblPr>
        <w:tblStyle w:val="Table"/>
        <w:bidiVisual/>
        <w:tblW w:type="pct" w:w="5000"/>
        <w:tblLook w:firstRow="1" w:lastRow="0" w:firstColumn="0" w:lastColumn="0" w:noHBand="0" w:noVBand="0" w:val="0020"/>
        <w:jc w:val="right"/>
      </w:tblPr>
      <w:tblGrid>
        <w:gridCol w:w="2640"/>
        <w:gridCol w:w="2640"/>
        <w:gridCol w:w="264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الرقم</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العنوان</w:t>
            </w:r>
          </w:p>
        </w:tc>
        <w:tc>
          <w:tcPr>
            <w:tcBorders>
              <w:top w:val="single" w:sz="6" w:space="0" w:color="D1D5DB"/>
              <w:left w:val="single" w:sz="6" w:space="0" w:color="D1D5DB"/>
              <w:bottom w:val="single" w:sz="6" w:space="0" w:color="D1D5DB"/>
              <w:right w:val="single" w:sz="6" w:space="0" w:color="D1D5DB"/>
            </w:tcBorders>
            <w:shd w:val="clear" w:color="auto" w:fill="0D3B66"/>
          </w:tcPr>
          <w:p>
            <w:pPr>
              <w:pStyle w:val="Compact"/>
              <w:bidi/>
              <w:jc w:val="right"/>
            </w:pPr>
            <w:r>
              <w:rPr>
                <w:color w:val="FFFFFF"/>
                <w:rtl/>
                <w:bCs/>
                <w:b/>
              </w:rPr>
              <w:t xml:space="preserve">الصفحة</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الإهداء</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مقدمة الدليل التشغيلي الداخلي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3</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القسم الأول: السنة الأولى – التفصيل الكامل</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4</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الباب الأول: التجهيزات التقنية والبنية التحتية للورشة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4.1</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1.1 قائمة الآلات وخطوط الإنتاج الرئيسية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4.2</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2.1 الميزانية التقنية الإجمالية (2026)</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4.3</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3.1 معايير المناخ الداخلي وبيئة العمل (Environment &amp; Safety)</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4.4</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4.1 بروتوكول الحماية من الشحنات الساكنة (التفريغ الكهربائي الساكن (Décharge Électrostatique) Control)</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4.5</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5.1 منظومة الطاقة واستمرارية العمل (Power Utility)</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4.6</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6.1 جدول التحقق اليومي لبيئة العمل (Daily Checklist + EMI Pre-Check)</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4.7</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7.1 منظومة الهواء المضغوط (Pneumatic System)</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4.8</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8.1 المعدات المساعدة، الأدوات اليدوية ووحدة الإمداد</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4.9</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ملخص التكاليف التقديرية (للمشروع كاملاً)</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4.10</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9.1 استراتيجية التوريد والموردين</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4.11</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10.1 إدارة المخزون الذكي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4.12</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11.1 خطة الصيانة الوقائية العامة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5</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الباب الثاني: استراتيجية الإنتاج والجدول الزمني (خطة السنة الأولى)</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5.1</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2.1 الهدف الاستراتيجي وتحديد المنتج</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5.2</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2.2 مراحل التصعيد الإنتاجي الشهري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5.3</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3.2 إدارة الموارد البشرية ورفع الكفاءة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5.4</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4.2 إدارة الأعطال والإيقافات (Downtime Management)</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5.5</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5.2 سياسة الطلبات الخاصة ومرونة الخط</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6</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الباب الثالث: البطاقات الفنية التفصيلية للماكينات والصيانة الوقائية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6.1</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1.1 ماكينة الكبس والبرشمة (LED Bulb Riveting &amp; Pressing Machine)</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6.2</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2.2 حوض اللحام (Solder Pot SB PTC 500-D)</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6.3</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2.3 آلة الكبس بالهواء المضغوط (Pneumatic Press Machine)</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6.4</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3.3 موزع الغراء (Glue Dispensing)</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6.5</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3.4 ماكينة الوسم والاختبار بالليزر (Laser Marking &amp; Testing Machine)</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6.6</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3.5 آلة التلميع والصنفرة (Buffer Polisher XLBP 9)</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7</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الباب الرابع: بروتوكول الرقابة عند الاستلام (مراقبة جودة المواد والقطع الواردة (Contrôle Qualité Entrant)) والامتثال العالمي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7.1</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4.1 فحص الحماية الكهربائية (Fusible + Zener Diode)</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7.2</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4.2 شرائح الـ LED (LED Chips)</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7.3</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4.3 المكثفات (Electrolytic Capacitors)</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7.4</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4.4 الهياكل البلاستيكية (PC Housing)</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7.5</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4.5 إجراءات الفحص العامة ورفض الدفعات</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7.6</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4.6 جدول الخلاصة الإجرائية – القبول والرفض السريع</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7.7</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4.7 معايير الامتثال الدولية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8</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الباب الخامس: التفصيل المجهري للعمليات الإنتاجية (Micro-تعليمات التشغيل القياسية (Instructions de Travail Standardisées)) والاختبارات المتقدمة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8.1</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5.1 بروتوكول تحضير الـ PCB (ما قبل اللحام)</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8.2</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5.2 بروتوكول اللحام بفرن SB PTC 500-D (حوض الغمر)</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8.3</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5.3 بروتوكول التنظيف الكيميائي (Chemical Cleaning)</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8.4</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5.4 بروتوكول اختبار الحرق المتقدم (Burn-in Test)</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8.5</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5.5 اختبار التبديل السريع (Switching Test)</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8.6</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5.6 اختبار التوافق الكهرومغناطيسي (EMI/EMC)</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8.7</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5.7 اختبار السقوط (Drop Test)</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8.8</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5.8 اختبار دورات الحرارة (Thermal Cycling)</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8.9</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5.9 اختبار الحماية الكهربائية (Electrical Protection Test)</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8.10</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5.10 اختبار العزل الكهربائي (Hi-Pot / Dielectric Strength Test)</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8.11</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5.11 بروتوكول إصلاح المرتجعات (بروتوكول إدارة المرتجعات وصيانة ما بعد البيع (Autorisation de Retour de Marchandise) &amp; Repair Protocol)</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8.12</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5.12 بروتوكولات الإجراءات التصحيحية الطارئة (نظام الإجراءات التصحيحية والوقائية (Actions Correctives et Préventives) Protocol)</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8.13</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5.13 معايير الأمان الرقمي واستمرارية الموقع (jannahlight-prog.github.io/jannah-light)</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9</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الفصل السادس: الموارد البشرية والنظام التشغيلي المرحلي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9.1</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6.1 هيكلة الكادر البشري (مرحلة الانطلاق الأولى)</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9.2</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6.2 نموذج التشغيل المرحلي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9.3</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6.3 التوزيع الوظيفي المتكامل (المهام اليومية التفصيلية)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9.4</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6.4 الإنتاجية الفردية ومؤشرات الأداء (مؤشرات الأداء الرئيسية (Indicateurs Clés de Performance))</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9.5</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6.5 نظام التحفيز والمكافآت (الإنتاج بالقطعة)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9.6</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6.6 برنامج التدريب العملي (JLT Academy)</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9.7</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6.6.ب الجدول التفصيلي لبرنامج JLT Academy (المدة، المحتوى، التقييم)</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9.8</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6.7 حقيبة التدريب السريع (JLT FastTrack)</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9.9</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6.8 صندوق الولاء والقرض الحسن</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9.10</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6.9 السلامة المهنية وإدارة الطوارئ البشرية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9.11</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6.10 نمط الحوكمة في المرحلة التأسيسية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10</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الفصل السابع: استراتيجية الإنتاج والجدول الزمني والمالي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10.1</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7.1 الروتين الإنتاجي اليومي (الوردية الواحدة)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10.2</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7.2 المرونة في الإنتاج وتلبية الطلبات الخاصة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10.3</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7.3 خطة التوسع وتطوير المنتجات (السنوات 1-5)</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10.4</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7.4 الهندسة المالية (الحسابات والأرقام الثابتة)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10.5</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7.4.أ هيكلة التمويل الثلاثي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10.6</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7.4.ب تحليل نقطة التعادل (Break-even) والربح لكل واط</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10.7</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7.5 إدارة المخاطر وخطة الطوارئ</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11</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الفصل الثامن: مراقبة الجودة وضبط الأداء</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11.1</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8.1 بروتوكول «الفحص الثلاثي» المتكامل</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11.2</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8.2 مؤشرات الأداء الرئيسية (مؤشرات الأداء الرئيسية (Indicateurs Clés de Performance)) للجودة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11.3</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8.3 بروتوكول الضمان المعتمد</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11.4</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8.4 التغليف والعلامة التجارية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11.5</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8.4 خطة الطوارئ لمراقبة الجودة (عند تجاوز 5%)</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12</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الفصل التاسع: السلامة المهنية وإدارة الطوارئ</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12.1</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9.1 الأمن الصناعي وتجهيزات السلامة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12.2</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9.2 بروتوكولات السلامة اليومية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12.3</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9.3 نظام 5S (تنظيم مكان العمل)</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12.4</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9.4 إدارة الطوارئ (Action Plan)</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12.5</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9.5 التوعية والتدريب المستمر</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12.6</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9.6 الربط بالمعايير الدولية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12.7</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9.7 التأمين على الآلات والعمال (Insurance &amp; Compensation)</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13</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الفصل العاشر: بروتوكولات حماية الاستمرارية (الرطوبة والطاقة)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13.1</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10.1 تخزين المكونات الحساسة – الحماية من الرطوبة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13.2</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10.2 إدارة استمرارية الطاقة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13.3</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10.3 خطة الطوارئ للطاقة والرطوبة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14</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الفصل الحادي عشر: سجل الدروس المستفادة (Lessons Learned Log) – التحسين المستمر</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14.1</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11.0 المبدأ العام</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14.2</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11.1 تاريخ العطل (Date &amp; Shift)</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14.3</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11.2 وصف العطل (Defect Description)</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14.4</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11.3 تحليل السبب الجذري (تحليل الأسباب الجذرية للأعطال (Analyse des Causes Racines))</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14.5</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11.4 الإجراء التصحيحي الفوري (Corrective Action – Containment)</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14.6</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11.5 الإجراء الوقائي المستقبلي (نظام الإجراءات التصحيحية والوقائية (Actions Correctives et Préventives))</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14.7</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11.6 أفضل الممارسات العالمية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14.8</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11.7 الربط بالدستور والملاحق</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15</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الفصل الثاني عشر: نماذج التسجيل اليومي والأسبوعي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15.1</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12.1 نموذج الإنتاج اليومي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15.2</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12.2 نموذج الأعطال</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15.3</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12.3 نموذج استهلاك المواد</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15.4</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12.4 نموذج الصيانة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15.5</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12.5 نموذج تقييم العمال</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15.6</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12.6 نموذج طلبات الزبائن الخاصة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16</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الفصل الثالث عشر: استراتيجية التسويق والمبيعات والشهادات المؤسسية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16.1</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13.1 قنوات التوزيع والمبيعات (Distribution &amp; Sales Channels)</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16.2</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13.2 الشهادات والتراخيص المؤسسية (Certifications &amp; Compliance)</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16.3</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13.3 استراتيجية المنافسة مع المنتجات الصينية المستوردة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16.4</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13.4 خطة المبيعات الشهرية المرتبطة بخطة الإنتاج</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17</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الفصل الرابع عشر: مصفوفة السلطات والاعتمادات التنفيذية (Matrice des Autorités et Approbations Exécutives)</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17.1</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14.1 مصفوفة السلطات والاعتمادات</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17.2</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14.2 مبدأ الاعتماد المزدوج</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17.3</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14.3 ملاحظة تطبيقية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18</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الفصل الخامس عشر: مخطط سير عمل المرتجعات والصيانة الكامل وآلية الشطب المحاسبي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18.1</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15.1 خطوات سير العمل التسلسلية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18.2</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15.2 مصفوفة صلاحيات القرار</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18.3</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15.3 بروتوكول الشحن والتعامل مع القطع التالفة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18.4</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15.4 آلية الشطب المحاسبي وتسجيل الخسائر</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18.5</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15.5 مؤشر متابعة الفصل</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19</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الفصل السادس عشر: جدول مؤشرات الأداء التشغيلية الموحد</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19.1</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16.1 الجدول الموحد لمؤشرات الأداء</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19.2</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16.2 مبدأ الربط التلقائي بالشطب المحاسبي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19.3</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16.3 وتيرة المراجعة الإجمالية</w:t>
            </w:r>
          </w:p>
        </w:tc>
        <w:tc>
          <w:tcPr>
            <w:tcBorders>
              <w:top w:val="single" w:sz="6" w:space="0" w:color="D1D5DB"/>
              <w:left w:val="single" w:sz="6" w:space="0" w:color="D1D5DB"/>
              <w:bottom w:val="single" w:sz="6" w:space="0" w:color="D1D5DB"/>
              <w:right w:val="single" w:sz="6" w:space="0" w:color="D1D5DB"/>
            </w:tcBorders>
            <w:shd w:val="clear" w:color="auto" w:fill="FFF9E6"/>
          </w:tcPr>
          <w:p>
            <w:pPr>
              <w:pStyle w:val="Compact"/>
              <w:bidi/>
              <w:jc w:val="right"/>
            </w:pPr>
            <w:r>
              <w:rPr>
                <w:b/>
                <w:color w:val="1A1A1A"/>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20</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الفصل السابع عشر: مصفوفة تقييم وتصنيف الموردين</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20.1</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17.1 شبكة التقييم المرجح</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20.2</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17.2 آلية تصنيف الموردين</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20.3</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17.3 الربط مع بروتوكول رفض الدفعات القائم</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20.4</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17.4 اعتماد التصنيف</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20.5</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17.5 نموذج بطاقة تقييم المورد السنوية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21</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الفصل الثامن عشر: بروتوكول التفتيش الدوري والتدقيق الداخلي للسلامة وإدارة النفايات الخطرة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21.1</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18.1 جدول التفتيش الشهري الدوري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21.2</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18.2 خطوات التخلص الآمن من النفايات الخطرة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21.3</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18.3 الربط بمؤشرات الأداء وسجل الدروس المستفادة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22</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الفصل التاسع عشر: برامج التدريب التفصيلية حسب المسمى الوظيفي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22.1</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19.1 برنامج تدريب فني الصيانة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22.2</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19.2 برنامج تدريب عامل الكبس والتجميع</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22.3</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19.3 برنامج تدريب مشرف الجودة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22.4</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19.4 جدول مقارن ملخص</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22.5</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19.5 ملاحظة تكميلية بشأن الأدوار الأخرى</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22.6</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ملحق: سجل التعارضات الرقمية والفنية وقرارات الاعتماد (V.9.5)</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23</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القسم الثاني: رؤية استراتيجية للتوسع (السنوات 3-5)</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23.1</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1. حماية الملكية الفكرية والنماذج الصناعية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23.2</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 التوسع في المنتجات</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23.3</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3. الأتمتة التدريجية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23.4</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4. التوسع السوقي والتصدير</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23.5</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5. التوظيف والتكوين</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23.6</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6. رؤية 2030</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24</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بند: تحليل التنافسية ورصد السوق (Market Intelligence)</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25</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جدول المراجعة السنوية للدليل</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25.1</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سجل المراجعة السنوية الفعلي (للتعبئة)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26</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إقرار اطّلاع وتعهد (للعمال)</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27</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مسرد المصطلحات الفنية — عربي / فرنسي</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27.1</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معايير القبول والرفض بالأرقام (قسم الفحص الكهربائي)</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27.2</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بند السلامة المهنية وإدارة المخلفات الصناعية</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27.3</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إضافة جهاز تجفيف الرطوبة الصناعي ضمن المعدات المساندة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27.4</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مصطلحات إضافية — الفصول 14 إلى 19</w:t>
            </w:r>
          </w:p>
        </w:tc>
        <w:tc>
          <w:tcPr>
            <w:tcBorders>
              <w:top w:val="single" w:sz="6" w:space="0" w:color="D1D5DB"/>
              <w:left w:val="single" w:sz="6" w:space="0" w:color="D1D5DB"/>
              <w:bottom w:val="single" w:sz="6" w:space="0" w:color="D1D5DB"/>
              <w:right w:val="single" w:sz="6" w:space="0" w:color="D1D5DB"/>
            </w:tcBorders>
            <w:shd w:val="clear" w:color="auto" w:fill="FFFFFF"/>
          </w:tcPr>
          <w:p>
            <w:pPr>
              <w:pStyle w:val="Compact"/>
              <w:bidi/>
              <w:jc w:val="right"/>
            </w:pPr>
            <w:r>
              <w:rPr>
                <w:rtl/>
              </w:rPr>
              <w:t xml:space="preserve">—</w:t>
            </w:r>
          </w:p>
        </w:tc>
      </w:tr>
      <w:tr>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28</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خاتمة</w:t>
            </w:r>
          </w:p>
        </w:tc>
        <w:tc>
          <w:tcPr>
            <w:tcBorders>
              <w:top w:val="single" w:sz="6" w:space="0" w:color="D1D5DB"/>
              <w:left w:val="single" w:sz="6" w:space="0" w:color="D1D5DB"/>
              <w:bottom w:val="single" w:sz="6" w:space="0" w:color="D1D5DB"/>
              <w:right w:val="single" w:sz="6" w:space="0" w:color="D1D5DB"/>
            </w:tcBorders>
            <w:shd w:val="clear" w:color="auto" w:fill="F1F5F9"/>
          </w:tcPr>
          <w:p>
            <w:pPr>
              <w:pStyle w:val="Compact"/>
              <w:bidi/>
              <w:jc w:val="right"/>
            </w:pPr>
            <w:r>
              <w:rPr>
                <w:rtl/>
              </w:rPr>
              <w:t xml:space="preserve">—</w:t>
            </w:r>
          </w:p>
        </w:tc>
      </w:tr>
    </w:tbl>
    <w:p>
      <w:pPr>
        <w:bidi/>
        <w:jc w:val="right"/>
      </w:pPr>
    </w:p>
    <w:tbl>
      <w:tblPr>
        <w:tblStyle w:val="Table"/>
        <w:bidiVisual/>
        <w:tblW w:type="auto" w:w="0"/>
        <w:tblLook w:firstRow="1" w:lastRow="0" w:firstColumn="0" w:lastColumn="0" w:noHBand="0" w:noVBand="0" w:val="0020"/>
        <w:jc w:val="right"/>
      </w:tblPr>
      <w:tblGrid>
        <w:gridCol w:w="7920"/>
      </w:tblGrid>
      <w:tr>
        <w:trPr>
          <w:tblHeader w:val="true"/>
        </w:trPr>
        <w:tc>
          <w:tcPr>
            <w:tcBorders>
              <w:top w:val="single" w:sz="6" w:space="0" w:color="D1D5DB"/>
              <w:left w:val="single" w:sz="6" w:space="0" w:color="D1D5DB"/>
              <w:bottom w:val="single" w:sz="6" w:space="0" w:color="D1D5DB"/>
              <w:right w:val="single" w:sz="6" w:space="0" w:color="D1D5DB"/>
            </w:tcBorders>
            <w:shd w:val="clear" w:color="auto" w:fill="E9EDF2"/>
          </w:tcPr>
          <w:p>
            <w:pPr>
              <w:pStyle w:val="Compact"/>
              <w:bidi/>
              <w:jc w:val="right"/>
            </w:pPr>
            <w:r>
              <w:rPr>
                <w:color w:val="0D3B66"/>
                <w:sz w:val="29"/>
                <w:rtl/>
                <w:bCs/>
                <w:b/>
              </w:rPr>
              <w:t xml:space="preserve">خاتمة</w:t>
            </w:r>
          </w:p>
        </w:tc>
      </w:tr>
    </w:tbl>
    <w:p>
      <w:pPr>
        <w:bidi/>
        <w:jc w:val="right"/>
      </w:pPr>
      <w:r>
        <w:rPr>
          <w:rtl/>
        </w:rPr>
        <w:t xml:space="preserve">هذا الدليل هو المرجع اليومي الإلزامي لجميع عمال ومشرفي ورشة «جنة لايت». تم إعداده بخبرة ميدانية تمتد لأكثر من عشرين عاماً، وهو وثيقة حية تُراجع وتُحدَّث سنوياً وفق الخبرات الجديدة وتغيرات السوق. الالتزام بهذا الدليل يضمن الجودة، السلامة، والاستمرارية، ويجعل من جَنَّة لايت نموذجاً رائداً في صناعة الإضاءة في الجزائر.</w:t>
      </w:r>
    </w:p>
    <w:p>
      <w:pPr>
        <w:bidi/>
        <w:jc w:val="right"/>
      </w:pPr>
      <w:r>
        <w:rPr>
          <w:rtl/>
        </w:rPr>
        <w:t xml:space="preserve">© 2026 – جَنَّة لايت – صنع في الجزائر بجودة عالمية</w:t>
      </w:r>
    </w:p>
    <w:p>
      <w:pPr>
        <w:bidi/>
        <w:jc w:val="right"/>
      </w:pPr>
      <w:r>
        <w:rPr>
          <w:rtl/>
        </w:rPr>
        <w:t xml:space="preserve">جَنَّة لايت — الدليل التشغيلي المعياري V.9.5 | jannahlight-prog.github.io/jannah-light</w:t>
      </w:r>
    </w:p>
    <w:p>
      <w:pPr>
        <w:bidi/>
        <w:jc w:val="right"/>
      </w:pPr>
      <w:r>
        <w:rPr>
          <w:rtl/>
        </w:rPr>
        <w:t xml:space="preserve">صفحة من | Jannah Light © 2026</w:t>
      </w:r>
    </w:p>
    <w:sectPr>
      <w:headerReference w:type="default" r:id="rId9"/>
      <w:footerReference w:type="default" r:id="rId10"/>
      <w:headerReference w:type="first" r:id="rId11"/>
      <w:footerReference w:type="first" r:id="rId12"/>
      <w:headerReference w:type="even" r:id="rId13"/>
      <w:footerReference w:type="even" r:id="rId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right"/>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right"/>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righ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jc w:val="right"/>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jc w:val="right"/>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1"/>
  </w:num>
  <w:num w:numId="107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6">
    <w:abstractNumId w:val="991"/>
  </w:num>
  <w:num w:numId="107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8">
    <w:abstractNumId w:val="991"/>
  </w:num>
  <w:num w:numId="107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0">
    <w:abstractNumId w:val="991"/>
  </w:num>
  <w:num w:numId="108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DZ"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الدليل التشغيلي المعياري — ورشة Jannah Light — V.9.4</dc:title>
  <dc:creator/>
  <dc:language>ar-DZ</dc:language>
  <cp:keywords/>
  <dcterms:created xsi:type="dcterms:W3CDTF">2026-09-11T11:55:18Z</dcterms:created>
  <dcterms:modified xsi:type="dcterms:W3CDTF">2026-09-11T11:55:18Z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