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LOCALEO — Annexe C</w:t>
      </w:r>
    </w:p>
    <w:p>
      <w:pPr>
        <w:pStyle w:val="Heading1"/>
      </w:pPr>
      <w:r>
        <w:t>Gestion des flux financiers</w:t>
      </w:r>
    </w:p>
    <w:p>
      <w:pPr>
        <w:pStyle w:val="Subtitle"/>
      </w:pPr>
      <w:r>
        <w:t>Version 1.1 — 13 septembre 2026</w:t>
      </w:r>
    </w:p>
    <w:p>
      <w:pPr>
        <w:pStyle w:val="Heading1"/>
      </w:pPr>
      <w:r>
        <w:t>1. Objet et portée</w:t>
      </w:r>
    </w:p>
    <w:p>
      <w:r>
        <w:t>Ce document interne décrit le traitement des paiements des coffrets Localeo, des sommes dues aux commerçants partenaires et de leur règlement. Les engagements contractuels envers les commerçants résultent du contrat de partenariat et de sa fiche intégrée des prestations et commissions. Cette procédure ne constitue pas une annexe contractuelle à faire signer. Elle distingue les décisions prises par Localeo des opérations exécutées par Stripe et n'attribue à aucune partie un statut réglementaire qu'elle ne détient pas.</w:t>
      </w:r>
    </w:p>
    <w:p>
      <w:r>
        <w:t>Localeo commercialise et émet les coffrets en son nom. Le commerçant fournit la prestation sous-jacente. La commission rémunère les services propres de Localeo et est distincte de la contrepartie brute de cette prestation. Stripe fournit l'infrastructure de paiement dans le cadre des contrats qui régissent son utilisation.</w:t>
      </w:r>
    </w:p>
    <w:p>
      <w:r>
        <w:t>Le déroulement ci-dessous concerne les achats de coffrets hors lots Animation. Il ne décrit pas les abonnements Animation, les achats professionnels à crédit ni les conditions propres aux organismes publics. Pour les lots Animation, le paiement réserve les lots ; leur activation intervient lors de leur attribution et de leur mise à disposition au gagnant, selon les Conditions particulières Animation. Le paiement de la commande de lots ne déclenche donc pas à lui seul leur activation.</w:t>
      </w:r>
    </w:p>
    <w:p>
      <w:pPr>
        <w:pStyle w:val="Heading1"/>
      </w:pPr>
      <w:r>
        <w:t>2. Les deux soldes Stripe et le compte bancaire</w:t>
      </w:r>
    </w:p>
    <w:p>
      <w:r>
        <w:t xml:space="preserve">Le paiement du client est enregistré sur le </w:t>
      </w:r>
      <w:r>
        <w:rPr>
          <w:b/>
        </w:rPr>
        <w:t>compte Stripe de la plateforme Localeo</w:t>
      </w:r>
      <w:r>
        <w:t>. Il ne s'agit pas d'un paiement directement porté, dès l'achat, au compte connecté de chaque commerçant.</w:t>
      </w:r>
    </w:p>
    <w:p>
      <w:r>
        <w:t xml:space="preserve">Le </w:t>
      </w:r>
      <w:r>
        <w:rPr>
          <w:b/>
        </w:rPr>
        <w:t>compte connecté Stripe du commerçant</w:t>
      </w:r>
      <w:r>
        <w:t xml:space="preserve"> reçoit ensuite le montant du transfert demandé au titre des prestations réalisées. Ce solde est distinct de celui de la plateforme. Un </w:t>
      </w:r>
      <w:r>
        <w:rPr>
          <w:b/>
        </w:rPr>
        <w:t>versement bancaire Stripe</w:t>
      </w:r>
      <w:r>
        <w:t>, également appelé payout, déplace les fonds du compte connecté vers le compte bancaire indiqué à Stripe par le commerçant.</w:t>
      </w:r>
    </w:p>
    <w:p>
      <w:r>
        <w:t>Un transfert vers un compte connecté et un versement vers un compte bancaire sont donc deux opérations distinctes. Le premier ne prouve pas à lui seul que la banque du commerçant a reçu les fonds.</w:t>
      </w:r>
    </w:p>
    <w:p>
      <w:pPr>
        <w:pStyle w:val="Heading1"/>
        <w:keepNext/>
      </w:pPr>
      <w:r>
        <w:t>3. Déroulement normal</w:t>
      </w:r>
    </w:p>
    <w:tbl>
      <w:tblPr>
        <w:tblStyle w:val="TableGrid"/>
        <w:tblW w:type="auto" w:w="0"/>
        <w:jc w:val="center"/>
        <w:tblLayout w:type="fixed"/>
        <w:tblLook w:firstColumn="1" w:firstRow="1" w:lastColumn="0" w:lastRow="0" w:noHBand="0" w:noVBand="1" w:val="04A0"/>
      </w:tblPr>
      <w:tblGrid>
        <w:gridCol w:w="4791"/>
        <w:gridCol w:w="4791"/>
      </w:tblGrid>
      <w:tr>
        <w:trPr>
          <w:cantSplit/>
          <w:tblHeader/>
        </w:trPr>
        <w:tc>
          <w:tcPr>
            <w:tcW w:type="dxa" w:w="4791"/>
            <w:vAlign w:val="top"/>
            <w:shd w:fill="F1F3F5"/>
          </w:tcPr>
          <w:p>
            <w:pPr>
              <w:spacing w:after="100" w:before="80"/>
            </w:pPr>
            <w:r>
              <w:rPr>
                <w:b/>
                <w:sz w:val="20"/>
              </w:rPr>
              <w:t>Étape</w:t>
            </w:r>
          </w:p>
        </w:tc>
        <w:tc>
          <w:tcPr>
            <w:tcW w:type="dxa" w:w="4791"/>
            <w:vAlign w:val="top"/>
            <w:shd w:fill="F1F3F5"/>
          </w:tcPr>
          <w:p>
            <w:pPr>
              <w:spacing w:after="100" w:before="80"/>
            </w:pPr>
            <w:r>
              <w:rPr>
                <w:b/>
                <w:sz w:val="20"/>
              </w:rPr>
              <w:t>Opération et responsabilité</w:t>
            </w:r>
          </w:p>
        </w:tc>
      </w:tr>
      <w:tr>
        <w:trPr>
          <w:cantSplit/>
        </w:trPr>
        <w:tc>
          <w:tcPr>
            <w:tcW w:type="dxa" w:w="4791"/>
            <w:vAlign w:val="top"/>
          </w:tcPr>
          <w:p>
            <w:pPr>
              <w:spacing w:after="100" w:before="80"/>
            </w:pPr>
            <w:r>
              <w:rPr>
                <w:sz w:val="20"/>
              </w:rPr>
              <w:t>1. Commande</w:t>
            </w:r>
          </w:p>
        </w:tc>
        <w:tc>
          <w:tcPr>
            <w:tcW w:type="dxa" w:w="4791"/>
            <w:vAlign w:val="top"/>
          </w:tcPr>
          <w:p>
            <w:pPr>
              <w:spacing w:after="100" w:before="80"/>
            </w:pPr>
            <w:r>
              <w:rPr>
                <w:sz w:val="20"/>
              </w:rPr>
              <w:t>Localeo identifie l'achat, son prix et les droits à délivrer.</w:t>
            </w:r>
          </w:p>
        </w:tc>
      </w:tr>
      <w:tr>
        <w:trPr>
          <w:cantSplit/>
        </w:trPr>
        <w:tc>
          <w:tcPr>
            <w:tcW w:type="dxa" w:w="4791"/>
            <w:vAlign w:val="top"/>
          </w:tcPr>
          <w:p>
            <w:pPr>
              <w:spacing w:after="100" w:before="80"/>
            </w:pPr>
            <w:r>
              <w:rPr>
                <w:sz w:val="20"/>
              </w:rPr>
              <w:t>2. Paiement</w:t>
            </w:r>
          </w:p>
        </w:tc>
        <w:tc>
          <w:tcPr>
            <w:tcW w:type="dxa" w:w="4791"/>
            <w:vAlign w:val="top"/>
          </w:tcPr>
          <w:p>
            <w:pPr>
              <w:spacing w:after="100" w:before="80"/>
            </w:pPr>
            <w:r>
              <w:rPr>
                <w:sz w:val="20"/>
              </w:rPr>
              <w:t>Le client paie via Stripe ; la charge est créée sur le compte Stripe de la plateforme Localeo.</w:t>
            </w:r>
          </w:p>
        </w:tc>
      </w:tr>
      <w:tr>
        <w:trPr>
          <w:cantSplit/>
        </w:trPr>
        <w:tc>
          <w:tcPr>
            <w:tcW w:type="dxa" w:w="4791"/>
            <w:vAlign w:val="top"/>
          </w:tcPr>
          <w:p>
            <w:pPr>
              <w:spacing w:after="100" w:before="80"/>
            </w:pPr>
            <w:r>
              <w:rPr>
                <w:sz w:val="20"/>
              </w:rPr>
              <w:t>3. Confirmation</w:t>
            </w:r>
          </w:p>
        </w:tc>
        <w:tc>
          <w:tcPr>
            <w:tcW w:type="dxa" w:w="4791"/>
            <w:vAlign w:val="top"/>
          </w:tcPr>
          <w:p>
            <w:pPr>
              <w:spacing w:after="100" w:before="80"/>
            </w:pPr>
            <w:r>
              <w:rPr>
                <w:sz w:val="20"/>
              </w:rPr>
              <w:t>Stripe confirme le résultat du paiement ; Localeo émet et active les droits correspondants.</w:t>
            </w:r>
          </w:p>
        </w:tc>
      </w:tr>
      <w:tr>
        <w:trPr>
          <w:cantSplit/>
        </w:trPr>
        <w:tc>
          <w:tcPr>
            <w:tcW w:type="dxa" w:w="4791"/>
            <w:vAlign w:val="top"/>
          </w:tcPr>
          <w:p>
            <w:pPr>
              <w:spacing w:after="100" w:before="80"/>
            </w:pPr>
            <w:r>
              <w:rPr>
                <w:sz w:val="20"/>
              </w:rPr>
              <w:t>4. Conservation avant utilisation</w:t>
            </w:r>
          </w:p>
        </w:tc>
        <w:tc>
          <w:tcPr>
            <w:tcW w:type="dxa" w:w="4791"/>
            <w:vAlign w:val="top"/>
          </w:tcPr>
          <w:p>
            <w:pPr>
              <w:spacing w:after="100" w:before="80"/>
            </w:pPr>
            <w:r>
              <w:rPr>
                <w:sz w:val="20"/>
              </w:rPr>
              <w:t>Aucun transfert au commerçant n'est ordonné du seul fait de l'achat du coffret. Le suivi distingue les droits restant à exécuter et les montants concernés.</w:t>
            </w:r>
          </w:p>
        </w:tc>
      </w:tr>
      <w:tr>
        <w:trPr>
          <w:cantSplit/>
        </w:trPr>
        <w:tc>
          <w:tcPr>
            <w:tcW w:type="dxa" w:w="4791"/>
            <w:vAlign w:val="top"/>
          </w:tcPr>
          <w:p>
            <w:pPr>
              <w:spacing w:after="100" w:before="80"/>
            </w:pPr>
            <w:r>
              <w:rPr>
                <w:sz w:val="20"/>
              </w:rPr>
              <w:t>5. Réalisation</w:t>
            </w:r>
          </w:p>
        </w:tc>
        <w:tc>
          <w:tcPr>
            <w:tcW w:type="dxa" w:w="4791"/>
            <w:vAlign w:val="top"/>
          </w:tcPr>
          <w:p>
            <w:pPr>
              <w:spacing w:after="100" w:before="80"/>
            </w:pPr>
            <w:r>
              <w:rPr>
                <w:sz w:val="20"/>
              </w:rPr>
              <w:t>Le commerçant fournit puis valide la prestation effectivement exécutée.</w:t>
            </w:r>
          </w:p>
        </w:tc>
      </w:tr>
      <w:tr>
        <w:trPr>
          <w:cantSplit/>
        </w:trPr>
        <w:tc>
          <w:tcPr>
            <w:tcW w:type="dxa" w:w="4791"/>
            <w:vAlign w:val="top"/>
          </w:tcPr>
          <w:p>
            <w:pPr>
              <w:spacing w:after="100" w:before="80"/>
            </w:pPr>
            <w:r>
              <w:rPr>
                <w:sz w:val="20"/>
              </w:rPr>
              <w:t>6. Montant à régler</w:t>
            </w:r>
          </w:p>
        </w:tc>
        <w:tc>
          <w:tcPr>
            <w:tcW w:type="dxa" w:w="4791"/>
            <w:vAlign w:val="top"/>
          </w:tcPr>
          <w:p>
            <w:pPr>
              <w:spacing w:after="100" w:before="80"/>
            </w:pPr>
            <w:r>
              <w:rPr>
                <w:sz w:val="20"/>
              </w:rPr>
              <w:t>Localeo enregistre la contrepartie de la prestation, la commission convenue et le net dû au commerçant.</w:t>
            </w:r>
          </w:p>
        </w:tc>
      </w:tr>
      <w:tr>
        <w:trPr>
          <w:cantSplit/>
        </w:trPr>
        <w:tc>
          <w:tcPr>
            <w:tcW w:type="dxa" w:w="4791"/>
            <w:vAlign w:val="top"/>
          </w:tcPr>
          <w:p>
            <w:pPr>
              <w:spacing w:after="100" w:before="80"/>
            </w:pPr>
            <w:r>
              <w:rPr>
                <w:sz w:val="20"/>
              </w:rPr>
              <w:t>7. Campagne</w:t>
            </w:r>
          </w:p>
        </w:tc>
        <w:tc>
          <w:tcPr>
            <w:tcW w:type="dxa" w:w="4791"/>
            <w:vAlign w:val="top"/>
          </w:tcPr>
          <w:p>
            <w:pPr>
              <w:spacing w:after="100" w:before="80"/>
            </w:pPr>
            <w:r>
              <w:rPr>
                <w:sz w:val="20"/>
              </w:rPr>
              <w:t>Localeo sélectionne les opérations éligibles, contrôle les montants et le compte connecté et donne l'instruction de transfert à Stripe. Les campagnes sont organisées deux fois par mois.</w:t>
            </w:r>
          </w:p>
        </w:tc>
      </w:tr>
      <w:tr>
        <w:trPr>
          <w:cantSplit/>
        </w:trPr>
        <w:tc>
          <w:tcPr>
            <w:tcW w:type="dxa" w:w="4791"/>
            <w:vAlign w:val="top"/>
          </w:tcPr>
          <w:p>
            <w:pPr>
              <w:spacing w:after="100" w:before="80"/>
            </w:pPr>
            <w:r>
              <w:rPr>
                <w:sz w:val="20"/>
              </w:rPr>
              <w:t>8. Transfert</w:t>
            </w:r>
          </w:p>
        </w:tc>
        <w:tc>
          <w:tcPr>
            <w:tcW w:type="dxa" w:w="4791"/>
            <w:vAlign w:val="top"/>
          </w:tcPr>
          <w:p>
            <w:pPr>
              <w:spacing w:after="100" w:before="80"/>
            </w:pPr>
            <w:r>
              <w:rPr>
                <w:sz w:val="20"/>
              </w:rPr>
              <w:t>Stripe traite le transfert depuis le solde plateforme vers le compte connecté, sous réserve de ses contrôles et des conditions de disponibilité des fonds.</w:t>
            </w:r>
          </w:p>
        </w:tc>
      </w:tr>
      <w:tr>
        <w:trPr>
          <w:cantSplit/>
        </w:trPr>
        <w:tc>
          <w:tcPr>
            <w:tcW w:type="dxa" w:w="4791"/>
            <w:vAlign w:val="top"/>
          </w:tcPr>
          <w:p>
            <w:pPr>
              <w:spacing w:after="100" w:before="80"/>
            </w:pPr>
            <w:r>
              <w:rPr>
                <w:sz w:val="20"/>
              </w:rPr>
              <w:t>9. Versement bancaire</w:t>
            </w:r>
          </w:p>
        </w:tc>
        <w:tc>
          <w:tcPr>
            <w:tcW w:type="dxa" w:w="4791"/>
            <w:vAlign w:val="top"/>
          </w:tcPr>
          <w:p>
            <w:pPr>
              <w:spacing w:after="100" w:before="80"/>
            </w:pPr>
            <w:r>
              <w:rPr>
                <w:sz w:val="20"/>
              </w:rPr>
              <w:t>Stripe traite le payout depuis le compte connecté selon la configuration et les conditions de ce compte.</w:t>
            </w:r>
          </w:p>
        </w:tc>
      </w:tr>
      <w:tr>
        <w:trPr>
          <w:cantSplit/>
        </w:trPr>
        <w:tc>
          <w:tcPr>
            <w:tcW w:type="dxa" w:w="4791"/>
            <w:vAlign w:val="top"/>
          </w:tcPr>
          <w:p>
            <w:pPr>
              <w:spacing w:after="100" w:before="80"/>
            </w:pPr>
            <w:r>
              <w:rPr>
                <w:sz w:val="20"/>
              </w:rPr>
              <w:t>10. Rapprochement</w:t>
            </w:r>
          </w:p>
        </w:tc>
        <w:tc>
          <w:tcPr>
            <w:tcW w:type="dxa" w:w="4791"/>
            <w:vAlign w:val="top"/>
          </w:tcPr>
          <w:p>
            <w:pPr>
              <w:spacing w:after="100" w:before="80"/>
            </w:pPr>
            <w:r>
              <w:rPr>
                <w:sz w:val="20"/>
              </w:rPr>
              <w:t>Les références, montants et statuts disponibles sont rapprochés. Un paiement bancaire n'est présenté comme reçu que sur la base d'une confirmation appropriée.</w:t>
            </w:r>
          </w:p>
        </w:tc>
      </w:tr>
    </w:tbl>
    <w:p>
      <w:pPr>
        <w:spacing w:after="0"/>
      </w:pPr>
    </w:p>
    <w:p>
      <w:r>
        <w:t>Le parcours correspond à des paiements et transferts séparés. Localeo détermine les montants, les opérations sélectionnées et les instructions adressées à Stripe. Elle ne se limite donc pas à transmettre passivement un paiement qui serait automatiquement distribué au moment de l'achat.</w:t>
      </w:r>
    </w:p>
    <w:p>
      <w:pPr>
        <w:pStyle w:val="Heading1"/>
      </w:pPr>
      <w:r>
        <w:t>4. Calculs et conditions tarifaires</w:t>
      </w:r>
    </w:p>
    <w:p>
      <w:r>
        <w:t>Les montants contractuels sont ceux de la version de prestation rattachée aux droits vendus. Les modifications ultérieures du catalogue ou d'un taux ne recalculent pas une opération antérieure.</w:t>
      </w:r>
    </w:p>
    <w:p>
      <w:r>
        <w:t>Le suivi financier distingue la contrepartie brute TTC de la prestation, la commission Localeo HT, la TVA de la commission, son total TTC, les autres frais expressément acceptés et le net dû. Le net de trésorerie n'est pas assimilé à une base imposable de prestation.</w:t>
      </w:r>
    </w:p>
    <w:p>
      <w:r>
        <w:t>Le calcul de la commission et les arrondis suivent l'article 7 du contrat de partenariat commerçant ; la valeur et le taux convenus sont renseignés dans sa fiche intégrée. Les frais facturés par Stripe à la plateforme sont supportés par Localeo, sauf stipulation particulière explicite. Un transfert Stripe qui ne comporte pas de frais propres ne signifie pas que le paiement initial du client n'a occasionné aucun frais.</w:t>
      </w:r>
    </w:p>
    <w:p>
      <w:r>
        <w:t>Les promotions, participations à une remise et ajustements sont identifiés séparément. Un commerçant ne supporte pas une diminution de sa contrepartie du seul fait d'une promotion décidée par Localeo.</w:t>
      </w:r>
    </w:p>
    <w:p>
      <w:pPr>
        <w:pStyle w:val="Heading1"/>
      </w:pPr>
      <w:r>
        <w:t>5. Échéances et blocages</w:t>
      </w:r>
    </w:p>
    <w:p>
      <w:r>
        <w:t>Localeo organise les campagnes et respecte l'échéance de règlement applicable au commerçant. Le calendrier d'une campagne ne peut porter un délai au-delà du délai légal ou contractuel. Les informations concernant un paiement distinguent sa date d'exigibilité, la date de demande du transfert et, lorsqu'elle est connue, celle du versement bancaire.</w:t>
      </w:r>
    </w:p>
    <w:p>
      <w:r>
        <w:t>Un compte connecté incomplet, une demande de vérification, un contrôle de conformité, une réserve Stripe, une indisponibilité de solde ou un incident technique peut empêcher une opération. Le motif connu, les montants concernés et l'action attendue sont communiqués au commerçant. Localeo suit le déblocage ; le commerçant réalise les démarches qui lui incombent auprès de Stripe.</w:t>
      </w:r>
    </w:p>
    <w:p>
      <w:r>
        <w:t>La suspension d'une opération ne supprime pas une créance. Les délais et responsabilités entre les parties restent régis par le contrat et la loi. Les sommes non concernées par un litige ou une restriction sont traitées normalement. Aucun paiement manuel n'est utilisé pour contourner une mesure réglementaire de Stripe.</w:t>
      </w:r>
    </w:p>
    <w:p>
      <w:pPr>
        <w:pStyle w:val="Heading1"/>
      </w:pPr>
      <w:r>
        <w:t>6. Remboursements avant et après transfert</w:t>
      </w:r>
    </w:p>
    <w:p>
      <w:r>
        <w:t>Localeo instruit les demandes relatives au coffret et assume les remboursements qui lui incombent. Stripe exécute l'opération de remboursement. Un droit légal ne peut être refusé parce qu'un transfert a déjà eu lieu ou qu'un outil de gestion exige une intervention supplémentaire.</w:t>
      </w:r>
    </w:p>
    <w:p>
      <w:r>
        <w:t>Avant transfert, les droits remboursés sont retirés des droits utilisables et les montants correspondants ne sont pas réglés au commerçant lorsqu'ils ne lui sont pas dus. Une prestation réellement exécutée reste visible dans l'historique, même si une restitution financière est ensuite nécessaire.</w:t>
      </w:r>
    </w:p>
    <w:p>
      <w:r>
        <w:t>Après transfert, le remboursement du paiement client n'annule pas automatiquement le transfert correspondant. Localeo rapproche séparément le remboursement, l'éventuelle annulation de transfert, les restitutions entre professionnels et les avoirs. Le consommateur n'attend pas le recouvrement auprès du commerçant pour bénéficier d'un remboursement exigible.</w:t>
      </w:r>
    </w:p>
    <w:p>
      <w:r>
        <w:t>Les sommes réclamées au commerçant doivent avoir un fondement contractuel ou légal et être justifiées. Une restitution, une compensation ou une annulation de transfert ne peut aboutir à une double récupération. La commission et sa TVA sont corrigées lorsque leur fait générateur ou leur montant est annulé ou réduit.</w:t>
      </w:r>
    </w:p>
    <w:p>
      <w:pPr>
        <w:pStyle w:val="Heading1"/>
      </w:pPr>
      <w:r>
        <w:t>7. Contestations bancaires, fraude et soldes négatifs</w:t>
      </w:r>
    </w:p>
    <w:p>
      <w:r>
        <w:t>Une contestation bancaire est rapprochée de l'achat, des prestations et des justificatifs disponibles. Les parties coopèrent à la réponse dans les délais du prestataire de paiement. La contestation n'est pas, à elle seule, une preuve d'inexécution du commerçant.</w:t>
      </w:r>
    </w:p>
    <w:p>
      <w:r>
        <w:t>Les frais et débits appliqués par Stripe au compte plateforme sont suivis séparément des sommes que Localeo peut légalement réclamer au commerçant. La seule existence d'un solde négatif ou d'un débit Stripe ne crée pas une dette automatique de ce dernier. Une fraude, une validation fictive ou une somme indûment reçue peut justifier une restitution, dans les conditions du contrat et sur des éléments documentés.</w:t>
      </w:r>
    </w:p>
    <w:p>
      <w:r>
        <w:t>Les réserves décidées par Stripe relèvent de ses conditions. Toute réserve supplémentaire imposée contractuellement par Localeo nécessite un accord précisant son assiette, son plafond, son motif, sa durée et sa libération. Aucune réserve Localeo n'est créée par la présente procédure.</w:t>
      </w:r>
    </w:p>
    <w:p>
      <w:pPr>
        <w:pStyle w:val="Heading1"/>
      </w:pPr>
      <w:r>
        <w:t>8. Fonds et responsabilités</w:t>
      </w:r>
    </w:p>
    <w:p>
      <w:r>
        <w:t>L'utilisation de Stripe ne constitue pas, par elle-même, une garantie de remboursement intégral, de disponibilité immédiate ou d'absence de risque. Cette procédure ne présente les soldes Stripe ni comme un compte séquestre propre à chaque coffret ni comme des fonds bénéficiant automatiquement d'une garantie des dépôts.</w:t>
      </w:r>
    </w:p>
    <w:p>
      <w:r>
        <w:t>La protection réglementaire éventuellement attachée aux fonds et les responsabilités résultant des contrats Stripe sont celles réellement applicables aux entités, services et comptes concernés. L'absence de virement vers un compte bancaire ordinaire Localeo ne suffit pas à déterminer la qualification juridique des flux.</w:t>
      </w:r>
    </w:p>
    <w:p>
      <w:r>
        <w:t>Localeo maintient un suivi permettant de distinguer les prestations à honorer, les remboursements exigibles, les dettes envers les commerçants et ses propres rémunérations. Elle organise le financement des remboursements et corrections qui lui incombent, indépendamment des reprises de transfert à obtenir.</w:t>
      </w:r>
    </w:p>
    <w:p>
      <w:pPr>
        <w:pStyle w:val="Heading1"/>
      </w:pPr>
      <w:r>
        <w:t>9. Factures, justificatifs et piste de rapprochement</w:t>
      </w:r>
    </w:p>
    <w:p>
      <w:r>
        <w:t>Le justificatif d'achat du coffret, la facture de prestation du commerçant, la facture de commission Localeo et les relevés Stripe correspondent à des objets différents. Le Partenaire émet ses propres factures ; Localeo n'agit pas comme émetteur de factures en son nom sur le fondement de cette procédure.</w:t>
      </w:r>
    </w:p>
    <w:p>
      <w:r>
        <w:t>Chaque dossier financier permet de relier l'achat, le coffret, la prestation et sa version tarifaire, la validation, la charge initiale, la commission, le transfert, le versement bancaire connu et les éventuelles corrections. Les données de rapprochement exposées ne doivent pas être présentées comme un relevé bancaire émis par Stripe.</w:t>
      </w:r>
    </w:p>
    <w:p>
      <w:r>
        <w:t>Les opérations répétées ou les notifications reçues plusieurs fois ne doivent pas créer de double paiement. Une correction conserve l'historique de l'opération initiale et son motif. Les archives comptables sont conservées pendant les durées légales, avec un accès limité aux personnes habilitées.</w:t>
      </w:r>
    </w:p>
    <w:p>
      <w:pPr>
        <w:pStyle w:val="Heading1"/>
      </w:pPr>
      <w:r>
        <w:t>10. Fin de relation</w:t>
      </w:r>
    </w:p>
    <w:p>
      <w:r>
        <w:t>La dépublication ou la résiliation du partenariat ne supprime ni les droits des porteurs ni les dettes nées des opérations antérieures. Les parties recensent les prestations restantes, les paiements, les remboursements, les contestations et les factures à régulariser. Les accès ou exports nécessaires au règlement de ces opérations restent disponibles selon le contrat.</w:t>
      </w:r>
    </w:p>
    <w:p>
      <w:r>
        <w:t>La fermeture du compte connecté est coordonnée avec ce traitement, sous réserve des pouvoirs propres de Stripe et des règles relatives aux procédures collectives. Les sommes et justificatifs ne sont pas réputés abandonnés par la seule fermeture d'un accès informatique.</w:t>
      </w:r>
    </w:p>
    <w:sectPr w:rsidR="00FC693F" w:rsidRPr="0006063C" w:rsidSect="00034616">
      <w:footerReference w:type="default" r:id="rId9"/>
      <w:pgSz w:w="11906" w:h="16838"/>
      <w:pgMar w:top="1077" w:right="1162" w:bottom="1049" w:left="1162" w:header="425"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LOCALEO  |  Version 1.1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Calibri" w:hAnsi="Calibri"/>
      <w:color w:val="111827"/>
      <w:sz w:val="22"/>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11827"/>
      <w:sz w:val="2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11827"/>
      <w:sz w:val="23"/>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Calibri" w:hAnsi="Calibri"/>
      <w:b/>
      <w:bCs/>
      <w:color w:val="1118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40"/>
    </w:pPr>
    <w:rPr>
      <w:rFonts w:asciiTheme="majorHAnsi" w:eastAsiaTheme="majorEastAsia" w:hAnsiTheme="majorHAnsi" w:cstheme="majorBidi" w:ascii="Calibri" w:hAnsi="Calibri"/>
      <w:i/>
      <w:iCs/>
      <w:color w:val="4B5563"/>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11182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11182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Annexe C</dc:title>
  <dc:subject>Version 1.1 du 13 septembre 2026</dc:subject>
  <dc:creator>Localeo</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