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LOCALEO — Politique de confidentialité et de protection des données personnelles</w:t>
      </w:r>
    </w:p>
    <w:p>
      <w:pPr>
        <w:pStyle w:val="Subtitle"/>
      </w:pPr>
      <w:r>
        <w:t>Version 1.1 — 13 septembre 2026</w:t>
      </w:r>
    </w:p>
    <w:p>
      <w:pPr>
        <w:pStyle w:val="Heading1"/>
      </w:pPr>
      <w:r>
        <w:t>1. À qui s’adresse cette politique ?</w:t>
      </w:r>
    </w:p>
    <w:p>
      <w:r>
        <w:t>Cette politique explique comment Localeo traite les données des visiteurs, acheteurs, bénéficiaires de coffrets, participants aux animations, utilisateurs de Localeo Live, commerçants et représentants de partenaires. Elle s’applique aux services Localeo, notamment à la marketplace, à Localeo Live et aux espaces professionnels. La notice Localeo Live et l’information propre à chaque animation la complètent pour leurs fonctionnalités respectives.</w:t>
      </w:r>
    </w:p>
    <w:p>
      <w:r>
        <w:t xml:space="preserve">Localeo est exploité par SAS LOCALEO, dont le siège social est situé 10 Lotissement Joualle de Paulin, 33750 Beychac-et-Caillau, France. Pour toute question ou demande relative aux données personnelles : </w:t>
      </w:r>
      <w:r>
        <w:rPr>
          <w:b/>
        </w:rPr>
        <w:t>contact@localeo.city</w:t>
      </w:r>
      <w:r>
        <w:t>, ou à cette adresse postale. Téléphone : 07 80 37 67 51.</w:t>
      </w:r>
    </w:p>
    <w:p>
      <w:r>
        <w:t>Localeo est responsable des traitements dont il détermine les finalités et les moyens. Les commerçants sont responsables de leurs propres prestations, de leur relation avec leurs clients et de leurs obligations comptables. Stripe exerce ses responsabilités propres pour ses services de paiement et ses contrôles réglementaires. L’organisateur identifié dans le règlement d’une animation est responsable des traitements d’inscription, de progression, de tirage et de remise des lots. Localeo réalise les opérations techniques correspondantes pour son compte, sur ses instructions. Localeo demeure responsable de ses propres traitements de sécurité, de facturation, de relation professionnelle et du carnet Live.</w:t>
      </w:r>
    </w:p>
    <w:p>
      <w:pPr>
        <w:pStyle w:val="Heading1"/>
      </w:pPr>
      <w:r>
        <w:t>2. Quelles données utilisons-nous et d’où viennent-elles ?</w:t>
      </w:r>
    </w:p>
    <w:p>
      <w:r>
        <w:t>Les données proviennent des informations que vous saisissez, des opérations effectuées sur le service et des prestataires qui en assurent l’exécution. Lorsqu’un coffret vous est offert, l’acheteur peut nous communiquer votre nom, votre adresse électronique et les informations nécessaires à sa remise. Lorsqu’un partenaire crée ou suit une animation, il peut nous communiquer les informations nécessaires à l’organisation et à l’attribution des lots. Les informations professionnelles peuvent aussi être vérifiées auprès de registres publics.</w:t>
      </w:r>
    </w:p>
    <w:p>
      <w:r>
        <w:t>Selon votre utilisation, les données comprennent :</w:t>
      </w:r>
    </w:p>
    <w:p>
      <w:pPr>
        <w:pStyle w:val="ListBullet"/>
      </w:pPr>
      <w:r>
        <w:t>vos coordonnées et échanges avec Localeo ;</w:t>
      </w:r>
    </w:p>
    <w:p>
      <w:pPr>
        <w:pStyle w:val="ListBullet"/>
      </w:pPr>
      <w:r>
        <w:t>les références des commandes, coffrets, prestations, paiements, remboursements et consommations ;</w:t>
      </w:r>
    </w:p>
    <w:p>
      <w:pPr>
        <w:pStyle w:val="ListBullet"/>
      </w:pPr>
      <w:r>
        <w:t>les coordonnées du bénéficiaire et les messages accompagnant un cadeau ;</w:t>
      </w:r>
    </w:p>
    <w:p>
      <w:pPr>
        <w:pStyle w:val="ListBullet"/>
      </w:pPr>
      <w:r>
        <w:t>les informations d’inscription aux animations, étapes réalisées, qualifications, résultats et lots attribués ;</w:t>
      </w:r>
    </w:p>
    <w:p>
      <w:pPr>
        <w:pStyle w:val="ListBullet"/>
      </w:pPr>
      <w:r>
        <w:t>les informations professionnelles, pouvoirs du représentant, justificatifs du partenariat, paramètres fiscaux et références de facturation ;</w:t>
      </w:r>
    </w:p>
    <w:p>
      <w:pPr>
        <w:pStyle w:val="ListBullet"/>
      </w:pPr>
      <w:r>
        <w:t>les références de connexion, dates d’accès, actions de sécurité et informations techniques nécessaires au fonctionnement, dont l’adresse IP ;</w:t>
      </w:r>
    </w:p>
    <w:p>
      <w:pPr>
        <w:pStyle w:val="ListBullet"/>
      </w:pPr>
      <w:r>
        <w:t>dans Localeo Live, les préférences territoriales, suivis de ressources, identifiant d’installation et données de notification décrits dans sa notice.</w:t>
      </w:r>
    </w:p>
    <w:p>
      <w:r>
        <w:t>Les numéros complets de carte bancaire sont saisis dans le parcours du prestataire de paiement et ne sont pas conservés par Localeo. Localeo reçoit notamment les références, montants et statuts des opérations.</w:t>
      </w:r>
    </w:p>
    <w:p>
      <w:r>
        <w:t>Les champs nécessaires à la commande, au service demandé ou à une obligation légale sont signalés dans le formulaire concerné. Sans ces informations, nous ne pouvons pas traiter la demande correspondante. Les choix facultatifs, notamment de communication, ne conditionnent pas la fourniture d’un service qui n’en dépend pas.</w:t>
      </w:r>
    </w:p>
    <w:p>
      <w:pPr>
        <w:pStyle w:val="Heading1"/>
        <w:keepNext/>
      </w:pPr>
      <w:r>
        <w:t>3. Pourquoi traitons-nous ces données ?</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top"/>
            <w:shd w:fill="F1F3F5"/>
          </w:tcPr>
          <w:p>
            <w:pPr>
              <w:spacing w:after="100" w:before="80"/>
            </w:pPr>
            <w:r>
              <w:rPr>
                <w:b/>
                <w:sz w:val="20"/>
              </w:rPr>
              <w:t>Traitement</w:t>
            </w:r>
          </w:p>
        </w:tc>
        <w:tc>
          <w:tcPr>
            <w:tcW w:type="dxa" w:w="3194"/>
            <w:vAlign w:val="top"/>
            <w:shd w:fill="F1F3F5"/>
          </w:tcPr>
          <w:p>
            <w:pPr>
              <w:spacing w:after="100" w:before="80"/>
            </w:pPr>
            <w:r>
              <w:rPr>
                <w:b/>
                <w:sz w:val="20"/>
              </w:rPr>
              <w:t>Données principales</w:t>
            </w:r>
          </w:p>
        </w:tc>
        <w:tc>
          <w:tcPr>
            <w:tcW w:type="dxa" w:w="3194"/>
            <w:vAlign w:val="top"/>
            <w:shd w:fill="F1F3F5"/>
          </w:tcPr>
          <w:p>
            <w:pPr>
              <w:spacing w:after="100" w:before="80"/>
            </w:pPr>
            <w:r>
              <w:rPr>
                <w:b/>
                <w:sz w:val="20"/>
              </w:rPr>
              <w:t>Fondement</w:t>
            </w:r>
          </w:p>
        </w:tc>
      </w:tr>
      <w:tr>
        <w:trPr>
          <w:cantSplit/>
        </w:trPr>
        <w:tc>
          <w:tcPr>
            <w:tcW w:type="dxa" w:w="3194"/>
            <w:vAlign w:val="top"/>
          </w:tcPr>
          <w:p>
            <w:pPr>
              <w:spacing w:after="100" w:before="80"/>
            </w:pPr>
            <w:r>
              <w:rPr>
                <w:sz w:val="20"/>
              </w:rPr>
              <w:t>Préparer et exécuter une commande, délivrer le coffret, assister l’acheteur et traiter les remboursements</w:t>
            </w:r>
          </w:p>
        </w:tc>
        <w:tc>
          <w:tcPr>
            <w:tcW w:type="dxa" w:w="3194"/>
            <w:vAlign w:val="top"/>
          </w:tcPr>
          <w:p>
            <w:pPr>
              <w:spacing w:after="100" w:before="80"/>
            </w:pPr>
            <w:r>
              <w:rPr>
                <w:sz w:val="20"/>
              </w:rPr>
              <w:t>Coordonnées, commande, paiement et échanges</w:t>
            </w:r>
          </w:p>
        </w:tc>
        <w:tc>
          <w:tcPr>
            <w:tcW w:type="dxa" w:w="3194"/>
            <w:vAlign w:val="top"/>
          </w:tcPr>
          <w:p>
            <w:pPr>
              <w:spacing w:after="100" w:before="80"/>
            </w:pPr>
            <w:r>
              <w:rPr>
                <w:sz w:val="20"/>
              </w:rPr>
              <w:t>Mesures précontractuelles et exécution du contrat avec l’acheteur</w:t>
            </w:r>
          </w:p>
        </w:tc>
      </w:tr>
      <w:tr>
        <w:trPr>
          <w:cantSplit/>
        </w:trPr>
        <w:tc>
          <w:tcPr>
            <w:tcW w:type="dxa" w:w="3194"/>
            <w:vAlign w:val="top"/>
          </w:tcPr>
          <w:p>
            <w:pPr>
              <w:spacing w:after="100" w:before="80"/>
            </w:pPr>
            <w:r>
              <w:rPr>
                <w:sz w:val="20"/>
              </w:rPr>
              <w:t>Remettre un cadeau, permettre au bénéficiaire de consulter son coffret et d’utiliser ses prestations</w:t>
            </w:r>
          </w:p>
        </w:tc>
        <w:tc>
          <w:tcPr>
            <w:tcW w:type="dxa" w:w="3194"/>
            <w:vAlign w:val="top"/>
          </w:tcPr>
          <w:p>
            <w:pPr>
              <w:spacing w:after="100" w:before="80"/>
            </w:pPr>
            <w:r>
              <w:rPr>
                <w:sz w:val="20"/>
              </w:rPr>
              <w:t>Coordonnées transmises par l’acheteur, accès, droits et consommations</w:t>
            </w:r>
          </w:p>
        </w:tc>
        <w:tc>
          <w:tcPr>
            <w:tcW w:type="dxa" w:w="3194"/>
            <w:vAlign w:val="top"/>
          </w:tcPr>
          <w:p>
            <w:pPr>
              <w:spacing w:after="100" w:before="80"/>
            </w:pPr>
            <w:r>
              <w:rPr>
                <w:sz w:val="20"/>
              </w:rPr>
              <w:t>Intérêt légitime à remettre le cadeau au destinataire ; exécution des services demandés par le bénéficiaire</w:t>
            </w:r>
          </w:p>
        </w:tc>
      </w:tr>
      <w:tr>
        <w:trPr>
          <w:cantSplit/>
        </w:trPr>
        <w:tc>
          <w:tcPr>
            <w:tcW w:type="dxa" w:w="3194"/>
            <w:vAlign w:val="top"/>
          </w:tcPr>
          <w:p>
            <w:pPr>
              <w:spacing w:after="100" w:before="80"/>
            </w:pPr>
            <w:r>
              <w:rPr>
                <w:sz w:val="20"/>
              </w:rPr>
              <w:t>Fournir et sécuriser les liens personnels, vérifier un QR et prévenir les doubles consommations</w:t>
            </w:r>
          </w:p>
        </w:tc>
        <w:tc>
          <w:tcPr>
            <w:tcW w:type="dxa" w:w="3194"/>
            <w:vAlign w:val="top"/>
          </w:tcPr>
          <w:p>
            <w:pPr>
              <w:spacing w:after="100" w:before="80"/>
            </w:pPr>
            <w:r>
              <w:rPr>
                <w:sz w:val="20"/>
              </w:rPr>
              <w:t>Identifiants de ressources, empreintes d’accès, dates, tentatives et consommations</w:t>
            </w:r>
          </w:p>
        </w:tc>
        <w:tc>
          <w:tcPr>
            <w:tcW w:type="dxa" w:w="3194"/>
            <w:vAlign w:val="top"/>
          </w:tcPr>
          <w:p>
            <w:pPr>
              <w:spacing w:after="100" w:before="80"/>
            </w:pPr>
            <w:r>
              <w:rPr>
                <w:sz w:val="20"/>
              </w:rPr>
              <w:t>Exécution du service demandé et intérêt légitime à prévenir la fraude</w:t>
            </w:r>
          </w:p>
        </w:tc>
      </w:tr>
      <w:tr>
        <w:trPr>
          <w:cantSplit/>
        </w:trPr>
        <w:tc>
          <w:tcPr>
            <w:tcW w:type="dxa" w:w="3194"/>
            <w:vAlign w:val="top"/>
          </w:tcPr>
          <w:p>
            <w:pPr>
              <w:spacing w:after="100" w:before="80"/>
            </w:pPr>
            <w:r>
              <w:rPr>
                <w:sz w:val="20"/>
              </w:rPr>
              <w:t>Conclure et gérer un partenariat commerçant ou organisateur</w:t>
            </w:r>
          </w:p>
        </w:tc>
        <w:tc>
          <w:tcPr>
            <w:tcW w:type="dxa" w:w="3194"/>
            <w:vAlign w:val="top"/>
          </w:tcPr>
          <w:p>
            <w:pPr>
              <w:spacing w:after="100" w:before="80"/>
            </w:pPr>
            <w:r>
              <w:rPr>
                <w:sz w:val="20"/>
              </w:rPr>
              <w:t>Identité professionnelle, représentant, justificatifs, engagements et échanges</w:t>
            </w:r>
          </w:p>
        </w:tc>
        <w:tc>
          <w:tcPr>
            <w:tcW w:type="dxa" w:w="3194"/>
            <w:vAlign w:val="top"/>
          </w:tcPr>
          <w:p>
            <w:pPr>
              <w:spacing w:after="100" w:before="80"/>
            </w:pPr>
            <w:r>
              <w:rPr>
                <w:sz w:val="20"/>
              </w:rPr>
              <w:t>Mesures précontractuelles ou contrat pour la personne contractante ; intérêt légitime à gérer la relation pour les représentants et contacts professionnels</w:t>
            </w:r>
          </w:p>
        </w:tc>
      </w:tr>
      <w:tr>
        <w:trPr>
          <w:cantSplit/>
        </w:trPr>
        <w:tc>
          <w:tcPr>
            <w:tcW w:type="dxa" w:w="3194"/>
            <w:vAlign w:val="top"/>
          </w:tcPr>
          <w:p>
            <w:pPr>
              <w:spacing w:after="100" w:before="80"/>
            </w:pPr>
            <w:r>
              <w:rPr>
                <w:sz w:val="20"/>
              </w:rPr>
              <w:t>Fournir les fonctions de préparation et de rangement de factures demandées par le commerçant</w:t>
            </w:r>
          </w:p>
        </w:tc>
        <w:tc>
          <w:tcPr>
            <w:tcW w:type="dxa" w:w="3194"/>
            <w:vAlign w:val="top"/>
          </w:tcPr>
          <w:p>
            <w:pPr>
              <w:spacing w:after="100" w:before="80"/>
            </w:pPr>
            <w:r>
              <w:rPr>
                <w:sz w:val="20"/>
              </w:rPr>
              <w:t>Références de prestations, destinataires, montants, TVA, documents et opérations</w:t>
            </w:r>
          </w:p>
        </w:tc>
        <w:tc>
          <w:tcPr>
            <w:tcW w:type="dxa" w:w="3194"/>
            <w:vAlign w:val="top"/>
          </w:tcPr>
          <w:p>
            <w:pPr>
              <w:spacing w:after="100" w:before="80"/>
            </w:pPr>
            <w:r>
              <w:rPr>
                <w:sz w:val="20"/>
              </w:rPr>
              <w:t>Exécution du service demandé ; lorsque Localeo traite les données pour le compte du commerçant, instructions contractuelles de celui-ci</w:t>
            </w:r>
          </w:p>
        </w:tc>
      </w:tr>
      <w:tr>
        <w:trPr>
          <w:cantSplit/>
        </w:trPr>
        <w:tc>
          <w:tcPr>
            <w:tcW w:type="dxa" w:w="3194"/>
            <w:vAlign w:val="top"/>
          </w:tcPr>
          <w:p>
            <w:pPr>
              <w:spacing w:after="100" w:before="80"/>
            </w:pPr>
            <w:r>
              <w:rPr>
                <w:sz w:val="20"/>
              </w:rPr>
              <w:t>Tenir la comptabilité de Localeo, conserver ses factures et satisfaire aux demandes légales</w:t>
            </w:r>
          </w:p>
        </w:tc>
        <w:tc>
          <w:tcPr>
            <w:tcW w:type="dxa" w:w="3194"/>
            <w:vAlign w:val="top"/>
          </w:tcPr>
          <w:p>
            <w:pPr>
              <w:spacing w:after="100" w:before="80"/>
            </w:pPr>
            <w:r>
              <w:rPr>
                <w:sz w:val="20"/>
              </w:rPr>
              <w:t>Pièces comptables, montants, références et justificatifs requis</w:t>
            </w:r>
          </w:p>
        </w:tc>
        <w:tc>
          <w:tcPr>
            <w:tcW w:type="dxa" w:w="3194"/>
            <w:vAlign w:val="top"/>
          </w:tcPr>
          <w:p>
            <w:pPr>
              <w:spacing w:after="100" w:before="80"/>
            </w:pPr>
            <w:r>
              <w:rPr>
                <w:sz w:val="20"/>
              </w:rPr>
              <w:t>Obligations légales comptables, fiscales et de coopération avec les autorités</w:t>
            </w:r>
          </w:p>
        </w:tc>
      </w:tr>
      <w:tr>
        <w:trPr>
          <w:cantSplit/>
        </w:trPr>
        <w:tc>
          <w:tcPr>
            <w:tcW w:type="dxa" w:w="3194"/>
            <w:vAlign w:val="top"/>
          </w:tcPr>
          <w:p>
            <w:pPr>
              <w:spacing w:after="100" w:before="80"/>
            </w:pPr>
            <w:r>
              <w:rPr>
                <w:sz w:val="20"/>
              </w:rPr>
              <w:t>Gérer les participations, étapes, tirages et remises de lots pour l’organisateur</w:t>
            </w:r>
          </w:p>
        </w:tc>
        <w:tc>
          <w:tcPr>
            <w:tcW w:type="dxa" w:w="3194"/>
            <w:vAlign w:val="top"/>
          </w:tcPr>
          <w:p>
            <w:pPr>
              <w:spacing w:after="100" w:before="80"/>
            </w:pPr>
            <w:r>
              <w:rPr>
                <w:sz w:val="20"/>
              </w:rPr>
              <w:t>Coordonnées, progression, règles acceptées et résultats</w:t>
            </w:r>
          </w:p>
        </w:tc>
        <w:tc>
          <w:tcPr>
            <w:tcW w:type="dxa" w:w="3194"/>
            <w:vAlign w:val="top"/>
          </w:tcPr>
          <w:p>
            <w:pPr>
              <w:spacing w:after="100" w:before="80"/>
            </w:pPr>
            <w:r>
              <w:rPr>
                <w:sz w:val="20"/>
              </w:rPr>
              <w:t>Traitements réalisés sur les instructions de l’organisateur ; les bases légales qu’il retient sont précisées dans l’information de l’animation</w:t>
            </w:r>
          </w:p>
        </w:tc>
      </w:tr>
      <w:tr>
        <w:trPr>
          <w:cantSplit/>
        </w:trPr>
        <w:tc>
          <w:tcPr>
            <w:tcW w:type="dxa" w:w="3194"/>
            <w:vAlign w:val="top"/>
          </w:tcPr>
          <w:p>
            <w:pPr>
              <w:spacing w:after="100" w:before="80"/>
            </w:pPr>
            <w:r>
              <w:rPr>
                <w:sz w:val="20"/>
              </w:rPr>
              <w:t>Fournir le carnet, les contenus et les suivis demandés dans Localeo Live</w:t>
            </w:r>
          </w:p>
        </w:tc>
        <w:tc>
          <w:tcPr>
            <w:tcW w:type="dxa" w:w="3194"/>
            <w:vAlign w:val="top"/>
          </w:tcPr>
          <w:p>
            <w:pPr>
              <w:spacing w:after="100" w:before="80"/>
            </w:pPr>
            <w:r>
              <w:rPr>
                <w:sz w:val="20"/>
              </w:rPr>
              <w:t>Références enregistrées, installation, commune choisie, préférences et notifications</w:t>
            </w:r>
          </w:p>
        </w:tc>
        <w:tc>
          <w:tcPr>
            <w:tcW w:type="dxa" w:w="3194"/>
            <w:vAlign w:val="top"/>
          </w:tcPr>
          <w:p>
            <w:pPr>
              <w:spacing w:after="100" w:before="80"/>
            </w:pPr>
            <w:r>
              <w:rPr>
                <w:sz w:val="20"/>
              </w:rPr>
              <w:t>Exécution du service demandé ; consentement pour les notifications facultatives et fonctionnalités qui le requièrent</w:t>
            </w:r>
          </w:p>
        </w:tc>
      </w:tr>
      <w:tr>
        <w:trPr>
          <w:cantSplit/>
        </w:trPr>
        <w:tc>
          <w:tcPr>
            <w:tcW w:type="dxa" w:w="3194"/>
            <w:vAlign w:val="top"/>
          </w:tcPr>
          <w:p>
            <w:pPr>
              <w:spacing w:after="100" w:before="80"/>
            </w:pPr>
            <w:r>
              <w:rPr>
                <w:sz w:val="20"/>
              </w:rPr>
              <w:t>Répondre à une demande et gérer une réclamation</w:t>
            </w:r>
          </w:p>
        </w:tc>
        <w:tc>
          <w:tcPr>
            <w:tcW w:type="dxa" w:w="3194"/>
            <w:vAlign w:val="top"/>
          </w:tcPr>
          <w:p>
            <w:pPr>
              <w:spacing w:after="100" w:before="80"/>
            </w:pPr>
            <w:r>
              <w:rPr>
                <w:sz w:val="20"/>
              </w:rPr>
              <w:t>Coordonnées, contenu de la demande et éléments nécessaires à son traitement</w:t>
            </w:r>
          </w:p>
        </w:tc>
        <w:tc>
          <w:tcPr>
            <w:tcW w:type="dxa" w:w="3194"/>
            <w:vAlign w:val="top"/>
          </w:tcPr>
          <w:p>
            <w:pPr>
              <w:spacing w:after="100" w:before="80"/>
            </w:pPr>
            <w:r>
              <w:rPr>
                <w:sz w:val="20"/>
              </w:rPr>
              <w:t>Mesures précontractuelles, exécution du contrat ou intérêt légitime à répondre et défendre les droits de Localeo selon l’objet de la demande</w:t>
            </w:r>
          </w:p>
        </w:tc>
      </w:tr>
      <w:tr>
        <w:trPr>
          <w:cantSplit/>
        </w:trPr>
        <w:tc>
          <w:tcPr>
            <w:tcW w:type="dxa" w:w="3194"/>
            <w:vAlign w:val="top"/>
          </w:tcPr>
          <w:p>
            <w:pPr>
              <w:spacing w:after="100" w:before="80"/>
            </w:pPr>
            <w:r>
              <w:rPr>
                <w:sz w:val="20"/>
              </w:rPr>
              <w:t>Protéger le service et conserver les preuves d’opérations</w:t>
            </w:r>
          </w:p>
        </w:tc>
        <w:tc>
          <w:tcPr>
            <w:tcW w:type="dxa" w:w="3194"/>
            <w:vAlign w:val="top"/>
          </w:tcPr>
          <w:p>
            <w:pPr>
              <w:spacing w:after="100" w:before="80"/>
            </w:pPr>
            <w:r>
              <w:rPr>
                <w:sz w:val="20"/>
              </w:rPr>
              <w:t>Journaux techniques, habilitations, empreintes, horodatages et événements de sécurité</w:t>
            </w:r>
          </w:p>
        </w:tc>
        <w:tc>
          <w:tcPr>
            <w:tcW w:type="dxa" w:w="3194"/>
            <w:vAlign w:val="top"/>
          </w:tcPr>
          <w:p>
            <w:pPr>
              <w:spacing w:after="100" w:before="80"/>
            </w:pPr>
            <w:r>
              <w:rPr>
                <w:sz w:val="20"/>
              </w:rPr>
              <w:t>Intérêt légitime à assurer la disponibilité, prévenir les abus et établir les faits</w:t>
            </w:r>
          </w:p>
        </w:tc>
      </w:tr>
      <w:tr>
        <w:trPr>
          <w:cantSplit/>
        </w:trPr>
        <w:tc>
          <w:tcPr>
            <w:tcW w:type="dxa" w:w="3194"/>
            <w:vAlign w:val="top"/>
          </w:tcPr>
          <w:p>
            <w:pPr>
              <w:spacing w:after="100" w:before="80"/>
            </w:pPr>
            <w:r>
              <w:rPr>
                <w:sz w:val="20"/>
              </w:rPr>
              <w:t>Adresser des communications commerciales facultatives</w:t>
            </w:r>
          </w:p>
        </w:tc>
        <w:tc>
          <w:tcPr>
            <w:tcW w:type="dxa" w:w="3194"/>
            <w:vAlign w:val="top"/>
          </w:tcPr>
          <w:p>
            <w:pPr>
              <w:spacing w:after="100" w:before="80"/>
            </w:pPr>
            <w:r>
              <w:rPr>
                <w:sz w:val="20"/>
              </w:rPr>
              <w:t>Coordonnées et choix de communication</w:t>
            </w:r>
          </w:p>
        </w:tc>
        <w:tc>
          <w:tcPr>
            <w:tcW w:type="dxa" w:w="3194"/>
            <w:vAlign w:val="top"/>
          </w:tcPr>
          <w:p>
            <w:pPr>
              <w:spacing w:after="100" w:before="80"/>
            </w:pPr>
            <w:r>
              <w:rPr>
                <w:sz w:val="20"/>
              </w:rPr>
              <w:t>Consentement, sauf communication professionnelle pertinente reposant sur l’intérêt légitime avec possibilité d’opposition</w:t>
            </w:r>
          </w:p>
        </w:tc>
      </w:tr>
    </w:tbl>
    <w:p>
      <w:pPr>
        <w:spacing w:after="0"/>
      </w:pPr>
    </w:p>
    <w:p>
      <w:r>
        <w:t>La consultation du catalogue ne nécessite pas de compte client. Les coordonnées privées des contacts professionnels ne font pas partie du catalogue public. Les données ne sont pas vendues à des annonceurs.</w:t>
      </w:r>
    </w:p>
    <w:p>
      <w:r>
        <w:t>Les contrôles techniques peuvent refuser un accès expiré ou révoqué, ralentir des tentatives répétées ou empêcher une opération incompatible avec l’état d’un coffret. Vous pouvez signaler une erreur au support et demander son examen.</w:t>
      </w:r>
    </w:p>
    <w:p>
      <w:pPr>
        <w:pStyle w:val="Heading1"/>
      </w:pPr>
      <w:r>
        <w:t>4. Qui reçoit les données ?</w:t>
      </w:r>
    </w:p>
    <w:p>
      <w:r>
        <w:t>L’accès interne est réservé aux personnes habilitées, pour les besoins de leurs missions. Les commerçants accèdent aux informations nécessaires à leurs prestations et à leurs opérations. Les organisateurs accèdent aux informations nécessaires à leur animation. Un autre commerçant n’obtient pas, par sa seule présence sur Localeo, les coordonnées privées d’un partenaire.</w:t>
      </w:r>
    </w:p>
    <w:p>
      <w:r>
        <w:t>Les prestataires techniques comprennent Render pour l’hébergement applicatif, Brevo pour l’envoi des courriels, Stripe pour les services de paiement et Scaleway pour le stockage documentaire. Les données de notification transitent, lorsque vous activez les notifications, par le service de votre navigateur ou de votre système d’exploitation. Les conseils, intervenants techniques habilités et autorités peuvent recevoir les informations strictement nécessaires à leur mission ou à une obligation légale.</w:t>
      </w:r>
    </w:p>
    <w:p>
      <w:r>
        <w:t xml:space="preserve">Stripe traite certaines données en qualité de responsable de traitement, notamment pour la fourniture de ses services financiers, la vérification des professionnels et la lutte contre la fraude. Sa </w:t>
      </w:r>
      <w:hyperlink r:id="rId10">
        <w:r>
          <w:rPr>
            <w:u w:val="single"/>
          </w:rPr>
          <w:t>politique de confidentialité</w:t>
        </w:r>
      </w:hyperlink>
      <w:r>
        <w:t xml:space="preserve"> complète l’information sur ces opérations. Le commerçant reste responsable de l’établissement de ses propres factures : l’utilisation de l’assistant Localeo n’autorise pas Localeo à émettre ou déposer une facture en son nom.</w:t>
      </w:r>
    </w:p>
    <w:p>
      <w:pPr>
        <w:pStyle w:val="Heading1"/>
      </w:pPr>
      <w:r>
        <w:t>5. Hébergement et accès internationaux</w:t>
      </w:r>
    </w:p>
    <w:p>
      <w:r>
        <w:t>L’utilisation de prestataires internationaux peut entraîner des traitements ou des accès depuis des pays situés hors de l’Espace économique européen, notamment les États-Unis. La localisation d’un serveur en Europe ne suffit pas à exclure un accès international par le support ou un sous-traitant.</w:t>
      </w:r>
    </w:p>
    <w:p>
      <w:r>
        <w:t>Le cadre applicable à ces transferts est celui du chapitre V du RGPD : décision d’adéquation de la Commission européenne lorsque son champ couvre le destinataire et le traitement, ou garanties appropriées telles que les clauses contractuelles types, accompagnées des mesures supplémentaires nécessaires. Le cadre UE–États-Unis de protection des données ne concerne que les entités et activités couvertes par une certification active.</w:t>
      </w:r>
    </w:p>
    <w:p>
      <w:r>
        <w:t xml:space="preserve">Pour l'hébergement applicatif, le </w:t>
      </w:r>
      <w:hyperlink r:id="rId11">
        <w:r>
          <w:rPr>
            <w:u w:val="single"/>
          </w:rPr>
          <w:t>DPA publié par Render Services, Inc.</w:t>
        </w:r>
      </w:hyperlink>
      <w:r>
        <w:t xml:space="preserve"> décrit des traitements aux États-Unis. Pour le paiement, le </w:t>
      </w:r>
      <w:hyperlink r:id="rId14">
        <w:r>
          <w:rPr>
            <w:u w:val="single"/>
          </w:rPr>
          <w:t>DPA de Stripe</w:t>
        </w:r>
      </w:hyperlink>
      <w:r>
        <w:t xml:space="preserve"> décrit notamment des transferts vers Stripe, LLC aux États-Unis ; son </w:t>
      </w:r>
      <w:hyperlink r:id="rId12">
        <w:r>
          <w:rPr>
            <w:u w:val="single"/>
          </w:rPr>
          <w:t>annexe relative aux transferts</w:t>
        </w:r>
      </w:hyperlink>
      <w:r>
        <w:t xml:space="preserve"> précise leur encadrement. Ces documents prévoient le cadre UE-États-Unis dans son champ d'application et les clauses contractuelles types dans les cas qu'ils définissent.</w:t>
      </w:r>
    </w:p>
    <w:p>
      <w:r>
        <w:t xml:space="preserve">Pour les courriels, Brevo publie ses </w:t>
      </w:r>
      <w:hyperlink r:id="rId15">
        <w:r>
          <w:rPr>
            <w:u w:val="single"/>
          </w:rPr>
          <w:t>informations sur les lieux de stockage</w:t>
        </w:r>
      </w:hyperlink>
      <w:r>
        <w:t xml:space="preserve"> et indique l'</w:t>
      </w:r>
      <w:hyperlink r:id="rId16">
        <w:r>
          <w:rPr>
            <w:u w:val="single"/>
          </w:rPr>
          <w:t>accord de traitement intégré à ses conditions</w:t>
        </w:r>
      </w:hyperlink>
      <w:r>
        <w:t xml:space="preserve">. Pour les documents, Scaleway publie son </w:t>
      </w:r>
      <w:hyperlink r:id="rId17">
        <w:r>
          <w:rPr>
            <w:u w:val="single"/>
          </w:rPr>
          <w:t>accord de traitement</w:t>
        </w:r>
      </w:hyperlink>
      <w:r>
        <w:t xml:space="preserve"> et sa </w:t>
      </w:r>
      <w:hyperlink r:id="rId18">
        <w:r>
          <w:rPr>
            <w:u w:val="single"/>
          </w:rPr>
          <w:t>liste de sous-traitants</w:t>
        </w:r>
      </w:hyperlink>
      <w:r>
        <w:t>. Ces documents décrivent les engagements généraux de chaque fournisseur ; un stockage dans l'Union européenne ne suffit pas à exclure des accès internationaux.</w:t>
      </w:r>
    </w:p>
    <w:p>
      <w:r>
        <w:t>Lorsque vous activez les notifications de l'appareil, leur transport fait intervenir le service de votre navigateur ou système, notamment Google, Mozilla ou Apple. La notice de confidentialité de Localeo Live décrit les données concernées et les réglages disponibles.</w:t>
      </w:r>
    </w:p>
    <w:p>
      <w:r>
        <w:t>Les informations sur les destinataires, les pays et les garanties applicables à vos données, ainsi qu'une copie de ces garanties sous réserve de la protection des informations confidentielles, peuvent être demandées à contact@localeo.city.</w:t>
      </w:r>
    </w:p>
    <w:p>
      <w:pPr>
        <w:pStyle w:val="Heading1"/>
      </w:pPr>
      <w:r>
        <w:t>6. Combien de temps les données sont-elles conservées ?</w:t>
      </w:r>
    </w:p>
    <w:p>
      <w:pPr>
        <w:keepNext/>
      </w:pPr>
      <w:r>
        <w:t>Les informations utiles restent disponibles pendant la fourniture du service. Une archive séparée, à accès restreint, peut ensuite être conservée lorsqu’une obligation légale ou la défense d’un droit le justifie. Une durée d’archivage ne signifie pas que toutes les données restent accessibles dans l’interface ou utilisables à des fins commerciales.</w:t>
      </w:r>
    </w:p>
    <w:tbl>
      <w:tblPr>
        <w:tblStyle w:val="TableGrid"/>
        <w:tblW w:type="auto" w:w="0"/>
        <w:jc w:val="center"/>
        <w:tblLayout w:type="fixed"/>
        <w:tblLook w:firstColumn="1" w:firstRow="1" w:lastColumn="0" w:lastRow="0" w:noHBand="0" w:noVBand="1" w:val="04A0"/>
      </w:tblPr>
      <w:tblGrid>
        <w:gridCol w:w="4791"/>
        <w:gridCol w:w="4791"/>
      </w:tblGrid>
      <w:tr>
        <w:trPr>
          <w:cantSplit/>
          <w:tblHeader/>
        </w:trPr>
        <w:tc>
          <w:tcPr>
            <w:tcW w:type="dxa" w:w="4791"/>
            <w:vAlign w:val="top"/>
            <w:shd w:fill="F1F3F5"/>
          </w:tcPr>
          <w:p>
            <w:pPr>
              <w:spacing w:after="100" w:before="80"/>
            </w:pPr>
            <w:r>
              <w:rPr>
                <w:b/>
                <w:sz w:val="20"/>
              </w:rPr>
              <w:t>Catégorie</w:t>
            </w:r>
          </w:p>
        </w:tc>
        <w:tc>
          <w:tcPr>
            <w:tcW w:type="dxa" w:w="4791"/>
            <w:vAlign w:val="top"/>
            <w:shd w:fill="F1F3F5"/>
          </w:tcPr>
          <w:p>
            <w:pPr>
              <w:spacing w:after="100" w:before="80"/>
            </w:pPr>
            <w:r>
              <w:rPr>
                <w:b/>
                <w:sz w:val="20"/>
              </w:rPr>
              <w:t>Durée ou critère de conservation</w:t>
            </w:r>
          </w:p>
        </w:tc>
      </w:tr>
      <w:tr>
        <w:trPr>
          <w:cantSplit/>
        </w:trPr>
        <w:tc>
          <w:tcPr>
            <w:tcW w:type="dxa" w:w="4791"/>
            <w:vAlign w:val="top"/>
          </w:tcPr>
          <w:p>
            <w:pPr>
              <w:spacing w:after="100" w:before="80"/>
            </w:pPr>
            <w:r>
              <w:rPr>
                <w:sz w:val="20"/>
              </w:rPr>
              <w:t>Commandes et coffrets</w:t>
            </w:r>
          </w:p>
        </w:tc>
        <w:tc>
          <w:tcPr>
            <w:tcW w:type="dxa" w:w="4791"/>
            <w:vAlign w:val="top"/>
          </w:tcPr>
          <w:p>
            <w:pPr>
              <w:spacing w:after="100" w:before="80"/>
            </w:pPr>
            <w:r>
              <w:rPr>
                <w:sz w:val="20"/>
              </w:rPr>
              <w:t>Pendant l’exécution de la commande et la validité des droits ; justificatifs utiles conservés ensuite pendant le délai de prescription applicable, généralement cinq ans à compter de la fin de la relation ou de l’événement à justifier</w:t>
            </w:r>
          </w:p>
        </w:tc>
      </w:tr>
      <w:tr>
        <w:trPr>
          <w:cantSplit/>
        </w:trPr>
        <w:tc>
          <w:tcPr>
            <w:tcW w:type="dxa" w:w="4791"/>
            <w:vAlign w:val="top"/>
          </w:tcPr>
          <w:p>
            <w:pPr>
              <w:spacing w:after="100" w:before="80"/>
            </w:pPr>
            <w:r>
              <w:rPr>
                <w:sz w:val="20"/>
              </w:rPr>
              <w:t>Contrats électroniques avec un consommateur d’au moins 120 euros</w:t>
            </w:r>
          </w:p>
        </w:tc>
        <w:tc>
          <w:tcPr>
            <w:tcW w:type="dxa" w:w="4791"/>
            <w:vAlign w:val="top"/>
          </w:tcPr>
          <w:p>
            <w:pPr>
              <w:spacing w:after="100" w:before="80"/>
            </w:pPr>
            <w:r>
              <w:rPr>
                <w:sz w:val="20"/>
              </w:rPr>
              <w:t>Dix ans selon les règles d’archivage applicables à ces contrats, sans préjudice de leur mise à disposition au consommateur</w:t>
            </w:r>
          </w:p>
        </w:tc>
      </w:tr>
      <w:tr>
        <w:trPr>
          <w:cantSplit/>
        </w:trPr>
        <w:tc>
          <w:tcPr>
            <w:tcW w:type="dxa" w:w="4791"/>
            <w:vAlign w:val="top"/>
          </w:tcPr>
          <w:p>
            <w:pPr>
              <w:spacing w:after="100" w:before="80"/>
            </w:pPr>
            <w:r>
              <w:rPr>
                <w:sz w:val="20"/>
              </w:rPr>
              <w:t>Factures et pièces comptables</w:t>
            </w:r>
          </w:p>
        </w:tc>
        <w:tc>
          <w:tcPr>
            <w:tcW w:type="dxa" w:w="4791"/>
            <w:vAlign w:val="top"/>
          </w:tcPr>
          <w:p>
            <w:pPr>
              <w:spacing w:after="100" w:before="80"/>
            </w:pPr>
            <w:r>
              <w:rPr>
                <w:sz w:val="20"/>
              </w:rPr>
              <w:t>Dix ans à compter de la clôture de l’exercice concerné</w:t>
            </w:r>
          </w:p>
        </w:tc>
      </w:tr>
      <w:tr>
        <w:trPr>
          <w:cantSplit/>
        </w:trPr>
        <w:tc>
          <w:tcPr>
            <w:tcW w:type="dxa" w:w="4791"/>
            <w:vAlign w:val="top"/>
          </w:tcPr>
          <w:p>
            <w:pPr>
              <w:spacing w:after="100" w:before="80"/>
            </w:pPr>
            <w:r>
              <w:rPr>
                <w:sz w:val="20"/>
              </w:rPr>
              <w:t>Contrats et preuves de partenariat</w:t>
            </w:r>
          </w:p>
        </w:tc>
        <w:tc>
          <w:tcPr>
            <w:tcW w:type="dxa" w:w="4791"/>
            <w:vAlign w:val="top"/>
          </w:tcPr>
          <w:p>
            <w:pPr>
              <w:spacing w:after="100" w:before="80"/>
            </w:pPr>
            <w:r>
              <w:rPr>
                <w:sz w:val="20"/>
              </w:rPr>
              <w:t>Pendant le partenariat, puis cinq ans après sa fin pour les éléments utiles à la preuve ; les pièces comptables suivent leur propre durée</w:t>
            </w:r>
          </w:p>
        </w:tc>
      </w:tr>
      <w:tr>
        <w:trPr>
          <w:cantSplit/>
        </w:trPr>
        <w:tc>
          <w:tcPr>
            <w:tcW w:type="dxa" w:w="4791"/>
            <w:vAlign w:val="top"/>
          </w:tcPr>
          <w:p>
            <w:pPr>
              <w:spacing w:after="100" w:before="80"/>
            </w:pPr>
            <w:r>
              <w:rPr>
                <w:sz w:val="20"/>
              </w:rPr>
              <w:t>Justificatifs d’admission et documents professionnels</w:t>
            </w:r>
          </w:p>
        </w:tc>
        <w:tc>
          <w:tcPr>
            <w:tcW w:type="dxa" w:w="4791"/>
            <w:vAlign w:val="top"/>
          </w:tcPr>
          <w:p>
            <w:pPr>
              <w:spacing w:after="100" w:before="80"/>
            </w:pPr>
            <w:r>
              <w:rPr>
                <w:sz w:val="20"/>
              </w:rPr>
              <w:t>Pendant leur utilité pour vérifier et exécuter le partenariat ; les documents remplacés ou sans utilité sont retirés de l’usage courant et seule la preuve nécessaire est archivée</w:t>
            </w:r>
          </w:p>
        </w:tc>
      </w:tr>
      <w:tr>
        <w:trPr>
          <w:cantSplit/>
        </w:trPr>
        <w:tc>
          <w:tcPr>
            <w:tcW w:type="dxa" w:w="4791"/>
            <w:vAlign w:val="top"/>
          </w:tcPr>
          <w:p>
            <w:pPr>
              <w:spacing w:after="100" w:before="80"/>
            </w:pPr>
            <w:r>
              <w:rPr>
                <w:sz w:val="20"/>
              </w:rPr>
              <w:t>Prospection</w:t>
            </w:r>
          </w:p>
        </w:tc>
        <w:tc>
          <w:tcPr>
            <w:tcW w:type="dxa" w:w="4791"/>
            <w:vAlign w:val="top"/>
          </w:tcPr>
          <w:p>
            <w:pPr>
              <w:spacing w:after="100" w:before="80"/>
            </w:pPr>
            <w:r>
              <w:rPr>
                <w:sz w:val="20"/>
              </w:rPr>
              <w:t>Jusqu’au retrait du consentement ou à l’opposition ; à défaut, trois ans après la collecte ou le dernier contact émanant de la personne, ou après la fin de la relation commerciale pour un ancien client</w:t>
            </w:r>
          </w:p>
        </w:tc>
      </w:tr>
      <w:tr>
        <w:trPr>
          <w:cantSplit/>
        </w:trPr>
        <w:tc>
          <w:tcPr>
            <w:tcW w:type="dxa" w:w="4791"/>
            <w:vAlign w:val="top"/>
          </w:tcPr>
          <w:p>
            <w:pPr>
              <w:spacing w:after="100" w:before="80"/>
            </w:pPr>
            <w:r>
              <w:rPr>
                <w:sz w:val="20"/>
              </w:rPr>
              <w:t>Demandes et réclamations</w:t>
            </w:r>
          </w:p>
        </w:tc>
        <w:tc>
          <w:tcPr>
            <w:tcW w:type="dxa" w:w="4791"/>
            <w:vAlign w:val="top"/>
          </w:tcPr>
          <w:p>
            <w:pPr>
              <w:spacing w:after="100" w:before="80"/>
            </w:pPr>
            <w:r>
              <w:rPr>
                <w:sz w:val="20"/>
              </w:rPr>
              <w:t>Pendant leur traitement ; les éléments utiles à un litige sont conservés pendant le délai de prescription applicable</w:t>
            </w:r>
          </w:p>
        </w:tc>
      </w:tr>
      <w:tr>
        <w:trPr>
          <w:cantSplit/>
        </w:trPr>
        <w:tc>
          <w:tcPr>
            <w:tcW w:type="dxa" w:w="4791"/>
            <w:vAlign w:val="top"/>
          </w:tcPr>
          <w:p>
            <w:pPr>
              <w:spacing w:after="100" w:before="80"/>
            </w:pPr>
            <w:r>
              <w:rPr>
                <w:sz w:val="20"/>
              </w:rPr>
              <w:t>Journaux techniques ordinaires</w:t>
            </w:r>
          </w:p>
        </w:tc>
        <w:tc>
          <w:tcPr>
            <w:tcW w:type="dxa" w:w="4791"/>
            <w:vAlign w:val="top"/>
          </w:tcPr>
          <w:p>
            <w:pPr>
              <w:spacing w:after="100" w:before="80"/>
            </w:pPr>
            <w:r>
              <w:rPr>
                <w:sz w:val="20"/>
              </w:rPr>
              <w:t>Douze mois au maximum ; les éléments d’un incident peuvent être isolés pendant sa résolution et le délai nécessaire à la défense des droits</w:t>
            </w:r>
          </w:p>
        </w:tc>
      </w:tr>
      <w:tr>
        <w:trPr>
          <w:cantSplit/>
        </w:trPr>
        <w:tc>
          <w:tcPr>
            <w:tcW w:type="dxa" w:w="4791"/>
            <w:vAlign w:val="top"/>
          </w:tcPr>
          <w:p>
            <w:pPr>
              <w:spacing w:after="100" w:before="80"/>
            </w:pPr>
            <w:r>
              <w:rPr>
                <w:sz w:val="20"/>
              </w:rPr>
              <w:t>Données Live et animations</w:t>
            </w:r>
          </w:p>
        </w:tc>
        <w:tc>
          <w:tcPr>
            <w:tcW w:type="dxa" w:w="4791"/>
            <w:vAlign w:val="top"/>
          </w:tcPr>
          <w:p>
            <w:pPr>
              <w:spacing w:after="100" w:before="80"/>
            </w:pPr>
            <w:r>
              <w:rPr>
                <w:sz w:val="20"/>
              </w:rPr>
              <w:t>Durées précisées dans la notice Live et dans l’information de l’animation ; les pièces de paiement et de remise de lots soumises à une obligation légale suivent leur propre durée</w:t>
            </w:r>
          </w:p>
        </w:tc>
      </w:tr>
    </w:tbl>
    <w:p>
      <w:pPr>
        <w:spacing w:after="0"/>
      </w:pPr>
    </w:p>
    <w:p>
      <w:r>
        <w:t>Un lien de consultation de coffret nouvellement émis est utilisable une seule fois pendant 24 heures. La session qui en résulte dure au maximum huit heures. Ces délais concernent l’autorisation d’accès et ne sont pas la durée de conservation d’une commande ni la durée de validité du coffret. Une révocation peut interrompre l’accès plus tôt.</w:t>
      </w:r>
    </w:p>
    <w:p>
      <w:pPr>
        <w:pStyle w:val="Heading1"/>
      </w:pPr>
      <w:r>
        <w:t>7. Stockages sur l’appareil, localisation et courriels</w:t>
      </w:r>
    </w:p>
    <w:p>
      <w:r>
        <w:t>La politique de cookies décrit les cookies et stockages locaux. Le carnet Live est conservé dans le navigateur à votre demande. Son effacement local ne supprime pas les données nécessaires à l’exécution d’une commande ou d’une animation sur les serveurs.</w:t>
      </w:r>
    </w:p>
    <w:p>
      <w:r>
        <w:t>La recherche « autour de moi » utilise la position que vous autorisez le navigateur à communiquer afin de rechercher les offres à proximité. Vous pouvez choisir une commune sans transmettre votre position. L’autorisation se retire dans les réglages du navigateur ; elle ne vaut pas accord à un suivi permanent de vos déplacements.</w:t>
      </w:r>
    </w:p>
    <w:p>
      <w:r>
        <w:t>Les courriels de commande, d’accès, de sécurité ou de réclamation sont distincts des communications commerciales facultatives. Les données d’envoi et de délivrabilité servent à acheminer les messages et à traiter les erreurs. Un consentement à recevoir de la prospection ne vaut pas, à lui seul, consentement à une mesure individualisée des ouvertures à des fins marketing.</w:t>
      </w:r>
    </w:p>
    <w:p>
      <w:pPr>
        <w:pStyle w:val="Heading1"/>
      </w:pPr>
      <w:r>
        <w:t>8. Quels sont vos droits ?</w:t>
      </w:r>
    </w:p>
    <w:p>
      <w:r>
        <w:t>Dans les conditions prévues par le RGPD, vous pouvez obtenir l’accès à vos données, leur rectification, leur effacement ou la limitation de leur traitement. Vous pouvez recevoir les données que vous avez fournies dans un format structuré et réutilisable lorsque le traitement automatisé repose sur votre consentement ou sur un contrat.</w:t>
      </w:r>
    </w:p>
    <w:p>
      <w:r>
        <w:t xml:space="preserve">Vous pouvez vous opposer, pour des raisons tenant à votre situation particulière, à un traitement fondé sur l’intérêt légitime. </w:t>
      </w:r>
      <w:r>
        <w:rPr>
          <w:b/>
        </w:rPr>
        <w:t>Vous pouvez vous opposer à tout moment à la prospection commerciale</w:t>
      </w:r>
      <w:r>
        <w:t>, sans justification. Vous pouvez retirer un consentement aussi facilement que vous l’avez donné, sans remettre en cause la licéité des opérations antérieures. Vous pouvez également définir des directives relatives au sort de vos données après votre décès dans les conditions du droit français.</w:t>
      </w:r>
    </w:p>
    <w:p>
      <w:r>
        <w:t>Adressez votre demande à contact@localeo.city en indiquant le service et les références utiles, sans transmettre votre QR ni votre code d’accès. Un justificatif d’identité n’est demandé qu’en cas de doute raisonnable sur votre identité et dans une mesure proportionnée. La réponse intervient en principe dans un délai d’un mois ; une prolongation de deux mois peut être nécessaire pour une demande complexe ou nombreuse, avec information dans le premier mois.</w:t>
      </w:r>
    </w:p>
    <w:p>
      <w:r>
        <w:t>Une obligation de conservation peut limiter l’effacement de certaines pièces, notamment comptables ou nécessaires à un contentieux. Cette limite vous est expliquée et les données concernées sont réservées à cette finalité.</w:t>
      </w:r>
    </w:p>
    <w:p>
      <w:r>
        <w:t xml:space="preserve">Vous pouvez saisir la </w:t>
      </w:r>
      <w:hyperlink r:id="rId13">
        <w:r>
          <w:rPr>
            <w:u w:val="single"/>
          </w:rPr>
          <w:t>Commission nationale de l’informatique et des libertés</w:t>
        </w:r>
      </w:hyperlink>
      <w:r>
        <w:t>, 3 Place de Fontenoy, TSA 80715, 75334 Paris Cedex 07.</w:t>
      </w:r>
    </w:p>
    <w:p>
      <w:pPr>
        <w:pStyle w:val="Heading1"/>
      </w:pPr>
      <w:r>
        <w:t>9. Mineurs et sécurité</w:t>
      </w:r>
    </w:p>
    <w:p>
      <w:r>
        <w:t>Les conditions d’âge et de capacité pour acheter ou participer sont précisées dans les conditions de vente et dans le règlement de l’animation. Pour les services en ligne directement proposés à un mineur en France, un traitement facultatif fondé sur le consentement d’un enfant de moins de quinze ans requiert l’accord conjoint du mineur et du titulaire de l’autorité parentale. Ce seuil ne constitue pas une autorisation générale de conclure seul tout contrat.</w:t>
      </w:r>
    </w:p>
    <w:p>
      <w:r>
        <w:t>Localeo protège les accès par des habilitations, des contrôles d’authentification, des limites de tentatives et des mesures de révocation. Les liens personnels, QR et sauvegardes du carnet doivent rester confidentiels. En cas de perte, de partage accidentel ou de consommation contestée, contactez rapidement Localeo. Aucun dispositif ne supprime tout risque de copie ou d’utilisation par une personne ayant accès à votre appareil ou à votre messagerie.</w:t>
      </w:r>
    </w:p>
    <w:p>
      <w:pPr>
        <w:pStyle w:val="Heading1"/>
      </w:pPr>
      <w:r>
        <w:t>10. Évolution de cette politique</w:t>
      </w:r>
    </w:p>
    <w:p>
      <w:r>
        <w:t>La date et la version permettent d’identifier le texte applicable. Une évolution importante des finalités ou des modalités de traitement donne lieu à une information adaptée ; un nouveau consentement est demandé lorsque la réglementation l’exige.</w:t>
      </w:r>
    </w:p>
    <w:sectPr w:rsidR="00FC693F" w:rsidRPr="0006063C" w:rsidSect="00034616">
      <w:footerReference w:type="default" r:id="rId9"/>
      <w:pgSz w:w="11906" w:h="16838"/>
      <w:pgMar w:top="1077" w:right="1162" w:bottom="1049" w:left="1162"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LOCALEO  |  Version 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111827"/>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11827"/>
      <w:sz w:val="23"/>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Calibri" w:hAnsi="Calibri"/>
      <w:i/>
      <w:iCs/>
      <w:color w:val="4B556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tripe.com/fr/privacy" TargetMode="External"/><Relationship Id="rId11" Type="http://schemas.openxmlformats.org/officeDocument/2006/relationships/hyperlink" Target="https://render.com/dpa" TargetMode="External"/><Relationship Id="rId12" Type="http://schemas.openxmlformats.org/officeDocument/2006/relationships/hyperlink" Target="https://stripe.com/legal/dta" TargetMode="External"/><Relationship Id="rId13" Type="http://schemas.openxmlformats.org/officeDocument/2006/relationships/hyperlink" Target="https://www.cnil.fr/fr/plaintes" TargetMode="External"/><Relationship Id="rId14" Type="http://schemas.openxmlformats.org/officeDocument/2006/relationships/hyperlink" Target="https://stripe.com/legal/dpa" TargetMode="External"/><Relationship Id="rId15" Type="http://schemas.openxmlformats.org/officeDocument/2006/relationships/hyperlink" Target="https://help.brevo.com/hc/en-us/articles/360001005510-Data-storage-location" TargetMode="External"/><Relationship Id="rId16" Type="http://schemas.openxmlformats.org/officeDocument/2006/relationships/hyperlink" Target="https://help.brevo.com/hc/en-us/articles/15403782599570-Where-can-I-find-the-Data-Processing-Agreement-DPA" TargetMode="External"/><Relationship Id="rId17" Type="http://schemas.openxmlformats.org/officeDocument/2006/relationships/hyperlink" Target="https://www-uploads.scaleway.com/DPA_EN_v17072024_0ca3d55b58.pdf" TargetMode="External"/><Relationship Id="rId18" Type="http://schemas.openxmlformats.org/officeDocument/2006/relationships/hyperlink" Target="https://www.scaleway.com/en/subprocessor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confidentialité et de protection des données personnelles</dc:title>
  <dc:subject>Version 1.1 du 13 septembre 2026</dc:subject>
  <dc:creator>Localeo</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